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D1D9E" w14:textId="3755ECF2" w:rsidR="00027531" w:rsidRDefault="00315F2C" w:rsidP="00027531">
      <w:pPr>
        <w:jc w:val="center"/>
        <w:rPr>
          <w:rFonts w:ascii="Arial" w:hAnsi="Arial" w:cs="Arial"/>
          <w:b/>
          <w:sz w:val="28"/>
          <w:szCs w:val="28"/>
        </w:rPr>
      </w:pPr>
      <w:r>
        <w:rPr>
          <w:noProof/>
          <w:lang w:eastAsia="en-GB"/>
        </w:rPr>
        <w:drawing>
          <wp:inline distT="0" distB="0" distL="0" distR="0" wp14:anchorId="1493A1A7" wp14:editId="66ED1E6E">
            <wp:extent cx="2000250" cy="923925"/>
            <wp:effectExtent l="0" t="0" r="0" b="0"/>
            <wp:docPr id="1" name="Picture 1" descr="\\fshq.ad.ohchr.org\redirected$\Damianos.serefidis\Desktop\FORMER DESKTOP\LOGOS\English\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q.ad.ohchr.org\redirected$\Damianos.serefidis\Desktop\FORMER DESKTOP\LOGOS\English\Office_logo_EN_blue_SMALL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923925"/>
                    </a:xfrm>
                    <a:prstGeom prst="rect">
                      <a:avLst/>
                    </a:prstGeom>
                    <a:noFill/>
                    <a:ln>
                      <a:noFill/>
                    </a:ln>
                  </pic:spPr>
                </pic:pic>
              </a:graphicData>
            </a:graphic>
          </wp:inline>
        </w:drawing>
      </w:r>
    </w:p>
    <w:p w14:paraId="4C544589" w14:textId="0DDBF6E3" w:rsidR="007F2428" w:rsidRDefault="000233DE" w:rsidP="0028420B">
      <w:pPr>
        <w:jc w:val="center"/>
        <w:rPr>
          <w:rFonts w:ascii="Arial" w:hAnsi="Arial" w:cs="Arial"/>
          <w:b/>
          <w:sz w:val="28"/>
          <w:szCs w:val="28"/>
        </w:rPr>
      </w:pPr>
      <w:r>
        <w:rPr>
          <w:rFonts w:ascii="Arial" w:hAnsi="Arial" w:cs="Arial"/>
          <w:b/>
          <w:sz w:val="28"/>
          <w:szCs w:val="28"/>
        </w:rPr>
        <w:t>General comment No. 36 on article 6 of the International Covenant on Civil and Political Rights, on the right to life.</w:t>
      </w:r>
    </w:p>
    <w:p w14:paraId="57FC65CB" w14:textId="77777777" w:rsidR="0028420B" w:rsidRDefault="0028420B" w:rsidP="0028420B">
      <w:pPr>
        <w:jc w:val="center"/>
        <w:rPr>
          <w:rFonts w:ascii="Arial" w:hAnsi="Arial" w:cs="Arial"/>
          <w:b/>
          <w:sz w:val="28"/>
          <w:szCs w:val="28"/>
        </w:rPr>
      </w:pPr>
    </w:p>
    <w:p w14:paraId="08DA1276" w14:textId="77777777" w:rsidR="007F2428" w:rsidRPr="00CA401C" w:rsidRDefault="007F2428" w:rsidP="0028420B">
      <w:pPr>
        <w:jc w:val="center"/>
        <w:rPr>
          <w:rFonts w:ascii="Arial" w:hAnsi="Arial" w:cs="Arial"/>
          <w:b/>
          <w:sz w:val="28"/>
          <w:szCs w:val="28"/>
        </w:rPr>
      </w:pPr>
      <w:r w:rsidRPr="00CA401C">
        <w:rPr>
          <w:rFonts w:ascii="Arial" w:hAnsi="Arial" w:cs="Arial"/>
          <w:b/>
          <w:sz w:val="28"/>
          <w:szCs w:val="28"/>
        </w:rPr>
        <w:t>S</w:t>
      </w:r>
      <w:r>
        <w:rPr>
          <w:rFonts w:ascii="Arial" w:hAnsi="Arial" w:cs="Arial"/>
          <w:b/>
          <w:sz w:val="28"/>
          <w:szCs w:val="28"/>
        </w:rPr>
        <w:t>ubmission</w:t>
      </w:r>
      <w:r w:rsidRPr="00CA401C">
        <w:rPr>
          <w:rFonts w:ascii="Arial" w:hAnsi="Arial" w:cs="Arial"/>
          <w:b/>
          <w:sz w:val="28"/>
          <w:szCs w:val="28"/>
        </w:rPr>
        <w:t xml:space="preserve"> to the Committee </w:t>
      </w:r>
      <w:r>
        <w:rPr>
          <w:rFonts w:ascii="Arial" w:hAnsi="Arial" w:cs="Arial"/>
          <w:b/>
          <w:sz w:val="28"/>
          <w:szCs w:val="28"/>
        </w:rPr>
        <w:t>on Civil and Political Rights</w:t>
      </w:r>
    </w:p>
    <w:p w14:paraId="3102FA0E" w14:textId="77777777" w:rsidR="007F2428" w:rsidRPr="00CA401C" w:rsidRDefault="0028420B" w:rsidP="0028420B">
      <w:pPr>
        <w:jc w:val="center"/>
        <w:rPr>
          <w:rFonts w:ascii="Arial" w:hAnsi="Arial" w:cs="Arial"/>
          <w:b/>
          <w:sz w:val="28"/>
          <w:szCs w:val="28"/>
        </w:rPr>
      </w:pPr>
      <w:r>
        <w:rPr>
          <w:rFonts w:ascii="Arial" w:hAnsi="Arial" w:cs="Arial"/>
          <w:b/>
          <w:sz w:val="28"/>
          <w:szCs w:val="28"/>
        </w:rPr>
        <w:t>B</w:t>
      </w:r>
      <w:r w:rsidR="007F2428" w:rsidRPr="00CA401C">
        <w:rPr>
          <w:rFonts w:ascii="Arial" w:hAnsi="Arial" w:cs="Arial"/>
          <w:b/>
          <w:sz w:val="28"/>
          <w:szCs w:val="28"/>
        </w:rPr>
        <w:t>y</w:t>
      </w:r>
    </w:p>
    <w:p w14:paraId="5A3FC5F9" w14:textId="77777777" w:rsidR="007F2428" w:rsidRDefault="00474EBD" w:rsidP="0028420B">
      <w:pPr>
        <w:jc w:val="center"/>
        <w:rPr>
          <w:rFonts w:ascii="Arial" w:hAnsi="Arial" w:cs="Arial"/>
          <w:b/>
          <w:sz w:val="28"/>
          <w:szCs w:val="28"/>
        </w:rPr>
      </w:pPr>
      <w:r>
        <w:rPr>
          <w:rFonts w:ascii="Arial" w:hAnsi="Arial" w:cs="Arial"/>
          <w:b/>
          <w:sz w:val="28"/>
          <w:szCs w:val="28"/>
        </w:rPr>
        <w:t>Ms. Ikponwosa Ero, t</w:t>
      </w:r>
      <w:r w:rsidR="007F2428" w:rsidRPr="00CA401C">
        <w:rPr>
          <w:rFonts w:ascii="Arial" w:hAnsi="Arial" w:cs="Arial"/>
          <w:b/>
          <w:sz w:val="28"/>
          <w:szCs w:val="28"/>
        </w:rPr>
        <w:t>he UN Independent Expert on Enjoyment of Human Rights by Persons with Albinism</w:t>
      </w:r>
    </w:p>
    <w:p w14:paraId="5B9AC7F5" w14:textId="77777777" w:rsidR="007F2428" w:rsidRPr="0028420B" w:rsidRDefault="007F2428" w:rsidP="0028420B">
      <w:pPr>
        <w:ind w:left="720"/>
        <w:jc w:val="right"/>
        <w:rPr>
          <w:rFonts w:ascii="Arial" w:hAnsi="Arial" w:cs="Arial"/>
          <w:b/>
          <w:sz w:val="28"/>
          <w:szCs w:val="28"/>
        </w:rPr>
      </w:pPr>
      <w:r w:rsidRPr="0028420B">
        <w:rPr>
          <w:rFonts w:ascii="Arial" w:hAnsi="Arial" w:cs="Arial"/>
          <w:b/>
          <w:sz w:val="28"/>
          <w:szCs w:val="28"/>
        </w:rPr>
        <w:t>October</w:t>
      </w:r>
      <w:r w:rsidR="0028420B" w:rsidRPr="0028420B">
        <w:rPr>
          <w:rFonts w:ascii="Arial" w:hAnsi="Arial" w:cs="Arial"/>
          <w:b/>
          <w:sz w:val="28"/>
          <w:szCs w:val="28"/>
        </w:rPr>
        <w:t xml:space="preserve"> 6,</w:t>
      </w:r>
      <w:r w:rsidRPr="0028420B">
        <w:rPr>
          <w:rFonts w:ascii="Arial" w:hAnsi="Arial" w:cs="Arial"/>
          <w:b/>
          <w:sz w:val="28"/>
          <w:szCs w:val="28"/>
        </w:rPr>
        <w:t xml:space="preserve"> 2017</w:t>
      </w:r>
    </w:p>
    <w:p w14:paraId="5BF5EE6C" w14:textId="77777777" w:rsidR="0028420B" w:rsidRDefault="0028420B" w:rsidP="0028420B">
      <w:pPr>
        <w:jc w:val="both"/>
        <w:rPr>
          <w:rFonts w:ascii="Arial" w:hAnsi="Arial" w:cs="Arial"/>
          <w:b/>
          <w:sz w:val="28"/>
          <w:szCs w:val="28"/>
        </w:rPr>
      </w:pPr>
    </w:p>
    <w:p w14:paraId="04C89F12" w14:textId="766FE2BE" w:rsidR="009631D5" w:rsidRDefault="00516E7D" w:rsidP="0028420B">
      <w:pPr>
        <w:pStyle w:val="ListParagraph"/>
        <w:numPr>
          <w:ilvl w:val="0"/>
          <w:numId w:val="3"/>
        </w:numPr>
        <w:ind w:left="0" w:firstLine="0"/>
        <w:jc w:val="both"/>
        <w:rPr>
          <w:rFonts w:ascii="Arial" w:hAnsi="Arial" w:cs="Arial"/>
          <w:sz w:val="28"/>
          <w:szCs w:val="28"/>
        </w:rPr>
      </w:pPr>
      <w:r>
        <w:rPr>
          <w:rFonts w:ascii="Arial" w:hAnsi="Arial" w:cs="Arial"/>
          <w:sz w:val="28"/>
          <w:szCs w:val="28"/>
        </w:rPr>
        <w:t>I</w:t>
      </w:r>
      <w:r w:rsidR="008119D5" w:rsidRPr="008119D5">
        <w:rPr>
          <w:rFonts w:ascii="Arial" w:hAnsi="Arial" w:cs="Arial"/>
          <w:sz w:val="28"/>
          <w:szCs w:val="28"/>
        </w:rPr>
        <w:t xml:space="preserve"> </w:t>
      </w:r>
      <w:r w:rsidR="000233DE" w:rsidRPr="008119D5">
        <w:rPr>
          <w:rFonts w:ascii="Arial" w:hAnsi="Arial" w:cs="Arial"/>
          <w:sz w:val="28"/>
          <w:szCs w:val="28"/>
        </w:rPr>
        <w:t xml:space="preserve">welcome the inclusion of persons with albinism in the revised draft of General </w:t>
      </w:r>
      <w:r w:rsidR="0046224F">
        <w:rPr>
          <w:rFonts w:ascii="Arial" w:hAnsi="Arial" w:cs="Arial"/>
          <w:sz w:val="28"/>
          <w:szCs w:val="28"/>
        </w:rPr>
        <w:t>C</w:t>
      </w:r>
      <w:r w:rsidR="000233DE" w:rsidRPr="008119D5">
        <w:rPr>
          <w:rFonts w:ascii="Arial" w:hAnsi="Arial" w:cs="Arial"/>
          <w:sz w:val="28"/>
          <w:szCs w:val="28"/>
        </w:rPr>
        <w:t>omment No. 36</w:t>
      </w:r>
      <w:r>
        <w:rPr>
          <w:rFonts w:ascii="Arial" w:hAnsi="Arial" w:cs="Arial"/>
          <w:sz w:val="28"/>
          <w:szCs w:val="28"/>
        </w:rPr>
        <w:t xml:space="preserve"> of the Human Rights Committee</w:t>
      </w:r>
      <w:r w:rsidR="00C570F0">
        <w:rPr>
          <w:rFonts w:ascii="Arial" w:hAnsi="Arial" w:cs="Arial"/>
          <w:sz w:val="28"/>
          <w:szCs w:val="28"/>
        </w:rPr>
        <w:t xml:space="preserve"> </w:t>
      </w:r>
      <w:r w:rsidR="00B82720">
        <w:rPr>
          <w:rFonts w:ascii="Arial" w:hAnsi="Arial" w:cs="Arial"/>
          <w:sz w:val="28"/>
          <w:szCs w:val="28"/>
        </w:rPr>
        <w:t>at</w:t>
      </w:r>
      <w:r w:rsidR="00C570F0">
        <w:rPr>
          <w:rFonts w:ascii="Arial" w:hAnsi="Arial" w:cs="Arial"/>
          <w:sz w:val="28"/>
          <w:szCs w:val="28"/>
        </w:rPr>
        <w:t xml:space="preserve"> paragraph</w:t>
      </w:r>
      <w:r w:rsidR="00B82720">
        <w:rPr>
          <w:rFonts w:ascii="Arial" w:hAnsi="Arial" w:cs="Arial"/>
          <w:sz w:val="28"/>
          <w:szCs w:val="28"/>
        </w:rPr>
        <w:t>s</w:t>
      </w:r>
      <w:r w:rsidR="00C570F0">
        <w:rPr>
          <w:rFonts w:ascii="Arial" w:hAnsi="Arial" w:cs="Arial"/>
          <w:sz w:val="28"/>
          <w:szCs w:val="28"/>
        </w:rPr>
        <w:t xml:space="preserve"> 27 and 64</w:t>
      </w:r>
      <w:r>
        <w:rPr>
          <w:rFonts w:ascii="Arial" w:hAnsi="Arial" w:cs="Arial"/>
          <w:sz w:val="28"/>
          <w:szCs w:val="28"/>
        </w:rPr>
        <w:t xml:space="preserve"> as well as the opportunity to make a </w:t>
      </w:r>
      <w:r w:rsidR="0068667E">
        <w:rPr>
          <w:rFonts w:ascii="Arial" w:hAnsi="Arial" w:cs="Arial"/>
          <w:sz w:val="28"/>
          <w:szCs w:val="28"/>
        </w:rPr>
        <w:t>contribution</w:t>
      </w:r>
      <w:r w:rsidR="00C570F0">
        <w:rPr>
          <w:rFonts w:ascii="Arial" w:hAnsi="Arial" w:cs="Arial"/>
          <w:sz w:val="28"/>
          <w:szCs w:val="28"/>
        </w:rPr>
        <w:t xml:space="preserve"> </w:t>
      </w:r>
      <w:r>
        <w:rPr>
          <w:rFonts w:ascii="Arial" w:hAnsi="Arial" w:cs="Arial"/>
          <w:sz w:val="28"/>
          <w:szCs w:val="28"/>
        </w:rPr>
        <w:t xml:space="preserve">to your </w:t>
      </w:r>
      <w:r w:rsidR="0068667E">
        <w:rPr>
          <w:rFonts w:ascii="Arial" w:hAnsi="Arial" w:cs="Arial"/>
          <w:sz w:val="28"/>
          <w:szCs w:val="28"/>
        </w:rPr>
        <w:t xml:space="preserve">interpretative </w:t>
      </w:r>
      <w:r>
        <w:rPr>
          <w:rFonts w:ascii="Arial" w:hAnsi="Arial" w:cs="Arial"/>
          <w:sz w:val="28"/>
          <w:szCs w:val="28"/>
        </w:rPr>
        <w:t xml:space="preserve">work </w:t>
      </w:r>
      <w:r w:rsidR="002B43C4">
        <w:rPr>
          <w:rFonts w:ascii="Arial" w:hAnsi="Arial" w:cs="Arial"/>
          <w:sz w:val="28"/>
          <w:szCs w:val="28"/>
        </w:rPr>
        <w:t>as it refers to the enjoyment of the right to life by persons with albinism</w:t>
      </w:r>
      <w:r w:rsidR="00C570F0">
        <w:rPr>
          <w:rFonts w:ascii="Arial" w:hAnsi="Arial" w:cs="Arial"/>
          <w:sz w:val="28"/>
          <w:szCs w:val="28"/>
        </w:rPr>
        <w:t xml:space="preserve"> in the context of the International Covenant on Civil and Political Rights</w:t>
      </w:r>
      <w:r w:rsidR="00945EEB">
        <w:rPr>
          <w:rFonts w:ascii="Arial" w:hAnsi="Arial" w:cs="Arial"/>
          <w:sz w:val="28"/>
          <w:szCs w:val="28"/>
        </w:rPr>
        <w:t>.</w:t>
      </w:r>
    </w:p>
    <w:p w14:paraId="1F8B365B" w14:textId="77777777" w:rsidR="009631D5" w:rsidRDefault="009631D5" w:rsidP="0028420B">
      <w:pPr>
        <w:pStyle w:val="ListParagraph"/>
        <w:ind w:left="0"/>
        <w:jc w:val="both"/>
        <w:rPr>
          <w:rFonts w:ascii="Arial" w:hAnsi="Arial" w:cs="Arial"/>
          <w:sz w:val="28"/>
          <w:szCs w:val="28"/>
        </w:rPr>
      </w:pPr>
      <w:r>
        <w:rPr>
          <w:rFonts w:ascii="Arial" w:hAnsi="Arial" w:cs="Arial"/>
          <w:sz w:val="28"/>
          <w:szCs w:val="28"/>
        </w:rPr>
        <w:t xml:space="preserve"> </w:t>
      </w:r>
    </w:p>
    <w:p w14:paraId="3AB0F91B" w14:textId="2CB75FE8" w:rsidR="00516E7D" w:rsidRPr="00516E7D" w:rsidRDefault="009631D5" w:rsidP="0028420B">
      <w:pPr>
        <w:pStyle w:val="ListParagraph"/>
        <w:numPr>
          <w:ilvl w:val="0"/>
          <w:numId w:val="3"/>
        </w:numPr>
        <w:ind w:left="0" w:firstLine="0"/>
        <w:jc w:val="both"/>
        <w:rPr>
          <w:rFonts w:ascii="Arial" w:hAnsi="Arial" w:cs="Arial"/>
          <w:sz w:val="28"/>
          <w:szCs w:val="28"/>
        </w:rPr>
      </w:pPr>
      <w:r>
        <w:rPr>
          <w:rFonts w:ascii="Arial" w:hAnsi="Arial" w:cs="Arial"/>
          <w:sz w:val="28"/>
          <w:szCs w:val="28"/>
        </w:rPr>
        <w:t xml:space="preserve">In this submission, I briefly describe the specific intersection of grounds of discrimination and the extreme forms </w:t>
      </w:r>
      <w:r w:rsidR="00945EEB">
        <w:rPr>
          <w:rFonts w:ascii="Arial" w:hAnsi="Arial" w:cs="Arial"/>
          <w:sz w:val="28"/>
          <w:szCs w:val="28"/>
        </w:rPr>
        <w:t>of discrimination</w:t>
      </w:r>
      <w:r w:rsidR="0068667E">
        <w:rPr>
          <w:rFonts w:ascii="Arial" w:hAnsi="Arial" w:cs="Arial"/>
          <w:sz w:val="28"/>
          <w:szCs w:val="28"/>
        </w:rPr>
        <w:t xml:space="preserve"> against persons with albinism</w:t>
      </w:r>
      <w:r w:rsidR="00945EEB">
        <w:rPr>
          <w:rFonts w:ascii="Arial" w:hAnsi="Arial" w:cs="Arial"/>
          <w:sz w:val="28"/>
          <w:szCs w:val="28"/>
        </w:rPr>
        <w:t xml:space="preserve">, in particular </w:t>
      </w:r>
      <w:r>
        <w:rPr>
          <w:rFonts w:ascii="Arial" w:hAnsi="Arial" w:cs="Arial"/>
          <w:sz w:val="28"/>
          <w:szCs w:val="28"/>
        </w:rPr>
        <w:t>ritual killings</w:t>
      </w:r>
      <w:r w:rsidR="002B43C4">
        <w:rPr>
          <w:rFonts w:ascii="Arial" w:hAnsi="Arial" w:cs="Arial"/>
          <w:sz w:val="28"/>
          <w:szCs w:val="28"/>
        </w:rPr>
        <w:t>.</w:t>
      </w:r>
      <w:r>
        <w:rPr>
          <w:rFonts w:ascii="Arial" w:hAnsi="Arial" w:cs="Arial"/>
          <w:sz w:val="28"/>
          <w:szCs w:val="28"/>
        </w:rPr>
        <w:t xml:space="preserve"> </w:t>
      </w:r>
      <w:r w:rsidR="00B82720">
        <w:rPr>
          <w:rFonts w:ascii="Arial" w:hAnsi="Arial" w:cs="Arial"/>
          <w:sz w:val="28"/>
          <w:szCs w:val="28"/>
        </w:rPr>
        <w:t>Next, I submit</w:t>
      </w:r>
      <w:r w:rsidR="00945EEB">
        <w:rPr>
          <w:rFonts w:ascii="Arial" w:hAnsi="Arial" w:cs="Arial"/>
          <w:sz w:val="28"/>
          <w:szCs w:val="28"/>
        </w:rPr>
        <w:t xml:space="preserve"> </w:t>
      </w:r>
      <w:r w:rsidR="0068667E">
        <w:rPr>
          <w:rFonts w:ascii="Arial" w:hAnsi="Arial" w:cs="Arial"/>
          <w:sz w:val="28"/>
          <w:szCs w:val="28"/>
        </w:rPr>
        <w:t xml:space="preserve">a </w:t>
      </w:r>
      <w:r w:rsidR="00945EEB">
        <w:rPr>
          <w:rFonts w:ascii="Arial" w:hAnsi="Arial" w:cs="Arial"/>
          <w:sz w:val="28"/>
          <w:szCs w:val="28"/>
        </w:rPr>
        <w:t xml:space="preserve">few reflections </w:t>
      </w:r>
      <w:r w:rsidR="0068667E">
        <w:rPr>
          <w:rFonts w:ascii="Arial" w:hAnsi="Arial" w:cs="Arial"/>
          <w:sz w:val="28"/>
          <w:szCs w:val="28"/>
        </w:rPr>
        <w:t xml:space="preserve">on the </w:t>
      </w:r>
      <w:r w:rsidR="00945EEB">
        <w:rPr>
          <w:rFonts w:ascii="Arial" w:hAnsi="Arial" w:cs="Arial"/>
          <w:sz w:val="28"/>
          <w:szCs w:val="28"/>
        </w:rPr>
        <w:t xml:space="preserve">draft General </w:t>
      </w:r>
      <w:r w:rsidR="0046224F">
        <w:rPr>
          <w:rFonts w:ascii="Arial" w:hAnsi="Arial" w:cs="Arial"/>
          <w:sz w:val="28"/>
          <w:szCs w:val="28"/>
        </w:rPr>
        <w:t>C</w:t>
      </w:r>
      <w:r w:rsidR="00945EEB">
        <w:rPr>
          <w:rFonts w:ascii="Arial" w:hAnsi="Arial" w:cs="Arial"/>
          <w:sz w:val="28"/>
          <w:szCs w:val="28"/>
        </w:rPr>
        <w:t>omment.</w:t>
      </w:r>
      <w:r>
        <w:rPr>
          <w:rFonts w:ascii="Arial" w:hAnsi="Arial" w:cs="Arial"/>
          <w:sz w:val="28"/>
          <w:szCs w:val="28"/>
        </w:rPr>
        <w:t xml:space="preserve"> </w:t>
      </w:r>
      <w:r w:rsidR="005E263E">
        <w:rPr>
          <w:rFonts w:ascii="Arial" w:hAnsi="Arial" w:cs="Arial"/>
          <w:sz w:val="28"/>
          <w:szCs w:val="28"/>
        </w:rPr>
        <w:t>Finally,</w:t>
      </w:r>
      <w:r>
        <w:rPr>
          <w:rFonts w:ascii="Arial" w:hAnsi="Arial" w:cs="Arial"/>
          <w:sz w:val="28"/>
          <w:szCs w:val="28"/>
        </w:rPr>
        <w:t xml:space="preserve"> I conclude with</w:t>
      </w:r>
      <w:r w:rsidR="0046224F">
        <w:rPr>
          <w:rFonts w:ascii="Arial" w:hAnsi="Arial" w:cs="Arial"/>
          <w:sz w:val="28"/>
          <w:szCs w:val="28"/>
        </w:rPr>
        <w:t xml:space="preserve"> a</w:t>
      </w:r>
      <w:r>
        <w:rPr>
          <w:rFonts w:ascii="Arial" w:hAnsi="Arial" w:cs="Arial"/>
          <w:sz w:val="28"/>
          <w:szCs w:val="28"/>
        </w:rPr>
        <w:t xml:space="preserve"> brief reflections and </w:t>
      </w:r>
      <w:r w:rsidR="0068667E">
        <w:rPr>
          <w:rFonts w:ascii="Arial" w:hAnsi="Arial" w:cs="Arial"/>
          <w:sz w:val="28"/>
          <w:szCs w:val="28"/>
        </w:rPr>
        <w:t xml:space="preserve">drafting </w:t>
      </w:r>
      <w:r>
        <w:rPr>
          <w:rFonts w:ascii="Arial" w:hAnsi="Arial" w:cs="Arial"/>
          <w:sz w:val="28"/>
          <w:szCs w:val="28"/>
        </w:rPr>
        <w:t xml:space="preserve">suggestions. </w:t>
      </w:r>
    </w:p>
    <w:p w14:paraId="3251558E" w14:textId="77777777" w:rsidR="008119D5" w:rsidRDefault="008119D5" w:rsidP="0028420B">
      <w:pPr>
        <w:pStyle w:val="ListParagraph"/>
        <w:ind w:left="0"/>
        <w:jc w:val="both"/>
        <w:rPr>
          <w:rFonts w:ascii="Arial" w:hAnsi="Arial" w:cs="Arial"/>
          <w:sz w:val="28"/>
          <w:szCs w:val="28"/>
        </w:rPr>
      </w:pPr>
    </w:p>
    <w:p w14:paraId="754BECC5" w14:textId="77777777" w:rsidR="00516E7D" w:rsidRPr="00516E7D" w:rsidRDefault="00516E7D" w:rsidP="0028420B">
      <w:pPr>
        <w:pStyle w:val="ListParagraph"/>
        <w:numPr>
          <w:ilvl w:val="0"/>
          <w:numId w:val="4"/>
        </w:numPr>
        <w:jc w:val="both"/>
        <w:rPr>
          <w:rFonts w:ascii="Arial" w:hAnsi="Arial" w:cs="Arial"/>
          <w:b/>
          <w:sz w:val="28"/>
          <w:szCs w:val="28"/>
        </w:rPr>
      </w:pPr>
      <w:r w:rsidRPr="00516E7D">
        <w:rPr>
          <w:rFonts w:ascii="Arial" w:hAnsi="Arial" w:cs="Arial"/>
          <w:b/>
          <w:sz w:val="28"/>
          <w:szCs w:val="28"/>
        </w:rPr>
        <w:t>Introduction</w:t>
      </w:r>
    </w:p>
    <w:p w14:paraId="7CC726A4" w14:textId="77777777" w:rsidR="00516E7D" w:rsidRPr="008119D5" w:rsidRDefault="00516E7D" w:rsidP="0028420B">
      <w:pPr>
        <w:pStyle w:val="ListParagraph"/>
        <w:ind w:left="0"/>
        <w:jc w:val="both"/>
        <w:rPr>
          <w:rFonts w:ascii="Arial" w:hAnsi="Arial" w:cs="Arial"/>
          <w:sz w:val="28"/>
          <w:szCs w:val="28"/>
        </w:rPr>
      </w:pPr>
    </w:p>
    <w:p w14:paraId="7F226320" w14:textId="303C260F" w:rsidR="008119D5" w:rsidRPr="008119D5" w:rsidRDefault="00B82720" w:rsidP="0028420B">
      <w:pPr>
        <w:pStyle w:val="ListParagraph"/>
        <w:numPr>
          <w:ilvl w:val="0"/>
          <w:numId w:val="3"/>
        </w:numPr>
        <w:ind w:left="0" w:firstLine="0"/>
        <w:jc w:val="both"/>
        <w:rPr>
          <w:rFonts w:ascii="Arial" w:hAnsi="Arial" w:cs="Arial"/>
          <w:sz w:val="28"/>
          <w:szCs w:val="28"/>
        </w:rPr>
      </w:pPr>
      <w:r>
        <w:rPr>
          <w:rFonts w:ascii="Arial" w:hAnsi="Arial" w:cs="Arial"/>
          <w:sz w:val="28"/>
          <w:szCs w:val="28"/>
        </w:rPr>
        <w:t xml:space="preserve">First, let me </w:t>
      </w:r>
      <w:r w:rsidR="002B43C4">
        <w:rPr>
          <w:rFonts w:ascii="Arial" w:hAnsi="Arial" w:cs="Arial"/>
          <w:sz w:val="28"/>
          <w:szCs w:val="28"/>
        </w:rPr>
        <w:t xml:space="preserve">acknowledge the work undertaken by the Committee </w:t>
      </w:r>
      <w:r w:rsidR="0068667E">
        <w:rPr>
          <w:rFonts w:ascii="Arial" w:hAnsi="Arial" w:cs="Arial"/>
          <w:sz w:val="28"/>
          <w:szCs w:val="28"/>
        </w:rPr>
        <w:t>in recent years. Since 2009, the C</w:t>
      </w:r>
      <w:r w:rsidR="000233DE" w:rsidRPr="008119D5">
        <w:rPr>
          <w:rFonts w:ascii="Arial" w:hAnsi="Arial" w:cs="Arial"/>
          <w:sz w:val="28"/>
          <w:szCs w:val="28"/>
        </w:rPr>
        <w:t xml:space="preserve">ommittee has addressed the situation of persons with albinism </w:t>
      </w:r>
      <w:r w:rsidR="00B422B4" w:rsidRPr="008119D5">
        <w:rPr>
          <w:rFonts w:ascii="Arial" w:hAnsi="Arial" w:cs="Arial"/>
          <w:sz w:val="28"/>
          <w:szCs w:val="28"/>
        </w:rPr>
        <w:t xml:space="preserve">under the provisions of the Covenant, in particular </w:t>
      </w:r>
      <w:r w:rsidR="00B422B4" w:rsidRPr="008119D5">
        <w:rPr>
          <w:rFonts w:ascii="Arial" w:hAnsi="Arial" w:cs="Arial"/>
          <w:sz w:val="28"/>
          <w:szCs w:val="28"/>
        </w:rPr>
        <w:lastRenderedPageBreak/>
        <w:t>articles 2 (equality and non-discrimination), 6 (right to life), 7 (freedom from torture) and 26 (Equality before the law).</w:t>
      </w:r>
    </w:p>
    <w:p w14:paraId="6541C513" w14:textId="77777777" w:rsidR="008119D5" w:rsidRPr="008119D5" w:rsidRDefault="008119D5" w:rsidP="0028420B">
      <w:pPr>
        <w:pStyle w:val="ListParagraph"/>
        <w:rPr>
          <w:rFonts w:ascii="Arial" w:hAnsi="Arial" w:cs="Arial"/>
          <w:sz w:val="28"/>
          <w:szCs w:val="28"/>
        </w:rPr>
      </w:pPr>
    </w:p>
    <w:p w14:paraId="27324CE2" w14:textId="0E8CCD4B" w:rsidR="008119D5" w:rsidRDefault="00B422B4" w:rsidP="0028420B">
      <w:pPr>
        <w:pStyle w:val="ListParagraph"/>
        <w:numPr>
          <w:ilvl w:val="0"/>
          <w:numId w:val="3"/>
        </w:numPr>
        <w:ind w:left="0" w:firstLine="0"/>
        <w:jc w:val="both"/>
        <w:rPr>
          <w:rFonts w:ascii="Arial" w:hAnsi="Arial" w:cs="Arial"/>
          <w:sz w:val="28"/>
          <w:szCs w:val="28"/>
        </w:rPr>
      </w:pPr>
      <w:r w:rsidRPr="008119D5">
        <w:rPr>
          <w:rFonts w:ascii="Arial" w:hAnsi="Arial" w:cs="Arial"/>
          <w:sz w:val="28"/>
          <w:szCs w:val="28"/>
        </w:rPr>
        <w:t>The Committee has recognized the stigmatization</w:t>
      </w:r>
      <w:r w:rsidR="008119D5">
        <w:rPr>
          <w:rFonts w:ascii="Arial" w:hAnsi="Arial" w:cs="Arial"/>
          <w:sz w:val="28"/>
          <w:szCs w:val="28"/>
        </w:rPr>
        <w:t>, negative stereotyping</w:t>
      </w:r>
      <w:r w:rsidRPr="008119D5">
        <w:rPr>
          <w:rFonts w:ascii="Arial" w:hAnsi="Arial" w:cs="Arial"/>
          <w:sz w:val="28"/>
          <w:szCs w:val="28"/>
        </w:rPr>
        <w:t xml:space="preserve"> and discrimination against persons with albinism in various African countries</w:t>
      </w:r>
      <w:r w:rsidR="00B82720">
        <w:rPr>
          <w:rFonts w:ascii="Arial" w:hAnsi="Arial" w:cs="Arial"/>
          <w:sz w:val="28"/>
          <w:szCs w:val="28"/>
        </w:rPr>
        <w:t>:</w:t>
      </w:r>
      <w:r w:rsidRPr="008119D5">
        <w:rPr>
          <w:rFonts w:ascii="Arial" w:hAnsi="Arial" w:cs="Arial"/>
          <w:sz w:val="28"/>
          <w:szCs w:val="28"/>
        </w:rPr>
        <w:t xml:space="preserve"> Ghana and Ivory Coast in 2016, Burundi and Malawi in 2014, Kenya in 2012 and the United Republic of Tanzania in 2009</w:t>
      </w:r>
      <w:r w:rsidRPr="008119D5">
        <w:rPr>
          <w:rStyle w:val="FootnoteReference"/>
          <w:rFonts w:ascii="Arial" w:hAnsi="Arial" w:cs="Arial"/>
          <w:sz w:val="28"/>
          <w:szCs w:val="28"/>
        </w:rPr>
        <w:footnoteReference w:id="1"/>
      </w:r>
      <w:r w:rsidRPr="008119D5">
        <w:rPr>
          <w:rFonts w:ascii="Arial" w:hAnsi="Arial" w:cs="Arial"/>
          <w:sz w:val="28"/>
          <w:szCs w:val="28"/>
        </w:rPr>
        <w:t xml:space="preserve">. </w:t>
      </w:r>
    </w:p>
    <w:p w14:paraId="4FBC51EB" w14:textId="77777777" w:rsidR="008119D5" w:rsidRPr="008119D5" w:rsidRDefault="008119D5" w:rsidP="0028420B">
      <w:pPr>
        <w:pStyle w:val="ListParagraph"/>
        <w:rPr>
          <w:rFonts w:ascii="Arial" w:hAnsi="Arial" w:cs="Arial"/>
          <w:sz w:val="28"/>
          <w:szCs w:val="28"/>
        </w:rPr>
      </w:pPr>
    </w:p>
    <w:p w14:paraId="069F79B8" w14:textId="36D8E1B9" w:rsidR="00516E7D" w:rsidRPr="00516E7D" w:rsidRDefault="008119D5" w:rsidP="0028420B">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sidRPr="00516E7D">
        <w:rPr>
          <w:rFonts w:ascii="Arial" w:hAnsi="Arial" w:cs="Arial"/>
          <w:sz w:val="28"/>
          <w:szCs w:val="28"/>
        </w:rPr>
        <w:t xml:space="preserve">In the case of Burundi, the Committee specifically expressed concern regarding the threats to and attacks on the physical integrity of persons with albinism and recommended </w:t>
      </w:r>
      <w:r w:rsidR="00B82720">
        <w:rPr>
          <w:rFonts w:ascii="Arial" w:hAnsi="Arial" w:cs="Arial"/>
          <w:sz w:val="28"/>
          <w:szCs w:val="28"/>
        </w:rPr>
        <w:t xml:space="preserve">that the State party </w:t>
      </w:r>
      <w:r w:rsidRPr="00516E7D">
        <w:rPr>
          <w:rFonts w:ascii="Arial" w:hAnsi="Arial" w:cs="Arial"/>
          <w:sz w:val="28"/>
          <w:szCs w:val="28"/>
        </w:rPr>
        <w:t>“continue its efforts to protect persons with albinism against all forms of discrimination, including attacks on their physical integrity</w:t>
      </w:r>
      <w:r w:rsidR="00271372" w:rsidRPr="00516E7D">
        <w:rPr>
          <w:rFonts w:ascii="Arial" w:hAnsi="Arial" w:cs="Arial"/>
          <w:sz w:val="28"/>
          <w:szCs w:val="28"/>
        </w:rPr>
        <w:t>”</w:t>
      </w:r>
      <w:r w:rsidR="00271372">
        <w:rPr>
          <w:rStyle w:val="FootnoteReference"/>
          <w:rFonts w:ascii="Arial" w:hAnsi="Arial" w:cs="Arial"/>
          <w:sz w:val="28"/>
          <w:szCs w:val="28"/>
        </w:rPr>
        <w:footnoteReference w:id="2"/>
      </w:r>
      <w:r w:rsidR="00271372" w:rsidRPr="00516E7D">
        <w:rPr>
          <w:rFonts w:ascii="Arial" w:hAnsi="Arial" w:cs="Arial"/>
          <w:sz w:val="28"/>
          <w:szCs w:val="28"/>
        </w:rPr>
        <w:t xml:space="preserve">. </w:t>
      </w:r>
    </w:p>
    <w:p w14:paraId="2F0D370D" w14:textId="77777777" w:rsidR="00516E7D" w:rsidRPr="00516E7D" w:rsidRDefault="00516E7D" w:rsidP="0028420B">
      <w:pPr>
        <w:pStyle w:val="ListParagraph"/>
        <w:rPr>
          <w:rFonts w:ascii="Arial" w:hAnsi="Arial" w:cs="Arial"/>
          <w:sz w:val="28"/>
          <w:szCs w:val="28"/>
        </w:rPr>
      </w:pPr>
    </w:p>
    <w:p w14:paraId="2905B1D6" w14:textId="6A7B791B" w:rsidR="00516E7D" w:rsidRDefault="0046224F" w:rsidP="0028420B">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Pr>
          <w:rFonts w:ascii="Arial" w:hAnsi="Arial" w:cs="Arial"/>
          <w:sz w:val="28"/>
          <w:szCs w:val="28"/>
        </w:rPr>
        <w:t>However, it was</w:t>
      </w:r>
      <w:r w:rsidR="00271372" w:rsidRPr="00516E7D">
        <w:rPr>
          <w:rFonts w:ascii="Arial" w:hAnsi="Arial" w:cs="Arial"/>
          <w:sz w:val="28"/>
          <w:szCs w:val="28"/>
        </w:rPr>
        <w:t xml:space="preserve"> </w:t>
      </w:r>
      <w:r>
        <w:rPr>
          <w:rFonts w:ascii="Arial" w:hAnsi="Arial" w:cs="Arial"/>
          <w:sz w:val="28"/>
          <w:szCs w:val="28"/>
        </w:rPr>
        <w:t xml:space="preserve">during the </w:t>
      </w:r>
      <w:r w:rsidR="00271372" w:rsidRPr="00516E7D">
        <w:rPr>
          <w:rFonts w:ascii="Arial" w:hAnsi="Arial" w:cs="Arial"/>
          <w:sz w:val="28"/>
          <w:szCs w:val="28"/>
        </w:rPr>
        <w:t xml:space="preserve">review of Kenya and Tanzania that </w:t>
      </w:r>
      <w:r w:rsidR="00516E7D">
        <w:rPr>
          <w:rFonts w:ascii="Arial" w:hAnsi="Arial" w:cs="Arial"/>
          <w:sz w:val="28"/>
          <w:szCs w:val="28"/>
        </w:rPr>
        <w:t xml:space="preserve">the </w:t>
      </w:r>
      <w:r w:rsidR="00271372" w:rsidRPr="00516E7D">
        <w:rPr>
          <w:rFonts w:ascii="Arial" w:hAnsi="Arial" w:cs="Arial"/>
          <w:sz w:val="28"/>
          <w:szCs w:val="28"/>
        </w:rPr>
        <w:t>Committee expressed concern for the situation of persons with albinism under article 6. In the case of Kenya, the Committee stressed its concern regarding “continui</w:t>
      </w:r>
      <w:r w:rsidR="00516E7D" w:rsidRPr="00516E7D">
        <w:rPr>
          <w:rFonts w:ascii="Arial" w:hAnsi="Arial" w:cs="Arial"/>
          <w:sz w:val="28"/>
          <w:szCs w:val="28"/>
        </w:rPr>
        <w:t>ng reports of trafficking in per</w:t>
      </w:r>
      <w:r w:rsidR="00271372" w:rsidRPr="00516E7D">
        <w:rPr>
          <w:rFonts w:ascii="Arial" w:hAnsi="Arial" w:cs="Arial"/>
          <w:sz w:val="28"/>
          <w:szCs w:val="28"/>
        </w:rPr>
        <w:t>sons for labour, sexual exploitation and for body parts, particularly of people with albinism” while, in the case of Tanzania</w:t>
      </w:r>
      <w:r w:rsidR="00516E7D" w:rsidRPr="00516E7D">
        <w:rPr>
          <w:rFonts w:ascii="Arial" w:hAnsi="Arial" w:cs="Arial"/>
          <w:sz w:val="28"/>
          <w:szCs w:val="28"/>
        </w:rPr>
        <w:t xml:space="preserve">, </w:t>
      </w:r>
      <w:r w:rsidR="0068667E">
        <w:rPr>
          <w:rFonts w:ascii="Arial" w:hAnsi="Arial" w:cs="Arial"/>
          <w:sz w:val="28"/>
          <w:szCs w:val="28"/>
        </w:rPr>
        <w:t xml:space="preserve">the </w:t>
      </w:r>
      <w:r w:rsidR="00516E7D" w:rsidRPr="00516E7D">
        <w:rPr>
          <w:rFonts w:ascii="Arial" w:hAnsi="Arial" w:cs="Arial"/>
          <w:sz w:val="28"/>
          <w:szCs w:val="28"/>
        </w:rPr>
        <w:t>Committee adopted a recommendation tack</w:t>
      </w:r>
      <w:r w:rsidR="0068667E">
        <w:rPr>
          <w:rFonts w:ascii="Arial" w:hAnsi="Arial" w:cs="Arial"/>
          <w:sz w:val="28"/>
          <w:szCs w:val="28"/>
        </w:rPr>
        <w:t>l</w:t>
      </w:r>
      <w:r w:rsidR="00516E7D" w:rsidRPr="00516E7D">
        <w:rPr>
          <w:rFonts w:ascii="Arial" w:hAnsi="Arial" w:cs="Arial"/>
          <w:sz w:val="28"/>
          <w:szCs w:val="28"/>
        </w:rPr>
        <w:t>ing the issue of attacks and killings of persons with albinism: “</w:t>
      </w:r>
      <w:r w:rsidR="00516E7D" w:rsidRPr="00516E7D">
        <w:rPr>
          <w:rFonts w:ascii="Arial" w:hAnsi="Arial" w:cs="Arial"/>
          <w:bCs/>
          <w:sz w:val="28"/>
          <w:szCs w:val="28"/>
          <w:lang w:val="en-US"/>
        </w:rPr>
        <w:t>The State party should, as a matter of urgency, strengthen its efforts to put a halt to incidents of mutilation and killings of persons with albinism, and to ensure the timely and efficient conduct of investigations and prosecution of the perpetrators. It should also strengthen its public awareness-raising campaign with a view to preventing future attacks”</w:t>
      </w:r>
      <w:r w:rsidR="00516E7D" w:rsidRPr="00516E7D">
        <w:rPr>
          <w:rStyle w:val="FootnoteReference"/>
          <w:rFonts w:ascii="Arial" w:hAnsi="Arial" w:cs="Arial"/>
          <w:bCs/>
          <w:sz w:val="28"/>
          <w:szCs w:val="28"/>
          <w:lang w:val="en-US"/>
        </w:rPr>
        <w:footnoteReference w:id="3"/>
      </w:r>
      <w:r w:rsidR="00516E7D" w:rsidRPr="00516E7D">
        <w:rPr>
          <w:rFonts w:ascii="Arial" w:hAnsi="Arial" w:cs="Arial"/>
          <w:bCs/>
          <w:sz w:val="28"/>
          <w:szCs w:val="28"/>
          <w:lang w:val="en-US"/>
        </w:rPr>
        <w:t>.</w:t>
      </w:r>
    </w:p>
    <w:p w14:paraId="5A84167D" w14:textId="77777777" w:rsidR="001C4B91" w:rsidRPr="001C4B91" w:rsidRDefault="001C4B91" w:rsidP="0028420B">
      <w:pPr>
        <w:pStyle w:val="ListParagraph"/>
        <w:rPr>
          <w:rFonts w:ascii="Arial" w:hAnsi="Arial" w:cs="Arial"/>
          <w:bCs/>
          <w:sz w:val="28"/>
          <w:szCs w:val="28"/>
          <w:lang w:val="en-US"/>
        </w:rPr>
      </w:pPr>
    </w:p>
    <w:p w14:paraId="185F98A6" w14:textId="7E319117" w:rsidR="001C4B91" w:rsidRDefault="001C4B91" w:rsidP="0028420B">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Pr>
          <w:rFonts w:ascii="Arial" w:hAnsi="Arial" w:cs="Arial"/>
          <w:bCs/>
          <w:sz w:val="28"/>
          <w:szCs w:val="28"/>
          <w:lang w:val="en-US"/>
        </w:rPr>
        <w:t xml:space="preserve">Relevant to the enjoyment of the right to life, the Committee  also recommended to </w:t>
      </w:r>
      <w:r w:rsidR="0068667E">
        <w:rPr>
          <w:rFonts w:ascii="Arial" w:hAnsi="Arial" w:cs="Arial"/>
          <w:bCs/>
          <w:sz w:val="28"/>
          <w:szCs w:val="28"/>
          <w:lang w:val="en-US"/>
        </w:rPr>
        <w:t>Ghana in 2016 t</w:t>
      </w:r>
      <w:r w:rsidR="0046224F">
        <w:rPr>
          <w:rFonts w:ascii="Arial" w:hAnsi="Arial" w:cs="Arial"/>
          <w:bCs/>
          <w:sz w:val="28"/>
          <w:szCs w:val="28"/>
          <w:lang w:val="en-US"/>
        </w:rPr>
        <w:t>hat it</w:t>
      </w:r>
      <w:r w:rsidR="0068667E">
        <w:rPr>
          <w:rFonts w:ascii="Arial" w:hAnsi="Arial" w:cs="Arial"/>
          <w:bCs/>
          <w:sz w:val="28"/>
          <w:szCs w:val="28"/>
          <w:lang w:val="en-US"/>
        </w:rPr>
        <w:t xml:space="preserve"> </w:t>
      </w:r>
      <w:r>
        <w:rPr>
          <w:rFonts w:ascii="Arial" w:hAnsi="Arial" w:cs="Arial"/>
          <w:bCs/>
          <w:sz w:val="28"/>
          <w:szCs w:val="28"/>
          <w:lang w:val="en-US"/>
        </w:rPr>
        <w:t xml:space="preserve">“ensure that persons with albinism are protected against discrimination and find lasting solutions that will give them access, without discrimination, to health care, social services, </w:t>
      </w:r>
      <w:r>
        <w:rPr>
          <w:rFonts w:ascii="Arial" w:hAnsi="Arial" w:cs="Arial"/>
          <w:bCs/>
          <w:sz w:val="28"/>
          <w:szCs w:val="28"/>
          <w:lang w:val="en-US"/>
        </w:rPr>
        <w:lastRenderedPageBreak/>
        <w:t>employment and education”</w:t>
      </w:r>
      <w:r w:rsidR="0068667E">
        <w:rPr>
          <w:rStyle w:val="FootnoteReference"/>
          <w:rFonts w:ascii="Arial" w:hAnsi="Arial" w:cs="Arial"/>
          <w:bCs/>
          <w:sz w:val="28"/>
          <w:szCs w:val="28"/>
          <w:lang w:val="en-US"/>
        </w:rPr>
        <w:footnoteReference w:id="4"/>
      </w:r>
      <w:r w:rsidR="0068667E">
        <w:rPr>
          <w:rFonts w:ascii="Arial" w:hAnsi="Arial" w:cs="Arial"/>
          <w:bCs/>
          <w:sz w:val="28"/>
          <w:szCs w:val="28"/>
          <w:lang w:val="en-US"/>
        </w:rPr>
        <w:t xml:space="preserve">. </w:t>
      </w:r>
      <w:r>
        <w:rPr>
          <w:rFonts w:ascii="Arial" w:hAnsi="Arial" w:cs="Arial"/>
          <w:bCs/>
          <w:sz w:val="28"/>
          <w:szCs w:val="28"/>
          <w:lang w:val="en-US"/>
        </w:rPr>
        <w:t xml:space="preserve">Similar recommendation has been made to Burundi and Malawi. </w:t>
      </w:r>
    </w:p>
    <w:p w14:paraId="266FC69D" w14:textId="77777777" w:rsidR="001C4B91" w:rsidRPr="001C4B91" w:rsidRDefault="001C4B91" w:rsidP="0028420B">
      <w:pPr>
        <w:pStyle w:val="ListParagraph"/>
        <w:rPr>
          <w:rFonts w:ascii="Arial" w:hAnsi="Arial" w:cs="Arial"/>
          <w:bCs/>
          <w:sz w:val="28"/>
          <w:szCs w:val="28"/>
          <w:lang w:val="en-US"/>
        </w:rPr>
      </w:pPr>
    </w:p>
    <w:p w14:paraId="29233241" w14:textId="3819B218" w:rsidR="001C4B91" w:rsidRDefault="001C4B91" w:rsidP="0028420B">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Pr>
          <w:rFonts w:ascii="Arial" w:hAnsi="Arial" w:cs="Arial"/>
          <w:bCs/>
          <w:sz w:val="28"/>
          <w:szCs w:val="28"/>
          <w:lang w:val="en-US"/>
        </w:rPr>
        <w:t xml:space="preserve">These recommendations on issues pertaining to economic, social and cultural rights are of high relevance for persons with albinism. The stigmatization and discrimination represent barriers in accessing health care, social services, employment and education that </w:t>
      </w:r>
      <w:r w:rsidR="0068667E">
        <w:rPr>
          <w:rFonts w:ascii="Arial" w:hAnsi="Arial" w:cs="Arial"/>
          <w:bCs/>
          <w:sz w:val="28"/>
          <w:szCs w:val="28"/>
          <w:lang w:val="en-US"/>
        </w:rPr>
        <w:t>cause</w:t>
      </w:r>
      <w:r>
        <w:rPr>
          <w:rFonts w:ascii="Arial" w:hAnsi="Arial" w:cs="Arial"/>
          <w:bCs/>
          <w:sz w:val="28"/>
          <w:szCs w:val="28"/>
          <w:lang w:val="en-US"/>
        </w:rPr>
        <w:t xml:space="preserve"> reduced life expectancy. </w:t>
      </w:r>
    </w:p>
    <w:p w14:paraId="464BAA73" w14:textId="77777777" w:rsidR="001C4B91" w:rsidRPr="001C4B91" w:rsidRDefault="001C4B91" w:rsidP="0028420B">
      <w:pPr>
        <w:pStyle w:val="ListParagraph"/>
        <w:rPr>
          <w:rFonts w:ascii="Times New Roman" w:hAnsi="Times New Roman" w:cs="Times New Roman"/>
          <w:sz w:val="24"/>
          <w:szCs w:val="24"/>
        </w:rPr>
      </w:pPr>
    </w:p>
    <w:p w14:paraId="52E2749E" w14:textId="29849D8A" w:rsidR="002B43C4" w:rsidRPr="00DF4340" w:rsidRDefault="0068667E" w:rsidP="00DF4340">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Pr>
          <w:rFonts w:ascii="Arial" w:hAnsi="Arial" w:cs="Arial"/>
          <w:sz w:val="28"/>
          <w:szCs w:val="28"/>
        </w:rPr>
        <w:t>More specifically and</w:t>
      </w:r>
      <w:r w:rsidR="001C4B91" w:rsidRPr="001C4B91">
        <w:rPr>
          <w:rFonts w:ascii="Arial" w:hAnsi="Arial" w:cs="Arial"/>
          <w:sz w:val="28"/>
          <w:szCs w:val="28"/>
        </w:rPr>
        <w:t xml:space="preserve"> in all regions, the right to life </w:t>
      </w:r>
      <w:r>
        <w:rPr>
          <w:rFonts w:ascii="Arial" w:hAnsi="Arial" w:cs="Arial"/>
          <w:sz w:val="28"/>
          <w:szCs w:val="28"/>
        </w:rPr>
        <w:t>of persons with albinism is</w:t>
      </w:r>
      <w:r w:rsidR="001C4B91" w:rsidRPr="001C4B91">
        <w:rPr>
          <w:rFonts w:ascii="Arial" w:hAnsi="Arial" w:cs="Arial"/>
          <w:sz w:val="28"/>
          <w:szCs w:val="28"/>
        </w:rPr>
        <w:t xml:space="preserve"> threatened by the lack of awareness and adequate measures regarding their vulnerability to skin cancer </w:t>
      </w:r>
      <w:r w:rsidR="0046224F">
        <w:rPr>
          <w:rFonts w:ascii="Arial" w:hAnsi="Arial" w:cs="Arial"/>
          <w:sz w:val="28"/>
          <w:szCs w:val="28"/>
        </w:rPr>
        <w:t xml:space="preserve"> which causes a</w:t>
      </w:r>
      <w:r w:rsidR="001C4B91" w:rsidRPr="001C4B91">
        <w:rPr>
          <w:rFonts w:ascii="Arial" w:hAnsi="Arial" w:cs="Arial"/>
          <w:sz w:val="28"/>
          <w:szCs w:val="28"/>
        </w:rPr>
        <w:t xml:space="preserve"> shortened life-expectancy</w:t>
      </w:r>
      <w:r w:rsidR="005E263E">
        <w:rPr>
          <w:rFonts w:ascii="Arial" w:hAnsi="Arial" w:cs="Arial"/>
          <w:sz w:val="28"/>
          <w:szCs w:val="28"/>
        </w:rPr>
        <w:t xml:space="preserve"> whereby only 2% live beyond the age of 40 in several countries – most succumbing to this preventable disease</w:t>
      </w:r>
      <w:r w:rsidR="001C4B91" w:rsidRPr="001C4B91">
        <w:rPr>
          <w:rFonts w:ascii="Arial" w:hAnsi="Arial" w:cs="Arial"/>
          <w:sz w:val="28"/>
          <w:szCs w:val="28"/>
        </w:rPr>
        <w:t>. Reduced life-expectancy may also be due to other factors such as the lack of reasonable accommodation regarding vision impairment which impairs employability and forces outdoor work which in turn catalyses skin cancer and early death. Other factors leading to reduced life-expectancy include induced isolation due to stigmatization and discrimination and the related vulnerability to attack, barriers in accessing health services and reduced opportunities for adequate living conditions.</w:t>
      </w:r>
    </w:p>
    <w:p w14:paraId="12A966B2" w14:textId="77777777" w:rsidR="00DF4340" w:rsidRPr="00DF4340" w:rsidRDefault="00DF4340" w:rsidP="00DF4340">
      <w:pPr>
        <w:pStyle w:val="ListParagraph"/>
        <w:rPr>
          <w:rFonts w:ascii="Arial" w:hAnsi="Arial" w:cs="Arial"/>
          <w:bCs/>
          <w:sz w:val="28"/>
          <w:szCs w:val="28"/>
          <w:lang w:val="en-US"/>
        </w:rPr>
      </w:pPr>
    </w:p>
    <w:p w14:paraId="5F9C850E" w14:textId="77777777" w:rsidR="00DF4340" w:rsidRPr="00DF4340" w:rsidRDefault="00DF4340" w:rsidP="00DF4340">
      <w:pPr>
        <w:pStyle w:val="ListParagraph"/>
        <w:autoSpaceDE w:val="0"/>
        <w:autoSpaceDN w:val="0"/>
        <w:adjustRightInd w:val="0"/>
        <w:spacing w:after="0"/>
        <w:ind w:left="0"/>
        <w:jc w:val="both"/>
        <w:rPr>
          <w:rFonts w:ascii="Arial" w:hAnsi="Arial" w:cs="Arial"/>
          <w:bCs/>
          <w:sz w:val="28"/>
          <w:szCs w:val="28"/>
          <w:lang w:val="en-US"/>
        </w:rPr>
      </w:pPr>
    </w:p>
    <w:p w14:paraId="31C5011F" w14:textId="7AC10B17" w:rsidR="00D21850" w:rsidRDefault="0015576F" w:rsidP="0028420B">
      <w:pPr>
        <w:pStyle w:val="ListParagraph"/>
        <w:numPr>
          <w:ilvl w:val="0"/>
          <w:numId w:val="4"/>
        </w:numPr>
        <w:autoSpaceDE w:val="0"/>
        <w:autoSpaceDN w:val="0"/>
        <w:adjustRightInd w:val="0"/>
        <w:spacing w:after="0"/>
        <w:jc w:val="both"/>
        <w:rPr>
          <w:rFonts w:ascii="Arial" w:hAnsi="Arial" w:cs="Arial"/>
          <w:b/>
          <w:bCs/>
          <w:sz w:val="28"/>
          <w:szCs w:val="28"/>
          <w:lang w:val="en-US"/>
        </w:rPr>
      </w:pPr>
      <w:r>
        <w:rPr>
          <w:rFonts w:ascii="Arial" w:hAnsi="Arial" w:cs="Arial"/>
          <w:b/>
          <w:bCs/>
          <w:sz w:val="28"/>
          <w:szCs w:val="28"/>
          <w:lang w:val="en-US"/>
        </w:rPr>
        <w:t>Life-threatening fo</w:t>
      </w:r>
      <w:r w:rsidR="006C431C">
        <w:rPr>
          <w:rFonts w:ascii="Arial" w:hAnsi="Arial" w:cs="Arial"/>
          <w:b/>
          <w:bCs/>
          <w:sz w:val="28"/>
          <w:szCs w:val="28"/>
          <w:lang w:val="en-US"/>
        </w:rPr>
        <w:t>rms of discrimination: r</w:t>
      </w:r>
      <w:r w:rsidR="002B43C4" w:rsidRPr="002B43C4">
        <w:rPr>
          <w:rFonts w:ascii="Arial" w:hAnsi="Arial" w:cs="Arial"/>
          <w:b/>
          <w:bCs/>
          <w:sz w:val="28"/>
          <w:szCs w:val="28"/>
          <w:lang w:val="en-US"/>
        </w:rPr>
        <w:t>itual attacks, mutilations and trafficking of body parts</w:t>
      </w:r>
    </w:p>
    <w:p w14:paraId="5AD37826" w14:textId="77777777" w:rsidR="00DF4340" w:rsidRPr="00DF4340" w:rsidRDefault="00DF4340" w:rsidP="00DF4340">
      <w:pPr>
        <w:pStyle w:val="ListParagraph"/>
        <w:autoSpaceDE w:val="0"/>
        <w:autoSpaceDN w:val="0"/>
        <w:adjustRightInd w:val="0"/>
        <w:spacing w:after="0"/>
        <w:ind w:left="1080"/>
        <w:jc w:val="both"/>
        <w:rPr>
          <w:rFonts w:ascii="Arial" w:hAnsi="Arial" w:cs="Arial"/>
          <w:b/>
          <w:bCs/>
          <w:sz w:val="28"/>
          <w:szCs w:val="28"/>
          <w:lang w:val="en-US"/>
        </w:rPr>
      </w:pPr>
    </w:p>
    <w:p w14:paraId="6DC8BD27" w14:textId="77777777" w:rsidR="008B0217" w:rsidRDefault="00432E1F" w:rsidP="0028420B">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sidRPr="008B0217">
        <w:rPr>
          <w:rFonts w:ascii="Arial" w:hAnsi="Arial" w:cs="Arial"/>
          <w:bCs/>
          <w:sz w:val="28"/>
          <w:szCs w:val="28"/>
          <w:lang w:val="en-US"/>
        </w:rPr>
        <w:t xml:space="preserve">Persons with albinism experience stigmatization and discrimination </w:t>
      </w:r>
      <w:r w:rsidR="008B0217" w:rsidRPr="008B0217">
        <w:rPr>
          <w:rFonts w:ascii="Arial" w:hAnsi="Arial" w:cs="Arial"/>
          <w:bCs/>
          <w:sz w:val="28"/>
          <w:szCs w:val="28"/>
          <w:lang w:val="en-US"/>
        </w:rPr>
        <w:t>in every region</w:t>
      </w:r>
      <w:r w:rsidR="008B0217">
        <w:rPr>
          <w:rFonts w:ascii="Arial" w:hAnsi="Arial" w:cs="Arial"/>
          <w:bCs/>
          <w:sz w:val="28"/>
          <w:szCs w:val="28"/>
          <w:lang w:val="en-US"/>
        </w:rPr>
        <w:t xml:space="preserve"> of the world on the intersecting </w:t>
      </w:r>
      <w:r w:rsidR="0068667E">
        <w:rPr>
          <w:rFonts w:ascii="Arial" w:hAnsi="Arial" w:cs="Arial"/>
          <w:bCs/>
          <w:sz w:val="28"/>
          <w:szCs w:val="28"/>
          <w:lang w:val="en-US"/>
        </w:rPr>
        <w:t xml:space="preserve">prohibited </w:t>
      </w:r>
      <w:r w:rsidR="008B0217">
        <w:rPr>
          <w:rFonts w:ascii="Arial" w:hAnsi="Arial" w:cs="Arial"/>
          <w:bCs/>
          <w:sz w:val="28"/>
          <w:szCs w:val="28"/>
          <w:lang w:val="en-US"/>
        </w:rPr>
        <w:t xml:space="preserve">grounds of disability (visual impairment) and colour. In this regard, the Committee on the Elimination of Racial Discrimination has recognized that persons with albinism are discriminated against on the basis of their colour, albeit often being of the same race, descent, national and ethnic origin as those who persecute them. In this regard, discrimination against persons with albinism </w:t>
      </w:r>
      <w:r w:rsidR="008B0217">
        <w:rPr>
          <w:rFonts w:ascii="Arial" w:hAnsi="Arial" w:cs="Arial"/>
          <w:bCs/>
          <w:sz w:val="28"/>
          <w:szCs w:val="28"/>
          <w:lang w:val="en-US"/>
        </w:rPr>
        <w:lastRenderedPageBreak/>
        <w:t xml:space="preserve">is not entirely captured by the grounds of disability </w:t>
      </w:r>
      <w:r w:rsidR="006C431C">
        <w:rPr>
          <w:rFonts w:ascii="Arial" w:hAnsi="Arial" w:cs="Arial"/>
          <w:bCs/>
          <w:sz w:val="28"/>
          <w:szCs w:val="28"/>
          <w:lang w:val="en-US"/>
        </w:rPr>
        <w:t>or colour, but by the specific intersection of both</w:t>
      </w:r>
      <w:r w:rsidR="0068667E">
        <w:rPr>
          <w:rStyle w:val="FootnoteReference"/>
          <w:rFonts w:ascii="Arial" w:hAnsi="Arial" w:cs="Arial"/>
          <w:bCs/>
          <w:sz w:val="28"/>
          <w:szCs w:val="28"/>
          <w:lang w:val="en-US"/>
        </w:rPr>
        <w:footnoteReference w:id="5"/>
      </w:r>
      <w:r w:rsidR="006C431C">
        <w:rPr>
          <w:rFonts w:ascii="Arial" w:hAnsi="Arial" w:cs="Arial"/>
          <w:bCs/>
          <w:sz w:val="28"/>
          <w:szCs w:val="28"/>
          <w:lang w:val="en-US"/>
        </w:rPr>
        <w:t>.</w:t>
      </w:r>
    </w:p>
    <w:p w14:paraId="490D7887" w14:textId="77777777" w:rsidR="008B0217" w:rsidRDefault="008B0217" w:rsidP="0028420B">
      <w:pPr>
        <w:pStyle w:val="ListParagraph"/>
        <w:autoSpaceDE w:val="0"/>
        <w:autoSpaceDN w:val="0"/>
        <w:adjustRightInd w:val="0"/>
        <w:spacing w:after="0"/>
        <w:ind w:left="0"/>
        <w:jc w:val="both"/>
        <w:rPr>
          <w:rFonts w:ascii="Arial" w:hAnsi="Arial" w:cs="Arial"/>
          <w:bCs/>
          <w:sz w:val="28"/>
          <w:szCs w:val="28"/>
          <w:lang w:val="en-US"/>
        </w:rPr>
      </w:pPr>
    </w:p>
    <w:p w14:paraId="24D5BA85" w14:textId="3EBFEE86" w:rsidR="00432E1F" w:rsidRPr="00C9234D" w:rsidRDefault="008B0217" w:rsidP="0028420B">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sidRPr="00C9234D">
        <w:rPr>
          <w:rFonts w:ascii="Arial" w:hAnsi="Arial" w:cs="Arial"/>
          <w:bCs/>
          <w:sz w:val="28"/>
          <w:szCs w:val="28"/>
          <w:lang w:val="en-US"/>
        </w:rPr>
        <w:t xml:space="preserve"> The manifestation and forms of discrimination</w:t>
      </w:r>
      <w:r w:rsidR="0068667E" w:rsidRPr="00C9234D">
        <w:rPr>
          <w:rFonts w:ascii="Arial" w:hAnsi="Arial" w:cs="Arial"/>
          <w:bCs/>
          <w:sz w:val="28"/>
          <w:szCs w:val="28"/>
          <w:lang w:val="en-US"/>
        </w:rPr>
        <w:t xml:space="preserve"> are extremely violent in Sub-Saharan Africa. Cruel</w:t>
      </w:r>
      <w:r w:rsidR="00432E1F" w:rsidRPr="00C9234D">
        <w:rPr>
          <w:rFonts w:ascii="Arial" w:hAnsi="Arial" w:cs="Arial"/>
          <w:bCs/>
          <w:sz w:val="28"/>
          <w:szCs w:val="28"/>
          <w:lang w:val="en-US"/>
        </w:rPr>
        <w:t xml:space="preserve"> attacks, mutilations and trafficking of body parts against persons with albinism, in particular children</w:t>
      </w:r>
      <w:r w:rsidR="00B82720" w:rsidRPr="00C9234D">
        <w:rPr>
          <w:rFonts w:ascii="Arial" w:hAnsi="Arial" w:cs="Arial"/>
          <w:bCs/>
          <w:sz w:val="28"/>
          <w:szCs w:val="28"/>
          <w:lang w:val="en-US"/>
        </w:rPr>
        <w:t>, girls</w:t>
      </w:r>
      <w:r w:rsidR="00432E1F" w:rsidRPr="00C9234D">
        <w:rPr>
          <w:rFonts w:ascii="Arial" w:hAnsi="Arial" w:cs="Arial"/>
          <w:bCs/>
          <w:sz w:val="28"/>
          <w:szCs w:val="28"/>
          <w:lang w:val="en-US"/>
        </w:rPr>
        <w:t xml:space="preserve"> and women, have been reported across </w:t>
      </w:r>
      <w:r w:rsidR="008853D2" w:rsidRPr="00C9234D">
        <w:rPr>
          <w:rFonts w:ascii="Arial" w:hAnsi="Arial" w:cs="Arial"/>
          <w:bCs/>
          <w:sz w:val="28"/>
          <w:szCs w:val="28"/>
          <w:lang w:val="en-US"/>
        </w:rPr>
        <w:t>the region</w:t>
      </w:r>
      <w:r w:rsidR="00432E1F" w:rsidRPr="00C9234D">
        <w:rPr>
          <w:rFonts w:ascii="Arial" w:hAnsi="Arial" w:cs="Arial"/>
          <w:bCs/>
          <w:sz w:val="28"/>
          <w:szCs w:val="28"/>
          <w:lang w:val="en-US"/>
        </w:rPr>
        <w:t xml:space="preserve">. </w:t>
      </w:r>
      <w:r w:rsidR="00432E1F" w:rsidRPr="00C9234D">
        <w:rPr>
          <w:rFonts w:ascii="Arial" w:hAnsi="Arial" w:cs="Arial"/>
          <w:sz w:val="28"/>
          <w:szCs w:val="28"/>
        </w:rPr>
        <w:t>Civil society reports</w:t>
      </w:r>
      <w:r w:rsidR="00B81583" w:rsidRPr="00C9234D">
        <w:rPr>
          <w:rFonts w:ascii="Arial" w:hAnsi="Arial" w:cs="Arial"/>
          <w:sz w:val="28"/>
          <w:szCs w:val="28"/>
        </w:rPr>
        <w:t xml:space="preserve">, </w:t>
      </w:r>
      <w:r w:rsidR="00C9234D" w:rsidRPr="00C9234D">
        <w:rPr>
          <w:rFonts w:ascii="Arial" w:hAnsi="Arial" w:cs="Arial"/>
          <w:sz w:val="28"/>
          <w:szCs w:val="28"/>
        </w:rPr>
        <w:t>complemented by information received by the Independent Expert from government officials during country visits</w:t>
      </w:r>
      <w:r w:rsidR="00B81583" w:rsidRPr="00C9234D">
        <w:rPr>
          <w:rFonts w:ascii="Arial" w:hAnsi="Arial" w:cs="Arial"/>
          <w:sz w:val="28"/>
          <w:szCs w:val="28"/>
        </w:rPr>
        <w:t>, indicate</w:t>
      </w:r>
      <w:r w:rsidR="00432E1F" w:rsidRPr="00C9234D">
        <w:rPr>
          <w:rFonts w:ascii="Arial" w:hAnsi="Arial" w:cs="Arial"/>
          <w:sz w:val="28"/>
          <w:szCs w:val="28"/>
        </w:rPr>
        <w:t xml:space="preserve"> </w:t>
      </w:r>
      <w:r w:rsidR="00432E1F" w:rsidRPr="00C9234D">
        <w:rPr>
          <w:rFonts w:ascii="Arial" w:hAnsi="Arial" w:cs="Arial"/>
          <w:sz w:val="28"/>
          <w:szCs w:val="28"/>
          <w:shd w:val="clear" w:color="auto" w:fill="FFFFFF"/>
        </w:rPr>
        <w:t>over 600 attacks across 28 African countries since 2006</w:t>
      </w:r>
      <w:r w:rsidR="00500EC3" w:rsidRPr="00C9234D">
        <w:rPr>
          <w:rStyle w:val="FootnoteReference"/>
          <w:rFonts w:ascii="Arial" w:hAnsi="Arial" w:cs="Arial"/>
          <w:sz w:val="28"/>
          <w:szCs w:val="28"/>
          <w:shd w:val="clear" w:color="auto" w:fill="FFFFFF"/>
        </w:rPr>
        <w:footnoteReference w:id="6"/>
      </w:r>
      <w:r w:rsidR="00432E1F" w:rsidRPr="00C9234D">
        <w:rPr>
          <w:rFonts w:ascii="Arial" w:hAnsi="Arial" w:cs="Arial"/>
          <w:sz w:val="28"/>
          <w:szCs w:val="28"/>
          <w:shd w:val="clear" w:color="auto" w:fill="FFFFFF"/>
        </w:rPr>
        <w:t xml:space="preserve">.These are reported cases alone. </w:t>
      </w:r>
      <w:r w:rsidR="00C9234D" w:rsidRPr="00C9234D">
        <w:rPr>
          <w:rFonts w:ascii="Arial" w:hAnsi="Arial" w:cs="Arial"/>
          <w:sz w:val="28"/>
          <w:szCs w:val="28"/>
          <w:shd w:val="clear" w:color="auto" w:fill="FFFFFF"/>
        </w:rPr>
        <w:t xml:space="preserve">In addition, </w:t>
      </w:r>
      <w:r w:rsidR="0046224F">
        <w:rPr>
          <w:rFonts w:ascii="Arial" w:hAnsi="Arial" w:cs="Arial"/>
          <w:sz w:val="28"/>
          <w:szCs w:val="28"/>
          <w:shd w:val="clear" w:color="auto" w:fill="FFFFFF"/>
        </w:rPr>
        <w:t xml:space="preserve">the </w:t>
      </w:r>
      <w:r w:rsidR="00C9234D" w:rsidRPr="00C9234D">
        <w:rPr>
          <w:rFonts w:ascii="Arial" w:hAnsi="Arial" w:cs="Arial"/>
          <w:sz w:val="28"/>
          <w:szCs w:val="28"/>
          <w:shd w:val="clear" w:color="auto" w:fill="FFFFFF"/>
        </w:rPr>
        <w:t xml:space="preserve">reporting cases is </w:t>
      </w:r>
      <w:r w:rsidR="00432E1F" w:rsidRPr="00C9234D">
        <w:rPr>
          <w:rFonts w:ascii="Arial" w:hAnsi="Arial" w:cs="Arial"/>
          <w:sz w:val="28"/>
          <w:szCs w:val="28"/>
          <w:shd w:val="clear" w:color="auto" w:fill="FFFFFF"/>
        </w:rPr>
        <w:t>hindered by weak monitoring capacity in civil society,</w:t>
      </w:r>
      <w:r w:rsidR="00B81583" w:rsidRPr="00C9234D">
        <w:rPr>
          <w:rFonts w:ascii="Arial" w:hAnsi="Arial" w:cs="Arial"/>
          <w:sz w:val="28"/>
          <w:szCs w:val="28"/>
          <w:shd w:val="clear" w:color="auto" w:fill="FFFFFF"/>
        </w:rPr>
        <w:t xml:space="preserve"> increased </w:t>
      </w:r>
      <w:r w:rsidR="00C9234D" w:rsidRPr="00C9234D">
        <w:rPr>
          <w:rFonts w:ascii="Arial" w:hAnsi="Arial" w:cs="Arial"/>
          <w:sz w:val="28"/>
          <w:szCs w:val="28"/>
          <w:shd w:val="clear" w:color="auto" w:fill="FFFFFF"/>
        </w:rPr>
        <w:t>barriers</w:t>
      </w:r>
      <w:r w:rsidR="00B81583" w:rsidRPr="00C9234D">
        <w:rPr>
          <w:rFonts w:ascii="Arial" w:hAnsi="Arial" w:cs="Arial"/>
          <w:sz w:val="28"/>
          <w:szCs w:val="28"/>
          <w:shd w:val="clear" w:color="auto" w:fill="FFFFFF"/>
        </w:rPr>
        <w:t xml:space="preserve"> </w:t>
      </w:r>
      <w:r w:rsidR="0046224F">
        <w:rPr>
          <w:rFonts w:ascii="Arial" w:hAnsi="Arial" w:cs="Arial"/>
          <w:sz w:val="28"/>
          <w:szCs w:val="28"/>
          <w:shd w:val="clear" w:color="auto" w:fill="FFFFFF"/>
        </w:rPr>
        <w:t>in</w:t>
      </w:r>
      <w:r w:rsidR="00B81583" w:rsidRPr="00C9234D">
        <w:rPr>
          <w:rFonts w:ascii="Arial" w:hAnsi="Arial" w:cs="Arial"/>
          <w:sz w:val="28"/>
          <w:szCs w:val="28"/>
          <w:shd w:val="clear" w:color="auto" w:fill="FFFFFF"/>
        </w:rPr>
        <w:t xml:space="preserve"> press freedoms,</w:t>
      </w:r>
      <w:r w:rsidR="00432E1F" w:rsidRPr="00C9234D">
        <w:rPr>
          <w:rFonts w:ascii="Arial" w:hAnsi="Arial" w:cs="Arial"/>
          <w:sz w:val="28"/>
          <w:szCs w:val="28"/>
          <w:shd w:val="clear" w:color="auto" w:fill="FFFFFF"/>
        </w:rPr>
        <w:t xml:space="preserve"> weak law enforcement institutions and impunity</w:t>
      </w:r>
      <w:r w:rsidR="00327FEC" w:rsidRPr="00C9234D">
        <w:rPr>
          <w:rStyle w:val="FootnoteReference"/>
          <w:rFonts w:ascii="Arial" w:hAnsi="Arial" w:cs="Arial"/>
          <w:sz w:val="28"/>
          <w:szCs w:val="28"/>
          <w:shd w:val="clear" w:color="auto" w:fill="FFFFFF"/>
        </w:rPr>
        <w:footnoteReference w:id="7"/>
      </w:r>
      <w:r w:rsidR="00432E1F" w:rsidRPr="00C9234D">
        <w:rPr>
          <w:rFonts w:ascii="Arial" w:hAnsi="Arial" w:cs="Arial"/>
          <w:sz w:val="28"/>
          <w:szCs w:val="28"/>
          <w:shd w:val="clear" w:color="auto" w:fill="FFFFFF"/>
        </w:rPr>
        <w:t xml:space="preserve">. </w:t>
      </w:r>
    </w:p>
    <w:p w14:paraId="3661543D" w14:textId="77777777" w:rsidR="00432E1F" w:rsidRPr="00C9234D" w:rsidRDefault="00432E1F" w:rsidP="0028420B">
      <w:pPr>
        <w:pStyle w:val="ListParagraph"/>
        <w:rPr>
          <w:rFonts w:ascii="Arial" w:hAnsi="Arial" w:cs="Arial"/>
          <w:bCs/>
          <w:sz w:val="28"/>
          <w:szCs w:val="28"/>
          <w:lang w:val="en-US"/>
        </w:rPr>
      </w:pPr>
    </w:p>
    <w:p w14:paraId="4EE96C6B" w14:textId="702DEBAE" w:rsidR="006C0DA9" w:rsidRPr="0020305D" w:rsidRDefault="00432E1F" w:rsidP="0028420B">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sidRPr="006C0DA9">
        <w:rPr>
          <w:rFonts w:ascii="Arial" w:hAnsi="Arial" w:cs="Arial"/>
          <w:sz w:val="28"/>
          <w:szCs w:val="28"/>
        </w:rPr>
        <w:t>In the past two years, there have been reports of increasing violence</w:t>
      </w:r>
      <w:r w:rsidRPr="006C0DA9">
        <w:rPr>
          <w:rStyle w:val="CommentReference"/>
          <w:rFonts w:ascii="Arial" w:hAnsi="Arial" w:cs="Arial"/>
          <w:sz w:val="28"/>
          <w:szCs w:val="28"/>
        </w:rPr>
        <w:t xml:space="preserve"> </w:t>
      </w:r>
      <w:r w:rsidRPr="006C0DA9">
        <w:rPr>
          <w:rFonts w:ascii="Arial" w:hAnsi="Arial" w:cs="Arial"/>
          <w:sz w:val="28"/>
          <w:szCs w:val="28"/>
        </w:rPr>
        <w:t>including infanticide, mutilation, killing, kidnapping, and trafficking in body parts of persons with albinism for witchcraft purposes. All of those physical attacks appear to be related to myths and misbeliefs linked to witchcraft practices</w:t>
      </w:r>
      <w:r w:rsidR="00B53CFD">
        <w:rPr>
          <w:rStyle w:val="FootnoteReference"/>
          <w:rFonts w:ascii="Arial" w:hAnsi="Arial" w:cs="Arial"/>
          <w:sz w:val="28"/>
          <w:szCs w:val="28"/>
        </w:rPr>
        <w:footnoteReference w:id="8"/>
      </w:r>
      <w:r w:rsidRPr="006C0DA9">
        <w:rPr>
          <w:rFonts w:ascii="Arial" w:hAnsi="Arial" w:cs="Arial"/>
          <w:sz w:val="28"/>
          <w:szCs w:val="28"/>
        </w:rPr>
        <w:t xml:space="preserve">. </w:t>
      </w:r>
      <w:r w:rsidR="00B53CFD" w:rsidRPr="006C0DA9">
        <w:rPr>
          <w:rFonts w:ascii="Arial" w:hAnsi="Arial" w:cs="Arial"/>
          <w:sz w:val="28"/>
          <w:szCs w:val="28"/>
        </w:rPr>
        <w:t>“Witchcraft practice, in particular the use of body parts of persons with albinism for muti or juju, is undeniably one of the main root causes of attacks against persons with albinism”</w:t>
      </w:r>
      <w:r w:rsidR="00B53CFD">
        <w:rPr>
          <w:rStyle w:val="FootnoteReference"/>
          <w:rFonts w:ascii="Arial" w:hAnsi="Arial" w:cs="Arial"/>
          <w:sz w:val="28"/>
          <w:szCs w:val="28"/>
        </w:rPr>
        <w:footnoteReference w:id="9"/>
      </w:r>
      <w:r w:rsidRPr="006C0DA9">
        <w:rPr>
          <w:rFonts w:ascii="Arial" w:hAnsi="Arial" w:cs="Arial"/>
          <w:sz w:val="28"/>
          <w:szCs w:val="28"/>
        </w:rPr>
        <w:t xml:space="preserve">. </w:t>
      </w:r>
      <w:r w:rsidR="008853D2">
        <w:rPr>
          <w:rFonts w:ascii="Arial" w:hAnsi="Arial" w:cs="Arial"/>
          <w:sz w:val="28"/>
          <w:szCs w:val="28"/>
        </w:rPr>
        <w:t xml:space="preserve">Attacks against persons of albinism are referred to as “ritual killings” owing to their </w:t>
      </w:r>
      <w:r w:rsidR="00A1445D">
        <w:rPr>
          <w:rFonts w:ascii="Arial" w:hAnsi="Arial" w:cs="Arial"/>
          <w:sz w:val="28"/>
          <w:szCs w:val="28"/>
        </w:rPr>
        <w:t>witchcraft dimension</w:t>
      </w:r>
      <w:r w:rsidR="0020305D">
        <w:rPr>
          <w:rStyle w:val="FootnoteReference"/>
          <w:rFonts w:ascii="Arial" w:hAnsi="Arial" w:cs="Arial"/>
          <w:sz w:val="28"/>
          <w:szCs w:val="28"/>
        </w:rPr>
        <w:footnoteReference w:id="10"/>
      </w:r>
      <w:r w:rsidR="008853D2">
        <w:rPr>
          <w:rFonts w:ascii="Arial" w:hAnsi="Arial" w:cs="Arial"/>
          <w:sz w:val="28"/>
          <w:szCs w:val="28"/>
        </w:rPr>
        <w:t xml:space="preserve">. </w:t>
      </w:r>
    </w:p>
    <w:p w14:paraId="22180AB5" w14:textId="77777777" w:rsidR="0020305D" w:rsidRPr="00A1445D" w:rsidRDefault="0020305D" w:rsidP="0020305D">
      <w:pPr>
        <w:pStyle w:val="ListParagraph"/>
        <w:autoSpaceDE w:val="0"/>
        <w:autoSpaceDN w:val="0"/>
        <w:adjustRightInd w:val="0"/>
        <w:spacing w:after="0"/>
        <w:ind w:left="0"/>
        <w:jc w:val="both"/>
        <w:rPr>
          <w:rFonts w:ascii="Arial" w:hAnsi="Arial" w:cs="Arial"/>
          <w:bCs/>
          <w:sz w:val="28"/>
          <w:szCs w:val="28"/>
          <w:lang w:val="en-US"/>
        </w:rPr>
      </w:pPr>
    </w:p>
    <w:p w14:paraId="1EEE7E5D" w14:textId="07B76ED0" w:rsidR="00A1445D" w:rsidRPr="00A1445D" w:rsidRDefault="008853D2" w:rsidP="00C9234D">
      <w:pPr>
        <w:pStyle w:val="ListParagraph"/>
        <w:autoSpaceDE w:val="0"/>
        <w:autoSpaceDN w:val="0"/>
        <w:adjustRightInd w:val="0"/>
        <w:spacing w:after="0"/>
        <w:jc w:val="both"/>
        <w:rPr>
          <w:rFonts w:ascii="Arial" w:hAnsi="Arial" w:cs="Arial"/>
          <w:bCs/>
          <w:sz w:val="28"/>
          <w:szCs w:val="28"/>
          <w:lang w:val="en-US"/>
        </w:rPr>
      </w:pPr>
      <w:r>
        <w:rPr>
          <w:rFonts w:ascii="Arial" w:hAnsi="Arial" w:cs="Arial"/>
          <w:bCs/>
          <w:sz w:val="28"/>
          <w:szCs w:val="28"/>
          <w:lang w:val="en-US"/>
        </w:rPr>
        <w:t xml:space="preserve"> </w:t>
      </w:r>
      <w:r w:rsidR="00A1445D" w:rsidRPr="00A1445D">
        <w:rPr>
          <w:rFonts w:ascii="Arial" w:hAnsi="Arial" w:cs="Arial"/>
          <w:bCs/>
          <w:sz w:val="28"/>
          <w:szCs w:val="28"/>
          <w:lang w:val="en-US"/>
        </w:rPr>
        <w:t>“</w:t>
      </w:r>
      <w:r w:rsidR="00A1445D" w:rsidRPr="00A1445D">
        <w:rPr>
          <w:rFonts w:ascii="Arial" w:hAnsi="Arial" w:cs="Arial"/>
          <w:sz w:val="28"/>
          <w:szCs w:val="28"/>
        </w:rPr>
        <w:t xml:space="preserve">Persons with albinism are victims of ritual attacks. It is believed that their body parts can bring, inter alia, wealth and good luck when used in potions made by practitioners of witchcraft, referred to as witchdoctors. Persons with albinism who are victims of such attacks </w:t>
      </w:r>
      <w:r w:rsidR="00A1445D" w:rsidRPr="00A1445D">
        <w:rPr>
          <w:rFonts w:ascii="Arial" w:hAnsi="Arial" w:cs="Arial"/>
          <w:sz w:val="28"/>
          <w:szCs w:val="28"/>
        </w:rPr>
        <w:lastRenderedPageBreak/>
        <w:t xml:space="preserve">are often dismembered and their body parts stolen, including limbs, genitals and hair. In addition, body parts are often taken from live victims because of the related belief that the intensity of their screams while being dismembered enhances </w:t>
      </w:r>
      <w:r>
        <w:rPr>
          <w:rFonts w:ascii="Arial" w:hAnsi="Arial" w:cs="Arial"/>
          <w:sz w:val="28"/>
          <w:szCs w:val="28"/>
        </w:rPr>
        <w:t>the potency of the muti or juju,”</w:t>
      </w:r>
      <w:r w:rsidR="00730B03">
        <w:rPr>
          <w:rStyle w:val="FootnoteReference"/>
          <w:rFonts w:ascii="Arial" w:hAnsi="Arial" w:cs="Arial"/>
          <w:sz w:val="28"/>
          <w:szCs w:val="28"/>
        </w:rPr>
        <w:footnoteReference w:id="11"/>
      </w:r>
      <w:r>
        <w:rPr>
          <w:rFonts w:ascii="Arial" w:hAnsi="Arial" w:cs="Arial"/>
          <w:sz w:val="28"/>
          <w:szCs w:val="28"/>
        </w:rPr>
        <w:t xml:space="preserve">. </w:t>
      </w:r>
    </w:p>
    <w:p w14:paraId="3E728B47" w14:textId="77777777" w:rsidR="006C0DA9" w:rsidRDefault="006C0DA9" w:rsidP="0028420B">
      <w:pPr>
        <w:pStyle w:val="ListParagraph"/>
      </w:pPr>
    </w:p>
    <w:p w14:paraId="4B56064C" w14:textId="77777777" w:rsidR="006C0DA9" w:rsidRPr="006C0DA9" w:rsidRDefault="006C0DA9" w:rsidP="0028420B">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sidRPr="006C0DA9">
        <w:rPr>
          <w:rFonts w:ascii="Arial" w:hAnsi="Arial" w:cs="Arial"/>
          <w:sz w:val="28"/>
          <w:szCs w:val="28"/>
        </w:rPr>
        <w:t>In Malawi, official data indicates that “65 cases of crimes against persons with albinism had been recorded by police since late 2014. As of September 2016, that number had rising to 102”</w:t>
      </w:r>
      <w:r>
        <w:rPr>
          <w:rStyle w:val="FootnoteReference"/>
          <w:rFonts w:ascii="Arial" w:hAnsi="Arial" w:cs="Arial"/>
          <w:sz w:val="28"/>
          <w:szCs w:val="28"/>
        </w:rPr>
        <w:footnoteReference w:id="12"/>
      </w:r>
      <w:r w:rsidRPr="006C0DA9">
        <w:rPr>
          <w:rFonts w:ascii="Arial" w:hAnsi="Arial" w:cs="Arial"/>
          <w:sz w:val="28"/>
          <w:szCs w:val="28"/>
        </w:rPr>
        <w:t>. In Mozambique, official data report “there was a sudden surge of physical attacks against persons with albinism, including kidnapping and trafficking in persons, at the end of 2014, which intensified until mid-2015. (…) At the peak of the attacks in 2015, the Independent Expert received reports from civil society of over a hundred attacks during this period.”</w:t>
      </w:r>
      <w:r>
        <w:rPr>
          <w:rStyle w:val="FootnoteReference"/>
          <w:rFonts w:ascii="Arial" w:hAnsi="Arial" w:cs="Arial"/>
          <w:sz w:val="28"/>
          <w:szCs w:val="28"/>
        </w:rPr>
        <w:footnoteReference w:id="13"/>
      </w:r>
      <w:r w:rsidRPr="006C0DA9">
        <w:rPr>
          <w:rFonts w:ascii="Arial" w:hAnsi="Arial" w:cs="Arial"/>
          <w:sz w:val="28"/>
          <w:szCs w:val="28"/>
        </w:rPr>
        <w:t xml:space="preserve"> </w:t>
      </w:r>
    </w:p>
    <w:p w14:paraId="3E3C73D7" w14:textId="77777777" w:rsidR="00901A4E" w:rsidRPr="00901A4E" w:rsidRDefault="00901A4E" w:rsidP="0028420B">
      <w:pPr>
        <w:pStyle w:val="ListParagraph"/>
        <w:rPr>
          <w:rFonts w:ascii="Arial" w:hAnsi="Arial" w:cs="Arial"/>
          <w:bCs/>
          <w:sz w:val="28"/>
          <w:szCs w:val="28"/>
          <w:lang w:val="en-US"/>
        </w:rPr>
      </w:pPr>
    </w:p>
    <w:p w14:paraId="3034DDF7" w14:textId="77777777" w:rsidR="00901A4E" w:rsidRPr="00A1445D" w:rsidRDefault="00901A4E" w:rsidP="0028420B">
      <w:pPr>
        <w:pStyle w:val="ListParagraph"/>
        <w:numPr>
          <w:ilvl w:val="0"/>
          <w:numId w:val="3"/>
        </w:numPr>
        <w:autoSpaceDE w:val="0"/>
        <w:autoSpaceDN w:val="0"/>
        <w:adjustRightInd w:val="0"/>
        <w:spacing w:after="0"/>
        <w:ind w:left="0" w:firstLine="0"/>
        <w:jc w:val="both"/>
        <w:rPr>
          <w:rFonts w:ascii="Arial" w:hAnsi="Arial" w:cs="Arial"/>
          <w:bCs/>
          <w:sz w:val="28"/>
          <w:szCs w:val="28"/>
          <w:lang w:val="en-US"/>
        </w:rPr>
      </w:pPr>
      <w:r w:rsidRPr="00901A4E">
        <w:rPr>
          <w:rFonts w:ascii="Arial" w:hAnsi="Arial" w:cs="Arial"/>
          <w:bCs/>
          <w:sz w:val="28"/>
          <w:szCs w:val="28"/>
          <w:lang w:val="en-US"/>
        </w:rPr>
        <w:t xml:space="preserve">The lack of reporting of cases is also due to the </w:t>
      </w:r>
      <w:r w:rsidRPr="00901A4E">
        <w:rPr>
          <w:rFonts w:ascii="Arial" w:hAnsi="Arial" w:cs="Arial"/>
          <w:sz w:val="28"/>
          <w:szCs w:val="28"/>
        </w:rPr>
        <w:t>dire</w:t>
      </w:r>
      <w:r w:rsidR="00730B03">
        <w:rPr>
          <w:rFonts w:ascii="Arial" w:hAnsi="Arial" w:cs="Arial"/>
          <w:sz w:val="28"/>
          <w:szCs w:val="28"/>
        </w:rPr>
        <w:t>ct involvement of family members</w:t>
      </w:r>
      <w:r w:rsidRPr="00901A4E">
        <w:rPr>
          <w:rFonts w:ascii="Arial" w:hAnsi="Arial" w:cs="Arial"/>
          <w:sz w:val="28"/>
          <w:szCs w:val="28"/>
        </w:rPr>
        <w:t xml:space="preserve">. </w:t>
      </w:r>
      <w:r w:rsidR="008853D2">
        <w:rPr>
          <w:rFonts w:ascii="Arial" w:hAnsi="Arial" w:cs="Arial"/>
          <w:sz w:val="28"/>
          <w:szCs w:val="28"/>
        </w:rPr>
        <w:t>In t</w:t>
      </w:r>
      <w:r>
        <w:rPr>
          <w:rFonts w:ascii="Arial" w:hAnsi="Arial" w:cs="Arial"/>
          <w:sz w:val="28"/>
          <w:szCs w:val="28"/>
        </w:rPr>
        <w:t xml:space="preserve">he case of </w:t>
      </w:r>
      <w:r w:rsidRPr="00901A4E">
        <w:rPr>
          <w:rFonts w:ascii="Arial" w:hAnsi="Arial" w:cs="Arial"/>
          <w:sz w:val="28"/>
          <w:szCs w:val="28"/>
          <w:lang w:val="en-US"/>
        </w:rPr>
        <w:t>Malawi</w:t>
      </w:r>
      <w:r w:rsidR="008853D2">
        <w:rPr>
          <w:rFonts w:ascii="Arial" w:hAnsi="Arial" w:cs="Arial"/>
          <w:sz w:val="28"/>
          <w:szCs w:val="28"/>
          <w:lang w:val="en-US"/>
        </w:rPr>
        <w:t xml:space="preserve">, </w:t>
      </w:r>
      <w:r w:rsidRPr="00A1445D">
        <w:rPr>
          <w:rFonts w:ascii="Arial" w:hAnsi="Arial" w:cs="Arial"/>
          <w:sz w:val="28"/>
          <w:szCs w:val="28"/>
          <w:lang w:val="en-US"/>
        </w:rPr>
        <w:t>“The frequent involvement of close relatives in cases of attacks against persons with albinism is highly disturbing. Relatives are often either instrumental in the commission of the crime by providing information on the whereabouts of the victim or by taking part in the commission of the crime. (…) The involvement of relatives increases the danger posed to persons with albinism as they are unable to trust even those who are supposed to care for and protect them.”</w:t>
      </w:r>
      <w:r w:rsidR="006C0DA9">
        <w:rPr>
          <w:rStyle w:val="FootnoteReference"/>
          <w:rFonts w:ascii="Arial" w:hAnsi="Arial" w:cs="Arial"/>
          <w:sz w:val="28"/>
          <w:szCs w:val="28"/>
          <w:lang w:val="en-US"/>
        </w:rPr>
        <w:footnoteReference w:id="14"/>
      </w:r>
    </w:p>
    <w:p w14:paraId="5F71DAEA" w14:textId="77777777" w:rsidR="00027531" w:rsidRPr="00027531" w:rsidRDefault="00027531" w:rsidP="00027531">
      <w:pPr>
        <w:rPr>
          <w:rFonts w:ascii="Arial" w:hAnsi="Arial" w:cs="Arial"/>
          <w:b/>
          <w:sz w:val="28"/>
          <w:szCs w:val="28"/>
          <w:lang w:val="en-US"/>
        </w:rPr>
      </w:pPr>
    </w:p>
    <w:p w14:paraId="2679438F" w14:textId="77777777" w:rsidR="002B43C4" w:rsidRDefault="00CB787B" w:rsidP="0028420B">
      <w:pPr>
        <w:pStyle w:val="ListParagraph"/>
        <w:numPr>
          <w:ilvl w:val="0"/>
          <w:numId w:val="4"/>
        </w:numPr>
        <w:rPr>
          <w:rFonts w:ascii="Arial" w:hAnsi="Arial" w:cs="Arial"/>
          <w:b/>
          <w:sz w:val="28"/>
          <w:szCs w:val="28"/>
          <w:lang w:val="en-US"/>
        </w:rPr>
      </w:pPr>
      <w:r>
        <w:rPr>
          <w:rFonts w:ascii="Arial" w:hAnsi="Arial" w:cs="Arial"/>
          <w:b/>
          <w:sz w:val="28"/>
          <w:szCs w:val="28"/>
          <w:lang w:val="en-US"/>
        </w:rPr>
        <w:t>Comments on</w:t>
      </w:r>
      <w:r w:rsidR="001C4B91" w:rsidRPr="00CB787B">
        <w:rPr>
          <w:rFonts w:ascii="Arial" w:hAnsi="Arial" w:cs="Arial"/>
          <w:b/>
          <w:sz w:val="28"/>
          <w:szCs w:val="28"/>
          <w:lang w:val="en-US"/>
        </w:rPr>
        <w:t xml:space="preserve"> the draft General Comment No. 36 in the light of the specific threats against persons with albinism</w:t>
      </w:r>
    </w:p>
    <w:p w14:paraId="152185EA" w14:textId="77777777" w:rsidR="00CB787B" w:rsidRPr="00CB787B" w:rsidRDefault="00CB787B" w:rsidP="0028420B">
      <w:pPr>
        <w:pStyle w:val="ListParagraph"/>
        <w:ind w:left="1080"/>
        <w:rPr>
          <w:rFonts w:ascii="Arial" w:hAnsi="Arial" w:cs="Arial"/>
          <w:b/>
          <w:sz w:val="28"/>
          <w:szCs w:val="28"/>
          <w:lang w:val="en-US"/>
        </w:rPr>
      </w:pPr>
    </w:p>
    <w:p w14:paraId="421B27FE" w14:textId="2322DC15" w:rsidR="00E55CC8" w:rsidRDefault="00ED7938" w:rsidP="00097F13">
      <w:pPr>
        <w:pStyle w:val="ListParagraph"/>
        <w:numPr>
          <w:ilvl w:val="0"/>
          <w:numId w:val="3"/>
        </w:numPr>
        <w:autoSpaceDE w:val="0"/>
        <w:autoSpaceDN w:val="0"/>
        <w:adjustRightInd w:val="0"/>
        <w:spacing w:after="0"/>
        <w:ind w:left="0" w:firstLine="0"/>
        <w:jc w:val="both"/>
        <w:rPr>
          <w:rFonts w:ascii="Arial" w:hAnsi="Arial" w:cs="Arial"/>
          <w:sz w:val="28"/>
          <w:szCs w:val="28"/>
          <w:lang w:val="en-US"/>
        </w:rPr>
      </w:pPr>
      <w:r w:rsidRPr="00CB787B">
        <w:rPr>
          <w:rFonts w:ascii="Arial" w:hAnsi="Arial" w:cs="Arial"/>
          <w:sz w:val="28"/>
          <w:szCs w:val="28"/>
          <w:lang w:val="en-US"/>
        </w:rPr>
        <w:t>My mandate covers the enjoyment of all human rights by persons with albinism recognizing that for those living in Sub Sah</w:t>
      </w:r>
      <w:r w:rsidR="00474EBD">
        <w:rPr>
          <w:rFonts w:ascii="Arial" w:hAnsi="Arial" w:cs="Arial"/>
          <w:sz w:val="28"/>
          <w:szCs w:val="28"/>
          <w:lang w:val="en-US"/>
        </w:rPr>
        <w:t xml:space="preserve">aran Africa the priority is the </w:t>
      </w:r>
      <w:r w:rsidRPr="00CB787B">
        <w:rPr>
          <w:rFonts w:ascii="Arial" w:hAnsi="Arial" w:cs="Arial"/>
          <w:sz w:val="28"/>
          <w:szCs w:val="28"/>
          <w:lang w:val="en-US"/>
        </w:rPr>
        <w:t xml:space="preserve">protection of their right to life against attacks </w:t>
      </w:r>
      <w:r w:rsidR="00474EBD">
        <w:rPr>
          <w:rFonts w:ascii="Arial" w:hAnsi="Arial" w:cs="Arial"/>
          <w:sz w:val="28"/>
          <w:szCs w:val="28"/>
          <w:lang w:val="en-US"/>
        </w:rPr>
        <w:t>a</w:t>
      </w:r>
      <w:r w:rsidRPr="00CB787B">
        <w:rPr>
          <w:rFonts w:ascii="Arial" w:hAnsi="Arial" w:cs="Arial"/>
          <w:sz w:val="28"/>
          <w:szCs w:val="28"/>
          <w:lang w:val="en-US"/>
        </w:rPr>
        <w:t xml:space="preserve">s the </w:t>
      </w:r>
      <w:r w:rsidRPr="00CB787B">
        <w:rPr>
          <w:rFonts w:ascii="Arial" w:hAnsi="Arial" w:cs="Arial"/>
          <w:sz w:val="28"/>
          <w:szCs w:val="28"/>
          <w:lang w:val="en-US"/>
        </w:rPr>
        <w:lastRenderedPageBreak/>
        <w:t xml:space="preserve">prerequisite for the enjoyment of </w:t>
      </w:r>
      <w:r w:rsidR="00CB787B">
        <w:rPr>
          <w:rFonts w:ascii="Arial" w:hAnsi="Arial" w:cs="Arial"/>
          <w:sz w:val="28"/>
          <w:szCs w:val="28"/>
          <w:lang w:val="en-US"/>
        </w:rPr>
        <w:t xml:space="preserve">a life </w:t>
      </w:r>
      <w:r w:rsidR="00B82720">
        <w:rPr>
          <w:rFonts w:ascii="Arial" w:hAnsi="Arial" w:cs="Arial"/>
          <w:sz w:val="28"/>
          <w:szCs w:val="28"/>
          <w:lang w:val="en-US"/>
        </w:rPr>
        <w:t>of</w:t>
      </w:r>
      <w:r w:rsidR="00CB787B">
        <w:rPr>
          <w:rFonts w:ascii="Arial" w:hAnsi="Arial" w:cs="Arial"/>
          <w:sz w:val="28"/>
          <w:szCs w:val="28"/>
          <w:lang w:val="en-US"/>
        </w:rPr>
        <w:t xml:space="preserve"> dignity</w:t>
      </w:r>
      <w:r w:rsidRPr="00CB787B">
        <w:rPr>
          <w:rFonts w:ascii="Arial" w:hAnsi="Arial" w:cs="Arial"/>
          <w:sz w:val="28"/>
          <w:szCs w:val="28"/>
          <w:lang w:val="en-US"/>
        </w:rPr>
        <w:t>, as stated in the draft General Comment</w:t>
      </w:r>
      <w:r>
        <w:rPr>
          <w:rStyle w:val="FootnoteReference"/>
          <w:rFonts w:ascii="Arial" w:hAnsi="Arial" w:cs="Arial"/>
          <w:sz w:val="28"/>
          <w:szCs w:val="28"/>
          <w:lang w:val="en-US"/>
        </w:rPr>
        <w:footnoteReference w:id="15"/>
      </w:r>
      <w:r w:rsidRPr="00CB787B">
        <w:rPr>
          <w:rFonts w:ascii="Arial" w:hAnsi="Arial" w:cs="Arial"/>
          <w:sz w:val="28"/>
          <w:szCs w:val="28"/>
          <w:lang w:val="en-US"/>
        </w:rPr>
        <w:t>.</w:t>
      </w:r>
    </w:p>
    <w:p w14:paraId="26DA07C7" w14:textId="77777777" w:rsidR="00E55CC8" w:rsidRDefault="00E55CC8" w:rsidP="0028420B">
      <w:pPr>
        <w:pStyle w:val="ListParagraph"/>
        <w:tabs>
          <w:tab w:val="left" w:pos="0"/>
        </w:tabs>
        <w:jc w:val="both"/>
        <w:rPr>
          <w:rFonts w:ascii="Arial" w:hAnsi="Arial" w:cs="Arial"/>
          <w:sz w:val="28"/>
          <w:szCs w:val="28"/>
          <w:lang w:val="en-US"/>
        </w:rPr>
      </w:pPr>
    </w:p>
    <w:p w14:paraId="1569223B" w14:textId="4DAA5F11" w:rsidR="00A1445D" w:rsidRPr="00097F13" w:rsidRDefault="00474EBD" w:rsidP="00097F13">
      <w:pPr>
        <w:pStyle w:val="ListParagraph"/>
        <w:numPr>
          <w:ilvl w:val="0"/>
          <w:numId w:val="3"/>
        </w:numPr>
        <w:autoSpaceDE w:val="0"/>
        <w:autoSpaceDN w:val="0"/>
        <w:adjustRightInd w:val="0"/>
        <w:spacing w:after="0"/>
        <w:ind w:left="0" w:firstLine="0"/>
        <w:jc w:val="both"/>
        <w:rPr>
          <w:rFonts w:ascii="Arial" w:hAnsi="Arial" w:cs="Arial"/>
          <w:sz w:val="28"/>
          <w:szCs w:val="28"/>
          <w:lang w:val="en-US"/>
        </w:rPr>
      </w:pPr>
      <w:r w:rsidRPr="00E55CC8">
        <w:rPr>
          <w:rFonts w:ascii="Arial" w:hAnsi="Arial" w:cs="Arial"/>
          <w:sz w:val="28"/>
          <w:szCs w:val="28"/>
          <w:lang w:val="en-US"/>
        </w:rPr>
        <w:t xml:space="preserve">In the case of attacks against persons with albinism, </w:t>
      </w:r>
      <w:r w:rsidR="00E55CC8" w:rsidRPr="00E55CC8">
        <w:rPr>
          <w:rFonts w:ascii="Arial" w:hAnsi="Arial" w:cs="Arial"/>
          <w:bCs/>
          <w:sz w:val="28"/>
          <w:szCs w:val="28"/>
          <w:lang w:val="en-US"/>
        </w:rPr>
        <w:t>the</w:t>
      </w:r>
      <w:r w:rsidR="008853D2">
        <w:rPr>
          <w:rFonts w:ascii="Arial" w:hAnsi="Arial" w:cs="Arial"/>
          <w:bCs/>
          <w:sz w:val="28"/>
          <w:szCs w:val="28"/>
          <w:lang w:val="en-US"/>
        </w:rPr>
        <w:t>re are</w:t>
      </w:r>
      <w:r w:rsidR="00E55CC8" w:rsidRPr="00E55CC8">
        <w:rPr>
          <w:rFonts w:ascii="Arial" w:hAnsi="Arial" w:cs="Arial"/>
          <w:bCs/>
          <w:sz w:val="28"/>
          <w:szCs w:val="28"/>
          <w:lang w:val="en-US"/>
        </w:rPr>
        <w:t xml:space="preserve"> “</w:t>
      </w:r>
      <w:r w:rsidR="00E55CC8" w:rsidRPr="00E55CC8">
        <w:rPr>
          <w:rFonts w:ascii="Arial" w:hAnsi="Arial" w:cs="Arial"/>
          <w:sz w:val="28"/>
          <w:szCs w:val="28"/>
        </w:rPr>
        <w:t>three types of perpetrators: persons who hunt, attack, kill and dismember persons with albinism and transport their body parts; persons, often presenting themselves as witchdoctors, who prepare the muti or juju using the body parts; and persons who obtain or purchase the muti or juju. (…)</w:t>
      </w:r>
      <w:r w:rsidR="00E55CC8">
        <w:rPr>
          <w:rFonts w:ascii="Arial" w:hAnsi="Arial" w:cs="Arial"/>
          <w:sz w:val="28"/>
          <w:szCs w:val="28"/>
        </w:rPr>
        <w:t xml:space="preserve"> However, one of the major challenges in prosecuting attacks has been the inability to identify and prosecute the last two categories of perpetrators”</w:t>
      </w:r>
      <w:r w:rsidR="00A1445D" w:rsidRPr="00A1445D">
        <w:rPr>
          <w:rStyle w:val="FootnoteReference"/>
          <w:rFonts w:ascii="Arial" w:hAnsi="Arial" w:cs="Arial"/>
          <w:sz w:val="28"/>
          <w:szCs w:val="28"/>
        </w:rPr>
        <w:t xml:space="preserve"> </w:t>
      </w:r>
      <w:r w:rsidR="00A1445D" w:rsidRPr="00E55CC8">
        <w:rPr>
          <w:rStyle w:val="FootnoteReference"/>
          <w:rFonts w:ascii="Arial" w:hAnsi="Arial" w:cs="Arial"/>
          <w:sz w:val="28"/>
          <w:szCs w:val="28"/>
        </w:rPr>
        <w:footnoteReference w:id="16"/>
      </w:r>
      <w:r w:rsidR="00E55CC8">
        <w:rPr>
          <w:rFonts w:ascii="Arial" w:hAnsi="Arial" w:cs="Arial"/>
          <w:sz w:val="28"/>
          <w:szCs w:val="28"/>
        </w:rPr>
        <w:t xml:space="preserve">. </w:t>
      </w:r>
    </w:p>
    <w:p w14:paraId="3AD796CE" w14:textId="77777777" w:rsidR="00097F13" w:rsidRPr="00097F13" w:rsidRDefault="00097F13" w:rsidP="00097F13">
      <w:pPr>
        <w:pStyle w:val="ListParagraph"/>
        <w:rPr>
          <w:rFonts w:ascii="Arial" w:hAnsi="Arial" w:cs="Arial"/>
          <w:sz w:val="28"/>
          <w:szCs w:val="28"/>
          <w:lang w:val="en-US"/>
        </w:rPr>
      </w:pPr>
    </w:p>
    <w:p w14:paraId="57AA772A" w14:textId="275039AE" w:rsidR="00097F13" w:rsidRPr="00097F13" w:rsidRDefault="00E55CC8" w:rsidP="00097F13">
      <w:pPr>
        <w:pStyle w:val="ListParagraph"/>
        <w:numPr>
          <w:ilvl w:val="0"/>
          <w:numId w:val="3"/>
        </w:numPr>
        <w:autoSpaceDE w:val="0"/>
        <w:autoSpaceDN w:val="0"/>
        <w:adjustRightInd w:val="0"/>
        <w:spacing w:after="0"/>
        <w:ind w:left="0" w:firstLine="0"/>
        <w:jc w:val="both"/>
        <w:rPr>
          <w:rFonts w:ascii="Arial" w:hAnsi="Arial" w:cs="Arial"/>
          <w:sz w:val="28"/>
          <w:szCs w:val="28"/>
          <w:lang w:val="en-US"/>
        </w:rPr>
      </w:pPr>
      <w:r w:rsidRPr="00097F13">
        <w:rPr>
          <w:rFonts w:ascii="Arial" w:hAnsi="Arial" w:cs="Arial"/>
          <w:sz w:val="28"/>
          <w:szCs w:val="28"/>
        </w:rPr>
        <w:t>Thus, attacks are committed by individuals</w:t>
      </w:r>
      <w:r w:rsidR="008853D2" w:rsidRPr="00097F13">
        <w:rPr>
          <w:rFonts w:ascii="Arial" w:hAnsi="Arial" w:cs="Arial"/>
          <w:sz w:val="28"/>
          <w:szCs w:val="28"/>
        </w:rPr>
        <w:t xml:space="preserve"> while there is </w:t>
      </w:r>
      <w:r w:rsidR="008E7B0A">
        <w:rPr>
          <w:rFonts w:ascii="Arial" w:hAnsi="Arial" w:cs="Arial"/>
          <w:sz w:val="28"/>
          <w:szCs w:val="28"/>
        </w:rPr>
        <w:t>in</w:t>
      </w:r>
      <w:r w:rsidR="008853D2" w:rsidRPr="00097F13">
        <w:rPr>
          <w:rFonts w:ascii="Arial" w:hAnsi="Arial" w:cs="Arial"/>
          <w:sz w:val="28"/>
          <w:szCs w:val="28"/>
        </w:rPr>
        <w:t xml:space="preserve"> sufficient evidence </w:t>
      </w:r>
      <w:r w:rsidRPr="00097F13">
        <w:rPr>
          <w:rFonts w:ascii="Arial" w:hAnsi="Arial" w:cs="Arial"/>
          <w:sz w:val="28"/>
          <w:szCs w:val="28"/>
        </w:rPr>
        <w:t xml:space="preserve">to determine whether their conducts are attributable to the State, </w:t>
      </w:r>
      <w:r w:rsidR="008853D2" w:rsidRPr="00097F13">
        <w:rPr>
          <w:rFonts w:ascii="Arial" w:hAnsi="Arial" w:cs="Arial"/>
          <w:sz w:val="28"/>
          <w:szCs w:val="28"/>
        </w:rPr>
        <w:t xml:space="preserve">notably </w:t>
      </w:r>
      <w:r w:rsidRPr="00097F13">
        <w:rPr>
          <w:rFonts w:ascii="Arial" w:hAnsi="Arial" w:cs="Arial"/>
          <w:sz w:val="28"/>
          <w:szCs w:val="28"/>
        </w:rPr>
        <w:t xml:space="preserve">due to the secrecy surroundings these crimes. Therefore, the States Parties’ duty to </w:t>
      </w:r>
      <w:r w:rsidR="00A1445D" w:rsidRPr="00097F13">
        <w:rPr>
          <w:rFonts w:ascii="Arial" w:hAnsi="Arial" w:cs="Arial"/>
          <w:sz w:val="28"/>
          <w:szCs w:val="28"/>
        </w:rPr>
        <w:t>protect the lives o</w:t>
      </w:r>
      <w:r w:rsidRPr="00097F13">
        <w:rPr>
          <w:rFonts w:ascii="Arial" w:hAnsi="Arial" w:cs="Arial"/>
          <w:sz w:val="28"/>
          <w:szCs w:val="28"/>
        </w:rPr>
        <w:t>f persons with albinism</w:t>
      </w:r>
      <w:r w:rsidR="00730B03" w:rsidRPr="00097F13">
        <w:rPr>
          <w:rFonts w:ascii="Arial" w:hAnsi="Arial" w:cs="Arial"/>
          <w:sz w:val="28"/>
          <w:szCs w:val="28"/>
        </w:rPr>
        <w:t>, notably through legislation and positive measures,</w:t>
      </w:r>
      <w:r w:rsidRPr="00097F13">
        <w:rPr>
          <w:rFonts w:ascii="Arial" w:hAnsi="Arial" w:cs="Arial"/>
          <w:sz w:val="28"/>
          <w:szCs w:val="28"/>
        </w:rPr>
        <w:t xml:space="preserve"> is as much as important as the duty to respect</w:t>
      </w:r>
      <w:r w:rsidR="00A1445D" w:rsidRPr="00097F13">
        <w:rPr>
          <w:rFonts w:ascii="Arial" w:hAnsi="Arial" w:cs="Arial"/>
          <w:sz w:val="28"/>
          <w:szCs w:val="28"/>
        </w:rPr>
        <w:t>.</w:t>
      </w:r>
    </w:p>
    <w:p w14:paraId="62229D5C" w14:textId="77777777" w:rsidR="00097F13" w:rsidRPr="00097F13" w:rsidRDefault="00097F13" w:rsidP="00097F13">
      <w:pPr>
        <w:pStyle w:val="ListParagraph"/>
        <w:rPr>
          <w:rFonts w:ascii="Arial" w:hAnsi="Arial" w:cs="Arial"/>
          <w:sz w:val="28"/>
          <w:szCs w:val="28"/>
          <w:lang w:val="en-US"/>
        </w:rPr>
      </w:pPr>
    </w:p>
    <w:p w14:paraId="5B101296" w14:textId="77777777" w:rsidR="00097F13" w:rsidRDefault="00730B03" w:rsidP="00097F13">
      <w:pPr>
        <w:pStyle w:val="ListParagraph"/>
        <w:numPr>
          <w:ilvl w:val="0"/>
          <w:numId w:val="3"/>
        </w:numPr>
        <w:autoSpaceDE w:val="0"/>
        <w:autoSpaceDN w:val="0"/>
        <w:adjustRightInd w:val="0"/>
        <w:spacing w:after="0"/>
        <w:ind w:left="0" w:firstLine="0"/>
        <w:jc w:val="both"/>
        <w:rPr>
          <w:rFonts w:ascii="Arial" w:hAnsi="Arial" w:cs="Arial"/>
          <w:sz w:val="28"/>
          <w:szCs w:val="28"/>
          <w:lang w:val="en-US"/>
        </w:rPr>
      </w:pPr>
      <w:r w:rsidRPr="00097F13">
        <w:rPr>
          <w:rFonts w:ascii="Arial" w:hAnsi="Arial" w:cs="Arial"/>
          <w:sz w:val="28"/>
          <w:szCs w:val="28"/>
          <w:lang w:val="en-US"/>
        </w:rPr>
        <w:t>With regard to the obligation to undertake reason</w:t>
      </w:r>
      <w:r w:rsidR="008853D2" w:rsidRPr="00097F13">
        <w:rPr>
          <w:rFonts w:ascii="Arial" w:hAnsi="Arial" w:cs="Arial"/>
          <w:sz w:val="28"/>
          <w:szCs w:val="28"/>
          <w:lang w:val="en-US"/>
        </w:rPr>
        <w:t>able positive measures for</w:t>
      </w:r>
      <w:r w:rsidRPr="00097F13">
        <w:rPr>
          <w:rFonts w:ascii="Arial" w:hAnsi="Arial" w:cs="Arial"/>
          <w:sz w:val="28"/>
          <w:szCs w:val="28"/>
          <w:lang w:val="en-US"/>
        </w:rPr>
        <w:t xml:space="preserve"> the protection of persons with albinism, it is important that these measures do not lead to the infringements of other </w:t>
      </w:r>
      <w:r w:rsidR="008428A5" w:rsidRPr="00097F13">
        <w:rPr>
          <w:rFonts w:ascii="Arial" w:hAnsi="Arial" w:cs="Arial"/>
          <w:sz w:val="28"/>
          <w:szCs w:val="28"/>
          <w:lang w:val="en-US"/>
        </w:rPr>
        <w:t xml:space="preserve">human </w:t>
      </w:r>
      <w:r w:rsidRPr="00097F13">
        <w:rPr>
          <w:rFonts w:ascii="Arial" w:hAnsi="Arial" w:cs="Arial"/>
          <w:sz w:val="28"/>
          <w:szCs w:val="28"/>
          <w:lang w:val="en-US"/>
        </w:rPr>
        <w:t xml:space="preserve">rights. For instance, </w:t>
      </w:r>
      <w:r w:rsidR="00466E86" w:rsidRPr="00097F13">
        <w:rPr>
          <w:rFonts w:ascii="Arial" w:hAnsi="Arial" w:cs="Arial"/>
          <w:sz w:val="28"/>
          <w:szCs w:val="28"/>
          <w:lang w:val="en-US"/>
        </w:rPr>
        <w:t>in the case of survivors of attacks, shelters for victims are fundamental. In some cases, children with albinism surviving an attack are placed in residential schools as a protective measure. However, “shelters, such as police stations, schools or centres built for other needs, (…) were neither designed nor prepared for an influx of persons with albinism, nor are they equipped to address the special needs of persons with albinism.”</w:t>
      </w:r>
      <w:r w:rsidR="00466E86">
        <w:rPr>
          <w:rStyle w:val="FootnoteReference"/>
          <w:rFonts w:ascii="Arial" w:hAnsi="Arial" w:cs="Arial"/>
          <w:sz w:val="28"/>
          <w:szCs w:val="28"/>
          <w:lang w:val="en-US"/>
        </w:rPr>
        <w:footnoteReference w:id="17"/>
      </w:r>
      <w:r w:rsidR="00466E86" w:rsidRPr="00097F13">
        <w:rPr>
          <w:rFonts w:ascii="Arial" w:hAnsi="Arial" w:cs="Arial"/>
          <w:sz w:val="28"/>
          <w:szCs w:val="28"/>
          <w:lang w:val="en-US"/>
        </w:rPr>
        <w:t xml:space="preserve"> Further, the grouping of persons with albinism in temporary shelters contributes to their long-term stigmatization</w:t>
      </w:r>
      <w:r w:rsidR="00466E86">
        <w:rPr>
          <w:rStyle w:val="FootnoteReference"/>
          <w:rFonts w:ascii="Arial" w:hAnsi="Arial" w:cs="Arial"/>
          <w:sz w:val="28"/>
          <w:szCs w:val="28"/>
          <w:lang w:val="en-US"/>
        </w:rPr>
        <w:footnoteReference w:id="18"/>
      </w:r>
      <w:r w:rsidR="00466E86" w:rsidRPr="00097F13">
        <w:rPr>
          <w:rFonts w:ascii="Arial" w:hAnsi="Arial" w:cs="Arial"/>
          <w:sz w:val="28"/>
          <w:szCs w:val="28"/>
          <w:lang w:val="en-US"/>
        </w:rPr>
        <w:t>.</w:t>
      </w:r>
    </w:p>
    <w:p w14:paraId="7EA96EFE" w14:textId="77777777" w:rsidR="00097F13" w:rsidRPr="00097F13" w:rsidRDefault="00097F13" w:rsidP="00097F13">
      <w:pPr>
        <w:pStyle w:val="ListParagraph"/>
        <w:rPr>
          <w:rFonts w:ascii="Arial" w:hAnsi="Arial" w:cs="Arial"/>
          <w:sz w:val="28"/>
          <w:szCs w:val="28"/>
          <w:lang w:val="en-US"/>
        </w:rPr>
      </w:pPr>
    </w:p>
    <w:p w14:paraId="5269C44E" w14:textId="77777777" w:rsidR="00097F13" w:rsidRDefault="008428A5" w:rsidP="00097F13">
      <w:pPr>
        <w:pStyle w:val="ListParagraph"/>
        <w:numPr>
          <w:ilvl w:val="0"/>
          <w:numId w:val="3"/>
        </w:numPr>
        <w:autoSpaceDE w:val="0"/>
        <w:autoSpaceDN w:val="0"/>
        <w:adjustRightInd w:val="0"/>
        <w:spacing w:after="0"/>
        <w:ind w:left="0" w:firstLine="0"/>
        <w:jc w:val="both"/>
        <w:rPr>
          <w:rFonts w:ascii="Arial" w:hAnsi="Arial" w:cs="Arial"/>
          <w:sz w:val="28"/>
          <w:szCs w:val="28"/>
          <w:lang w:val="en-US"/>
        </w:rPr>
      </w:pPr>
      <w:r w:rsidRPr="00097F13">
        <w:rPr>
          <w:rFonts w:ascii="Arial" w:hAnsi="Arial" w:cs="Arial"/>
          <w:sz w:val="28"/>
          <w:szCs w:val="28"/>
          <w:lang w:val="en-US"/>
        </w:rPr>
        <w:t>The report of numerous cases of ritual attacks in Sub Saharan Africa clearly establishes a pre-existing pattern of violence justifying the States parties’ duty to take special measures</w:t>
      </w:r>
      <w:r w:rsidR="008853D2" w:rsidRPr="00097F13">
        <w:rPr>
          <w:rFonts w:ascii="Arial" w:hAnsi="Arial" w:cs="Arial"/>
          <w:sz w:val="28"/>
          <w:szCs w:val="28"/>
          <w:lang w:val="en-US"/>
        </w:rPr>
        <w:t xml:space="preserve"> as elaborated in paragraph 27</w:t>
      </w:r>
      <w:r w:rsidRPr="00097F13">
        <w:rPr>
          <w:rFonts w:ascii="Arial" w:hAnsi="Arial" w:cs="Arial"/>
          <w:sz w:val="28"/>
          <w:szCs w:val="28"/>
          <w:lang w:val="en-US"/>
        </w:rPr>
        <w:t>. While immediate, urgent and effective measures of protection must be taken, the duty to protect the right to life should also require States parties to take medium and long-term measures to address the root causes of acts of deprivation of life.</w:t>
      </w:r>
    </w:p>
    <w:p w14:paraId="7908AF10" w14:textId="77777777" w:rsidR="00097F13" w:rsidRPr="00097F13" w:rsidRDefault="00097F13" w:rsidP="00097F13">
      <w:pPr>
        <w:pStyle w:val="ListParagraph"/>
        <w:rPr>
          <w:rFonts w:ascii="Arial" w:hAnsi="Arial" w:cs="Arial"/>
          <w:sz w:val="28"/>
          <w:szCs w:val="28"/>
          <w:lang w:val="en-US"/>
        </w:rPr>
      </w:pPr>
    </w:p>
    <w:p w14:paraId="74A38EB5" w14:textId="6010C0C7" w:rsidR="00097F13" w:rsidRPr="00097F13" w:rsidRDefault="008428A5" w:rsidP="00097F13">
      <w:pPr>
        <w:pStyle w:val="ListParagraph"/>
        <w:numPr>
          <w:ilvl w:val="0"/>
          <w:numId w:val="3"/>
        </w:numPr>
        <w:autoSpaceDE w:val="0"/>
        <w:autoSpaceDN w:val="0"/>
        <w:adjustRightInd w:val="0"/>
        <w:spacing w:after="0"/>
        <w:ind w:left="0" w:firstLine="0"/>
        <w:jc w:val="both"/>
        <w:rPr>
          <w:rFonts w:ascii="Arial" w:hAnsi="Arial" w:cs="Arial"/>
          <w:sz w:val="28"/>
          <w:szCs w:val="28"/>
          <w:lang w:val="en-US"/>
        </w:rPr>
      </w:pPr>
      <w:r w:rsidRPr="00097F13">
        <w:rPr>
          <w:rFonts w:ascii="Arial" w:hAnsi="Arial" w:cs="Arial"/>
          <w:sz w:val="28"/>
          <w:szCs w:val="28"/>
          <w:lang w:val="en-US"/>
        </w:rPr>
        <w:t xml:space="preserve">In this regard, </w:t>
      </w:r>
      <w:r w:rsidR="00842AAD" w:rsidRPr="00097F13">
        <w:rPr>
          <w:rFonts w:ascii="Arial" w:hAnsi="Arial" w:cs="Arial"/>
          <w:sz w:val="28"/>
          <w:szCs w:val="28"/>
          <w:lang w:val="en-US"/>
        </w:rPr>
        <w:t>a Regional Action Plan to prevent and end attacks</w:t>
      </w:r>
      <w:r w:rsidR="008853D2" w:rsidRPr="00097F13">
        <w:rPr>
          <w:rFonts w:ascii="Arial" w:hAnsi="Arial" w:cs="Arial"/>
          <w:sz w:val="28"/>
          <w:szCs w:val="28"/>
          <w:lang w:val="en-US"/>
        </w:rPr>
        <w:t xml:space="preserve"> in Africa by 2021</w:t>
      </w:r>
      <w:r w:rsidR="00842AAD" w:rsidRPr="00097F13">
        <w:rPr>
          <w:rFonts w:ascii="Arial" w:hAnsi="Arial" w:cs="Arial"/>
          <w:sz w:val="28"/>
          <w:szCs w:val="28"/>
          <w:lang w:val="en-US"/>
        </w:rPr>
        <w:t xml:space="preserve"> has been developed under the auspices of my mandate and subsequently endorsed by the African Commission on </w:t>
      </w:r>
      <w:r w:rsidR="00842AAD" w:rsidRPr="00097F13">
        <w:rPr>
          <w:rFonts w:ascii="Arial" w:hAnsi="Arial" w:cs="Arial"/>
          <w:sz w:val="28"/>
          <w:szCs w:val="28"/>
        </w:rPr>
        <w:t>the African Commission on Human and People’s Rights in May 2017. It</w:t>
      </w:r>
      <w:r w:rsidR="00842AAD" w:rsidRPr="00097F13">
        <w:rPr>
          <w:rFonts w:ascii="Arial" w:eastAsia="Times New Roman" w:hAnsi="Arial" w:cs="Arial"/>
          <w:sz w:val="28"/>
          <w:szCs w:val="28"/>
        </w:rPr>
        <w:t xml:space="preserve"> consists of 15 concrete measures of prevention, protection, accountability, equality and non-discrimination, with immediate, medium and long term scope, </w:t>
      </w:r>
      <w:r w:rsidR="007C400E" w:rsidRPr="00097F13">
        <w:rPr>
          <w:rFonts w:ascii="Arial" w:eastAsia="Times New Roman" w:hAnsi="Arial" w:cs="Arial"/>
          <w:sz w:val="28"/>
          <w:szCs w:val="28"/>
        </w:rPr>
        <w:t>as a framework</w:t>
      </w:r>
      <w:r w:rsidR="00842AAD" w:rsidRPr="00097F13">
        <w:rPr>
          <w:rFonts w:ascii="Arial" w:eastAsia="Times New Roman" w:hAnsi="Arial" w:cs="Arial"/>
          <w:sz w:val="28"/>
          <w:szCs w:val="28"/>
        </w:rPr>
        <w:t xml:space="preserve"> for </w:t>
      </w:r>
      <w:r w:rsidR="007C400E" w:rsidRPr="00097F13">
        <w:rPr>
          <w:rFonts w:ascii="Arial" w:eastAsia="Times New Roman" w:hAnsi="Arial" w:cs="Arial"/>
          <w:sz w:val="28"/>
          <w:szCs w:val="28"/>
        </w:rPr>
        <w:t xml:space="preserve">State action, in particular by </w:t>
      </w:r>
      <w:r w:rsidR="00842AAD" w:rsidRPr="00097F13">
        <w:rPr>
          <w:rFonts w:ascii="Arial" w:eastAsia="Times New Roman" w:hAnsi="Arial" w:cs="Arial"/>
          <w:sz w:val="28"/>
          <w:szCs w:val="28"/>
        </w:rPr>
        <w:t>adopting national plans and policies</w:t>
      </w:r>
      <w:r w:rsidR="007C400E" w:rsidRPr="00097F13">
        <w:rPr>
          <w:rFonts w:ascii="Arial" w:eastAsia="Times New Roman" w:hAnsi="Arial" w:cs="Arial"/>
          <w:sz w:val="28"/>
          <w:szCs w:val="28"/>
        </w:rPr>
        <w:t xml:space="preserve"> in conformity with States parties’ obligations to respect and protect life under article 6 of the Covenant. </w:t>
      </w:r>
    </w:p>
    <w:p w14:paraId="72ACB741" w14:textId="77777777" w:rsidR="00097F13" w:rsidRPr="00097F13" w:rsidRDefault="00097F13" w:rsidP="00097F13">
      <w:pPr>
        <w:pStyle w:val="ListParagraph"/>
        <w:rPr>
          <w:rFonts w:ascii="Arial" w:hAnsi="Arial" w:cs="Arial"/>
          <w:sz w:val="28"/>
          <w:szCs w:val="28"/>
          <w:lang w:val="en-US"/>
        </w:rPr>
      </w:pPr>
    </w:p>
    <w:p w14:paraId="749464EA" w14:textId="6D505BDD" w:rsidR="00097F13" w:rsidRDefault="008853D2" w:rsidP="00097F13">
      <w:pPr>
        <w:pStyle w:val="ListParagraph"/>
        <w:numPr>
          <w:ilvl w:val="0"/>
          <w:numId w:val="3"/>
        </w:numPr>
        <w:autoSpaceDE w:val="0"/>
        <w:autoSpaceDN w:val="0"/>
        <w:adjustRightInd w:val="0"/>
        <w:spacing w:after="0"/>
        <w:ind w:left="0" w:firstLine="0"/>
        <w:jc w:val="both"/>
        <w:rPr>
          <w:rFonts w:ascii="Arial" w:hAnsi="Arial" w:cs="Arial"/>
          <w:sz w:val="28"/>
          <w:szCs w:val="28"/>
          <w:lang w:val="en-US"/>
        </w:rPr>
      </w:pPr>
      <w:r w:rsidRPr="00097F13">
        <w:rPr>
          <w:rFonts w:ascii="Arial" w:hAnsi="Arial" w:cs="Arial"/>
          <w:sz w:val="28"/>
          <w:szCs w:val="28"/>
          <w:lang w:val="en-US"/>
        </w:rPr>
        <w:t>In this line, t</w:t>
      </w:r>
      <w:r w:rsidR="009631D5" w:rsidRPr="00097F13">
        <w:rPr>
          <w:rFonts w:ascii="Arial" w:hAnsi="Arial" w:cs="Arial"/>
          <w:sz w:val="28"/>
          <w:szCs w:val="28"/>
          <w:lang w:val="en-US"/>
        </w:rPr>
        <w:t xml:space="preserve">he recognition of the duty to “take appropriate measures to address the general conditions in societies that give rise to direct threats to life or prevent individuals from the enjoying their right </w:t>
      </w:r>
      <w:r w:rsidR="00B82720" w:rsidRPr="00097F13">
        <w:rPr>
          <w:rFonts w:ascii="Arial" w:hAnsi="Arial" w:cs="Arial"/>
          <w:sz w:val="28"/>
          <w:szCs w:val="28"/>
          <w:lang w:val="en-US"/>
        </w:rPr>
        <w:t>to</w:t>
      </w:r>
      <w:r w:rsidR="009631D5" w:rsidRPr="00097F13">
        <w:rPr>
          <w:rFonts w:ascii="Arial" w:hAnsi="Arial" w:cs="Arial"/>
          <w:sz w:val="28"/>
          <w:szCs w:val="28"/>
          <w:lang w:val="en-US"/>
        </w:rPr>
        <w:t xml:space="preserve"> life with dignity” (paragraph 30) resonates with the issue of root causes </w:t>
      </w:r>
      <w:r w:rsidRPr="00097F13">
        <w:rPr>
          <w:rFonts w:ascii="Arial" w:hAnsi="Arial" w:cs="Arial"/>
          <w:sz w:val="28"/>
          <w:szCs w:val="28"/>
          <w:lang w:val="en-US"/>
        </w:rPr>
        <w:t>while</w:t>
      </w:r>
      <w:r w:rsidR="00C81581" w:rsidRPr="00097F13">
        <w:rPr>
          <w:rFonts w:ascii="Arial" w:hAnsi="Arial" w:cs="Arial"/>
          <w:sz w:val="28"/>
          <w:szCs w:val="28"/>
          <w:lang w:val="en-US"/>
        </w:rPr>
        <w:t xml:space="preserve"> explicitly</w:t>
      </w:r>
      <w:r w:rsidRPr="00097F13">
        <w:rPr>
          <w:rFonts w:ascii="Arial" w:hAnsi="Arial" w:cs="Arial"/>
          <w:sz w:val="28"/>
          <w:szCs w:val="28"/>
          <w:lang w:val="en-US"/>
        </w:rPr>
        <w:t xml:space="preserve"> referring</w:t>
      </w:r>
      <w:r w:rsidR="00C81581" w:rsidRPr="00097F13">
        <w:rPr>
          <w:rFonts w:ascii="Arial" w:hAnsi="Arial" w:cs="Arial"/>
          <w:sz w:val="28"/>
          <w:szCs w:val="28"/>
          <w:lang w:val="en-US"/>
        </w:rPr>
        <w:t xml:space="preserve"> to</w:t>
      </w:r>
      <w:r w:rsidR="009631D5" w:rsidRPr="00097F13">
        <w:rPr>
          <w:rFonts w:ascii="Arial" w:hAnsi="Arial" w:cs="Arial"/>
          <w:sz w:val="28"/>
          <w:szCs w:val="28"/>
          <w:lang w:val="en-US"/>
        </w:rPr>
        <w:t xml:space="preserve"> medium and long term measures. </w:t>
      </w:r>
      <w:r w:rsidR="00B82720" w:rsidRPr="00097F13">
        <w:rPr>
          <w:rFonts w:ascii="Arial" w:hAnsi="Arial" w:cs="Arial"/>
          <w:sz w:val="28"/>
          <w:szCs w:val="28"/>
          <w:lang w:val="en-US"/>
        </w:rPr>
        <w:t>Some general conditions</w:t>
      </w:r>
      <w:r w:rsidR="00FD7599" w:rsidRPr="00097F13">
        <w:rPr>
          <w:rFonts w:ascii="Arial" w:hAnsi="Arial" w:cs="Arial"/>
          <w:sz w:val="28"/>
          <w:szCs w:val="28"/>
          <w:lang w:val="en-US"/>
        </w:rPr>
        <w:t xml:space="preserve"> </w:t>
      </w:r>
      <w:r w:rsidR="00143014" w:rsidRPr="00097F13">
        <w:rPr>
          <w:rFonts w:ascii="Arial" w:hAnsi="Arial" w:cs="Arial"/>
          <w:sz w:val="28"/>
          <w:szCs w:val="28"/>
          <w:lang w:val="en-US"/>
        </w:rPr>
        <w:t>conducive to rit</w:t>
      </w:r>
      <w:r w:rsidRPr="00097F13">
        <w:rPr>
          <w:rFonts w:ascii="Arial" w:hAnsi="Arial" w:cs="Arial"/>
          <w:sz w:val="28"/>
          <w:szCs w:val="28"/>
          <w:lang w:val="en-US"/>
        </w:rPr>
        <w:t xml:space="preserve">ual killings </w:t>
      </w:r>
      <w:r w:rsidR="00B82720" w:rsidRPr="00097F13">
        <w:rPr>
          <w:rFonts w:ascii="Arial" w:hAnsi="Arial" w:cs="Arial"/>
          <w:sz w:val="28"/>
          <w:szCs w:val="28"/>
          <w:lang w:val="en-US"/>
        </w:rPr>
        <w:t xml:space="preserve">are </w:t>
      </w:r>
      <w:r w:rsidR="00143014" w:rsidRPr="00097F13">
        <w:rPr>
          <w:rFonts w:ascii="Arial" w:hAnsi="Arial" w:cs="Arial"/>
          <w:sz w:val="28"/>
          <w:szCs w:val="28"/>
          <w:lang w:val="en-US"/>
        </w:rPr>
        <w:t>widespread misbeliefs and harmful practice</w:t>
      </w:r>
      <w:r w:rsidR="00FD7599" w:rsidRPr="00097F13">
        <w:rPr>
          <w:rFonts w:ascii="Arial" w:hAnsi="Arial" w:cs="Arial"/>
          <w:sz w:val="28"/>
          <w:szCs w:val="28"/>
          <w:lang w:val="en-US"/>
        </w:rPr>
        <w:t xml:space="preserve">s </w:t>
      </w:r>
      <w:r w:rsidR="008E7B0A">
        <w:rPr>
          <w:rFonts w:ascii="Arial" w:hAnsi="Arial" w:cs="Arial"/>
          <w:sz w:val="28"/>
          <w:szCs w:val="28"/>
          <w:lang w:val="en-US"/>
        </w:rPr>
        <w:t>related to</w:t>
      </w:r>
      <w:r w:rsidR="00143014" w:rsidRPr="00097F13">
        <w:rPr>
          <w:rFonts w:ascii="Arial" w:hAnsi="Arial" w:cs="Arial"/>
          <w:sz w:val="28"/>
          <w:szCs w:val="28"/>
          <w:lang w:val="en-US"/>
        </w:rPr>
        <w:t xml:space="preserve"> witchcraft. Among the root causes of attacks</w:t>
      </w:r>
      <w:r w:rsidRPr="00097F13">
        <w:rPr>
          <w:rFonts w:ascii="Arial" w:hAnsi="Arial" w:cs="Arial"/>
          <w:sz w:val="28"/>
          <w:szCs w:val="28"/>
          <w:lang w:val="en-US"/>
        </w:rPr>
        <w:t xml:space="preserve">, </w:t>
      </w:r>
      <w:r w:rsidR="00143014" w:rsidRPr="00097F13">
        <w:rPr>
          <w:rFonts w:ascii="Arial" w:hAnsi="Arial" w:cs="Arial"/>
          <w:sz w:val="28"/>
          <w:szCs w:val="28"/>
          <w:lang w:val="en-US"/>
        </w:rPr>
        <w:t xml:space="preserve">“witchcraft is one of the most challenging, owing to </w:t>
      </w:r>
      <w:r w:rsidR="00B82720" w:rsidRPr="00097F13">
        <w:rPr>
          <w:rFonts w:ascii="Arial" w:hAnsi="Arial" w:cs="Arial"/>
          <w:sz w:val="28"/>
          <w:szCs w:val="28"/>
          <w:lang w:val="en-US"/>
        </w:rPr>
        <w:t>its</w:t>
      </w:r>
      <w:r w:rsidR="00143014" w:rsidRPr="00097F13">
        <w:rPr>
          <w:rFonts w:ascii="Arial" w:hAnsi="Arial" w:cs="Arial"/>
          <w:sz w:val="28"/>
          <w:szCs w:val="28"/>
          <w:lang w:val="en-US"/>
        </w:rPr>
        <w:t xml:space="preserve"> complexity and the inherent barriers to conceptualization of the phenomena. Yet addressing witchcraft remains a priority, as it is at the crux of attacks against persons with albinism.”</w:t>
      </w:r>
      <w:r w:rsidR="00143014">
        <w:rPr>
          <w:rStyle w:val="FootnoteReference"/>
          <w:rFonts w:ascii="Arial" w:hAnsi="Arial" w:cs="Arial"/>
          <w:sz w:val="28"/>
          <w:szCs w:val="28"/>
          <w:lang w:val="en-US"/>
        </w:rPr>
        <w:footnoteReference w:id="19"/>
      </w:r>
      <w:r w:rsidR="009631D5" w:rsidRPr="00097F13">
        <w:rPr>
          <w:rFonts w:ascii="Arial" w:hAnsi="Arial" w:cs="Arial"/>
          <w:sz w:val="28"/>
          <w:szCs w:val="28"/>
          <w:lang w:val="en-US"/>
        </w:rPr>
        <w:t xml:space="preserve"> </w:t>
      </w:r>
      <w:r w:rsidR="00143014" w:rsidRPr="00097F13">
        <w:rPr>
          <w:rFonts w:ascii="Arial" w:hAnsi="Arial" w:cs="Arial"/>
          <w:sz w:val="28"/>
          <w:szCs w:val="28"/>
          <w:lang w:val="en-US"/>
        </w:rPr>
        <w:t xml:space="preserve">Therefore, witchcraft </w:t>
      </w:r>
      <w:r w:rsidR="00B82720" w:rsidRPr="00097F13">
        <w:rPr>
          <w:rFonts w:ascii="Arial" w:hAnsi="Arial" w:cs="Arial"/>
          <w:sz w:val="28"/>
          <w:szCs w:val="28"/>
          <w:lang w:val="en-US"/>
        </w:rPr>
        <w:t xml:space="preserve">related </w:t>
      </w:r>
      <w:r w:rsidR="00143014" w:rsidRPr="00097F13">
        <w:rPr>
          <w:rFonts w:ascii="Arial" w:hAnsi="Arial" w:cs="Arial"/>
          <w:sz w:val="28"/>
          <w:szCs w:val="28"/>
          <w:lang w:val="en-US"/>
        </w:rPr>
        <w:t>misbeliefs and harmful practices</w:t>
      </w:r>
      <w:r w:rsidR="00B82720" w:rsidRPr="00097F13">
        <w:rPr>
          <w:rFonts w:ascii="Arial" w:hAnsi="Arial" w:cs="Arial"/>
          <w:sz w:val="28"/>
          <w:szCs w:val="28"/>
          <w:lang w:val="en-US"/>
        </w:rPr>
        <w:t>, including ritual killings,</w:t>
      </w:r>
      <w:r w:rsidR="00143014" w:rsidRPr="00097F13">
        <w:rPr>
          <w:rFonts w:ascii="Arial" w:hAnsi="Arial" w:cs="Arial"/>
          <w:sz w:val="28"/>
          <w:szCs w:val="28"/>
          <w:lang w:val="en-US"/>
        </w:rPr>
        <w:t xml:space="preserve"> constitute a general condition that must be addressed by States parties, to comply with the duty to protect life</w:t>
      </w:r>
      <w:r w:rsidRPr="00097F13">
        <w:rPr>
          <w:rFonts w:ascii="Arial" w:hAnsi="Arial" w:cs="Arial"/>
          <w:sz w:val="28"/>
          <w:szCs w:val="28"/>
          <w:lang w:val="en-US"/>
        </w:rPr>
        <w:t xml:space="preserve"> of persons with albinism</w:t>
      </w:r>
      <w:r w:rsidR="00143014" w:rsidRPr="00097F13">
        <w:rPr>
          <w:rFonts w:ascii="Arial" w:hAnsi="Arial" w:cs="Arial"/>
          <w:sz w:val="28"/>
          <w:szCs w:val="28"/>
          <w:lang w:val="en-US"/>
        </w:rPr>
        <w:t xml:space="preserve">. </w:t>
      </w:r>
    </w:p>
    <w:p w14:paraId="609AB661" w14:textId="77777777" w:rsidR="00097F13" w:rsidRPr="00097F13" w:rsidRDefault="00097F13" w:rsidP="00097F13">
      <w:pPr>
        <w:pStyle w:val="ListParagraph"/>
        <w:rPr>
          <w:rFonts w:ascii="Arial" w:hAnsi="Arial" w:cs="Arial"/>
          <w:sz w:val="28"/>
          <w:szCs w:val="28"/>
          <w:lang w:val="en-US"/>
        </w:rPr>
      </w:pPr>
    </w:p>
    <w:p w14:paraId="67EC739E" w14:textId="30092B46" w:rsidR="00ED7938" w:rsidRPr="00097F13" w:rsidRDefault="004F4031" w:rsidP="00097F13">
      <w:pPr>
        <w:pStyle w:val="ListParagraph"/>
        <w:numPr>
          <w:ilvl w:val="0"/>
          <w:numId w:val="3"/>
        </w:numPr>
        <w:autoSpaceDE w:val="0"/>
        <w:autoSpaceDN w:val="0"/>
        <w:adjustRightInd w:val="0"/>
        <w:spacing w:after="0"/>
        <w:ind w:left="0" w:firstLine="0"/>
        <w:jc w:val="both"/>
        <w:rPr>
          <w:rFonts w:ascii="Arial" w:hAnsi="Arial" w:cs="Arial"/>
          <w:sz w:val="28"/>
          <w:szCs w:val="28"/>
          <w:lang w:val="en-US"/>
        </w:rPr>
      </w:pPr>
      <w:r w:rsidRPr="00097F13">
        <w:rPr>
          <w:rFonts w:ascii="Arial" w:hAnsi="Arial" w:cs="Arial"/>
          <w:sz w:val="28"/>
          <w:szCs w:val="28"/>
          <w:lang w:val="en-US"/>
        </w:rPr>
        <w:t>In the case of persons with albinism living in rural areas and tropical climate</w:t>
      </w:r>
      <w:r w:rsidR="00B82720" w:rsidRPr="00097F13">
        <w:rPr>
          <w:rFonts w:ascii="Arial" w:hAnsi="Arial" w:cs="Arial"/>
          <w:sz w:val="28"/>
          <w:szCs w:val="28"/>
          <w:lang w:val="en-US"/>
        </w:rPr>
        <w:t>s</w:t>
      </w:r>
      <w:r w:rsidRPr="00097F13">
        <w:rPr>
          <w:rFonts w:ascii="Arial" w:hAnsi="Arial" w:cs="Arial"/>
          <w:sz w:val="28"/>
          <w:szCs w:val="28"/>
          <w:lang w:val="en-US"/>
        </w:rPr>
        <w:t xml:space="preserve">, the exposure to the sun is almost permanent. In this context and due to the lack of melanin in their skin, persons </w:t>
      </w:r>
      <w:r w:rsidR="002C3044" w:rsidRPr="00097F13">
        <w:rPr>
          <w:rFonts w:ascii="Arial" w:hAnsi="Arial" w:cs="Arial"/>
          <w:sz w:val="28"/>
          <w:szCs w:val="28"/>
          <w:lang w:val="en-US"/>
        </w:rPr>
        <w:t>with</w:t>
      </w:r>
      <w:r w:rsidRPr="00097F13">
        <w:rPr>
          <w:rFonts w:ascii="Arial" w:hAnsi="Arial" w:cs="Arial"/>
          <w:sz w:val="28"/>
          <w:szCs w:val="28"/>
          <w:lang w:val="en-US"/>
        </w:rPr>
        <w:t xml:space="preserve"> albinism are highly vulnerable to skin cancer. </w:t>
      </w:r>
      <w:r w:rsidR="008853D2" w:rsidRPr="00097F13">
        <w:rPr>
          <w:rFonts w:ascii="Arial" w:hAnsi="Arial" w:cs="Arial"/>
          <w:sz w:val="28"/>
          <w:szCs w:val="28"/>
        </w:rPr>
        <w:t>Thus</w:t>
      </w:r>
      <w:r w:rsidRPr="00097F13">
        <w:rPr>
          <w:rFonts w:ascii="Arial" w:hAnsi="Arial" w:cs="Arial"/>
          <w:sz w:val="28"/>
          <w:szCs w:val="28"/>
        </w:rPr>
        <w:t xml:space="preserve">, </w:t>
      </w:r>
      <w:r w:rsidR="008853D2" w:rsidRPr="00097F13">
        <w:rPr>
          <w:rFonts w:ascii="Arial" w:hAnsi="Arial" w:cs="Arial"/>
          <w:sz w:val="28"/>
          <w:szCs w:val="28"/>
        </w:rPr>
        <w:t>s</w:t>
      </w:r>
      <w:r w:rsidRPr="00097F13">
        <w:rPr>
          <w:rFonts w:ascii="Arial" w:hAnsi="Arial" w:cs="Arial"/>
          <w:sz w:val="28"/>
          <w:szCs w:val="28"/>
        </w:rPr>
        <w:t xml:space="preserve">kin cancer </w:t>
      </w:r>
      <w:r w:rsidR="008853D2" w:rsidRPr="00097F13">
        <w:rPr>
          <w:rFonts w:ascii="Arial" w:hAnsi="Arial" w:cs="Arial"/>
          <w:sz w:val="28"/>
          <w:szCs w:val="28"/>
        </w:rPr>
        <w:t xml:space="preserve">is </w:t>
      </w:r>
      <w:r w:rsidRPr="00097F13">
        <w:rPr>
          <w:rFonts w:ascii="Arial" w:hAnsi="Arial" w:cs="Arial"/>
          <w:sz w:val="28"/>
          <w:szCs w:val="28"/>
        </w:rPr>
        <w:t>a life-threatening condition for most persons with albinism.</w:t>
      </w:r>
      <w:r w:rsidR="00C81581" w:rsidRPr="00097F13">
        <w:rPr>
          <w:rFonts w:ascii="Arial" w:hAnsi="Arial" w:cs="Arial"/>
          <w:sz w:val="28"/>
          <w:szCs w:val="28"/>
        </w:rPr>
        <w:t xml:space="preserve"> </w:t>
      </w:r>
      <w:r w:rsidR="008853D2" w:rsidRPr="00097F13">
        <w:rPr>
          <w:rFonts w:ascii="Arial" w:hAnsi="Arial" w:cs="Arial"/>
          <w:sz w:val="28"/>
          <w:szCs w:val="28"/>
        </w:rPr>
        <w:t>“</w:t>
      </w:r>
      <w:r w:rsidR="00C81581" w:rsidRPr="00097F13">
        <w:rPr>
          <w:rFonts w:ascii="Arial" w:hAnsi="Arial" w:cs="Arial"/>
          <w:sz w:val="28"/>
          <w:szCs w:val="28"/>
        </w:rPr>
        <w:t>Some reports indicate that most persons with albinism die from skin cancer between the ages of 30 and 40 years”.</w:t>
      </w:r>
      <w:r w:rsidRPr="00C9234D">
        <w:rPr>
          <w:rStyle w:val="FootnoteReference"/>
          <w:rFonts w:ascii="Arial" w:hAnsi="Arial" w:cs="Arial"/>
          <w:sz w:val="28"/>
          <w:szCs w:val="28"/>
        </w:rPr>
        <w:footnoteReference w:id="20"/>
      </w:r>
      <w:r w:rsidR="00C81581" w:rsidRPr="00097F13">
        <w:rPr>
          <w:rFonts w:ascii="Arial" w:hAnsi="Arial" w:cs="Arial"/>
          <w:sz w:val="28"/>
          <w:szCs w:val="28"/>
        </w:rPr>
        <w:t xml:space="preserve"> </w:t>
      </w:r>
      <w:r w:rsidR="00C81581" w:rsidRPr="00097F13">
        <w:rPr>
          <w:rFonts w:ascii="Arial" w:hAnsi="Arial" w:cs="Arial"/>
          <w:sz w:val="28"/>
          <w:szCs w:val="28"/>
          <w:lang w:val="en-US"/>
        </w:rPr>
        <w:t>T</w:t>
      </w:r>
      <w:r w:rsidR="00C81581" w:rsidRPr="00097F13">
        <w:rPr>
          <w:rFonts w:ascii="Arial" w:hAnsi="Arial" w:cs="Arial"/>
          <w:sz w:val="28"/>
          <w:szCs w:val="28"/>
        </w:rPr>
        <w:t>he prospects of limited access to preventive measures and treatments inevitably lead to premature althou</w:t>
      </w:r>
      <w:r w:rsidR="0028420B" w:rsidRPr="00097F13">
        <w:rPr>
          <w:rFonts w:ascii="Arial" w:hAnsi="Arial" w:cs="Arial"/>
          <w:sz w:val="28"/>
          <w:szCs w:val="28"/>
        </w:rPr>
        <w:t>gh preventable death despite the fact</w:t>
      </w:r>
      <w:r w:rsidR="00C81581" w:rsidRPr="00097F13">
        <w:rPr>
          <w:rFonts w:ascii="Arial" w:hAnsi="Arial" w:cs="Arial"/>
          <w:sz w:val="28"/>
          <w:szCs w:val="28"/>
        </w:rPr>
        <w:t xml:space="preserve"> that skin vulnerability of persons with albinism has been known </w:t>
      </w:r>
      <w:r w:rsidR="00FB35C3">
        <w:rPr>
          <w:rFonts w:ascii="Arial" w:hAnsi="Arial" w:cs="Arial"/>
          <w:sz w:val="28"/>
          <w:szCs w:val="28"/>
        </w:rPr>
        <w:t xml:space="preserve">worldwide </w:t>
      </w:r>
      <w:r w:rsidR="00C81581" w:rsidRPr="00097F13">
        <w:rPr>
          <w:rFonts w:ascii="Arial" w:hAnsi="Arial" w:cs="Arial"/>
          <w:sz w:val="28"/>
          <w:szCs w:val="28"/>
        </w:rPr>
        <w:t>for at least half century and t</w:t>
      </w:r>
      <w:r w:rsidR="0028420B" w:rsidRPr="00097F13">
        <w:rPr>
          <w:rFonts w:ascii="Arial" w:hAnsi="Arial" w:cs="Arial"/>
          <w:sz w:val="28"/>
          <w:szCs w:val="28"/>
        </w:rPr>
        <w:t>he</w:t>
      </w:r>
      <w:r w:rsidR="00FD7599" w:rsidRPr="00097F13">
        <w:rPr>
          <w:rFonts w:ascii="Arial" w:hAnsi="Arial" w:cs="Arial"/>
          <w:sz w:val="28"/>
          <w:szCs w:val="28"/>
        </w:rPr>
        <w:t>re is ample</w:t>
      </w:r>
      <w:r w:rsidR="0028420B" w:rsidRPr="00097F13">
        <w:rPr>
          <w:rFonts w:ascii="Arial" w:hAnsi="Arial" w:cs="Arial"/>
          <w:sz w:val="28"/>
          <w:szCs w:val="28"/>
        </w:rPr>
        <w:t xml:space="preserve"> evidence</w:t>
      </w:r>
      <w:r w:rsidR="00FD7599" w:rsidRPr="00097F13">
        <w:rPr>
          <w:rFonts w:ascii="Arial" w:hAnsi="Arial" w:cs="Arial"/>
          <w:sz w:val="28"/>
          <w:szCs w:val="28"/>
        </w:rPr>
        <w:t xml:space="preserve"> from nearly every region of the world</w:t>
      </w:r>
      <w:r w:rsidR="0028420B" w:rsidRPr="00097F13">
        <w:rPr>
          <w:rFonts w:ascii="Arial" w:hAnsi="Arial" w:cs="Arial"/>
          <w:sz w:val="28"/>
          <w:szCs w:val="28"/>
        </w:rPr>
        <w:t xml:space="preserve"> that</w:t>
      </w:r>
      <w:r w:rsidR="00C81581" w:rsidRPr="00097F13">
        <w:rPr>
          <w:rFonts w:ascii="Arial" w:hAnsi="Arial" w:cs="Arial"/>
          <w:sz w:val="28"/>
          <w:szCs w:val="28"/>
        </w:rPr>
        <w:t xml:space="preserve"> measures</w:t>
      </w:r>
      <w:r w:rsidR="0028420B" w:rsidRPr="00097F13">
        <w:rPr>
          <w:rFonts w:ascii="Arial" w:hAnsi="Arial" w:cs="Arial"/>
          <w:sz w:val="28"/>
          <w:szCs w:val="28"/>
        </w:rPr>
        <w:t xml:space="preserve"> of prevention</w:t>
      </w:r>
      <w:r w:rsidR="00C81581" w:rsidRPr="00097F13">
        <w:rPr>
          <w:rFonts w:ascii="Arial" w:hAnsi="Arial" w:cs="Arial"/>
          <w:sz w:val="28"/>
          <w:szCs w:val="28"/>
        </w:rPr>
        <w:t xml:space="preserve"> can be</w:t>
      </w:r>
      <w:r w:rsidR="00FD7599" w:rsidRPr="00097F13">
        <w:rPr>
          <w:rFonts w:ascii="Arial" w:hAnsi="Arial" w:cs="Arial"/>
          <w:sz w:val="28"/>
          <w:szCs w:val="28"/>
        </w:rPr>
        <w:t xml:space="preserve"> successfully</w:t>
      </w:r>
      <w:r w:rsidR="00C81581" w:rsidRPr="00097F13">
        <w:rPr>
          <w:rFonts w:ascii="Arial" w:hAnsi="Arial" w:cs="Arial"/>
          <w:sz w:val="28"/>
          <w:szCs w:val="28"/>
        </w:rPr>
        <w:t xml:space="preserve"> implemented with limited resources.</w:t>
      </w:r>
      <w:r w:rsidR="00C81581" w:rsidRPr="00C9234D">
        <w:rPr>
          <w:rStyle w:val="FootnoteReference"/>
          <w:rFonts w:ascii="Arial" w:hAnsi="Arial" w:cs="Arial"/>
          <w:sz w:val="28"/>
          <w:szCs w:val="28"/>
        </w:rPr>
        <w:footnoteReference w:id="21"/>
      </w:r>
      <w:r w:rsidR="0028420B" w:rsidRPr="00097F13">
        <w:rPr>
          <w:rFonts w:ascii="Arial" w:hAnsi="Arial" w:cs="Arial"/>
          <w:sz w:val="28"/>
          <w:szCs w:val="28"/>
        </w:rPr>
        <w:t xml:space="preserve"> Here, the lack of access to health services</w:t>
      </w:r>
      <w:r w:rsidR="00C9234D" w:rsidRPr="00097F13">
        <w:rPr>
          <w:rFonts w:ascii="Arial" w:hAnsi="Arial" w:cs="Arial"/>
          <w:sz w:val="28"/>
          <w:szCs w:val="28"/>
        </w:rPr>
        <w:t xml:space="preserve"> exacerbated by the too often precarious socio economic situation pf persons with albinism,”</w:t>
      </w:r>
      <w:r w:rsidR="0028420B" w:rsidRPr="00097F13">
        <w:rPr>
          <w:rFonts w:ascii="Arial" w:hAnsi="Arial" w:cs="Arial"/>
          <w:sz w:val="28"/>
          <w:szCs w:val="28"/>
        </w:rPr>
        <w:t xml:space="preserve"> constitutes a general condition in society to be addressed by States parties according to the nature, scope and limits of their obligations under article 6 of the Covenant.</w:t>
      </w:r>
    </w:p>
    <w:p w14:paraId="751C6205" w14:textId="77777777" w:rsidR="0028420B" w:rsidRPr="004F4031" w:rsidRDefault="0028420B" w:rsidP="0028420B">
      <w:pPr>
        <w:jc w:val="both"/>
        <w:rPr>
          <w:rFonts w:ascii="Arial" w:hAnsi="Arial" w:cs="Arial"/>
          <w:sz w:val="28"/>
          <w:szCs w:val="28"/>
        </w:rPr>
      </w:pPr>
    </w:p>
    <w:p w14:paraId="5CE940B1" w14:textId="77777777" w:rsidR="00842AAD" w:rsidRPr="004F4031" w:rsidRDefault="00842AAD" w:rsidP="0028420B">
      <w:pPr>
        <w:pStyle w:val="ListParagraph"/>
        <w:numPr>
          <w:ilvl w:val="0"/>
          <w:numId w:val="4"/>
        </w:numPr>
        <w:rPr>
          <w:rFonts w:ascii="Arial" w:hAnsi="Arial" w:cs="Arial"/>
          <w:b/>
          <w:sz w:val="28"/>
          <w:szCs w:val="28"/>
        </w:rPr>
      </w:pPr>
      <w:r w:rsidRPr="004F4031">
        <w:rPr>
          <w:rFonts w:ascii="Arial" w:hAnsi="Arial" w:cs="Arial"/>
          <w:b/>
          <w:sz w:val="28"/>
          <w:szCs w:val="28"/>
        </w:rPr>
        <w:t>Concluding remarks and s</w:t>
      </w:r>
      <w:r w:rsidR="00474EBD" w:rsidRPr="004F4031">
        <w:rPr>
          <w:rFonts w:ascii="Arial" w:hAnsi="Arial" w:cs="Arial"/>
          <w:b/>
          <w:sz w:val="28"/>
          <w:szCs w:val="28"/>
        </w:rPr>
        <w:t>uggestions</w:t>
      </w:r>
      <w:r w:rsidRPr="004F4031">
        <w:rPr>
          <w:rFonts w:ascii="Arial" w:hAnsi="Arial" w:cs="Arial"/>
          <w:b/>
          <w:sz w:val="28"/>
          <w:szCs w:val="28"/>
        </w:rPr>
        <w:t xml:space="preserve">: </w:t>
      </w:r>
    </w:p>
    <w:p w14:paraId="7B63AF46" w14:textId="77777777" w:rsidR="004F4031" w:rsidRPr="004F4031" w:rsidRDefault="004F4031" w:rsidP="0028420B">
      <w:pPr>
        <w:pStyle w:val="ListParagraph"/>
        <w:ind w:left="1080"/>
        <w:rPr>
          <w:rFonts w:ascii="Arial" w:hAnsi="Arial" w:cs="Arial"/>
          <w:b/>
          <w:sz w:val="28"/>
          <w:szCs w:val="28"/>
        </w:rPr>
      </w:pPr>
    </w:p>
    <w:p w14:paraId="0D2F4F79" w14:textId="6533B52D" w:rsidR="00097F13" w:rsidRDefault="0028420B" w:rsidP="00097F13">
      <w:pPr>
        <w:pStyle w:val="ListParagraph"/>
        <w:numPr>
          <w:ilvl w:val="0"/>
          <w:numId w:val="3"/>
        </w:numPr>
        <w:autoSpaceDE w:val="0"/>
        <w:autoSpaceDN w:val="0"/>
        <w:adjustRightInd w:val="0"/>
        <w:spacing w:after="0"/>
        <w:ind w:left="0" w:firstLine="0"/>
        <w:jc w:val="both"/>
        <w:rPr>
          <w:rFonts w:ascii="Arial" w:hAnsi="Arial" w:cs="Arial"/>
          <w:sz w:val="28"/>
          <w:szCs w:val="28"/>
        </w:rPr>
      </w:pPr>
      <w:r w:rsidRPr="00097F13">
        <w:rPr>
          <w:rFonts w:ascii="Arial" w:hAnsi="Arial" w:cs="Arial"/>
          <w:sz w:val="28"/>
          <w:szCs w:val="28"/>
          <w:lang w:val="en-US"/>
        </w:rPr>
        <w:t>T</w:t>
      </w:r>
      <w:r w:rsidR="00E664F4" w:rsidRPr="00097F13">
        <w:rPr>
          <w:rFonts w:ascii="Arial" w:hAnsi="Arial" w:cs="Arial"/>
          <w:sz w:val="28"/>
          <w:szCs w:val="28"/>
          <w:lang w:val="en-US"/>
        </w:rPr>
        <w:t>he</w:t>
      </w:r>
      <w:r w:rsidR="00E664F4">
        <w:rPr>
          <w:rFonts w:ascii="Arial" w:hAnsi="Arial" w:cs="Arial"/>
          <w:sz w:val="28"/>
          <w:szCs w:val="28"/>
        </w:rPr>
        <w:t xml:space="preserve"> enjoyment of the right to life</w:t>
      </w:r>
      <w:r>
        <w:rPr>
          <w:rFonts w:ascii="Arial" w:hAnsi="Arial" w:cs="Arial"/>
          <w:sz w:val="28"/>
          <w:szCs w:val="28"/>
        </w:rPr>
        <w:t xml:space="preserve"> must be respected and protected</w:t>
      </w:r>
      <w:r w:rsidR="00E664F4">
        <w:rPr>
          <w:rFonts w:ascii="Arial" w:hAnsi="Arial" w:cs="Arial"/>
          <w:sz w:val="28"/>
          <w:szCs w:val="28"/>
        </w:rPr>
        <w:t xml:space="preserve"> wit</w:t>
      </w:r>
      <w:r>
        <w:rPr>
          <w:rFonts w:ascii="Arial" w:hAnsi="Arial" w:cs="Arial"/>
          <w:sz w:val="28"/>
          <w:szCs w:val="28"/>
        </w:rPr>
        <w:t>hout discrimination of any kind</w:t>
      </w:r>
      <w:r w:rsidR="00E664F4">
        <w:rPr>
          <w:rFonts w:ascii="Arial" w:hAnsi="Arial" w:cs="Arial"/>
          <w:sz w:val="28"/>
          <w:szCs w:val="28"/>
        </w:rPr>
        <w:t xml:space="preserve">. As stated above, discrimination against persons with albinism is specific, and distinctive to other status taken separately, as it is grounded on the intersection of colour, this is to say racial discrimination, and disability. The explicit inclusion of albinism as a specific prohibited ground in the enjoyment of the right to life </w:t>
      </w:r>
      <w:r w:rsidR="00945EEB">
        <w:rPr>
          <w:rFonts w:ascii="Arial" w:hAnsi="Arial" w:cs="Arial"/>
          <w:sz w:val="28"/>
          <w:szCs w:val="28"/>
        </w:rPr>
        <w:t xml:space="preserve">in paragraph 64 </w:t>
      </w:r>
      <w:r w:rsidR="00E664F4">
        <w:rPr>
          <w:rFonts w:ascii="Arial" w:hAnsi="Arial" w:cs="Arial"/>
          <w:sz w:val="28"/>
          <w:szCs w:val="28"/>
        </w:rPr>
        <w:t>should be understood in the light of its intersecting nature and its extremely violent and often deadly manifestation.</w:t>
      </w:r>
    </w:p>
    <w:p w14:paraId="0BBA5C30" w14:textId="77777777" w:rsidR="00097F13" w:rsidRDefault="00097F13" w:rsidP="00097F13">
      <w:pPr>
        <w:pStyle w:val="ListParagraph"/>
        <w:autoSpaceDE w:val="0"/>
        <w:autoSpaceDN w:val="0"/>
        <w:adjustRightInd w:val="0"/>
        <w:spacing w:after="0"/>
        <w:ind w:left="0"/>
        <w:jc w:val="both"/>
        <w:rPr>
          <w:rFonts w:ascii="Arial" w:hAnsi="Arial" w:cs="Arial"/>
          <w:sz w:val="28"/>
          <w:szCs w:val="28"/>
        </w:rPr>
      </w:pPr>
    </w:p>
    <w:p w14:paraId="555D9D73" w14:textId="2995A7BA" w:rsidR="00097F13" w:rsidRDefault="0028420B" w:rsidP="00097F13">
      <w:pPr>
        <w:pStyle w:val="ListParagraph"/>
        <w:numPr>
          <w:ilvl w:val="0"/>
          <w:numId w:val="3"/>
        </w:numPr>
        <w:autoSpaceDE w:val="0"/>
        <w:autoSpaceDN w:val="0"/>
        <w:adjustRightInd w:val="0"/>
        <w:spacing w:after="0"/>
        <w:ind w:left="0" w:firstLine="0"/>
        <w:jc w:val="both"/>
        <w:rPr>
          <w:rFonts w:ascii="Arial" w:hAnsi="Arial" w:cs="Arial"/>
          <w:sz w:val="28"/>
          <w:szCs w:val="28"/>
        </w:rPr>
      </w:pPr>
      <w:r w:rsidRPr="00097F13">
        <w:rPr>
          <w:rFonts w:ascii="Arial" w:hAnsi="Arial" w:cs="Arial"/>
          <w:sz w:val="28"/>
          <w:szCs w:val="28"/>
        </w:rPr>
        <w:t>Considering the cruel</w:t>
      </w:r>
      <w:r w:rsidR="00842AAD" w:rsidRPr="00097F13">
        <w:rPr>
          <w:rFonts w:ascii="Arial" w:hAnsi="Arial" w:cs="Arial"/>
          <w:sz w:val="28"/>
          <w:szCs w:val="28"/>
        </w:rPr>
        <w:t xml:space="preserve"> nature of ritual attacks and the urgency of the situation, the mention of persons with albinism among the persons in situation of vulnerability whose lives are placed at particular risk because of </w:t>
      </w:r>
      <w:r w:rsidR="00842AAD" w:rsidRPr="00097F13">
        <w:rPr>
          <w:rFonts w:ascii="Arial" w:hAnsi="Arial" w:cs="Arial"/>
          <w:sz w:val="28"/>
          <w:szCs w:val="28"/>
        </w:rPr>
        <w:lastRenderedPageBreak/>
        <w:t>pre-existing patter</w:t>
      </w:r>
      <w:r w:rsidR="004F4031" w:rsidRPr="00097F13">
        <w:rPr>
          <w:rFonts w:ascii="Arial" w:hAnsi="Arial" w:cs="Arial"/>
          <w:sz w:val="28"/>
          <w:szCs w:val="28"/>
        </w:rPr>
        <w:t>n</w:t>
      </w:r>
      <w:r w:rsidR="00842AAD" w:rsidRPr="00097F13">
        <w:rPr>
          <w:rFonts w:ascii="Arial" w:hAnsi="Arial" w:cs="Arial"/>
          <w:sz w:val="28"/>
          <w:szCs w:val="28"/>
        </w:rPr>
        <w:t>s</w:t>
      </w:r>
      <w:r w:rsidR="005D1410" w:rsidRPr="00097F13">
        <w:rPr>
          <w:rFonts w:ascii="Arial" w:hAnsi="Arial" w:cs="Arial"/>
          <w:sz w:val="28"/>
          <w:szCs w:val="28"/>
        </w:rPr>
        <w:t xml:space="preserve"> of violence represents a significant milestone</w:t>
      </w:r>
      <w:r w:rsidRPr="00097F13">
        <w:rPr>
          <w:rFonts w:ascii="Arial" w:hAnsi="Arial" w:cs="Arial"/>
          <w:sz w:val="28"/>
          <w:szCs w:val="28"/>
        </w:rPr>
        <w:t xml:space="preserve"> in increasing visibility and recognition of the situation of persons with albinism</w:t>
      </w:r>
      <w:r w:rsidR="005D1410" w:rsidRPr="00097F13">
        <w:rPr>
          <w:rFonts w:ascii="Arial" w:hAnsi="Arial" w:cs="Arial"/>
          <w:sz w:val="28"/>
          <w:szCs w:val="28"/>
        </w:rPr>
        <w:t xml:space="preserve">, Therefore, the inclusion of “persons with albinism” in paragraph </w:t>
      </w:r>
      <w:r w:rsidR="00FB35C3">
        <w:rPr>
          <w:rFonts w:ascii="Arial" w:hAnsi="Arial" w:cs="Arial"/>
          <w:sz w:val="28"/>
          <w:szCs w:val="28"/>
        </w:rPr>
        <w:t>27</w:t>
      </w:r>
      <w:r w:rsidR="005D1410" w:rsidRPr="00097F13">
        <w:rPr>
          <w:rFonts w:ascii="Arial" w:hAnsi="Arial" w:cs="Arial"/>
          <w:sz w:val="28"/>
          <w:szCs w:val="28"/>
        </w:rPr>
        <w:t xml:space="preserve"> and “albinism” in paragraph 64 should remain in the final draft</w:t>
      </w:r>
      <w:r w:rsidR="00842AAD" w:rsidRPr="00097F13">
        <w:rPr>
          <w:rFonts w:ascii="Arial" w:hAnsi="Arial" w:cs="Arial"/>
          <w:sz w:val="28"/>
          <w:szCs w:val="28"/>
        </w:rPr>
        <w:t xml:space="preserve">. </w:t>
      </w:r>
    </w:p>
    <w:p w14:paraId="6D302CA0" w14:textId="77777777" w:rsidR="00097F13" w:rsidRPr="00097F13" w:rsidRDefault="00097F13" w:rsidP="00097F13">
      <w:pPr>
        <w:pStyle w:val="ListParagraph"/>
        <w:rPr>
          <w:rFonts w:ascii="Arial" w:hAnsi="Arial" w:cs="Arial"/>
          <w:sz w:val="28"/>
          <w:szCs w:val="28"/>
        </w:rPr>
      </w:pPr>
    </w:p>
    <w:p w14:paraId="7AC060CC" w14:textId="77777777" w:rsidR="00FB35C3" w:rsidRDefault="00FB35C3" w:rsidP="00FB35C3">
      <w:pPr>
        <w:pStyle w:val="ListParagraph"/>
        <w:numPr>
          <w:ilvl w:val="0"/>
          <w:numId w:val="3"/>
        </w:numPr>
        <w:autoSpaceDE w:val="0"/>
        <w:autoSpaceDN w:val="0"/>
        <w:adjustRightInd w:val="0"/>
        <w:spacing w:after="0"/>
        <w:ind w:left="0" w:firstLine="0"/>
        <w:jc w:val="both"/>
        <w:rPr>
          <w:rFonts w:ascii="Arial" w:hAnsi="Arial" w:cs="Arial"/>
          <w:sz w:val="28"/>
          <w:szCs w:val="28"/>
        </w:rPr>
      </w:pPr>
      <w:r w:rsidRPr="00097F13">
        <w:rPr>
          <w:rFonts w:ascii="Arial" w:hAnsi="Arial" w:cs="Arial"/>
          <w:sz w:val="28"/>
          <w:szCs w:val="28"/>
        </w:rPr>
        <w:t xml:space="preserve">In paragraph 24, I would welcome the inclusion of “ritual </w:t>
      </w:r>
      <w:r>
        <w:rPr>
          <w:rFonts w:ascii="Arial" w:hAnsi="Arial" w:cs="Arial"/>
          <w:sz w:val="28"/>
          <w:szCs w:val="28"/>
        </w:rPr>
        <w:t xml:space="preserve">attacks </w:t>
      </w:r>
      <w:r w:rsidRPr="00097F13">
        <w:rPr>
          <w:rFonts w:ascii="Arial" w:hAnsi="Arial" w:cs="Arial"/>
          <w:sz w:val="28"/>
          <w:szCs w:val="28"/>
        </w:rPr>
        <w:t xml:space="preserve">and </w:t>
      </w:r>
      <w:r>
        <w:rPr>
          <w:rFonts w:ascii="Arial" w:hAnsi="Arial" w:cs="Arial"/>
          <w:sz w:val="28"/>
          <w:szCs w:val="28"/>
        </w:rPr>
        <w:t xml:space="preserve">ritual </w:t>
      </w:r>
      <w:r w:rsidRPr="00097F13">
        <w:rPr>
          <w:rFonts w:ascii="Arial" w:hAnsi="Arial" w:cs="Arial"/>
          <w:sz w:val="28"/>
          <w:szCs w:val="28"/>
        </w:rPr>
        <w:t>killings” a</w:t>
      </w:r>
      <w:r>
        <w:rPr>
          <w:rFonts w:ascii="Arial" w:hAnsi="Arial" w:cs="Arial"/>
          <w:sz w:val="28"/>
          <w:szCs w:val="28"/>
        </w:rPr>
        <w:t>s well as</w:t>
      </w:r>
      <w:r w:rsidRPr="00097F13">
        <w:rPr>
          <w:rFonts w:ascii="Arial" w:hAnsi="Arial" w:cs="Arial"/>
          <w:sz w:val="28"/>
          <w:szCs w:val="28"/>
        </w:rPr>
        <w:t xml:space="preserve"> “</w:t>
      </w:r>
      <w:r>
        <w:rPr>
          <w:rFonts w:ascii="Arial" w:hAnsi="Arial" w:cs="Arial"/>
          <w:sz w:val="28"/>
          <w:szCs w:val="28"/>
        </w:rPr>
        <w:t xml:space="preserve">killings due to accusation of </w:t>
      </w:r>
      <w:r w:rsidRPr="00097F13">
        <w:rPr>
          <w:rFonts w:ascii="Arial" w:hAnsi="Arial" w:cs="Arial"/>
          <w:sz w:val="28"/>
          <w:szCs w:val="28"/>
        </w:rPr>
        <w:t>witchcraft”</w:t>
      </w:r>
      <w:r>
        <w:rPr>
          <w:rStyle w:val="FootnoteReference"/>
          <w:rFonts w:ascii="Arial" w:hAnsi="Arial" w:cs="Arial"/>
          <w:sz w:val="28"/>
          <w:szCs w:val="28"/>
        </w:rPr>
        <w:footnoteReference w:id="22"/>
      </w:r>
      <w:r w:rsidRPr="00097F13">
        <w:rPr>
          <w:rFonts w:ascii="Arial" w:hAnsi="Arial" w:cs="Arial"/>
          <w:sz w:val="28"/>
          <w:szCs w:val="28"/>
        </w:rPr>
        <w:t xml:space="preserve"> in the</w:t>
      </w:r>
      <w:r>
        <w:rPr>
          <w:rFonts w:ascii="Arial" w:hAnsi="Arial" w:cs="Arial"/>
          <w:sz w:val="28"/>
          <w:szCs w:val="28"/>
        </w:rPr>
        <w:t xml:space="preserve"> list of</w:t>
      </w:r>
      <w:r w:rsidRPr="00097F13">
        <w:rPr>
          <w:rFonts w:ascii="Arial" w:hAnsi="Arial" w:cs="Arial"/>
          <w:sz w:val="28"/>
          <w:szCs w:val="28"/>
        </w:rPr>
        <w:t xml:space="preserve"> instances of forms of arbitrary deprivations of life by individuals that require effective criminal prohibitions in legal framework.</w:t>
      </w:r>
    </w:p>
    <w:p w14:paraId="25F5915E" w14:textId="77777777" w:rsidR="00FB35C3" w:rsidRPr="00027531" w:rsidRDefault="00FB35C3" w:rsidP="00027531">
      <w:pPr>
        <w:rPr>
          <w:rFonts w:ascii="Arial" w:hAnsi="Arial" w:cs="Arial"/>
          <w:sz w:val="28"/>
          <w:szCs w:val="28"/>
        </w:rPr>
      </w:pPr>
    </w:p>
    <w:p w14:paraId="58D68083" w14:textId="77777777" w:rsidR="00FB35C3" w:rsidRDefault="00FB35C3" w:rsidP="00FB35C3">
      <w:pPr>
        <w:pStyle w:val="ListParagraph"/>
        <w:numPr>
          <w:ilvl w:val="0"/>
          <w:numId w:val="3"/>
        </w:numPr>
        <w:autoSpaceDE w:val="0"/>
        <w:autoSpaceDN w:val="0"/>
        <w:adjustRightInd w:val="0"/>
        <w:spacing w:after="0"/>
        <w:ind w:left="0" w:firstLine="0"/>
        <w:jc w:val="both"/>
        <w:rPr>
          <w:rFonts w:ascii="Arial" w:hAnsi="Arial" w:cs="Arial"/>
          <w:sz w:val="28"/>
          <w:szCs w:val="28"/>
        </w:rPr>
      </w:pPr>
      <w:r w:rsidRPr="00097F13">
        <w:rPr>
          <w:rFonts w:ascii="Arial" w:hAnsi="Arial" w:cs="Arial"/>
          <w:sz w:val="28"/>
          <w:szCs w:val="28"/>
        </w:rPr>
        <w:t>In paragraph 30, I would also welcome the inclusion in the list of general conditions in society, witchcraft-related misbeliefs and harmful practices, not only because it concerns persons with albinism, but also “alleged witches” (paragraph 27).</w:t>
      </w:r>
    </w:p>
    <w:p w14:paraId="380D18BA" w14:textId="77777777" w:rsidR="00FB35C3" w:rsidRPr="00097F13" w:rsidRDefault="00FB35C3" w:rsidP="00FB35C3">
      <w:pPr>
        <w:pStyle w:val="ListParagraph"/>
        <w:rPr>
          <w:rFonts w:ascii="Arial" w:hAnsi="Arial" w:cs="Arial"/>
          <w:sz w:val="28"/>
          <w:szCs w:val="28"/>
        </w:rPr>
      </w:pPr>
    </w:p>
    <w:p w14:paraId="697A6A10" w14:textId="66D5019A" w:rsidR="00FB35C3" w:rsidRPr="00097F13" w:rsidRDefault="00FB35C3" w:rsidP="00FB35C3">
      <w:pPr>
        <w:pStyle w:val="ListParagraph"/>
        <w:numPr>
          <w:ilvl w:val="0"/>
          <w:numId w:val="3"/>
        </w:numPr>
        <w:autoSpaceDE w:val="0"/>
        <w:autoSpaceDN w:val="0"/>
        <w:adjustRightInd w:val="0"/>
        <w:spacing w:after="0"/>
        <w:ind w:left="0" w:firstLine="0"/>
        <w:jc w:val="both"/>
        <w:rPr>
          <w:rFonts w:ascii="Arial" w:hAnsi="Arial" w:cs="Arial"/>
          <w:sz w:val="28"/>
          <w:szCs w:val="28"/>
        </w:rPr>
      </w:pPr>
      <w:r w:rsidRPr="00097F13">
        <w:rPr>
          <w:rFonts w:ascii="Arial" w:hAnsi="Arial" w:cs="Arial"/>
          <w:sz w:val="28"/>
          <w:szCs w:val="28"/>
        </w:rPr>
        <w:t xml:space="preserve">Finally, in paragraph 64, I would suggest </w:t>
      </w:r>
      <w:r>
        <w:rPr>
          <w:rFonts w:ascii="Arial" w:hAnsi="Arial" w:cs="Arial"/>
          <w:sz w:val="28"/>
          <w:szCs w:val="28"/>
        </w:rPr>
        <w:t>adding</w:t>
      </w:r>
      <w:r w:rsidR="00751F8A">
        <w:rPr>
          <w:rFonts w:ascii="Arial" w:hAnsi="Arial" w:cs="Arial"/>
          <w:sz w:val="28"/>
          <w:szCs w:val="28"/>
        </w:rPr>
        <w:t xml:space="preserve"> a</w:t>
      </w:r>
      <w:r w:rsidRPr="00097F13">
        <w:rPr>
          <w:rFonts w:ascii="Arial" w:hAnsi="Arial" w:cs="Arial"/>
          <w:sz w:val="28"/>
          <w:szCs w:val="28"/>
        </w:rPr>
        <w:t xml:space="preserve"> sentence referring to “ritual killings” at the end of the paragraph as follows: “Similarly, </w:t>
      </w:r>
      <w:r>
        <w:rPr>
          <w:rFonts w:ascii="Arial" w:hAnsi="Arial" w:cs="Arial"/>
          <w:sz w:val="28"/>
          <w:szCs w:val="28"/>
        </w:rPr>
        <w:t xml:space="preserve">ritual attacks and </w:t>
      </w:r>
      <w:r w:rsidRPr="00097F13">
        <w:rPr>
          <w:rFonts w:ascii="Arial" w:hAnsi="Arial" w:cs="Arial"/>
          <w:sz w:val="28"/>
          <w:szCs w:val="28"/>
        </w:rPr>
        <w:t>ritual killings also constitute an extreme form of discrimination against persons with albinism, considering the extreme violence and cruelty suffered by victims leading to death”.</w:t>
      </w:r>
    </w:p>
    <w:p w14:paraId="1843E77E" w14:textId="77777777" w:rsidR="00FB35C3" w:rsidRPr="0028420B" w:rsidRDefault="00FB35C3" w:rsidP="00FB35C3">
      <w:pPr>
        <w:pStyle w:val="ListParagraph"/>
        <w:rPr>
          <w:rFonts w:ascii="Arial" w:hAnsi="Arial" w:cs="Arial"/>
          <w:sz w:val="28"/>
          <w:szCs w:val="28"/>
        </w:rPr>
      </w:pPr>
    </w:p>
    <w:p w14:paraId="3F8FE127" w14:textId="77777777" w:rsidR="0028420B" w:rsidRPr="0028420B" w:rsidRDefault="0028420B" w:rsidP="0028420B">
      <w:pPr>
        <w:pStyle w:val="ListParagraph"/>
        <w:rPr>
          <w:rFonts w:ascii="Arial" w:hAnsi="Arial" w:cs="Arial"/>
          <w:sz w:val="28"/>
          <w:szCs w:val="28"/>
        </w:rPr>
      </w:pPr>
    </w:p>
    <w:p w14:paraId="0DBD6891" w14:textId="77777777" w:rsidR="0028420B" w:rsidRDefault="0028420B" w:rsidP="0028420B">
      <w:pPr>
        <w:pStyle w:val="ListParagraph"/>
        <w:jc w:val="both"/>
        <w:rPr>
          <w:rFonts w:ascii="Arial" w:hAnsi="Arial" w:cs="Arial"/>
          <w:sz w:val="28"/>
          <w:szCs w:val="28"/>
        </w:rPr>
        <w:sectPr w:rsidR="0028420B" w:rsidSect="00027531">
          <w:footerReference w:type="default" r:id="rId9"/>
          <w:pgSz w:w="12240" w:h="15840"/>
          <w:pgMar w:top="1170" w:right="1440" w:bottom="1440" w:left="1440" w:header="720" w:footer="720" w:gutter="0"/>
          <w:cols w:space="720"/>
          <w:docGrid w:linePitch="360"/>
        </w:sectPr>
      </w:pPr>
    </w:p>
    <w:p w14:paraId="36613C85" w14:textId="77777777" w:rsidR="0028420B" w:rsidRPr="00342608" w:rsidRDefault="0028420B" w:rsidP="0028420B">
      <w:pPr>
        <w:jc w:val="both"/>
        <w:rPr>
          <w:rFonts w:ascii="Arial" w:hAnsi="Arial" w:cs="Arial"/>
          <w:b/>
          <w:sz w:val="28"/>
          <w:szCs w:val="28"/>
          <w:u w:val="single"/>
        </w:rPr>
      </w:pPr>
      <w:r w:rsidRPr="00342608">
        <w:rPr>
          <w:rFonts w:ascii="Arial" w:hAnsi="Arial" w:cs="Arial"/>
          <w:b/>
          <w:sz w:val="28"/>
          <w:szCs w:val="28"/>
          <w:u w:val="single"/>
        </w:rPr>
        <w:lastRenderedPageBreak/>
        <w:t>APPENDIX</w:t>
      </w:r>
    </w:p>
    <w:p w14:paraId="4B5B9CD9" w14:textId="77777777" w:rsidR="0028420B" w:rsidRPr="00342608" w:rsidRDefault="0028420B" w:rsidP="0028420B">
      <w:pPr>
        <w:jc w:val="both"/>
        <w:rPr>
          <w:rFonts w:ascii="Arial" w:hAnsi="Arial" w:cs="Arial"/>
          <w:b/>
          <w:sz w:val="28"/>
          <w:szCs w:val="28"/>
        </w:rPr>
      </w:pPr>
      <w:r w:rsidRPr="00342608">
        <w:rPr>
          <w:rFonts w:ascii="Arial" w:hAnsi="Arial" w:cs="Arial"/>
          <w:b/>
          <w:sz w:val="28"/>
          <w:szCs w:val="28"/>
        </w:rPr>
        <w:t xml:space="preserve">For further information. </w:t>
      </w:r>
    </w:p>
    <w:p w14:paraId="149D0534" w14:textId="77777777" w:rsidR="0028420B" w:rsidRPr="00342608" w:rsidRDefault="0028420B" w:rsidP="0028420B">
      <w:pPr>
        <w:jc w:val="both"/>
        <w:rPr>
          <w:rFonts w:ascii="Arial" w:hAnsi="Arial" w:cs="Arial"/>
          <w:color w:val="212121"/>
          <w:sz w:val="28"/>
          <w:szCs w:val="28"/>
        </w:rPr>
      </w:pPr>
      <w:r w:rsidRPr="00342608">
        <w:rPr>
          <w:rFonts w:ascii="Arial" w:hAnsi="Arial" w:cs="Arial"/>
          <w:color w:val="212121"/>
          <w:sz w:val="28"/>
          <w:szCs w:val="28"/>
        </w:rPr>
        <w:t>What is Albinism?</w:t>
      </w:r>
    </w:p>
    <w:p w14:paraId="66DD6398" w14:textId="77777777" w:rsidR="0028420B" w:rsidRPr="00342608" w:rsidRDefault="0028420B" w:rsidP="0028420B">
      <w:pPr>
        <w:jc w:val="both"/>
        <w:rPr>
          <w:rFonts w:ascii="Arial" w:hAnsi="Arial" w:cs="Arial"/>
          <w:sz w:val="28"/>
          <w:szCs w:val="28"/>
        </w:rPr>
      </w:pPr>
      <w:r w:rsidRPr="00342608">
        <w:rPr>
          <w:rFonts w:ascii="Arial" w:hAnsi="Arial" w:cs="Arial"/>
          <w:color w:val="212121"/>
          <w:sz w:val="28"/>
          <w:szCs w:val="28"/>
        </w:rPr>
        <w:t xml:space="preserve">Albinism is relatively rare genetically inherited condition that is </w:t>
      </w:r>
      <w:r w:rsidRPr="00342608">
        <w:rPr>
          <w:rFonts w:ascii="Arial" w:hAnsi="Arial" w:cs="Arial"/>
          <w:noProof/>
          <w:sz w:val="28"/>
          <w:szCs w:val="28"/>
        </w:rPr>
        <w:t>non-contagious,</w:t>
      </w:r>
      <w:r w:rsidRPr="00342608">
        <w:rPr>
          <w:rFonts w:ascii="Arial" w:hAnsi="Arial" w:cs="Arial"/>
          <w:sz w:val="28"/>
          <w:szCs w:val="28"/>
        </w:rPr>
        <w:t xml:space="preserve"> and affects people worldwide regardless of ethnicity or gender. It results from a significant deficit in the production of melanin and is characterized by the partial or complete absence of pigment in any of the skin, </w:t>
      </w:r>
      <w:r w:rsidRPr="00342608">
        <w:rPr>
          <w:rFonts w:ascii="Arial" w:hAnsi="Arial" w:cs="Arial"/>
          <w:noProof/>
          <w:sz w:val="28"/>
          <w:szCs w:val="28"/>
        </w:rPr>
        <w:t>hair</w:t>
      </w:r>
      <w:r w:rsidRPr="00342608">
        <w:rPr>
          <w:rFonts w:ascii="Arial" w:hAnsi="Arial" w:cs="Arial"/>
          <w:sz w:val="28"/>
          <w:szCs w:val="28"/>
        </w:rPr>
        <w:t xml:space="preserve"> and eyes. The absence of normal quantities of melanin means that most persons with albinism are vulnerable to bright light, skin cancer and have various degrees of vision impairment.</w:t>
      </w:r>
    </w:p>
    <w:p w14:paraId="5642B7E7" w14:textId="77777777" w:rsidR="0028420B" w:rsidRPr="00A90F0F" w:rsidRDefault="0028420B" w:rsidP="0028420B">
      <w:pPr>
        <w:jc w:val="both"/>
        <w:rPr>
          <w:rFonts w:ascii="Arial" w:hAnsi="Arial" w:cs="Arial"/>
          <w:sz w:val="28"/>
          <w:szCs w:val="28"/>
        </w:rPr>
      </w:pPr>
      <w:r w:rsidRPr="00A90F0F">
        <w:rPr>
          <w:rFonts w:ascii="Arial" w:hAnsi="Arial" w:cs="Arial"/>
          <w:sz w:val="28"/>
          <w:szCs w:val="28"/>
        </w:rPr>
        <w:t xml:space="preserve">In order for a person to be affected by albinism, both parents must carry the gene and, in that case, there is a 25 </w:t>
      </w:r>
      <w:r w:rsidRPr="00A90F0F">
        <w:rPr>
          <w:rFonts w:ascii="Arial" w:hAnsi="Arial" w:cs="Arial"/>
          <w:noProof/>
          <w:sz w:val="28"/>
          <w:szCs w:val="28"/>
        </w:rPr>
        <w:t>per cent</w:t>
      </w:r>
      <w:r w:rsidRPr="00A90F0F">
        <w:rPr>
          <w:rFonts w:ascii="Arial" w:hAnsi="Arial" w:cs="Arial"/>
          <w:sz w:val="28"/>
          <w:szCs w:val="28"/>
        </w:rPr>
        <w:t xml:space="preserve"> chance that a child will be born with albinism at each pregnancy. The proportion of persons affected by albinism in the world differs from region to region. For example, in North America and Europe, it is estimated that 1 in 17,000 to 20,000 people have the condition. In sub-Saharan Africa, 1 in 5,000 to 15,000 could be affected with various tribes and </w:t>
      </w:r>
      <w:r w:rsidRPr="00A90F0F">
        <w:rPr>
          <w:rFonts w:ascii="Arial" w:hAnsi="Arial" w:cs="Arial"/>
          <w:noProof/>
          <w:sz w:val="28"/>
          <w:szCs w:val="28"/>
        </w:rPr>
        <w:t>sub-groups</w:t>
      </w:r>
      <w:r w:rsidRPr="00A90F0F">
        <w:rPr>
          <w:rFonts w:ascii="Arial" w:hAnsi="Arial" w:cs="Arial"/>
          <w:sz w:val="28"/>
          <w:szCs w:val="28"/>
        </w:rPr>
        <w:t xml:space="preserve"> showing rates as high as 1 in 1,000. While all reports of physical attacks to date have come from the Africa region, reports of gross </w:t>
      </w:r>
      <w:r w:rsidRPr="00A90F0F">
        <w:rPr>
          <w:rFonts w:ascii="Arial" w:hAnsi="Arial" w:cs="Arial"/>
          <w:noProof/>
          <w:sz w:val="28"/>
          <w:szCs w:val="28"/>
        </w:rPr>
        <w:t>stigmatisation</w:t>
      </w:r>
      <w:r w:rsidRPr="00A90F0F">
        <w:rPr>
          <w:rFonts w:ascii="Arial" w:hAnsi="Arial" w:cs="Arial"/>
          <w:sz w:val="28"/>
          <w:szCs w:val="28"/>
        </w:rPr>
        <w:t xml:space="preserve"> and exclusion have been reported from nearly all other regions of the world.</w:t>
      </w:r>
    </w:p>
    <w:p w14:paraId="5895F228" w14:textId="77777777" w:rsidR="0028420B" w:rsidRPr="00A90F0F" w:rsidRDefault="0028420B" w:rsidP="0028420B">
      <w:pPr>
        <w:pStyle w:val="ListParagraph"/>
        <w:jc w:val="both"/>
        <w:rPr>
          <w:rFonts w:ascii="Arial" w:hAnsi="Arial" w:cs="Arial"/>
          <w:sz w:val="28"/>
          <w:szCs w:val="28"/>
        </w:rPr>
      </w:pPr>
    </w:p>
    <w:p w14:paraId="0B77CF30" w14:textId="77777777" w:rsidR="004F4031" w:rsidRPr="005D1410" w:rsidRDefault="004F4031" w:rsidP="0028420B">
      <w:pPr>
        <w:jc w:val="both"/>
        <w:rPr>
          <w:rFonts w:ascii="Arial" w:hAnsi="Arial" w:cs="Arial"/>
          <w:sz w:val="28"/>
          <w:szCs w:val="28"/>
        </w:rPr>
      </w:pPr>
    </w:p>
    <w:sectPr w:rsidR="004F4031" w:rsidRPr="005D14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DEAC4" w14:textId="77777777" w:rsidR="00FF32A3" w:rsidRDefault="00FF32A3" w:rsidP="00B422B4">
      <w:pPr>
        <w:spacing w:after="0" w:line="240" w:lineRule="auto"/>
      </w:pPr>
      <w:r>
        <w:separator/>
      </w:r>
    </w:p>
  </w:endnote>
  <w:endnote w:type="continuationSeparator" w:id="0">
    <w:p w14:paraId="33E40BF9" w14:textId="77777777" w:rsidR="00FF32A3" w:rsidRDefault="00FF32A3" w:rsidP="00B4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335845"/>
      <w:docPartObj>
        <w:docPartGallery w:val="Page Numbers (Bottom of Page)"/>
        <w:docPartUnique/>
      </w:docPartObj>
    </w:sdtPr>
    <w:sdtEndPr>
      <w:rPr>
        <w:noProof/>
      </w:rPr>
    </w:sdtEndPr>
    <w:sdtContent>
      <w:p w14:paraId="71B15418" w14:textId="7961DF39" w:rsidR="00474EBD" w:rsidRDefault="00474EBD">
        <w:pPr>
          <w:pStyle w:val="Footer"/>
          <w:jc w:val="center"/>
        </w:pPr>
        <w:r>
          <w:fldChar w:fldCharType="begin"/>
        </w:r>
        <w:r>
          <w:instrText xml:space="preserve"> PAGE   \* MERGEFORMAT </w:instrText>
        </w:r>
        <w:r>
          <w:fldChar w:fldCharType="separate"/>
        </w:r>
        <w:r w:rsidR="00401D9D">
          <w:rPr>
            <w:noProof/>
          </w:rPr>
          <w:t>6</w:t>
        </w:r>
        <w:r>
          <w:rPr>
            <w:noProof/>
          </w:rPr>
          <w:fldChar w:fldCharType="end"/>
        </w:r>
      </w:p>
    </w:sdtContent>
  </w:sdt>
  <w:p w14:paraId="3AF40DA3" w14:textId="77777777" w:rsidR="00474EBD" w:rsidRDefault="00474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42F17" w14:textId="77777777" w:rsidR="00FF32A3" w:rsidRDefault="00FF32A3" w:rsidP="00B422B4">
      <w:pPr>
        <w:spacing w:after="0" w:line="240" w:lineRule="auto"/>
      </w:pPr>
      <w:r>
        <w:separator/>
      </w:r>
    </w:p>
  </w:footnote>
  <w:footnote w:type="continuationSeparator" w:id="0">
    <w:p w14:paraId="4FF88F6B" w14:textId="77777777" w:rsidR="00FF32A3" w:rsidRDefault="00FF32A3" w:rsidP="00B422B4">
      <w:pPr>
        <w:spacing w:after="0" w:line="240" w:lineRule="auto"/>
      </w:pPr>
      <w:r>
        <w:continuationSeparator/>
      </w:r>
    </w:p>
  </w:footnote>
  <w:footnote w:id="1">
    <w:p w14:paraId="6784ACBC" w14:textId="77777777" w:rsidR="00474EBD" w:rsidRPr="00B422B4" w:rsidRDefault="00474EBD" w:rsidP="00B422B4">
      <w:pPr>
        <w:pStyle w:val="FootnoteText"/>
        <w:rPr>
          <w:lang w:val="en-US"/>
        </w:rPr>
      </w:pPr>
      <w:r>
        <w:rPr>
          <w:rStyle w:val="FootnoteReference"/>
        </w:rPr>
        <w:footnoteRef/>
      </w:r>
      <w:r>
        <w:t xml:space="preserve"> </w:t>
      </w:r>
      <w:r>
        <w:rPr>
          <w:lang w:val="en-US"/>
        </w:rPr>
        <w:t>CCPR/C/GHA/CO/1 (CCPR, 2016); CCPR/C/CIV/CO/1 (CCPR, 2015); CCPR/C/BDI/CO/2 (CCPR, 2014); CCPR/C/MWI/CO/1/Add.1 (CCPR, 2014); CCPR/C/KEN/CO/3 (CCPR, 2012); CCPR/C/TZA/CO/4 (CCPR, 2009).</w:t>
      </w:r>
    </w:p>
  </w:footnote>
  <w:footnote w:id="2">
    <w:p w14:paraId="67E3904C" w14:textId="77777777" w:rsidR="00474EBD" w:rsidRPr="00271372" w:rsidRDefault="00474EBD">
      <w:pPr>
        <w:pStyle w:val="FootnoteText"/>
        <w:rPr>
          <w:lang w:val="en-US"/>
        </w:rPr>
      </w:pPr>
      <w:r>
        <w:rPr>
          <w:rStyle w:val="FootnoteReference"/>
        </w:rPr>
        <w:footnoteRef/>
      </w:r>
      <w:r>
        <w:t xml:space="preserve"> </w:t>
      </w:r>
      <w:r>
        <w:rPr>
          <w:lang w:val="en-US"/>
        </w:rPr>
        <w:t xml:space="preserve">CCPR/C/BDI/CO/2 (CCPR, 2014), paragraph 9. </w:t>
      </w:r>
    </w:p>
  </w:footnote>
  <w:footnote w:id="3">
    <w:p w14:paraId="202391F2" w14:textId="77777777" w:rsidR="00474EBD" w:rsidRPr="00516E7D" w:rsidRDefault="00474EBD">
      <w:pPr>
        <w:pStyle w:val="FootnoteText"/>
        <w:rPr>
          <w:lang w:val="en-US"/>
        </w:rPr>
      </w:pPr>
      <w:r>
        <w:rPr>
          <w:rStyle w:val="FootnoteReference"/>
        </w:rPr>
        <w:footnoteRef/>
      </w:r>
      <w:r>
        <w:t xml:space="preserve"> </w:t>
      </w:r>
      <w:r>
        <w:rPr>
          <w:lang w:val="en-US"/>
        </w:rPr>
        <w:t>CCPR/C/KEN/CO/3 (CCPR, 2012), paragraph 17; CCPR/C/TZA/CO/4 (CCPR, 2009), paragraph 15.</w:t>
      </w:r>
    </w:p>
  </w:footnote>
  <w:footnote w:id="4">
    <w:p w14:paraId="0FA2BEB1" w14:textId="77777777" w:rsidR="0068667E" w:rsidRPr="0068667E" w:rsidRDefault="0068667E">
      <w:pPr>
        <w:pStyle w:val="FootnoteText"/>
      </w:pPr>
      <w:r>
        <w:rPr>
          <w:rStyle w:val="FootnoteReference"/>
        </w:rPr>
        <w:footnoteRef/>
      </w:r>
      <w:r>
        <w:t xml:space="preserve"> </w:t>
      </w:r>
      <w:r>
        <w:rPr>
          <w:lang w:val="en-US"/>
        </w:rPr>
        <w:t>CCPR/C/GHA/CO/1 (CCPR, 2016), paragraph 14.</w:t>
      </w:r>
    </w:p>
  </w:footnote>
  <w:footnote w:id="5">
    <w:p w14:paraId="717A549B" w14:textId="77777777" w:rsidR="0068667E" w:rsidRPr="0068667E" w:rsidRDefault="0068667E">
      <w:pPr>
        <w:pStyle w:val="FootnoteText"/>
      </w:pPr>
      <w:r>
        <w:rPr>
          <w:rStyle w:val="FootnoteReference"/>
        </w:rPr>
        <w:footnoteRef/>
      </w:r>
      <w:r>
        <w:t xml:space="preserve"> </w:t>
      </w:r>
      <w:r w:rsidRPr="00533802">
        <w:rPr>
          <w:rFonts w:ascii="Times New Roman" w:hAnsi="Times New Roman" w:cs="Times New Roman"/>
          <w:sz w:val="18"/>
          <w:szCs w:val="18"/>
        </w:rPr>
        <w:t>CERD/C/ZAF/CO/4-8</w:t>
      </w:r>
    </w:p>
  </w:footnote>
  <w:footnote w:id="6">
    <w:p w14:paraId="7D0CA302" w14:textId="77777777" w:rsidR="00474EBD" w:rsidRPr="00500EC3" w:rsidRDefault="00474EBD">
      <w:pPr>
        <w:pStyle w:val="FootnoteText"/>
      </w:pPr>
      <w:r>
        <w:rPr>
          <w:rStyle w:val="FootnoteReference"/>
        </w:rPr>
        <w:footnoteRef/>
      </w:r>
      <w:r>
        <w:t xml:space="preserve"> </w:t>
      </w:r>
      <w:r>
        <w:rPr>
          <w:lang w:val="en-US"/>
        </w:rPr>
        <w:t xml:space="preserve">Report of the Independent Expert on the enjoyment of human rights by persons with albinism, 1 January 2017. A/HRC/34/59. </w:t>
      </w:r>
      <w:r>
        <w:t>Paragraph 30.</w:t>
      </w:r>
    </w:p>
  </w:footnote>
  <w:footnote w:id="7">
    <w:p w14:paraId="68D688B9" w14:textId="77777777" w:rsidR="00474EBD" w:rsidRPr="00327FEC" w:rsidRDefault="00474EBD">
      <w:pPr>
        <w:pStyle w:val="FootnoteText"/>
        <w:rPr>
          <w:lang w:val="en-US"/>
        </w:rPr>
      </w:pPr>
      <w:r>
        <w:rPr>
          <w:rStyle w:val="FootnoteReference"/>
        </w:rPr>
        <w:footnoteRef/>
      </w:r>
      <w:r>
        <w:t xml:space="preserve"> </w:t>
      </w:r>
      <w:r>
        <w:rPr>
          <w:lang w:val="en-US"/>
        </w:rPr>
        <w:t>Report of the Independent Expert on the enjoyment of human rights by persons with albinism, 18 January 2016. A/HRC/31/63.</w:t>
      </w:r>
    </w:p>
  </w:footnote>
  <w:footnote w:id="8">
    <w:p w14:paraId="09480AEF" w14:textId="77777777" w:rsidR="00474EBD" w:rsidRPr="00B53CFD" w:rsidRDefault="00474EBD" w:rsidP="00B53CFD">
      <w:pPr>
        <w:pStyle w:val="FootnoteText"/>
        <w:rPr>
          <w:lang w:val="en-US"/>
        </w:rPr>
      </w:pPr>
      <w:r>
        <w:rPr>
          <w:rStyle w:val="FootnoteReference"/>
        </w:rPr>
        <w:footnoteRef/>
      </w:r>
      <w:r>
        <w:t xml:space="preserve"> </w:t>
      </w:r>
      <w:r>
        <w:rPr>
          <w:lang w:val="en-US"/>
        </w:rPr>
        <w:t>Report of the Independent Expert on the enjoyment of human rights by persons with albinism, 1 January 2017. A/HRC/34/59.</w:t>
      </w:r>
    </w:p>
  </w:footnote>
  <w:footnote w:id="9">
    <w:p w14:paraId="2BD8319E" w14:textId="77777777" w:rsidR="00474EBD" w:rsidRPr="00B53CFD" w:rsidRDefault="00474EBD">
      <w:pPr>
        <w:pStyle w:val="FootnoteText"/>
        <w:rPr>
          <w:lang w:val="en-US"/>
        </w:rPr>
      </w:pPr>
      <w:r>
        <w:rPr>
          <w:rStyle w:val="FootnoteReference"/>
        </w:rPr>
        <w:footnoteRef/>
      </w:r>
      <w:r>
        <w:t xml:space="preserve"> </w:t>
      </w:r>
      <w:r>
        <w:rPr>
          <w:lang w:val="en-US"/>
        </w:rPr>
        <w:t>Idem, paragraph 91.</w:t>
      </w:r>
    </w:p>
  </w:footnote>
  <w:footnote w:id="10">
    <w:p w14:paraId="07170F12" w14:textId="0878E5B0" w:rsidR="0020305D" w:rsidRPr="0020305D" w:rsidRDefault="0020305D">
      <w:pPr>
        <w:pStyle w:val="FootnoteText"/>
        <w:rPr>
          <w:lang w:val="en-US"/>
        </w:rPr>
      </w:pPr>
      <w:r>
        <w:rPr>
          <w:rStyle w:val="FootnoteReference"/>
        </w:rPr>
        <w:footnoteRef/>
      </w:r>
      <w:r>
        <w:t xml:space="preserve"> </w:t>
      </w:r>
      <w:r>
        <w:rPr>
          <w:lang w:val="en-US"/>
        </w:rPr>
        <w:t>Report of the Office of the United Nations High Commissioner for Human Rights. Persons with albinism. 12 September 2013. Paragraphs 19-32.</w:t>
      </w:r>
    </w:p>
  </w:footnote>
  <w:footnote w:id="11">
    <w:p w14:paraId="1FF4361E" w14:textId="77777777" w:rsidR="00730B03" w:rsidRPr="00730B03" w:rsidRDefault="00730B03">
      <w:pPr>
        <w:pStyle w:val="FootnoteText"/>
      </w:pPr>
      <w:r>
        <w:rPr>
          <w:rStyle w:val="FootnoteReference"/>
        </w:rPr>
        <w:footnoteRef/>
      </w:r>
      <w:r>
        <w:t xml:space="preserve"> Idem, paragraph 28.</w:t>
      </w:r>
    </w:p>
  </w:footnote>
  <w:footnote w:id="12">
    <w:p w14:paraId="76CCEDD1" w14:textId="77777777" w:rsidR="00474EBD" w:rsidRPr="006C0DA9" w:rsidRDefault="00474EBD">
      <w:pPr>
        <w:pStyle w:val="FootnoteText"/>
        <w:rPr>
          <w:lang w:val="en-US"/>
        </w:rPr>
      </w:pPr>
      <w:r w:rsidRPr="006C0DA9">
        <w:rPr>
          <w:rStyle w:val="FootnoteReference"/>
        </w:rPr>
        <w:footnoteRef/>
      </w:r>
      <w:r w:rsidRPr="006C0DA9">
        <w:t xml:space="preserve"> </w:t>
      </w:r>
      <w:r w:rsidRPr="006C0DA9">
        <w:rPr>
          <w:rFonts w:ascii="Arial" w:hAnsi="Arial" w:cs="Arial"/>
        </w:rPr>
        <w:t>Report of the Independent Expert on the enjoyment of human rights by persons with albinism on her mission to Malawi, 14 Dec. 2016, paragraph 43</w:t>
      </w:r>
      <w:r w:rsidR="00730B03">
        <w:rPr>
          <w:rFonts w:ascii="Arial" w:hAnsi="Arial" w:cs="Arial"/>
        </w:rPr>
        <w:t>.</w:t>
      </w:r>
    </w:p>
  </w:footnote>
  <w:footnote w:id="13">
    <w:p w14:paraId="2ECC71B9" w14:textId="77777777" w:rsidR="00474EBD" w:rsidRPr="006C0DA9" w:rsidRDefault="00474EBD">
      <w:pPr>
        <w:pStyle w:val="FootnoteText"/>
        <w:rPr>
          <w:lang w:val="en-US"/>
        </w:rPr>
      </w:pPr>
      <w:r w:rsidRPr="006C0DA9">
        <w:rPr>
          <w:rStyle w:val="FootnoteReference"/>
        </w:rPr>
        <w:footnoteRef/>
      </w:r>
      <w:r w:rsidRPr="006C0DA9">
        <w:t xml:space="preserve"> </w:t>
      </w:r>
      <w:r w:rsidRPr="006C0DA9">
        <w:rPr>
          <w:rFonts w:ascii="Arial" w:hAnsi="Arial" w:cs="Arial"/>
        </w:rPr>
        <w:t>Report of the Independent Expert on the enjoyment of human rights by persons with albinism on her mission to Mozambique, 14 Dec. 2016, paragraph 30.</w:t>
      </w:r>
    </w:p>
  </w:footnote>
  <w:footnote w:id="14">
    <w:p w14:paraId="7433975A" w14:textId="77777777" w:rsidR="00474EBD" w:rsidRPr="006C0DA9" w:rsidRDefault="00474EBD">
      <w:pPr>
        <w:pStyle w:val="FootnoteText"/>
        <w:rPr>
          <w:lang w:val="en-US"/>
        </w:rPr>
      </w:pPr>
      <w:r>
        <w:rPr>
          <w:rStyle w:val="FootnoteReference"/>
        </w:rPr>
        <w:footnoteRef/>
      </w:r>
      <w:r>
        <w:t xml:space="preserve"> </w:t>
      </w:r>
      <w:r>
        <w:rPr>
          <w:lang w:val="en-US"/>
        </w:rPr>
        <w:t>Idem, paragraph 46.</w:t>
      </w:r>
    </w:p>
  </w:footnote>
  <w:footnote w:id="15">
    <w:p w14:paraId="7A424D08" w14:textId="319474C3" w:rsidR="00474EBD" w:rsidRPr="00A1445D" w:rsidRDefault="00474EBD" w:rsidP="00A1445D">
      <w:pPr>
        <w:spacing w:after="0" w:line="240" w:lineRule="auto"/>
        <w:jc w:val="both"/>
      </w:pPr>
      <w:r w:rsidRPr="00A1445D">
        <w:rPr>
          <w:rStyle w:val="FootnoteReference"/>
          <w:sz w:val="20"/>
          <w:szCs w:val="20"/>
        </w:rPr>
        <w:footnoteRef/>
      </w:r>
      <w:r w:rsidRPr="00A1445D">
        <w:rPr>
          <w:sz w:val="20"/>
          <w:szCs w:val="20"/>
          <w:lang w:val="en-US"/>
        </w:rPr>
        <w:t xml:space="preserve"> </w:t>
      </w:r>
      <w:r w:rsidRPr="00A1445D">
        <w:rPr>
          <w:rFonts w:cs="Arial"/>
          <w:sz w:val="20"/>
          <w:szCs w:val="20"/>
        </w:rPr>
        <w:t xml:space="preserve">Human Rights Committee General comment No. 36 on article 6 of the International Covenant on Civil and Political Rights, on the right to life. Revised draft prepared by the </w:t>
      </w:r>
      <w:r w:rsidR="00027531" w:rsidRPr="00A1445D">
        <w:rPr>
          <w:rFonts w:cs="Arial"/>
          <w:sz w:val="20"/>
          <w:szCs w:val="20"/>
        </w:rPr>
        <w:t>Rapporteur</w:t>
      </w:r>
      <w:r w:rsidRPr="00A1445D">
        <w:rPr>
          <w:rFonts w:cs="Arial"/>
          <w:sz w:val="20"/>
          <w:szCs w:val="20"/>
        </w:rPr>
        <w:t>. paragraph 2.</w:t>
      </w:r>
    </w:p>
  </w:footnote>
  <w:footnote w:id="16">
    <w:p w14:paraId="5C921721" w14:textId="77777777" w:rsidR="00A1445D" w:rsidRPr="00A1445D" w:rsidRDefault="00A1445D" w:rsidP="00A1445D">
      <w:pPr>
        <w:pStyle w:val="FootnoteText"/>
      </w:pPr>
      <w:r w:rsidRPr="00A1445D">
        <w:rPr>
          <w:rStyle w:val="FootnoteReference"/>
        </w:rPr>
        <w:footnoteRef/>
      </w:r>
      <w:r w:rsidRPr="00A1445D">
        <w:t xml:space="preserve"> </w:t>
      </w:r>
      <w:r w:rsidRPr="00A1445D">
        <w:rPr>
          <w:lang w:val="en-US"/>
        </w:rPr>
        <w:t xml:space="preserve">Report of the Independent Expert on the enjoyment of human rights by persons with albinism, 1 January 2017. A/HRC/34/59. </w:t>
      </w:r>
      <w:r w:rsidRPr="00A1445D">
        <w:t>Paragraph 31</w:t>
      </w:r>
      <w:r>
        <w:t xml:space="preserve"> and 32</w:t>
      </w:r>
      <w:r w:rsidRPr="00A1445D">
        <w:t>.</w:t>
      </w:r>
    </w:p>
  </w:footnote>
  <w:footnote w:id="17">
    <w:p w14:paraId="6B8E2421" w14:textId="77777777" w:rsidR="00466E86" w:rsidRDefault="00466E86" w:rsidP="00466E86">
      <w:pPr>
        <w:autoSpaceDE w:val="0"/>
        <w:autoSpaceDN w:val="0"/>
        <w:adjustRightInd w:val="0"/>
        <w:spacing w:after="0" w:line="240" w:lineRule="auto"/>
        <w:rPr>
          <w:rFonts w:ascii="Arial" w:hAnsi="Arial" w:cs="Arial"/>
          <w:sz w:val="19"/>
          <w:szCs w:val="19"/>
          <w:lang w:val="en-US"/>
        </w:rPr>
      </w:pPr>
      <w:r>
        <w:rPr>
          <w:rStyle w:val="FootnoteReference"/>
        </w:rPr>
        <w:footnoteRef/>
      </w:r>
      <w:r>
        <w:t xml:space="preserve"> </w:t>
      </w:r>
      <w:r>
        <w:rPr>
          <w:rFonts w:ascii="Arial" w:hAnsi="Arial" w:cs="Arial"/>
          <w:sz w:val="19"/>
          <w:szCs w:val="19"/>
          <w:lang w:val="en-US"/>
        </w:rPr>
        <w:t>General Assembly, Report of the Independent Expert on the enjoyment of human rights by persons</w:t>
      </w:r>
    </w:p>
    <w:p w14:paraId="470CE958" w14:textId="77777777" w:rsidR="00466E86" w:rsidRPr="00466E86" w:rsidRDefault="00466E86" w:rsidP="00466E86">
      <w:pPr>
        <w:autoSpaceDE w:val="0"/>
        <w:autoSpaceDN w:val="0"/>
        <w:adjustRightInd w:val="0"/>
        <w:spacing w:after="0" w:line="240" w:lineRule="auto"/>
        <w:rPr>
          <w:rFonts w:ascii="Arial" w:hAnsi="Arial" w:cs="Arial"/>
          <w:sz w:val="19"/>
          <w:szCs w:val="19"/>
          <w:lang w:val="en-US"/>
        </w:rPr>
      </w:pPr>
      <w:r>
        <w:rPr>
          <w:rFonts w:ascii="Arial" w:hAnsi="Arial" w:cs="Arial"/>
          <w:sz w:val="19"/>
          <w:szCs w:val="19"/>
          <w:lang w:val="en-US"/>
        </w:rPr>
        <w:t>with albinism. A/HRC/31/63, paragraph 27.</w:t>
      </w:r>
    </w:p>
  </w:footnote>
  <w:footnote w:id="18">
    <w:p w14:paraId="5560A969" w14:textId="77777777" w:rsidR="00466E86" w:rsidRDefault="00466E86" w:rsidP="00466E86">
      <w:pPr>
        <w:autoSpaceDE w:val="0"/>
        <w:autoSpaceDN w:val="0"/>
        <w:adjustRightInd w:val="0"/>
        <w:spacing w:after="0" w:line="240" w:lineRule="auto"/>
        <w:rPr>
          <w:rFonts w:ascii="Arial" w:hAnsi="Arial" w:cs="Arial"/>
          <w:sz w:val="19"/>
          <w:szCs w:val="19"/>
          <w:lang w:val="en-US"/>
        </w:rPr>
      </w:pPr>
      <w:r>
        <w:rPr>
          <w:rStyle w:val="FootnoteReference"/>
        </w:rPr>
        <w:footnoteRef/>
      </w:r>
      <w:r w:rsidRPr="00466E86">
        <w:rPr>
          <w:lang w:val="en-US"/>
        </w:rPr>
        <w:t xml:space="preserve"> </w:t>
      </w:r>
      <w:r>
        <w:rPr>
          <w:rFonts w:ascii="Arial" w:hAnsi="Arial" w:cs="Arial"/>
          <w:sz w:val="19"/>
          <w:szCs w:val="19"/>
          <w:lang w:val="en-US"/>
        </w:rPr>
        <w:t>Contribution of the OHCHR on the situation of persons with albinism in Burundi to the study of the</w:t>
      </w:r>
    </w:p>
    <w:p w14:paraId="7850162E" w14:textId="77777777" w:rsidR="00466E86" w:rsidRPr="00401D9D" w:rsidRDefault="00466E86" w:rsidP="00466E86">
      <w:pPr>
        <w:autoSpaceDE w:val="0"/>
        <w:autoSpaceDN w:val="0"/>
        <w:adjustRightInd w:val="0"/>
        <w:spacing w:after="0" w:line="240" w:lineRule="auto"/>
        <w:rPr>
          <w:rFonts w:ascii="Arial" w:hAnsi="Arial" w:cs="Arial"/>
          <w:sz w:val="19"/>
          <w:szCs w:val="19"/>
          <w:lang w:val="en-CA"/>
        </w:rPr>
      </w:pPr>
      <w:r>
        <w:rPr>
          <w:rFonts w:ascii="Arial" w:hAnsi="Arial" w:cs="Arial"/>
          <w:sz w:val="19"/>
          <w:szCs w:val="19"/>
          <w:lang w:val="en-US"/>
        </w:rPr>
        <w:t xml:space="preserve">Human Rights Council Advisory Committee. </w:t>
      </w:r>
      <w:bookmarkStart w:id="0" w:name="_GoBack"/>
      <w:r w:rsidRPr="00401D9D">
        <w:rPr>
          <w:rFonts w:ascii="Arial" w:hAnsi="Arial" w:cs="Arial"/>
          <w:sz w:val="19"/>
          <w:szCs w:val="19"/>
          <w:lang w:val="en-CA"/>
        </w:rPr>
        <w:t>Accessible at:</w:t>
      </w:r>
    </w:p>
    <w:p w14:paraId="336FD846" w14:textId="77777777" w:rsidR="00466E86" w:rsidRPr="00401D9D" w:rsidRDefault="00466E86" w:rsidP="00466E86">
      <w:pPr>
        <w:autoSpaceDE w:val="0"/>
        <w:autoSpaceDN w:val="0"/>
        <w:adjustRightInd w:val="0"/>
        <w:spacing w:after="0" w:line="240" w:lineRule="auto"/>
        <w:rPr>
          <w:rFonts w:ascii="Arial" w:hAnsi="Arial" w:cs="Arial"/>
          <w:sz w:val="19"/>
          <w:szCs w:val="19"/>
          <w:lang w:val="en-CA"/>
        </w:rPr>
      </w:pPr>
      <w:r w:rsidRPr="00401D9D">
        <w:rPr>
          <w:rFonts w:ascii="Arial" w:hAnsi="Arial" w:cs="Arial"/>
          <w:sz w:val="19"/>
          <w:szCs w:val="19"/>
          <w:lang w:val="en-CA"/>
        </w:rPr>
        <w:t>http://www.ohchr.org/EN/HRBodies/HRC/AdvisoryCommittee/Pages/AttacksAgainstPersonsWithAlbinism.</w:t>
      </w:r>
    </w:p>
    <w:bookmarkEnd w:id="0"/>
    <w:p w14:paraId="64C8CF1E" w14:textId="77777777" w:rsidR="00466E86" w:rsidRPr="00C9234D" w:rsidRDefault="00466E86" w:rsidP="00466E86">
      <w:pPr>
        <w:pStyle w:val="FootnoteText"/>
        <w:rPr>
          <w:lang w:val="en-US"/>
        </w:rPr>
      </w:pPr>
      <w:r w:rsidRPr="00C9234D">
        <w:rPr>
          <w:rFonts w:ascii="Arial" w:hAnsi="Arial" w:cs="Arial"/>
          <w:sz w:val="19"/>
          <w:szCs w:val="19"/>
          <w:lang w:val="en-US"/>
        </w:rPr>
        <w:t>aspx</w:t>
      </w:r>
    </w:p>
  </w:footnote>
  <w:footnote w:id="19">
    <w:p w14:paraId="06BE9C00" w14:textId="77777777" w:rsidR="00143014" w:rsidRPr="00C9234D" w:rsidRDefault="00143014">
      <w:pPr>
        <w:pStyle w:val="FootnoteText"/>
        <w:rPr>
          <w:lang w:val="en-US"/>
        </w:rPr>
      </w:pPr>
      <w:r>
        <w:rPr>
          <w:rStyle w:val="FootnoteReference"/>
        </w:rPr>
        <w:footnoteRef/>
      </w:r>
      <w:r w:rsidRPr="00143014">
        <w:rPr>
          <w:lang w:val="en-US"/>
        </w:rPr>
        <w:t xml:space="preserve"> </w:t>
      </w:r>
      <w:r>
        <w:rPr>
          <w:lang w:val="en-US"/>
        </w:rPr>
        <w:t xml:space="preserve">Report of the Independent Expert on the enjoyment of human rights by persons with albinism, 1 January 2017. A/HRC/34/59. </w:t>
      </w:r>
      <w:r>
        <w:t>Paragraph 14.</w:t>
      </w:r>
    </w:p>
  </w:footnote>
  <w:footnote w:id="20">
    <w:p w14:paraId="59736744" w14:textId="77777777" w:rsidR="004F4031" w:rsidRPr="00C81581" w:rsidRDefault="004F4031">
      <w:pPr>
        <w:pStyle w:val="FootnoteText"/>
        <w:rPr>
          <w:lang w:val="en-US"/>
        </w:rPr>
      </w:pPr>
      <w:r w:rsidRPr="00C81581">
        <w:rPr>
          <w:rStyle w:val="FootnoteReference"/>
        </w:rPr>
        <w:footnoteRef/>
      </w:r>
      <w:r w:rsidRPr="00C81581">
        <w:t xml:space="preserve"> </w:t>
      </w:r>
      <w:r w:rsidR="00C81581" w:rsidRPr="00C81581">
        <w:rPr>
          <w:lang w:val="en-US"/>
        </w:rPr>
        <w:t xml:space="preserve">Report of the Independent Expert on the enjoyment of human rights by persons with albinism, 18 January 2016. A/HRC/31/63. Paragraph 37. </w:t>
      </w:r>
    </w:p>
  </w:footnote>
  <w:footnote w:id="21">
    <w:p w14:paraId="3B4D8F8B" w14:textId="77777777" w:rsidR="00C81581" w:rsidRPr="00C81581" w:rsidRDefault="00C81581">
      <w:pPr>
        <w:pStyle w:val="FootnoteText"/>
        <w:rPr>
          <w:lang w:val="en-US"/>
        </w:rPr>
      </w:pPr>
      <w:r w:rsidRPr="00C81581">
        <w:rPr>
          <w:rStyle w:val="FootnoteReference"/>
        </w:rPr>
        <w:footnoteRef/>
      </w:r>
      <w:r w:rsidRPr="00C81581">
        <w:t xml:space="preserve"> </w:t>
      </w:r>
      <w:r w:rsidRPr="00C81581">
        <w:rPr>
          <w:rFonts w:cs="Arial"/>
          <w:lang w:val="en-US"/>
        </w:rPr>
        <w:t>Idem</w:t>
      </w:r>
      <w:r w:rsidRPr="00C81581">
        <w:rPr>
          <w:rFonts w:cs="Arial"/>
        </w:rPr>
        <w:t>.</w:t>
      </w:r>
    </w:p>
  </w:footnote>
  <w:footnote w:id="22">
    <w:p w14:paraId="7A0B52A7" w14:textId="77777777" w:rsidR="00FB35C3" w:rsidRPr="009B1DBB" w:rsidRDefault="00FB35C3" w:rsidP="00FB35C3">
      <w:pPr>
        <w:pStyle w:val="FootnoteText"/>
        <w:rPr>
          <w:lang w:val="en-US"/>
        </w:rPr>
      </w:pPr>
      <w:r w:rsidRPr="008E4BB8">
        <w:rPr>
          <w:rStyle w:val="FootnoteReference"/>
        </w:rPr>
        <w:footnoteRef/>
      </w:r>
      <w:r w:rsidRPr="008E4BB8">
        <w:t xml:space="preserve"> </w:t>
      </w:r>
      <w:r w:rsidRPr="009B1DBB">
        <w:rPr>
          <w:bCs/>
        </w:rPr>
        <w:t>Joint general recommendation No. 31 of the Committee on the Elimination of Discrimination against Women/general comment No. 18 of the Committee on the Rights of the Child on harmful practices. Paragraph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6B7C"/>
    <w:multiLevelType w:val="hybridMultilevel"/>
    <w:tmpl w:val="EAC666DA"/>
    <w:lvl w:ilvl="0" w:tplc="3CCA6A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E6E2D"/>
    <w:multiLevelType w:val="hybridMultilevel"/>
    <w:tmpl w:val="E272A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20B93"/>
    <w:multiLevelType w:val="hybridMultilevel"/>
    <w:tmpl w:val="EAC666DA"/>
    <w:lvl w:ilvl="0" w:tplc="3CCA6A3C">
      <w:start w:val="1"/>
      <w:numFmt w:val="decimal"/>
      <w:lvlText w:val="%1."/>
      <w:lvlJc w:val="left"/>
      <w:pPr>
        <w:ind w:left="11520" w:hanging="360"/>
      </w:pPr>
      <w:rPr>
        <w:rFonts w:hint="default"/>
        <w:b w:val="0"/>
      </w:rPr>
    </w:lvl>
    <w:lvl w:ilvl="1" w:tplc="04090019">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3" w15:restartNumberingAfterBreak="0">
    <w:nsid w:val="59333260"/>
    <w:multiLevelType w:val="hybridMultilevel"/>
    <w:tmpl w:val="DA069800"/>
    <w:lvl w:ilvl="0" w:tplc="48AE8D9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ED5C04"/>
    <w:multiLevelType w:val="hybridMultilevel"/>
    <w:tmpl w:val="18D89F5E"/>
    <w:lvl w:ilvl="0" w:tplc="B9A2FE2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C3D8C"/>
    <w:multiLevelType w:val="hybridMultilevel"/>
    <w:tmpl w:val="40F8EF42"/>
    <w:lvl w:ilvl="0" w:tplc="CC22D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zNzcyA5KWhqaWBko6SsGpxcWZ+XkgBSa1AHgi718sAAAA"/>
  </w:docVars>
  <w:rsids>
    <w:rsidRoot w:val="007F2428"/>
    <w:rsid w:val="00000894"/>
    <w:rsid w:val="00003163"/>
    <w:rsid w:val="0000363B"/>
    <w:rsid w:val="000070A1"/>
    <w:rsid w:val="0001000D"/>
    <w:rsid w:val="0001006D"/>
    <w:rsid w:val="0001097F"/>
    <w:rsid w:val="0001113A"/>
    <w:rsid w:val="000113E4"/>
    <w:rsid w:val="000157AB"/>
    <w:rsid w:val="00016635"/>
    <w:rsid w:val="0001679C"/>
    <w:rsid w:val="00017872"/>
    <w:rsid w:val="00017BAD"/>
    <w:rsid w:val="000233DE"/>
    <w:rsid w:val="0002717D"/>
    <w:rsid w:val="00027345"/>
    <w:rsid w:val="00027531"/>
    <w:rsid w:val="00031074"/>
    <w:rsid w:val="0003300E"/>
    <w:rsid w:val="0003493B"/>
    <w:rsid w:val="00041D8D"/>
    <w:rsid w:val="000438C7"/>
    <w:rsid w:val="00045D5B"/>
    <w:rsid w:val="000473F5"/>
    <w:rsid w:val="0005064D"/>
    <w:rsid w:val="00050B3C"/>
    <w:rsid w:val="0005154D"/>
    <w:rsid w:val="00055C93"/>
    <w:rsid w:val="00056BC7"/>
    <w:rsid w:val="00056D56"/>
    <w:rsid w:val="00057BC0"/>
    <w:rsid w:val="00060865"/>
    <w:rsid w:val="00060A20"/>
    <w:rsid w:val="000637D9"/>
    <w:rsid w:val="0006610C"/>
    <w:rsid w:val="00066426"/>
    <w:rsid w:val="000676A4"/>
    <w:rsid w:val="00067F28"/>
    <w:rsid w:val="000722AA"/>
    <w:rsid w:val="00075616"/>
    <w:rsid w:val="00076FE2"/>
    <w:rsid w:val="00077611"/>
    <w:rsid w:val="000832F3"/>
    <w:rsid w:val="00083E00"/>
    <w:rsid w:val="00084E78"/>
    <w:rsid w:val="00085965"/>
    <w:rsid w:val="00090722"/>
    <w:rsid w:val="00091E92"/>
    <w:rsid w:val="00091EDB"/>
    <w:rsid w:val="000953DC"/>
    <w:rsid w:val="00095AAD"/>
    <w:rsid w:val="00097F13"/>
    <w:rsid w:val="000A0A21"/>
    <w:rsid w:val="000A2D1F"/>
    <w:rsid w:val="000A3F7B"/>
    <w:rsid w:val="000A642C"/>
    <w:rsid w:val="000B289A"/>
    <w:rsid w:val="000B5862"/>
    <w:rsid w:val="000B5D91"/>
    <w:rsid w:val="000B6198"/>
    <w:rsid w:val="000B754A"/>
    <w:rsid w:val="000C0C6D"/>
    <w:rsid w:val="000C22E1"/>
    <w:rsid w:val="000C3DBC"/>
    <w:rsid w:val="000C4DF4"/>
    <w:rsid w:val="000C55B0"/>
    <w:rsid w:val="000C5BE7"/>
    <w:rsid w:val="000C72F1"/>
    <w:rsid w:val="000D09E6"/>
    <w:rsid w:val="000D3A90"/>
    <w:rsid w:val="000D3DF2"/>
    <w:rsid w:val="000D3F09"/>
    <w:rsid w:val="000D4C32"/>
    <w:rsid w:val="000E10EC"/>
    <w:rsid w:val="000E1176"/>
    <w:rsid w:val="000E2AD2"/>
    <w:rsid w:val="000E315A"/>
    <w:rsid w:val="000E62E6"/>
    <w:rsid w:val="000F1EEF"/>
    <w:rsid w:val="000F34D5"/>
    <w:rsid w:val="000F45A5"/>
    <w:rsid w:val="0010201E"/>
    <w:rsid w:val="001029FC"/>
    <w:rsid w:val="00103D03"/>
    <w:rsid w:val="00104527"/>
    <w:rsid w:val="00106B4F"/>
    <w:rsid w:val="00111531"/>
    <w:rsid w:val="001129F0"/>
    <w:rsid w:val="001172A9"/>
    <w:rsid w:val="001178CC"/>
    <w:rsid w:val="0012020A"/>
    <w:rsid w:val="00120FFC"/>
    <w:rsid w:val="001213DD"/>
    <w:rsid w:val="00122A77"/>
    <w:rsid w:val="0012670B"/>
    <w:rsid w:val="00126AD8"/>
    <w:rsid w:val="00127B4F"/>
    <w:rsid w:val="001301C5"/>
    <w:rsid w:val="00131EC7"/>
    <w:rsid w:val="00132043"/>
    <w:rsid w:val="00134AC6"/>
    <w:rsid w:val="00135377"/>
    <w:rsid w:val="001362F3"/>
    <w:rsid w:val="0013733E"/>
    <w:rsid w:val="00137D11"/>
    <w:rsid w:val="001402D5"/>
    <w:rsid w:val="00142642"/>
    <w:rsid w:val="00143014"/>
    <w:rsid w:val="0014486B"/>
    <w:rsid w:val="0014564A"/>
    <w:rsid w:val="00146B6B"/>
    <w:rsid w:val="0015076A"/>
    <w:rsid w:val="00154E94"/>
    <w:rsid w:val="00155725"/>
    <w:rsid w:val="0015576F"/>
    <w:rsid w:val="00156469"/>
    <w:rsid w:val="00156D16"/>
    <w:rsid w:val="00156DA4"/>
    <w:rsid w:val="001572A3"/>
    <w:rsid w:val="0015763F"/>
    <w:rsid w:val="00160C39"/>
    <w:rsid w:val="00161858"/>
    <w:rsid w:val="00162261"/>
    <w:rsid w:val="00162C2C"/>
    <w:rsid w:val="001657B7"/>
    <w:rsid w:val="00165DAD"/>
    <w:rsid w:val="00165E03"/>
    <w:rsid w:val="00166444"/>
    <w:rsid w:val="00166FFB"/>
    <w:rsid w:val="001672E2"/>
    <w:rsid w:val="00167B22"/>
    <w:rsid w:val="00177FC6"/>
    <w:rsid w:val="0018036D"/>
    <w:rsid w:val="001821C6"/>
    <w:rsid w:val="00183CF4"/>
    <w:rsid w:val="00183F6E"/>
    <w:rsid w:val="00185F4F"/>
    <w:rsid w:val="00186269"/>
    <w:rsid w:val="001912E5"/>
    <w:rsid w:val="00191ED2"/>
    <w:rsid w:val="0019445D"/>
    <w:rsid w:val="001944D3"/>
    <w:rsid w:val="0019516F"/>
    <w:rsid w:val="00196703"/>
    <w:rsid w:val="001A3897"/>
    <w:rsid w:val="001A7859"/>
    <w:rsid w:val="001B02B7"/>
    <w:rsid w:val="001B03C3"/>
    <w:rsid w:val="001B1215"/>
    <w:rsid w:val="001B15EA"/>
    <w:rsid w:val="001B480D"/>
    <w:rsid w:val="001B52CF"/>
    <w:rsid w:val="001B591F"/>
    <w:rsid w:val="001C01A8"/>
    <w:rsid w:val="001C0765"/>
    <w:rsid w:val="001C09EF"/>
    <w:rsid w:val="001C3807"/>
    <w:rsid w:val="001C4B91"/>
    <w:rsid w:val="001C5720"/>
    <w:rsid w:val="001C7406"/>
    <w:rsid w:val="001C7A79"/>
    <w:rsid w:val="001D2AB6"/>
    <w:rsid w:val="001D2C71"/>
    <w:rsid w:val="001D3557"/>
    <w:rsid w:val="001D4106"/>
    <w:rsid w:val="001D77AA"/>
    <w:rsid w:val="001D7DFC"/>
    <w:rsid w:val="001E0112"/>
    <w:rsid w:val="001E01E0"/>
    <w:rsid w:val="001E0615"/>
    <w:rsid w:val="001E2EF9"/>
    <w:rsid w:val="001E57DA"/>
    <w:rsid w:val="001E681F"/>
    <w:rsid w:val="001E725D"/>
    <w:rsid w:val="001E7E26"/>
    <w:rsid w:val="001F07E2"/>
    <w:rsid w:val="001F3483"/>
    <w:rsid w:val="001F3DAF"/>
    <w:rsid w:val="001F4551"/>
    <w:rsid w:val="001F6A9B"/>
    <w:rsid w:val="002006BC"/>
    <w:rsid w:val="002009E2"/>
    <w:rsid w:val="0020305D"/>
    <w:rsid w:val="00203230"/>
    <w:rsid w:val="00203E34"/>
    <w:rsid w:val="00204E7F"/>
    <w:rsid w:val="00206F6F"/>
    <w:rsid w:val="00216CF1"/>
    <w:rsid w:val="00217737"/>
    <w:rsid w:val="00221F22"/>
    <w:rsid w:val="00223310"/>
    <w:rsid w:val="00225431"/>
    <w:rsid w:val="0022593E"/>
    <w:rsid w:val="00226443"/>
    <w:rsid w:val="002265D3"/>
    <w:rsid w:val="0022754D"/>
    <w:rsid w:val="002321E7"/>
    <w:rsid w:val="00234EA3"/>
    <w:rsid w:val="00242306"/>
    <w:rsid w:val="0024397C"/>
    <w:rsid w:val="0024482A"/>
    <w:rsid w:val="002472CD"/>
    <w:rsid w:val="0025199D"/>
    <w:rsid w:val="00251B6B"/>
    <w:rsid w:val="00252171"/>
    <w:rsid w:val="00252B4D"/>
    <w:rsid w:val="00257227"/>
    <w:rsid w:val="00257AEA"/>
    <w:rsid w:val="0026229C"/>
    <w:rsid w:val="00262A87"/>
    <w:rsid w:val="002670C6"/>
    <w:rsid w:val="00270C7C"/>
    <w:rsid w:val="00271372"/>
    <w:rsid w:val="00271DCA"/>
    <w:rsid w:val="00273906"/>
    <w:rsid w:val="00276879"/>
    <w:rsid w:val="00277B9A"/>
    <w:rsid w:val="00280D10"/>
    <w:rsid w:val="00281561"/>
    <w:rsid w:val="00282692"/>
    <w:rsid w:val="00282DDA"/>
    <w:rsid w:val="0028420B"/>
    <w:rsid w:val="0028700F"/>
    <w:rsid w:val="002919B5"/>
    <w:rsid w:val="00291A01"/>
    <w:rsid w:val="00291D69"/>
    <w:rsid w:val="00292151"/>
    <w:rsid w:val="00294064"/>
    <w:rsid w:val="00295D29"/>
    <w:rsid w:val="002977AB"/>
    <w:rsid w:val="002A4079"/>
    <w:rsid w:val="002A76B3"/>
    <w:rsid w:val="002B0C6B"/>
    <w:rsid w:val="002B370A"/>
    <w:rsid w:val="002B43C4"/>
    <w:rsid w:val="002B48F7"/>
    <w:rsid w:val="002B650E"/>
    <w:rsid w:val="002B6E71"/>
    <w:rsid w:val="002C022E"/>
    <w:rsid w:val="002C1348"/>
    <w:rsid w:val="002C3044"/>
    <w:rsid w:val="002D03CB"/>
    <w:rsid w:val="002D3E72"/>
    <w:rsid w:val="002D4D24"/>
    <w:rsid w:val="002D6202"/>
    <w:rsid w:val="002E2B30"/>
    <w:rsid w:val="002E59ED"/>
    <w:rsid w:val="002F0969"/>
    <w:rsid w:val="002F0DF5"/>
    <w:rsid w:val="002F1B81"/>
    <w:rsid w:val="002F35DC"/>
    <w:rsid w:val="00300AB3"/>
    <w:rsid w:val="00302003"/>
    <w:rsid w:val="00302195"/>
    <w:rsid w:val="00303ECF"/>
    <w:rsid w:val="00304029"/>
    <w:rsid w:val="00306EC6"/>
    <w:rsid w:val="00311F0B"/>
    <w:rsid w:val="003151BB"/>
    <w:rsid w:val="00315334"/>
    <w:rsid w:val="00315F2C"/>
    <w:rsid w:val="00322889"/>
    <w:rsid w:val="003234AF"/>
    <w:rsid w:val="00323EE3"/>
    <w:rsid w:val="0032586E"/>
    <w:rsid w:val="003276D6"/>
    <w:rsid w:val="00327FEC"/>
    <w:rsid w:val="003306D5"/>
    <w:rsid w:val="00331B43"/>
    <w:rsid w:val="00331B93"/>
    <w:rsid w:val="003339D1"/>
    <w:rsid w:val="00334910"/>
    <w:rsid w:val="0033567B"/>
    <w:rsid w:val="003357BA"/>
    <w:rsid w:val="00335C8B"/>
    <w:rsid w:val="00336863"/>
    <w:rsid w:val="003405BD"/>
    <w:rsid w:val="00340DAC"/>
    <w:rsid w:val="003411FF"/>
    <w:rsid w:val="0034142E"/>
    <w:rsid w:val="00342750"/>
    <w:rsid w:val="00343B15"/>
    <w:rsid w:val="00343E81"/>
    <w:rsid w:val="00344922"/>
    <w:rsid w:val="00345BCF"/>
    <w:rsid w:val="00351642"/>
    <w:rsid w:val="00351A9D"/>
    <w:rsid w:val="0035581A"/>
    <w:rsid w:val="00355E9E"/>
    <w:rsid w:val="00356EBE"/>
    <w:rsid w:val="00356ED5"/>
    <w:rsid w:val="00361493"/>
    <w:rsid w:val="003618D5"/>
    <w:rsid w:val="00364C74"/>
    <w:rsid w:val="00365C23"/>
    <w:rsid w:val="003673B8"/>
    <w:rsid w:val="00367765"/>
    <w:rsid w:val="00370F2A"/>
    <w:rsid w:val="00372877"/>
    <w:rsid w:val="00372BDB"/>
    <w:rsid w:val="00372EA9"/>
    <w:rsid w:val="00373B68"/>
    <w:rsid w:val="003766EB"/>
    <w:rsid w:val="00377317"/>
    <w:rsid w:val="0037739A"/>
    <w:rsid w:val="003775F3"/>
    <w:rsid w:val="003850C8"/>
    <w:rsid w:val="003924FF"/>
    <w:rsid w:val="0039263A"/>
    <w:rsid w:val="0039269C"/>
    <w:rsid w:val="0039770B"/>
    <w:rsid w:val="00397BE9"/>
    <w:rsid w:val="003A371F"/>
    <w:rsid w:val="003A40AB"/>
    <w:rsid w:val="003A65FC"/>
    <w:rsid w:val="003A7493"/>
    <w:rsid w:val="003A790D"/>
    <w:rsid w:val="003B1231"/>
    <w:rsid w:val="003B1713"/>
    <w:rsid w:val="003B2102"/>
    <w:rsid w:val="003B3B25"/>
    <w:rsid w:val="003B3EBB"/>
    <w:rsid w:val="003B4035"/>
    <w:rsid w:val="003B449F"/>
    <w:rsid w:val="003B4DC3"/>
    <w:rsid w:val="003B5107"/>
    <w:rsid w:val="003B5385"/>
    <w:rsid w:val="003B67EC"/>
    <w:rsid w:val="003B7D76"/>
    <w:rsid w:val="003C015B"/>
    <w:rsid w:val="003C46F5"/>
    <w:rsid w:val="003C6FB3"/>
    <w:rsid w:val="003D0C76"/>
    <w:rsid w:val="003D44BD"/>
    <w:rsid w:val="003E1CA4"/>
    <w:rsid w:val="003E36E8"/>
    <w:rsid w:val="003E404E"/>
    <w:rsid w:val="003E5A3D"/>
    <w:rsid w:val="003E5A42"/>
    <w:rsid w:val="003E7955"/>
    <w:rsid w:val="003E7C1E"/>
    <w:rsid w:val="003E7E85"/>
    <w:rsid w:val="003F488D"/>
    <w:rsid w:val="003F6C58"/>
    <w:rsid w:val="003F754A"/>
    <w:rsid w:val="003F7A20"/>
    <w:rsid w:val="00401D9D"/>
    <w:rsid w:val="004021DB"/>
    <w:rsid w:val="00403CAE"/>
    <w:rsid w:val="0040608B"/>
    <w:rsid w:val="00410667"/>
    <w:rsid w:val="0041081E"/>
    <w:rsid w:val="00411750"/>
    <w:rsid w:val="00412AFD"/>
    <w:rsid w:val="00413C1B"/>
    <w:rsid w:val="0041416D"/>
    <w:rsid w:val="00414477"/>
    <w:rsid w:val="00414F18"/>
    <w:rsid w:val="00415149"/>
    <w:rsid w:val="00420086"/>
    <w:rsid w:val="0042137B"/>
    <w:rsid w:val="004242F7"/>
    <w:rsid w:val="00424B6E"/>
    <w:rsid w:val="00426983"/>
    <w:rsid w:val="00426CFD"/>
    <w:rsid w:val="00427020"/>
    <w:rsid w:val="00431E3F"/>
    <w:rsid w:val="00432E1F"/>
    <w:rsid w:val="00435FC3"/>
    <w:rsid w:val="0044072F"/>
    <w:rsid w:val="0044085C"/>
    <w:rsid w:val="00441E96"/>
    <w:rsid w:val="00442888"/>
    <w:rsid w:val="00443527"/>
    <w:rsid w:val="00444676"/>
    <w:rsid w:val="00452CB1"/>
    <w:rsid w:val="004539B2"/>
    <w:rsid w:val="00455D1E"/>
    <w:rsid w:val="00455DD2"/>
    <w:rsid w:val="00456658"/>
    <w:rsid w:val="004574AA"/>
    <w:rsid w:val="00460B25"/>
    <w:rsid w:val="004610AE"/>
    <w:rsid w:val="00461812"/>
    <w:rsid w:val="0046224F"/>
    <w:rsid w:val="00462325"/>
    <w:rsid w:val="00463856"/>
    <w:rsid w:val="00463C3A"/>
    <w:rsid w:val="00464FC3"/>
    <w:rsid w:val="00466E86"/>
    <w:rsid w:val="0046795E"/>
    <w:rsid w:val="00467B07"/>
    <w:rsid w:val="00471D02"/>
    <w:rsid w:val="00471E3C"/>
    <w:rsid w:val="004734A8"/>
    <w:rsid w:val="0047387E"/>
    <w:rsid w:val="0047420E"/>
    <w:rsid w:val="00474DCA"/>
    <w:rsid w:val="00474EBD"/>
    <w:rsid w:val="00475653"/>
    <w:rsid w:val="00475A0A"/>
    <w:rsid w:val="00475A4D"/>
    <w:rsid w:val="004766A8"/>
    <w:rsid w:val="00481B53"/>
    <w:rsid w:val="0048354F"/>
    <w:rsid w:val="00484EE0"/>
    <w:rsid w:val="00490EFA"/>
    <w:rsid w:val="004913B8"/>
    <w:rsid w:val="0049202B"/>
    <w:rsid w:val="0049471C"/>
    <w:rsid w:val="00495228"/>
    <w:rsid w:val="004967A8"/>
    <w:rsid w:val="004971D4"/>
    <w:rsid w:val="004A1003"/>
    <w:rsid w:val="004A2DDA"/>
    <w:rsid w:val="004A3446"/>
    <w:rsid w:val="004A3604"/>
    <w:rsid w:val="004A3C49"/>
    <w:rsid w:val="004A4B1B"/>
    <w:rsid w:val="004A4BD7"/>
    <w:rsid w:val="004A6EF7"/>
    <w:rsid w:val="004A7004"/>
    <w:rsid w:val="004A7C9A"/>
    <w:rsid w:val="004B70F9"/>
    <w:rsid w:val="004B7F1E"/>
    <w:rsid w:val="004C1CD8"/>
    <w:rsid w:val="004C2B60"/>
    <w:rsid w:val="004C476A"/>
    <w:rsid w:val="004C4F6D"/>
    <w:rsid w:val="004C5A6B"/>
    <w:rsid w:val="004C7C7B"/>
    <w:rsid w:val="004D130B"/>
    <w:rsid w:val="004D2819"/>
    <w:rsid w:val="004D3854"/>
    <w:rsid w:val="004D3AB2"/>
    <w:rsid w:val="004D7A28"/>
    <w:rsid w:val="004D7BC9"/>
    <w:rsid w:val="004E0640"/>
    <w:rsid w:val="004E1CE0"/>
    <w:rsid w:val="004E1D94"/>
    <w:rsid w:val="004E2026"/>
    <w:rsid w:val="004E2CF0"/>
    <w:rsid w:val="004E3354"/>
    <w:rsid w:val="004E6BBA"/>
    <w:rsid w:val="004F241C"/>
    <w:rsid w:val="004F4031"/>
    <w:rsid w:val="004F5241"/>
    <w:rsid w:val="004F58F0"/>
    <w:rsid w:val="004F5B7C"/>
    <w:rsid w:val="004F6C86"/>
    <w:rsid w:val="004F7519"/>
    <w:rsid w:val="004F7F4D"/>
    <w:rsid w:val="00500EC3"/>
    <w:rsid w:val="005015B3"/>
    <w:rsid w:val="005015E0"/>
    <w:rsid w:val="0050206D"/>
    <w:rsid w:val="005020CF"/>
    <w:rsid w:val="005053E1"/>
    <w:rsid w:val="005063CE"/>
    <w:rsid w:val="005078BA"/>
    <w:rsid w:val="005111E9"/>
    <w:rsid w:val="005128AB"/>
    <w:rsid w:val="00513E8C"/>
    <w:rsid w:val="00515678"/>
    <w:rsid w:val="00516E7D"/>
    <w:rsid w:val="0051794B"/>
    <w:rsid w:val="00522CD6"/>
    <w:rsid w:val="00526CEA"/>
    <w:rsid w:val="00527054"/>
    <w:rsid w:val="0053047D"/>
    <w:rsid w:val="005311F1"/>
    <w:rsid w:val="005341E9"/>
    <w:rsid w:val="005349A4"/>
    <w:rsid w:val="00534FAD"/>
    <w:rsid w:val="00536266"/>
    <w:rsid w:val="00540124"/>
    <w:rsid w:val="0054090C"/>
    <w:rsid w:val="005412FF"/>
    <w:rsid w:val="00542CF0"/>
    <w:rsid w:val="00543100"/>
    <w:rsid w:val="005437B7"/>
    <w:rsid w:val="00544F18"/>
    <w:rsid w:val="00547C18"/>
    <w:rsid w:val="0055088B"/>
    <w:rsid w:val="00550BC9"/>
    <w:rsid w:val="00550F7E"/>
    <w:rsid w:val="00551760"/>
    <w:rsid w:val="00553FBC"/>
    <w:rsid w:val="00554231"/>
    <w:rsid w:val="00555E9C"/>
    <w:rsid w:val="00556168"/>
    <w:rsid w:val="00556853"/>
    <w:rsid w:val="0055685F"/>
    <w:rsid w:val="00560378"/>
    <w:rsid w:val="005625F1"/>
    <w:rsid w:val="00562B69"/>
    <w:rsid w:val="005631BF"/>
    <w:rsid w:val="00563229"/>
    <w:rsid w:val="005634D1"/>
    <w:rsid w:val="005651C6"/>
    <w:rsid w:val="005653D7"/>
    <w:rsid w:val="005663C6"/>
    <w:rsid w:val="00572ED2"/>
    <w:rsid w:val="005747DD"/>
    <w:rsid w:val="00575A3C"/>
    <w:rsid w:val="00575DAB"/>
    <w:rsid w:val="0057713F"/>
    <w:rsid w:val="00577805"/>
    <w:rsid w:val="005806B6"/>
    <w:rsid w:val="00581BE3"/>
    <w:rsid w:val="00585C22"/>
    <w:rsid w:val="0058604F"/>
    <w:rsid w:val="00586158"/>
    <w:rsid w:val="00586C01"/>
    <w:rsid w:val="005871CD"/>
    <w:rsid w:val="00592567"/>
    <w:rsid w:val="005927C9"/>
    <w:rsid w:val="00593254"/>
    <w:rsid w:val="00597D73"/>
    <w:rsid w:val="005A1012"/>
    <w:rsid w:val="005A4129"/>
    <w:rsid w:val="005A61A7"/>
    <w:rsid w:val="005A68E8"/>
    <w:rsid w:val="005A73E1"/>
    <w:rsid w:val="005A7848"/>
    <w:rsid w:val="005A7C28"/>
    <w:rsid w:val="005B1D3B"/>
    <w:rsid w:val="005B3419"/>
    <w:rsid w:val="005B3B44"/>
    <w:rsid w:val="005B4C05"/>
    <w:rsid w:val="005B4E00"/>
    <w:rsid w:val="005B53E0"/>
    <w:rsid w:val="005B68C9"/>
    <w:rsid w:val="005C088D"/>
    <w:rsid w:val="005C52AD"/>
    <w:rsid w:val="005C6097"/>
    <w:rsid w:val="005C7182"/>
    <w:rsid w:val="005C7FF1"/>
    <w:rsid w:val="005D04E8"/>
    <w:rsid w:val="005D0C92"/>
    <w:rsid w:val="005D1410"/>
    <w:rsid w:val="005D179C"/>
    <w:rsid w:val="005D1B67"/>
    <w:rsid w:val="005D1B6C"/>
    <w:rsid w:val="005D31D4"/>
    <w:rsid w:val="005D3CFD"/>
    <w:rsid w:val="005D3FF9"/>
    <w:rsid w:val="005E1106"/>
    <w:rsid w:val="005E2225"/>
    <w:rsid w:val="005E263E"/>
    <w:rsid w:val="005E3293"/>
    <w:rsid w:val="005E5066"/>
    <w:rsid w:val="005E6555"/>
    <w:rsid w:val="005F0996"/>
    <w:rsid w:val="005F1FE8"/>
    <w:rsid w:val="005F2C45"/>
    <w:rsid w:val="0060022C"/>
    <w:rsid w:val="00601912"/>
    <w:rsid w:val="006026C4"/>
    <w:rsid w:val="00605256"/>
    <w:rsid w:val="006052D2"/>
    <w:rsid w:val="00611C22"/>
    <w:rsid w:val="00612C2C"/>
    <w:rsid w:val="00612FAD"/>
    <w:rsid w:val="006136A7"/>
    <w:rsid w:val="0061621F"/>
    <w:rsid w:val="00620328"/>
    <w:rsid w:val="006216A2"/>
    <w:rsid w:val="00622C19"/>
    <w:rsid w:val="0062382F"/>
    <w:rsid w:val="00623A11"/>
    <w:rsid w:val="00626CB5"/>
    <w:rsid w:val="00627FBD"/>
    <w:rsid w:val="00632A85"/>
    <w:rsid w:val="006404A6"/>
    <w:rsid w:val="0064182C"/>
    <w:rsid w:val="006428E2"/>
    <w:rsid w:val="00643579"/>
    <w:rsid w:val="0064369A"/>
    <w:rsid w:val="006439D8"/>
    <w:rsid w:val="00645F63"/>
    <w:rsid w:val="00647BB4"/>
    <w:rsid w:val="00650000"/>
    <w:rsid w:val="00650158"/>
    <w:rsid w:val="006521AF"/>
    <w:rsid w:val="00652FD3"/>
    <w:rsid w:val="00653C47"/>
    <w:rsid w:val="006559E4"/>
    <w:rsid w:val="00655D11"/>
    <w:rsid w:val="00656A5E"/>
    <w:rsid w:val="006571AC"/>
    <w:rsid w:val="00660D51"/>
    <w:rsid w:val="00660F7E"/>
    <w:rsid w:val="00663507"/>
    <w:rsid w:val="00664543"/>
    <w:rsid w:val="00665C97"/>
    <w:rsid w:val="00665EFA"/>
    <w:rsid w:val="00666825"/>
    <w:rsid w:val="006710E7"/>
    <w:rsid w:val="006719E1"/>
    <w:rsid w:val="00671EF7"/>
    <w:rsid w:val="00673B50"/>
    <w:rsid w:val="0067445E"/>
    <w:rsid w:val="00677751"/>
    <w:rsid w:val="00680F01"/>
    <w:rsid w:val="00684118"/>
    <w:rsid w:val="0068667E"/>
    <w:rsid w:val="0068683A"/>
    <w:rsid w:val="00686D04"/>
    <w:rsid w:val="00690183"/>
    <w:rsid w:val="0069032B"/>
    <w:rsid w:val="006905F5"/>
    <w:rsid w:val="00696283"/>
    <w:rsid w:val="006A101B"/>
    <w:rsid w:val="006A3612"/>
    <w:rsid w:val="006A6C83"/>
    <w:rsid w:val="006A79EE"/>
    <w:rsid w:val="006B6A99"/>
    <w:rsid w:val="006B7B86"/>
    <w:rsid w:val="006C0DA9"/>
    <w:rsid w:val="006C32FD"/>
    <w:rsid w:val="006C3AD7"/>
    <w:rsid w:val="006C3F26"/>
    <w:rsid w:val="006C431C"/>
    <w:rsid w:val="006C44D8"/>
    <w:rsid w:val="006C4DC0"/>
    <w:rsid w:val="006C5AB1"/>
    <w:rsid w:val="006C7E5C"/>
    <w:rsid w:val="006D1660"/>
    <w:rsid w:val="006D3037"/>
    <w:rsid w:val="006D3FA9"/>
    <w:rsid w:val="006D58C0"/>
    <w:rsid w:val="006D67AF"/>
    <w:rsid w:val="006E02B7"/>
    <w:rsid w:val="006E0330"/>
    <w:rsid w:val="006E385D"/>
    <w:rsid w:val="006E76CB"/>
    <w:rsid w:val="006E7E43"/>
    <w:rsid w:val="006F0556"/>
    <w:rsid w:val="006F3DBA"/>
    <w:rsid w:val="00702F27"/>
    <w:rsid w:val="00703142"/>
    <w:rsid w:val="007038A0"/>
    <w:rsid w:val="00704204"/>
    <w:rsid w:val="0070645F"/>
    <w:rsid w:val="0070688B"/>
    <w:rsid w:val="00707E6A"/>
    <w:rsid w:val="0071083D"/>
    <w:rsid w:val="00714C1D"/>
    <w:rsid w:val="00714C92"/>
    <w:rsid w:val="00715E40"/>
    <w:rsid w:val="00721285"/>
    <w:rsid w:val="00723F22"/>
    <w:rsid w:val="00724D44"/>
    <w:rsid w:val="00725F6A"/>
    <w:rsid w:val="00726345"/>
    <w:rsid w:val="007268C6"/>
    <w:rsid w:val="00730B03"/>
    <w:rsid w:val="00730C8F"/>
    <w:rsid w:val="0073174D"/>
    <w:rsid w:val="00731B9A"/>
    <w:rsid w:val="0073259D"/>
    <w:rsid w:val="00732B17"/>
    <w:rsid w:val="00733430"/>
    <w:rsid w:val="007365C8"/>
    <w:rsid w:val="00740E94"/>
    <w:rsid w:val="0074102C"/>
    <w:rsid w:val="00741F74"/>
    <w:rsid w:val="00742023"/>
    <w:rsid w:val="0074212B"/>
    <w:rsid w:val="00742EA6"/>
    <w:rsid w:val="00743F37"/>
    <w:rsid w:val="007449E7"/>
    <w:rsid w:val="00744CEF"/>
    <w:rsid w:val="00746D55"/>
    <w:rsid w:val="00746E8E"/>
    <w:rsid w:val="00746EB6"/>
    <w:rsid w:val="00747F0F"/>
    <w:rsid w:val="00750197"/>
    <w:rsid w:val="00751CB5"/>
    <w:rsid w:val="00751F8A"/>
    <w:rsid w:val="0075305D"/>
    <w:rsid w:val="0075379E"/>
    <w:rsid w:val="007563D9"/>
    <w:rsid w:val="007569D4"/>
    <w:rsid w:val="00761FE5"/>
    <w:rsid w:val="007666EB"/>
    <w:rsid w:val="00766723"/>
    <w:rsid w:val="0077214A"/>
    <w:rsid w:val="0077459A"/>
    <w:rsid w:val="007751D6"/>
    <w:rsid w:val="00775B9A"/>
    <w:rsid w:val="00775D67"/>
    <w:rsid w:val="00777178"/>
    <w:rsid w:val="0078196C"/>
    <w:rsid w:val="00785496"/>
    <w:rsid w:val="00786E35"/>
    <w:rsid w:val="0078713E"/>
    <w:rsid w:val="0079266D"/>
    <w:rsid w:val="00792BF4"/>
    <w:rsid w:val="0079349C"/>
    <w:rsid w:val="00793DBA"/>
    <w:rsid w:val="00794B89"/>
    <w:rsid w:val="00795B45"/>
    <w:rsid w:val="007960D5"/>
    <w:rsid w:val="007A19B9"/>
    <w:rsid w:val="007A2322"/>
    <w:rsid w:val="007A7598"/>
    <w:rsid w:val="007B07DB"/>
    <w:rsid w:val="007B0D54"/>
    <w:rsid w:val="007B3117"/>
    <w:rsid w:val="007B3E8F"/>
    <w:rsid w:val="007B459A"/>
    <w:rsid w:val="007B5FAF"/>
    <w:rsid w:val="007B6FBA"/>
    <w:rsid w:val="007C0208"/>
    <w:rsid w:val="007C1D72"/>
    <w:rsid w:val="007C400E"/>
    <w:rsid w:val="007D0B40"/>
    <w:rsid w:val="007D11A0"/>
    <w:rsid w:val="007D3C8B"/>
    <w:rsid w:val="007D457D"/>
    <w:rsid w:val="007D4A0F"/>
    <w:rsid w:val="007D4A10"/>
    <w:rsid w:val="007D54CB"/>
    <w:rsid w:val="007D55D8"/>
    <w:rsid w:val="007D5908"/>
    <w:rsid w:val="007E0E97"/>
    <w:rsid w:val="007E4EE6"/>
    <w:rsid w:val="007E5CC9"/>
    <w:rsid w:val="007E5F64"/>
    <w:rsid w:val="007E7A6B"/>
    <w:rsid w:val="007F0704"/>
    <w:rsid w:val="007F13DB"/>
    <w:rsid w:val="007F14AD"/>
    <w:rsid w:val="007F20DD"/>
    <w:rsid w:val="007F2428"/>
    <w:rsid w:val="007F2F49"/>
    <w:rsid w:val="007F35F3"/>
    <w:rsid w:val="007F45F2"/>
    <w:rsid w:val="007F6881"/>
    <w:rsid w:val="007F6B87"/>
    <w:rsid w:val="00804917"/>
    <w:rsid w:val="008049D7"/>
    <w:rsid w:val="00804E68"/>
    <w:rsid w:val="00806299"/>
    <w:rsid w:val="0081106F"/>
    <w:rsid w:val="008116A0"/>
    <w:rsid w:val="008119D5"/>
    <w:rsid w:val="00812072"/>
    <w:rsid w:val="008127C6"/>
    <w:rsid w:val="00814060"/>
    <w:rsid w:val="008141E7"/>
    <w:rsid w:val="0081440F"/>
    <w:rsid w:val="00814791"/>
    <w:rsid w:val="0081609F"/>
    <w:rsid w:val="008168DD"/>
    <w:rsid w:val="00820345"/>
    <w:rsid w:val="0082157C"/>
    <w:rsid w:val="00822E85"/>
    <w:rsid w:val="00822FBD"/>
    <w:rsid w:val="00823B8B"/>
    <w:rsid w:val="00824F3A"/>
    <w:rsid w:val="00826286"/>
    <w:rsid w:val="0082744B"/>
    <w:rsid w:val="00830988"/>
    <w:rsid w:val="00830F0A"/>
    <w:rsid w:val="008315FC"/>
    <w:rsid w:val="00831F76"/>
    <w:rsid w:val="00834906"/>
    <w:rsid w:val="0083511A"/>
    <w:rsid w:val="00835F85"/>
    <w:rsid w:val="00837A1C"/>
    <w:rsid w:val="00841EDF"/>
    <w:rsid w:val="008428A5"/>
    <w:rsid w:val="00842AAD"/>
    <w:rsid w:val="00842F92"/>
    <w:rsid w:val="008438CF"/>
    <w:rsid w:val="008441AB"/>
    <w:rsid w:val="00844ADE"/>
    <w:rsid w:val="00845C46"/>
    <w:rsid w:val="00845F11"/>
    <w:rsid w:val="008517A2"/>
    <w:rsid w:val="0085279F"/>
    <w:rsid w:val="00853204"/>
    <w:rsid w:val="008540C1"/>
    <w:rsid w:val="00854733"/>
    <w:rsid w:val="0085702B"/>
    <w:rsid w:val="00857119"/>
    <w:rsid w:val="00857725"/>
    <w:rsid w:val="00857878"/>
    <w:rsid w:val="008618E7"/>
    <w:rsid w:val="00864879"/>
    <w:rsid w:val="00866BF7"/>
    <w:rsid w:val="0087073C"/>
    <w:rsid w:val="008742A5"/>
    <w:rsid w:val="00877614"/>
    <w:rsid w:val="00877C1B"/>
    <w:rsid w:val="008816FE"/>
    <w:rsid w:val="00881CA4"/>
    <w:rsid w:val="00881FAC"/>
    <w:rsid w:val="008827C5"/>
    <w:rsid w:val="008853D2"/>
    <w:rsid w:val="00886164"/>
    <w:rsid w:val="0088775C"/>
    <w:rsid w:val="00887C78"/>
    <w:rsid w:val="00891F76"/>
    <w:rsid w:val="00893711"/>
    <w:rsid w:val="00893C4A"/>
    <w:rsid w:val="00894759"/>
    <w:rsid w:val="008A1978"/>
    <w:rsid w:val="008A2B89"/>
    <w:rsid w:val="008A464D"/>
    <w:rsid w:val="008A5E93"/>
    <w:rsid w:val="008A75CE"/>
    <w:rsid w:val="008B0217"/>
    <w:rsid w:val="008B52D3"/>
    <w:rsid w:val="008B7CA0"/>
    <w:rsid w:val="008C06DF"/>
    <w:rsid w:val="008C0B20"/>
    <w:rsid w:val="008C0C6F"/>
    <w:rsid w:val="008C2296"/>
    <w:rsid w:val="008C52DF"/>
    <w:rsid w:val="008C56C7"/>
    <w:rsid w:val="008C65BE"/>
    <w:rsid w:val="008C7D42"/>
    <w:rsid w:val="008D0F0F"/>
    <w:rsid w:val="008D42A2"/>
    <w:rsid w:val="008D5DDF"/>
    <w:rsid w:val="008E0668"/>
    <w:rsid w:val="008E09E1"/>
    <w:rsid w:val="008E0B5D"/>
    <w:rsid w:val="008E1702"/>
    <w:rsid w:val="008E41E9"/>
    <w:rsid w:val="008E7324"/>
    <w:rsid w:val="008E7B0A"/>
    <w:rsid w:val="008F1EA6"/>
    <w:rsid w:val="008F580C"/>
    <w:rsid w:val="008F5C6D"/>
    <w:rsid w:val="008F6145"/>
    <w:rsid w:val="008F66EE"/>
    <w:rsid w:val="008F6D3C"/>
    <w:rsid w:val="0090079E"/>
    <w:rsid w:val="009009FB"/>
    <w:rsid w:val="00901A4E"/>
    <w:rsid w:val="00901C28"/>
    <w:rsid w:val="0090230A"/>
    <w:rsid w:val="009056C1"/>
    <w:rsid w:val="00905F22"/>
    <w:rsid w:val="00906B1B"/>
    <w:rsid w:val="00907026"/>
    <w:rsid w:val="00911061"/>
    <w:rsid w:val="00911F7B"/>
    <w:rsid w:val="00912188"/>
    <w:rsid w:val="00914942"/>
    <w:rsid w:val="0091505B"/>
    <w:rsid w:val="00916055"/>
    <w:rsid w:val="009169D2"/>
    <w:rsid w:val="009209A3"/>
    <w:rsid w:val="00924FE1"/>
    <w:rsid w:val="00927323"/>
    <w:rsid w:val="00931465"/>
    <w:rsid w:val="00931A13"/>
    <w:rsid w:val="00936044"/>
    <w:rsid w:val="00936B17"/>
    <w:rsid w:val="00936FE0"/>
    <w:rsid w:val="009408AE"/>
    <w:rsid w:val="00941B36"/>
    <w:rsid w:val="009435A7"/>
    <w:rsid w:val="0094371B"/>
    <w:rsid w:val="009443AD"/>
    <w:rsid w:val="009457A3"/>
    <w:rsid w:val="00945EEB"/>
    <w:rsid w:val="00946DA2"/>
    <w:rsid w:val="0094743B"/>
    <w:rsid w:val="00951204"/>
    <w:rsid w:val="0095178B"/>
    <w:rsid w:val="00951933"/>
    <w:rsid w:val="0095364D"/>
    <w:rsid w:val="00953D8B"/>
    <w:rsid w:val="009544A1"/>
    <w:rsid w:val="0095513F"/>
    <w:rsid w:val="009556AB"/>
    <w:rsid w:val="009631D5"/>
    <w:rsid w:val="00965648"/>
    <w:rsid w:val="00970DD2"/>
    <w:rsid w:val="0097201A"/>
    <w:rsid w:val="00972177"/>
    <w:rsid w:val="00972524"/>
    <w:rsid w:val="00972975"/>
    <w:rsid w:val="00973449"/>
    <w:rsid w:val="00974B7B"/>
    <w:rsid w:val="0097682B"/>
    <w:rsid w:val="00980C41"/>
    <w:rsid w:val="009825D1"/>
    <w:rsid w:val="00983AE7"/>
    <w:rsid w:val="00985254"/>
    <w:rsid w:val="00985ABF"/>
    <w:rsid w:val="00985E99"/>
    <w:rsid w:val="0098699C"/>
    <w:rsid w:val="00987115"/>
    <w:rsid w:val="009909DA"/>
    <w:rsid w:val="009914A1"/>
    <w:rsid w:val="00993D5F"/>
    <w:rsid w:val="00993F39"/>
    <w:rsid w:val="00994AE3"/>
    <w:rsid w:val="00994BBC"/>
    <w:rsid w:val="00997F03"/>
    <w:rsid w:val="009A0E0B"/>
    <w:rsid w:val="009A14FE"/>
    <w:rsid w:val="009A177E"/>
    <w:rsid w:val="009A2364"/>
    <w:rsid w:val="009A5478"/>
    <w:rsid w:val="009A5586"/>
    <w:rsid w:val="009A6C5E"/>
    <w:rsid w:val="009B0AC9"/>
    <w:rsid w:val="009B1F6C"/>
    <w:rsid w:val="009B3D5D"/>
    <w:rsid w:val="009B4E3C"/>
    <w:rsid w:val="009B54BB"/>
    <w:rsid w:val="009B6437"/>
    <w:rsid w:val="009B6B2B"/>
    <w:rsid w:val="009B6C67"/>
    <w:rsid w:val="009C05B6"/>
    <w:rsid w:val="009C1739"/>
    <w:rsid w:val="009C1C4B"/>
    <w:rsid w:val="009D092B"/>
    <w:rsid w:val="009D2054"/>
    <w:rsid w:val="009D3EA2"/>
    <w:rsid w:val="009D7951"/>
    <w:rsid w:val="009E4376"/>
    <w:rsid w:val="009E4A4E"/>
    <w:rsid w:val="009E526B"/>
    <w:rsid w:val="009F0150"/>
    <w:rsid w:val="009F0477"/>
    <w:rsid w:val="009F0670"/>
    <w:rsid w:val="009F2ACC"/>
    <w:rsid w:val="009F3BCE"/>
    <w:rsid w:val="009F454D"/>
    <w:rsid w:val="009F51A5"/>
    <w:rsid w:val="009F56E8"/>
    <w:rsid w:val="009F765D"/>
    <w:rsid w:val="00A024EE"/>
    <w:rsid w:val="00A037EB"/>
    <w:rsid w:val="00A043BC"/>
    <w:rsid w:val="00A051FA"/>
    <w:rsid w:val="00A10C25"/>
    <w:rsid w:val="00A11298"/>
    <w:rsid w:val="00A132EA"/>
    <w:rsid w:val="00A1445D"/>
    <w:rsid w:val="00A16262"/>
    <w:rsid w:val="00A16906"/>
    <w:rsid w:val="00A16E85"/>
    <w:rsid w:val="00A16F3B"/>
    <w:rsid w:val="00A2045B"/>
    <w:rsid w:val="00A256F0"/>
    <w:rsid w:val="00A3093B"/>
    <w:rsid w:val="00A33CD0"/>
    <w:rsid w:val="00A35918"/>
    <w:rsid w:val="00A3624F"/>
    <w:rsid w:val="00A37256"/>
    <w:rsid w:val="00A37680"/>
    <w:rsid w:val="00A40FE6"/>
    <w:rsid w:val="00A415A0"/>
    <w:rsid w:val="00A4343B"/>
    <w:rsid w:val="00A43EF6"/>
    <w:rsid w:val="00A44047"/>
    <w:rsid w:val="00A45435"/>
    <w:rsid w:val="00A45AC2"/>
    <w:rsid w:val="00A460C5"/>
    <w:rsid w:val="00A46F63"/>
    <w:rsid w:val="00A47FAD"/>
    <w:rsid w:val="00A503CB"/>
    <w:rsid w:val="00A50E7E"/>
    <w:rsid w:val="00A52674"/>
    <w:rsid w:val="00A52DB5"/>
    <w:rsid w:val="00A573D2"/>
    <w:rsid w:val="00A62149"/>
    <w:rsid w:val="00A628BE"/>
    <w:rsid w:val="00A63B95"/>
    <w:rsid w:val="00A63F58"/>
    <w:rsid w:val="00A63F61"/>
    <w:rsid w:val="00A642C4"/>
    <w:rsid w:val="00A64F33"/>
    <w:rsid w:val="00A71A76"/>
    <w:rsid w:val="00A721EE"/>
    <w:rsid w:val="00A726A8"/>
    <w:rsid w:val="00A762C0"/>
    <w:rsid w:val="00A7747A"/>
    <w:rsid w:val="00A806CC"/>
    <w:rsid w:val="00A80E7E"/>
    <w:rsid w:val="00A8495B"/>
    <w:rsid w:val="00A85EB0"/>
    <w:rsid w:val="00A862B4"/>
    <w:rsid w:val="00A86AF9"/>
    <w:rsid w:val="00A87F2D"/>
    <w:rsid w:val="00A90F0F"/>
    <w:rsid w:val="00A91149"/>
    <w:rsid w:val="00A9196C"/>
    <w:rsid w:val="00A95C44"/>
    <w:rsid w:val="00A965EB"/>
    <w:rsid w:val="00A96A0B"/>
    <w:rsid w:val="00AA18A1"/>
    <w:rsid w:val="00AA516D"/>
    <w:rsid w:val="00AA6E41"/>
    <w:rsid w:val="00AB1F42"/>
    <w:rsid w:val="00AB2312"/>
    <w:rsid w:val="00AB26B5"/>
    <w:rsid w:val="00AB49C2"/>
    <w:rsid w:val="00AB51FF"/>
    <w:rsid w:val="00AB5209"/>
    <w:rsid w:val="00AB666E"/>
    <w:rsid w:val="00AB6AC6"/>
    <w:rsid w:val="00AB7470"/>
    <w:rsid w:val="00AC0FF2"/>
    <w:rsid w:val="00AC1ACA"/>
    <w:rsid w:val="00AD00E3"/>
    <w:rsid w:val="00AD090E"/>
    <w:rsid w:val="00AD0F44"/>
    <w:rsid w:val="00AD1244"/>
    <w:rsid w:val="00AD5FE0"/>
    <w:rsid w:val="00AD6415"/>
    <w:rsid w:val="00AD7555"/>
    <w:rsid w:val="00AE2005"/>
    <w:rsid w:val="00AE2782"/>
    <w:rsid w:val="00AE2810"/>
    <w:rsid w:val="00AE2FB1"/>
    <w:rsid w:val="00AE4668"/>
    <w:rsid w:val="00AE54F2"/>
    <w:rsid w:val="00AE5599"/>
    <w:rsid w:val="00AE5964"/>
    <w:rsid w:val="00AE5F2D"/>
    <w:rsid w:val="00AE63FE"/>
    <w:rsid w:val="00AE67E4"/>
    <w:rsid w:val="00AF0200"/>
    <w:rsid w:val="00AF47CE"/>
    <w:rsid w:val="00AF4C9C"/>
    <w:rsid w:val="00AF5B67"/>
    <w:rsid w:val="00AF792A"/>
    <w:rsid w:val="00B00CE6"/>
    <w:rsid w:val="00B0340A"/>
    <w:rsid w:val="00B05017"/>
    <w:rsid w:val="00B0622E"/>
    <w:rsid w:val="00B14CB3"/>
    <w:rsid w:val="00B16403"/>
    <w:rsid w:val="00B214FA"/>
    <w:rsid w:val="00B222B6"/>
    <w:rsid w:val="00B2276D"/>
    <w:rsid w:val="00B23AA7"/>
    <w:rsid w:val="00B26FB0"/>
    <w:rsid w:val="00B27935"/>
    <w:rsid w:val="00B30870"/>
    <w:rsid w:val="00B34FC8"/>
    <w:rsid w:val="00B3773B"/>
    <w:rsid w:val="00B40882"/>
    <w:rsid w:val="00B422B4"/>
    <w:rsid w:val="00B4305C"/>
    <w:rsid w:val="00B468BF"/>
    <w:rsid w:val="00B474DD"/>
    <w:rsid w:val="00B50C31"/>
    <w:rsid w:val="00B53B01"/>
    <w:rsid w:val="00B53CFD"/>
    <w:rsid w:val="00B547F4"/>
    <w:rsid w:val="00B6067A"/>
    <w:rsid w:val="00B634FE"/>
    <w:rsid w:val="00B64CC3"/>
    <w:rsid w:val="00B65F98"/>
    <w:rsid w:val="00B70945"/>
    <w:rsid w:val="00B73B8F"/>
    <w:rsid w:val="00B7577B"/>
    <w:rsid w:val="00B76340"/>
    <w:rsid w:val="00B804B8"/>
    <w:rsid w:val="00B80546"/>
    <w:rsid w:val="00B805C4"/>
    <w:rsid w:val="00B809FD"/>
    <w:rsid w:val="00B81583"/>
    <w:rsid w:val="00B815BD"/>
    <w:rsid w:val="00B81808"/>
    <w:rsid w:val="00B825DD"/>
    <w:rsid w:val="00B826EA"/>
    <w:rsid w:val="00B82720"/>
    <w:rsid w:val="00B82DB1"/>
    <w:rsid w:val="00B846E0"/>
    <w:rsid w:val="00B84D92"/>
    <w:rsid w:val="00B84F31"/>
    <w:rsid w:val="00B85519"/>
    <w:rsid w:val="00B90309"/>
    <w:rsid w:val="00B908E1"/>
    <w:rsid w:val="00B9127D"/>
    <w:rsid w:val="00B94081"/>
    <w:rsid w:val="00B946A1"/>
    <w:rsid w:val="00B94A3E"/>
    <w:rsid w:val="00B94E8E"/>
    <w:rsid w:val="00B96711"/>
    <w:rsid w:val="00B9711C"/>
    <w:rsid w:val="00B97D77"/>
    <w:rsid w:val="00BA4F34"/>
    <w:rsid w:val="00BA5187"/>
    <w:rsid w:val="00BA660A"/>
    <w:rsid w:val="00BA6719"/>
    <w:rsid w:val="00BA70FC"/>
    <w:rsid w:val="00BA7B4F"/>
    <w:rsid w:val="00BB0B71"/>
    <w:rsid w:val="00BB0CF6"/>
    <w:rsid w:val="00BB2447"/>
    <w:rsid w:val="00BB50D6"/>
    <w:rsid w:val="00BC0290"/>
    <w:rsid w:val="00BC02E7"/>
    <w:rsid w:val="00BC1543"/>
    <w:rsid w:val="00BC23A9"/>
    <w:rsid w:val="00BC413F"/>
    <w:rsid w:val="00BC5D28"/>
    <w:rsid w:val="00BC6C6C"/>
    <w:rsid w:val="00BD0676"/>
    <w:rsid w:val="00BD1C48"/>
    <w:rsid w:val="00BD1DBC"/>
    <w:rsid w:val="00BD39BF"/>
    <w:rsid w:val="00BD446B"/>
    <w:rsid w:val="00BD4CA6"/>
    <w:rsid w:val="00BE2254"/>
    <w:rsid w:val="00BE30EF"/>
    <w:rsid w:val="00BE3BD0"/>
    <w:rsid w:val="00BE4164"/>
    <w:rsid w:val="00BE59BD"/>
    <w:rsid w:val="00BF195E"/>
    <w:rsid w:val="00BF2E14"/>
    <w:rsid w:val="00BF3282"/>
    <w:rsid w:val="00BF4D15"/>
    <w:rsid w:val="00BF5237"/>
    <w:rsid w:val="00BF61F2"/>
    <w:rsid w:val="00BF7498"/>
    <w:rsid w:val="00C00A67"/>
    <w:rsid w:val="00C011DC"/>
    <w:rsid w:val="00C03D7C"/>
    <w:rsid w:val="00C04BB7"/>
    <w:rsid w:val="00C04D48"/>
    <w:rsid w:val="00C07E61"/>
    <w:rsid w:val="00C12CB7"/>
    <w:rsid w:val="00C12DA7"/>
    <w:rsid w:val="00C15961"/>
    <w:rsid w:val="00C202D4"/>
    <w:rsid w:val="00C203FE"/>
    <w:rsid w:val="00C20892"/>
    <w:rsid w:val="00C21EAE"/>
    <w:rsid w:val="00C23006"/>
    <w:rsid w:val="00C24BE5"/>
    <w:rsid w:val="00C27941"/>
    <w:rsid w:val="00C27C0F"/>
    <w:rsid w:val="00C31B86"/>
    <w:rsid w:val="00C32485"/>
    <w:rsid w:val="00C34342"/>
    <w:rsid w:val="00C35AC4"/>
    <w:rsid w:val="00C35C04"/>
    <w:rsid w:val="00C35FCC"/>
    <w:rsid w:val="00C36529"/>
    <w:rsid w:val="00C37B09"/>
    <w:rsid w:val="00C37EE7"/>
    <w:rsid w:val="00C4099E"/>
    <w:rsid w:val="00C43F43"/>
    <w:rsid w:val="00C44986"/>
    <w:rsid w:val="00C44FBC"/>
    <w:rsid w:val="00C510F5"/>
    <w:rsid w:val="00C5124D"/>
    <w:rsid w:val="00C549E7"/>
    <w:rsid w:val="00C54E85"/>
    <w:rsid w:val="00C551F3"/>
    <w:rsid w:val="00C570F0"/>
    <w:rsid w:val="00C57903"/>
    <w:rsid w:val="00C62190"/>
    <w:rsid w:val="00C6228B"/>
    <w:rsid w:val="00C6275A"/>
    <w:rsid w:val="00C62DF7"/>
    <w:rsid w:val="00C65D52"/>
    <w:rsid w:val="00C65E3D"/>
    <w:rsid w:val="00C66276"/>
    <w:rsid w:val="00C66525"/>
    <w:rsid w:val="00C66676"/>
    <w:rsid w:val="00C6722B"/>
    <w:rsid w:val="00C6771E"/>
    <w:rsid w:val="00C67FD5"/>
    <w:rsid w:val="00C701F3"/>
    <w:rsid w:val="00C71299"/>
    <w:rsid w:val="00C71696"/>
    <w:rsid w:val="00C72632"/>
    <w:rsid w:val="00C72DA6"/>
    <w:rsid w:val="00C74249"/>
    <w:rsid w:val="00C7696C"/>
    <w:rsid w:val="00C8093F"/>
    <w:rsid w:val="00C81581"/>
    <w:rsid w:val="00C81D0D"/>
    <w:rsid w:val="00C846A2"/>
    <w:rsid w:val="00C86CDE"/>
    <w:rsid w:val="00C86DD0"/>
    <w:rsid w:val="00C86FED"/>
    <w:rsid w:val="00C8727A"/>
    <w:rsid w:val="00C8793D"/>
    <w:rsid w:val="00C901DE"/>
    <w:rsid w:val="00C90459"/>
    <w:rsid w:val="00C90B23"/>
    <w:rsid w:val="00C91097"/>
    <w:rsid w:val="00C92043"/>
    <w:rsid w:val="00C9234D"/>
    <w:rsid w:val="00C92599"/>
    <w:rsid w:val="00C946C2"/>
    <w:rsid w:val="00C94C7B"/>
    <w:rsid w:val="00C97E03"/>
    <w:rsid w:val="00CA055F"/>
    <w:rsid w:val="00CA1A12"/>
    <w:rsid w:val="00CA1D86"/>
    <w:rsid w:val="00CA2A81"/>
    <w:rsid w:val="00CA4CA0"/>
    <w:rsid w:val="00CA538B"/>
    <w:rsid w:val="00CA7167"/>
    <w:rsid w:val="00CA7655"/>
    <w:rsid w:val="00CB3100"/>
    <w:rsid w:val="00CB5A8B"/>
    <w:rsid w:val="00CB637A"/>
    <w:rsid w:val="00CB6513"/>
    <w:rsid w:val="00CB787B"/>
    <w:rsid w:val="00CC0A8C"/>
    <w:rsid w:val="00CC148F"/>
    <w:rsid w:val="00CC184D"/>
    <w:rsid w:val="00CC4AB9"/>
    <w:rsid w:val="00CC5E46"/>
    <w:rsid w:val="00CD03D8"/>
    <w:rsid w:val="00CD2DDB"/>
    <w:rsid w:val="00CD2F15"/>
    <w:rsid w:val="00CD5FE1"/>
    <w:rsid w:val="00CD62FC"/>
    <w:rsid w:val="00CD6867"/>
    <w:rsid w:val="00CD73A0"/>
    <w:rsid w:val="00CD7D1C"/>
    <w:rsid w:val="00CE169D"/>
    <w:rsid w:val="00CE19ED"/>
    <w:rsid w:val="00CE3807"/>
    <w:rsid w:val="00CF09C4"/>
    <w:rsid w:val="00CF44E9"/>
    <w:rsid w:val="00CF674D"/>
    <w:rsid w:val="00CF73A7"/>
    <w:rsid w:val="00D001F2"/>
    <w:rsid w:val="00D032AB"/>
    <w:rsid w:val="00D03D70"/>
    <w:rsid w:val="00D04029"/>
    <w:rsid w:val="00D05A6A"/>
    <w:rsid w:val="00D05C66"/>
    <w:rsid w:val="00D11F1C"/>
    <w:rsid w:val="00D1226E"/>
    <w:rsid w:val="00D15C4B"/>
    <w:rsid w:val="00D15F38"/>
    <w:rsid w:val="00D17BE0"/>
    <w:rsid w:val="00D20B20"/>
    <w:rsid w:val="00D21850"/>
    <w:rsid w:val="00D252A9"/>
    <w:rsid w:val="00D256EB"/>
    <w:rsid w:val="00D3002C"/>
    <w:rsid w:val="00D3108C"/>
    <w:rsid w:val="00D33E80"/>
    <w:rsid w:val="00D34196"/>
    <w:rsid w:val="00D345A8"/>
    <w:rsid w:val="00D41849"/>
    <w:rsid w:val="00D43B3B"/>
    <w:rsid w:val="00D44DC9"/>
    <w:rsid w:val="00D47159"/>
    <w:rsid w:val="00D47E1C"/>
    <w:rsid w:val="00D50682"/>
    <w:rsid w:val="00D516C0"/>
    <w:rsid w:val="00D52ABD"/>
    <w:rsid w:val="00D55689"/>
    <w:rsid w:val="00D5679C"/>
    <w:rsid w:val="00D5746D"/>
    <w:rsid w:val="00D57E4E"/>
    <w:rsid w:val="00D60255"/>
    <w:rsid w:val="00D62735"/>
    <w:rsid w:val="00D628D8"/>
    <w:rsid w:val="00D6296C"/>
    <w:rsid w:val="00D62BB0"/>
    <w:rsid w:val="00D645E1"/>
    <w:rsid w:val="00D6489D"/>
    <w:rsid w:val="00D672ED"/>
    <w:rsid w:val="00D7047D"/>
    <w:rsid w:val="00D75447"/>
    <w:rsid w:val="00D77B5D"/>
    <w:rsid w:val="00D81BAD"/>
    <w:rsid w:val="00D83EFD"/>
    <w:rsid w:val="00D857E9"/>
    <w:rsid w:val="00D87949"/>
    <w:rsid w:val="00D9779F"/>
    <w:rsid w:val="00D97AD4"/>
    <w:rsid w:val="00DA016A"/>
    <w:rsid w:val="00DA2A31"/>
    <w:rsid w:val="00DA2D65"/>
    <w:rsid w:val="00DA374D"/>
    <w:rsid w:val="00DA3C12"/>
    <w:rsid w:val="00DB1335"/>
    <w:rsid w:val="00DB1C13"/>
    <w:rsid w:val="00DB1D0A"/>
    <w:rsid w:val="00DB3CF6"/>
    <w:rsid w:val="00DB6B0D"/>
    <w:rsid w:val="00DB71EF"/>
    <w:rsid w:val="00DB77FB"/>
    <w:rsid w:val="00DC0057"/>
    <w:rsid w:val="00DC171B"/>
    <w:rsid w:val="00DC2189"/>
    <w:rsid w:val="00DC39F4"/>
    <w:rsid w:val="00DC45C9"/>
    <w:rsid w:val="00DC5C38"/>
    <w:rsid w:val="00DC6622"/>
    <w:rsid w:val="00DC68B4"/>
    <w:rsid w:val="00DC75F7"/>
    <w:rsid w:val="00DC7A8D"/>
    <w:rsid w:val="00DD0485"/>
    <w:rsid w:val="00DD0AE3"/>
    <w:rsid w:val="00DD2D8E"/>
    <w:rsid w:val="00DD2FEF"/>
    <w:rsid w:val="00DD44A9"/>
    <w:rsid w:val="00DD4C60"/>
    <w:rsid w:val="00DD724B"/>
    <w:rsid w:val="00DE23FA"/>
    <w:rsid w:val="00DE2C1C"/>
    <w:rsid w:val="00DE5582"/>
    <w:rsid w:val="00DE77D4"/>
    <w:rsid w:val="00DF1620"/>
    <w:rsid w:val="00DF3956"/>
    <w:rsid w:val="00DF3D1D"/>
    <w:rsid w:val="00DF4340"/>
    <w:rsid w:val="00DF5C13"/>
    <w:rsid w:val="00DF6A4C"/>
    <w:rsid w:val="00E00D87"/>
    <w:rsid w:val="00E02825"/>
    <w:rsid w:val="00E0476D"/>
    <w:rsid w:val="00E04F56"/>
    <w:rsid w:val="00E05120"/>
    <w:rsid w:val="00E11313"/>
    <w:rsid w:val="00E1243E"/>
    <w:rsid w:val="00E125B2"/>
    <w:rsid w:val="00E14CEA"/>
    <w:rsid w:val="00E15BA6"/>
    <w:rsid w:val="00E15DF8"/>
    <w:rsid w:val="00E15F0A"/>
    <w:rsid w:val="00E173C7"/>
    <w:rsid w:val="00E20A14"/>
    <w:rsid w:val="00E2163E"/>
    <w:rsid w:val="00E21E29"/>
    <w:rsid w:val="00E23CC3"/>
    <w:rsid w:val="00E26025"/>
    <w:rsid w:val="00E26DD2"/>
    <w:rsid w:val="00E3129E"/>
    <w:rsid w:val="00E31F22"/>
    <w:rsid w:val="00E32E6D"/>
    <w:rsid w:val="00E33430"/>
    <w:rsid w:val="00E33C7F"/>
    <w:rsid w:val="00E36BA7"/>
    <w:rsid w:val="00E36F1B"/>
    <w:rsid w:val="00E411E7"/>
    <w:rsid w:val="00E42F18"/>
    <w:rsid w:val="00E46B32"/>
    <w:rsid w:val="00E50D82"/>
    <w:rsid w:val="00E50DAB"/>
    <w:rsid w:val="00E50F74"/>
    <w:rsid w:val="00E51823"/>
    <w:rsid w:val="00E51D37"/>
    <w:rsid w:val="00E5275C"/>
    <w:rsid w:val="00E55CC8"/>
    <w:rsid w:val="00E56142"/>
    <w:rsid w:val="00E56652"/>
    <w:rsid w:val="00E567FC"/>
    <w:rsid w:val="00E56E7C"/>
    <w:rsid w:val="00E57C3D"/>
    <w:rsid w:val="00E603C6"/>
    <w:rsid w:val="00E60D7E"/>
    <w:rsid w:val="00E6157D"/>
    <w:rsid w:val="00E62515"/>
    <w:rsid w:val="00E6443C"/>
    <w:rsid w:val="00E664F4"/>
    <w:rsid w:val="00E667D0"/>
    <w:rsid w:val="00E670B9"/>
    <w:rsid w:val="00E676EC"/>
    <w:rsid w:val="00E71B2B"/>
    <w:rsid w:val="00E7240C"/>
    <w:rsid w:val="00E74B90"/>
    <w:rsid w:val="00E75070"/>
    <w:rsid w:val="00E75095"/>
    <w:rsid w:val="00E7631D"/>
    <w:rsid w:val="00E8089F"/>
    <w:rsid w:val="00E812BE"/>
    <w:rsid w:val="00E813D8"/>
    <w:rsid w:val="00E82E21"/>
    <w:rsid w:val="00E84CA6"/>
    <w:rsid w:val="00E860DC"/>
    <w:rsid w:val="00E90AD6"/>
    <w:rsid w:val="00E9137B"/>
    <w:rsid w:val="00E928AE"/>
    <w:rsid w:val="00E92C2E"/>
    <w:rsid w:val="00E95440"/>
    <w:rsid w:val="00E957CA"/>
    <w:rsid w:val="00E9599E"/>
    <w:rsid w:val="00EA1C7C"/>
    <w:rsid w:val="00EA52D9"/>
    <w:rsid w:val="00EA7315"/>
    <w:rsid w:val="00EA736C"/>
    <w:rsid w:val="00EA7A7C"/>
    <w:rsid w:val="00EB16E2"/>
    <w:rsid w:val="00EB4440"/>
    <w:rsid w:val="00EB4FEF"/>
    <w:rsid w:val="00EB62EC"/>
    <w:rsid w:val="00EC0DBB"/>
    <w:rsid w:val="00EC2DBF"/>
    <w:rsid w:val="00EC36B3"/>
    <w:rsid w:val="00EC3FF6"/>
    <w:rsid w:val="00EC4ECD"/>
    <w:rsid w:val="00EC4F9C"/>
    <w:rsid w:val="00EC5DCD"/>
    <w:rsid w:val="00EC6636"/>
    <w:rsid w:val="00EC7757"/>
    <w:rsid w:val="00EC7C1F"/>
    <w:rsid w:val="00ED079F"/>
    <w:rsid w:val="00ED3D90"/>
    <w:rsid w:val="00ED6258"/>
    <w:rsid w:val="00ED7938"/>
    <w:rsid w:val="00ED7DF5"/>
    <w:rsid w:val="00EE00C0"/>
    <w:rsid w:val="00EE1657"/>
    <w:rsid w:val="00EE1CAB"/>
    <w:rsid w:val="00EE2171"/>
    <w:rsid w:val="00EE2EF2"/>
    <w:rsid w:val="00EE36CE"/>
    <w:rsid w:val="00EE47BD"/>
    <w:rsid w:val="00EE54FA"/>
    <w:rsid w:val="00EE6F3A"/>
    <w:rsid w:val="00EF0907"/>
    <w:rsid w:val="00EF158D"/>
    <w:rsid w:val="00EF2F81"/>
    <w:rsid w:val="00EF391D"/>
    <w:rsid w:val="00EF3AA9"/>
    <w:rsid w:val="00EF4D31"/>
    <w:rsid w:val="00F00785"/>
    <w:rsid w:val="00F008A8"/>
    <w:rsid w:val="00F00BC2"/>
    <w:rsid w:val="00F03950"/>
    <w:rsid w:val="00F042A1"/>
    <w:rsid w:val="00F044E5"/>
    <w:rsid w:val="00F0486E"/>
    <w:rsid w:val="00F05571"/>
    <w:rsid w:val="00F06D0F"/>
    <w:rsid w:val="00F07EBF"/>
    <w:rsid w:val="00F10AB2"/>
    <w:rsid w:val="00F11333"/>
    <w:rsid w:val="00F119EF"/>
    <w:rsid w:val="00F12979"/>
    <w:rsid w:val="00F14261"/>
    <w:rsid w:val="00F1634D"/>
    <w:rsid w:val="00F20D67"/>
    <w:rsid w:val="00F20FCE"/>
    <w:rsid w:val="00F244AF"/>
    <w:rsid w:val="00F26ACB"/>
    <w:rsid w:val="00F278E5"/>
    <w:rsid w:val="00F30955"/>
    <w:rsid w:val="00F31374"/>
    <w:rsid w:val="00F34176"/>
    <w:rsid w:val="00F4160B"/>
    <w:rsid w:val="00F435BE"/>
    <w:rsid w:val="00F43C8D"/>
    <w:rsid w:val="00F50778"/>
    <w:rsid w:val="00F52558"/>
    <w:rsid w:val="00F54922"/>
    <w:rsid w:val="00F55114"/>
    <w:rsid w:val="00F553F5"/>
    <w:rsid w:val="00F6335B"/>
    <w:rsid w:val="00F66818"/>
    <w:rsid w:val="00F66EC0"/>
    <w:rsid w:val="00F67A74"/>
    <w:rsid w:val="00F70727"/>
    <w:rsid w:val="00F71826"/>
    <w:rsid w:val="00F720AD"/>
    <w:rsid w:val="00F72654"/>
    <w:rsid w:val="00F74BA5"/>
    <w:rsid w:val="00F831E9"/>
    <w:rsid w:val="00F84647"/>
    <w:rsid w:val="00F855B2"/>
    <w:rsid w:val="00F91FEB"/>
    <w:rsid w:val="00F92B61"/>
    <w:rsid w:val="00F93633"/>
    <w:rsid w:val="00F936F8"/>
    <w:rsid w:val="00F93B03"/>
    <w:rsid w:val="00F93CDF"/>
    <w:rsid w:val="00F9422F"/>
    <w:rsid w:val="00F94598"/>
    <w:rsid w:val="00F95C37"/>
    <w:rsid w:val="00F97672"/>
    <w:rsid w:val="00F97B12"/>
    <w:rsid w:val="00F97EE8"/>
    <w:rsid w:val="00FA2826"/>
    <w:rsid w:val="00FA32F0"/>
    <w:rsid w:val="00FA4B6C"/>
    <w:rsid w:val="00FA505B"/>
    <w:rsid w:val="00FA550A"/>
    <w:rsid w:val="00FA79DE"/>
    <w:rsid w:val="00FB0A77"/>
    <w:rsid w:val="00FB0E73"/>
    <w:rsid w:val="00FB12DA"/>
    <w:rsid w:val="00FB1469"/>
    <w:rsid w:val="00FB35C3"/>
    <w:rsid w:val="00FB3EE8"/>
    <w:rsid w:val="00FB5315"/>
    <w:rsid w:val="00FB5D97"/>
    <w:rsid w:val="00FB68AA"/>
    <w:rsid w:val="00FB7A06"/>
    <w:rsid w:val="00FC3B19"/>
    <w:rsid w:val="00FC4AE6"/>
    <w:rsid w:val="00FC55BC"/>
    <w:rsid w:val="00FC5D6B"/>
    <w:rsid w:val="00FC620F"/>
    <w:rsid w:val="00FD489E"/>
    <w:rsid w:val="00FD5927"/>
    <w:rsid w:val="00FD7599"/>
    <w:rsid w:val="00FE2787"/>
    <w:rsid w:val="00FE28F4"/>
    <w:rsid w:val="00FF0C90"/>
    <w:rsid w:val="00FF2CF6"/>
    <w:rsid w:val="00FF2E8A"/>
    <w:rsid w:val="00FF32A3"/>
    <w:rsid w:val="00FF4153"/>
    <w:rsid w:val="00FF546A"/>
    <w:rsid w:val="00FF766D"/>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524E"/>
  <w15:docId w15:val="{1DCCB5DB-A420-4C0A-8F3A-C55FC600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42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2B4"/>
    <w:rPr>
      <w:sz w:val="20"/>
      <w:szCs w:val="20"/>
      <w:lang w:val="en-GB"/>
    </w:rPr>
  </w:style>
  <w:style w:type="character" w:styleId="FootnoteReference">
    <w:name w:val="footnote reference"/>
    <w:basedOn w:val="DefaultParagraphFont"/>
    <w:uiPriority w:val="99"/>
    <w:semiHidden/>
    <w:unhideWhenUsed/>
    <w:rsid w:val="00B422B4"/>
    <w:rPr>
      <w:vertAlign w:val="superscript"/>
    </w:rPr>
  </w:style>
  <w:style w:type="paragraph" w:styleId="ListParagraph">
    <w:name w:val="List Paragraph"/>
    <w:basedOn w:val="Normal"/>
    <w:uiPriority w:val="34"/>
    <w:qFormat/>
    <w:rsid w:val="008119D5"/>
    <w:pPr>
      <w:ind w:left="720"/>
      <w:contextualSpacing/>
    </w:pPr>
  </w:style>
  <w:style w:type="character" w:styleId="CommentReference">
    <w:name w:val="annotation reference"/>
    <w:basedOn w:val="DefaultParagraphFont"/>
    <w:uiPriority w:val="99"/>
    <w:semiHidden/>
    <w:unhideWhenUsed/>
    <w:rsid w:val="00432E1F"/>
    <w:rPr>
      <w:sz w:val="16"/>
      <w:szCs w:val="16"/>
    </w:rPr>
  </w:style>
  <w:style w:type="paragraph" w:styleId="Header">
    <w:name w:val="header"/>
    <w:basedOn w:val="Normal"/>
    <w:link w:val="HeaderChar"/>
    <w:uiPriority w:val="99"/>
    <w:unhideWhenUsed/>
    <w:rsid w:val="001C4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B91"/>
    <w:rPr>
      <w:lang w:val="en-GB"/>
    </w:rPr>
  </w:style>
  <w:style w:type="paragraph" w:styleId="Footer">
    <w:name w:val="footer"/>
    <w:basedOn w:val="Normal"/>
    <w:link w:val="FooterChar"/>
    <w:uiPriority w:val="99"/>
    <w:unhideWhenUsed/>
    <w:rsid w:val="001C4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B91"/>
    <w:rPr>
      <w:lang w:val="en-GB"/>
    </w:rPr>
  </w:style>
  <w:style w:type="paragraph" w:styleId="BalloonText">
    <w:name w:val="Balloon Text"/>
    <w:basedOn w:val="Normal"/>
    <w:link w:val="BalloonTextChar"/>
    <w:uiPriority w:val="99"/>
    <w:semiHidden/>
    <w:unhideWhenUsed/>
    <w:rsid w:val="000C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5B0"/>
    <w:rPr>
      <w:rFonts w:ascii="Tahoma" w:hAnsi="Tahoma" w:cs="Tahoma"/>
      <w:sz w:val="16"/>
      <w:szCs w:val="16"/>
      <w:lang w:val="en-GB"/>
    </w:rPr>
  </w:style>
  <w:style w:type="paragraph" w:styleId="CommentText">
    <w:name w:val="annotation text"/>
    <w:basedOn w:val="Normal"/>
    <w:link w:val="CommentTextChar"/>
    <w:uiPriority w:val="99"/>
    <w:semiHidden/>
    <w:unhideWhenUsed/>
    <w:rsid w:val="005E263E"/>
    <w:pPr>
      <w:spacing w:line="240" w:lineRule="auto"/>
    </w:pPr>
    <w:rPr>
      <w:sz w:val="20"/>
      <w:szCs w:val="20"/>
    </w:rPr>
  </w:style>
  <w:style w:type="character" w:customStyle="1" w:styleId="CommentTextChar">
    <w:name w:val="Comment Text Char"/>
    <w:basedOn w:val="DefaultParagraphFont"/>
    <w:link w:val="CommentText"/>
    <w:uiPriority w:val="99"/>
    <w:semiHidden/>
    <w:rsid w:val="005E263E"/>
    <w:rPr>
      <w:sz w:val="20"/>
      <w:szCs w:val="20"/>
      <w:lang w:val="en-GB"/>
    </w:rPr>
  </w:style>
  <w:style w:type="paragraph" w:styleId="CommentSubject">
    <w:name w:val="annotation subject"/>
    <w:basedOn w:val="CommentText"/>
    <w:next w:val="CommentText"/>
    <w:link w:val="CommentSubjectChar"/>
    <w:uiPriority w:val="99"/>
    <w:semiHidden/>
    <w:unhideWhenUsed/>
    <w:rsid w:val="005E263E"/>
    <w:rPr>
      <w:b/>
      <w:bCs/>
    </w:rPr>
  </w:style>
  <w:style w:type="character" w:customStyle="1" w:styleId="CommentSubjectChar">
    <w:name w:val="Comment Subject Char"/>
    <w:basedOn w:val="CommentTextChar"/>
    <w:link w:val="CommentSubject"/>
    <w:uiPriority w:val="99"/>
    <w:semiHidden/>
    <w:rsid w:val="005E263E"/>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BA2DBD-292A-4985-BE6E-91071B156A0F}">
  <ds:schemaRefs>
    <ds:schemaRef ds:uri="http://schemas.openxmlformats.org/officeDocument/2006/bibliography"/>
  </ds:schemaRefs>
</ds:datastoreItem>
</file>

<file path=customXml/itemProps2.xml><?xml version="1.0" encoding="utf-8"?>
<ds:datastoreItem xmlns:ds="http://schemas.openxmlformats.org/officeDocument/2006/customXml" ds:itemID="{994E6E17-6100-4F75-9693-BC6F3B7736DF}"/>
</file>

<file path=customXml/itemProps3.xml><?xml version="1.0" encoding="utf-8"?>
<ds:datastoreItem xmlns:ds="http://schemas.openxmlformats.org/officeDocument/2006/customXml" ds:itemID="{86E99F4F-355A-4C6B-A7FA-5941A1D6F6AB}"/>
</file>

<file path=customXml/itemProps4.xml><?xml version="1.0" encoding="utf-8"?>
<ds:datastoreItem xmlns:ds="http://schemas.openxmlformats.org/officeDocument/2006/customXml" ds:itemID="{AD925D22-5028-46A3-A2F2-8D17F0B29A07}"/>
</file>

<file path=docProps/app.xml><?xml version="1.0" encoding="utf-8"?>
<Properties xmlns="http://schemas.openxmlformats.org/officeDocument/2006/extended-properties" xmlns:vt="http://schemas.openxmlformats.org/officeDocument/2006/docPropsVTypes">
  <Template>Normal.dotm</Template>
  <TotalTime>0</TotalTime>
  <Pages>10</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Durnescu Lilian</cp:lastModifiedBy>
  <cp:revision>2</cp:revision>
  <cp:lastPrinted>2017-10-05T22:14:00Z</cp:lastPrinted>
  <dcterms:created xsi:type="dcterms:W3CDTF">2017-10-09T08:40:00Z</dcterms:created>
  <dcterms:modified xsi:type="dcterms:W3CDTF">2017-10-09T08:40:00Z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