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8B51F" w14:textId="77777777" w:rsidR="00584788" w:rsidRPr="00E04ED2" w:rsidRDefault="00584788" w:rsidP="00E04ED2">
      <w:pPr>
        <w:spacing w:line="276" w:lineRule="auto"/>
        <w:rPr>
          <w:rFonts w:ascii="Book Antiqua" w:hAnsi="Book Antiqua"/>
          <w:b/>
          <w:sz w:val="23"/>
          <w:szCs w:val="23"/>
          <w:lang w:val="es-ES"/>
        </w:rPr>
      </w:pPr>
    </w:p>
    <w:p w14:paraId="653964AA" w14:textId="77777777" w:rsidR="00D5730D" w:rsidRPr="00E04ED2" w:rsidRDefault="00DA112D" w:rsidP="00E04ED2">
      <w:pPr>
        <w:spacing w:line="276" w:lineRule="auto"/>
        <w:jc w:val="center"/>
        <w:rPr>
          <w:rFonts w:ascii="Book Antiqua" w:hAnsi="Book Antiqua"/>
          <w:b/>
          <w:sz w:val="23"/>
          <w:szCs w:val="23"/>
          <w:lang w:val="es-ES"/>
        </w:rPr>
      </w:pPr>
      <w:r w:rsidRPr="00E04ED2">
        <w:rPr>
          <w:rFonts w:ascii="Book Antiqua" w:hAnsi="Book Antiqua"/>
          <w:b/>
          <w:sz w:val="23"/>
          <w:szCs w:val="23"/>
          <w:lang w:val="es-ES"/>
        </w:rPr>
        <w:t xml:space="preserve">Aportaciones </w:t>
      </w:r>
      <w:r w:rsidR="007A42E1" w:rsidRPr="00E04ED2">
        <w:rPr>
          <w:rFonts w:ascii="Book Antiqua" w:hAnsi="Book Antiqua"/>
          <w:b/>
          <w:sz w:val="23"/>
          <w:szCs w:val="23"/>
          <w:lang w:val="es-ES"/>
        </w:rPr>
        <w:t xml:space="preserve">sobre el Comentario General número 36 </w:t>
      </w:r>
    </w:p>
    <w:p w14:paraId="65D7B801" w14:textId="77777777" w:rsidR="00D5730D" w:rsidRPr="00E04ED2" w:rsidRDefault="007A42E1" w:rsidP="00E04ED2">
      <w:pPr>
        <w:spacing w:line="276" w:lineRule="auto"/>
        <w:jc w:val="center"/>
        <w:rPr>
          <w:rFonts w:ascii="Book Antiqua" w:hAnsi="Book Antiqua"/>
          <w:b/>
          <w:sz w:val="23"/>
          <w:szCs w:val="23"/>
          <w:lang w:val="es-ES"/>
        </w:rPr>
      </w:pPr>
      <w:r w:rsidRPr="00E04ED2">
        <w:rPr>
          <w:rFonts w:ascii="Book Antiqua" w:hAnsi="Book Antiqua"/>
          <w:b/>
          <w:sz w:val="23"/>
          <w:szCs w:val="23"/>
          <w:lang w:val="es-ES"/>
        </w:rPr>
        <w:t>del Artículo</w:t>
      </w:r>
      <w:r w:rsidR="00D5730D" w:rsidRPr="00E04ED2">
        <w:rPr>
          <w:rFonts w:ascii="Book Antiqua" w:hAnsi="Book Antiqua"/>
          <w:b/>
          <w:sz w:val="23"/>
          <w:szCs w:val="23"/>
          <w:lang w:val="es-ES"/>
        </w:rPr>
        <w:t xml:space="preserve"> 6º </w:t>
      </w:r>
      <w:r w:rsidRPr="00E04ED2">
        <w:rPr>
          <w:rFonts w:ascii="Book Antiqua" w:hAnsi="Book Antiqua"/>
          <w:b/>
          <w:sz w:val="23"/>
          <w:szCs w:val="23"/>
          <w:lang w:val="es-ES"/>
        </w:rPr>
        <w:t>del Pacto Internaciona</w:t>
      </w:r>
      <w:r w:rsidR="00374538" w:rsidRPr="00E04ED2">
        <w:rPr>
          <w:rFonts w:ascii="Book Antiqua" w:hAnsi="Book Antiqua"/>
          <w:b/>
          <w:sz w:val="23"/>
          <w:szCs w:val="23"/>
          <w:lang w:val="es-ES"/>
        </w:rPr>
        <w:t>l</w:t>
      </w:r>
      <w:r w:rsidRPr="00E04ED2">
        <w:rPr>
          <w:rFonts w:ascii="Book Antiqua" w:hAnsi="Book Antiqua"/>
          <w:b/>
          <w:sz w:val="23"/>
          <w:szCs w:val="23"/>
          <w:lang w:val="es-ES"/>
        </w:rPr>
        <w:t xml:space="preserve"> de </w:t>
      </w:r>
    </w:p>
    <w:p w14:paraId="1FBAEDEF" w14:textId="77777777" w:rsidR="007A42E1" w:rsidRPr="00E04ED2" w:rsidRDefault="007A42E1" w:rsidP="00E04ED2">
      <w:pPr>
        <w:spacing w:line="276" w:lineRule="auto"/>
        <w:jc w:val="center"/>
        <w:rPr>
          <w:rFonts w:ascii="Book Antiqua" w:hAnsi="Book Antiqua"/>
          <w:b/>
          <w:sz w:val="23"/>
          <w:szCs w:val="23"/>
          <w:lang w:val="es-ES"/>
        </w:rPr>
      </w:pPr>
      <w:r w:rsidRPr="00E04ED2">
        <w:rPr>
          <w:rFonts w:ascii="Book Antiqua" w:hAnsi="Book Antiqua"/>
          <w:b/>
          <w:sz w:val="23"/>
          <w:szCs w:val="23"/>
          <w:lang w:val="es-ES"/>
        </w:rPr>
        <w:t>Derechos Civiles y Políticos</w:t>
      </w:r>
    </w:p>
    <w:p w14:paraId="6146AF0E" w14:textId="77777777" w:rsidR="00374538" w:rsidRPr="00E04ED2" w:rsidRDefault="00374538" w:rsidP="00E04ED2">
      <w:pPr>
        <w:spacing w:line="276" w:lineRule="auto"/>
        <w:jc w:val="both"/>
        <w:rPr>
          <w:rFonts w:ascii="Book Antiqua" w:hAnsi="Book Antiqua"/>
          <w:sz w:val="23"/>
          <w:szCs w:val="23"/>
          <w:lang w:val="es-ES"/>
        </w:rPr>
      </w:pPr>
    </w:p>
    <w:p w14:paraId="6FB6A5FE" w14:textId="77777777" w:rsidR="00997E18" w:rsidRPr="00E04ED2" w:rsidRDefault="00997E18" w:rsidP="00E04ED2">
      <w:pPr>
        <w:spacing w:line="276" w:lineRule="auto"/>
        <w:jc w:val="both"/>
        <w:rPr>
          <w:rFonts w:ascii="Book Antiqua" w:hAnsi="Book Antiqua"/>
          <w:sz w:val="23"/>
          <w:szCs w:val="23"/>
          <w:lang w:val="es-ES"/>
        </w:rPr>
      </w:pPr>
    </w:p>
    <w:p w14:paraId="4D0AEF6B" w14:textId="77777777" w:rsidR="00803A8A" w:rsidRPr="00E04ED2" w:rsidRDefault="00374538" w:rsidP="00E04ED2">
      <w:pPr>
        <w:pStyle w:val="Heading1"/>
        <w:spacing w:line="276" w:lineRule="auto"/>
        <w:rPr>
          <w:rFonts w:ascii="Book Antiqua" w:hAnsi="Book Antiqua"/>
          <w:color w:val="ED7D31" w:themeColor="accent2"/>
          <w:sz w:val="23"/>
          <w:szCs w:val="23"/>
          <w:lang w:val="es-ES"/>
        </w:rPr>
      </w:pPr>
      <w:r w:rsidRPr="00E04ED2">
        <w:rPr>
          <w:rFonts w:ascii="Book Antiqua" w:hAnsi="Book Antiqua"/>
          <w:color w:val="ED7D31" w:themeColor="accent2"/>
          <w:sz w:val="23"/>
          <w:szCs w:val="23"/>
          <w:lang w:val="es-ES"/>
        </w:rPr>
        <w:t>COMITÉ</w:t>
      </w:r>
      <w:r w:rsidR="00DA112D" w:rsidRPr="00E04ED2">
        <w:rPr>
          <w:rFonts w:ascii="Book Antiqua" w:hAnsi="Book Antiqua"/>
          <w:color w:val="ED7D31" w:themeColor="accent2"/>
          <w:sz w:val="23"/>
          <w:szCs w:val="23"/>
          <w:lang w:val="es-ES"/>
        </w:rPr>
        <w:t xml:space="preserve"> DE DERECHOS HUMANOS </w:t>
      </w:r>
    </w:p>
    <w:p w14:paraId="378FB64F" w14:textId="77777777" w:rsidR="00DA112D" w:rsidRPr="00E04ED2" w:rsidRDefault="00DA112D" w:rsidP="00E04ED2">
      <w:pPr>
        <w:spacing w:line="276" w:lineRule="auto"/>
        <w:jc w:val="both"/>
        <w:rPr>
          <w:rFonts w:ascii="Book Antiqua" w:hAnsi="Book Antiqua"/>
          <w:sz w:val="23"/>
          <w:szCs w:val="23"/>
          <w:lang w:val="es-ES"/>
        </w:rPr>
      </w:pPr>
    </w:p>
    <w:p w14:paraId="1F51D7C2" w14:textId="77777777" w:rsidR="00A157FD" w:rsidRPr="00E04ED2" w:rsidRDefault="00E45EFC" w:rsidP="00E04ED2">
      <w:pPr>
        <w:spacing w:line="276" w:lineRule="auto"/>
        <w:jc w:val="both"/>
        <w:rPr>
          <w:rFonts w:ascii="Book Antiqua" w:hAnsi="Book Antiqua"/>
          <w:sz w:val="23"/>
          <w:szCs w:val="23"/>
        </w:rPr>
      </w:pPr>
      <w:r w:rsidRPr="00E04ED2">
        <w:rPr>
          <w:rFonts w:ascii="Book Antiqua" w:hAnsi="Book Antiqua"/>
          <w:sz w:val="23"/>
          <w:szCs w:val="23"/>
        </w:rPr>
        <w:t>El Comité de Derechos Humanos es el órgano de expertos independientes que supervisa la aplicación del Pacto Internacional de Derechos Civiles y Políticos </w:t>
      </w:r>
      <w:r w:rsidR="00A157FD" w:rsidRPr="00E04ED2">
        <w:rPr>
          <w:rFonts w:ascii="Book Antiqua" w:hAnsi="Book Antiqua"/>
          <w:sz w:val="23"/>
          <w:szCs w:val="23"/>
        </w:rPr>
        <w:t xml:space="preserve">(PICDP) </w:t>
      </w:r>
      <w:r w:rsidRPr="00E04ED2">
        <w:rPr>
          <w:rFonts w:ascii="Book Antiqua" w:hAnsi="Book Antiqua"/>
          <w:sz w:val="23"/>
          <w:szCs w:val="23"/>
        </w:rPr>
        <w:t>por sus Estados Partes.</w:t>
      </w:r>
      <w:r w:rsidR="008334F3" w:rsidRPr="00E04ED2">
        <w:rPr>
          <w:rStyle w:val="FootnoteReference"/>
          <w:rFonts w:ascii="Book Antiqua" w:hAnsi="Book Antiqua"/>
          <w:sz w:val="23"/>
          <w:szCs w:val="23"/>
          <w:lang w:val="es-ES"/>
        </w:rPr>
        <w:t xml:space="preserve"> </w:t>
      </w:r>
      <w:r w:rsidR="008334F3" w:rsidRPr="00E04ED2">
        <w:rPr>
          <w:rStyle w:val="FootnoteReference"/>
          <w:rFonts w:ascii="Book Antiqua" w:hAnsi="Book Antiqua"/>
          <w:sz w:val="23"/>
          <w:szCs w:val="23"/>
          <w:lang w:val="es-ES"/>
        </w:rPr>
        <w:footnoteReference w:id="1"/>
      </w:r>
      <w:r w:rsidR="00337C3A" w:rsidRPr="00E04ED2">
        <w:rPr>
          <w:rFonts w:ascii="Book Antiqua" w:hAnsi="Book Antiqua"/>
          <w:sz w:val="23"/>
          <w:szCs w:val="23"/>
          <w:lang w:val="es-ES"/>
        </w:rPr>
        <w:t xml:space="preserve"> Encuentra su fundamento en</w:t>
      </w:r>
      <w:r w:rsidR="00A157FD" w:rsidRPr="00E04ED2">
        <w:rPr>
          <w:rFonts w:ascii="Book Antiqua" w:hAnsi="Book Antiqua"/>
          <w:sz w:val="23"/>
          <w:szCs w:val="23"/>
          <w:lang w:val="es-ES"/>
        </w:rPr>
        <w:t xml:space="preserve"> la</w:t>
      </w:r>
      <w:r w:rsidR="00337C3A" w:rsidRPr="00E04ED2">
        <w:rPr>
          <w:rFonts w:ascii="Book Antiqua" w:hAnsi="Book Antiqua"/>
          <w:sz w:val="23"/>
          <w:szCs w:val="23"/>
          <w:lang w:val="es-ES"/>
        </w:rPr>
        <w:t xml:space="preserve"> </w:t>
      </w:r>
      <w:r w:rsidR="00A157FD" w:rsidRPr="00E04ED2">
        <w:rPr>
          <w:rFonts w:ascii="Book Antiqua" w:hAnsi="Book Antiqua"/>
          <w:sz w:val="23"/>
          <w:szCs w:val="23"/>
        </w:rPr>
        <w:t>Parte IV del Pacto.</w:t>
      </w:r>
      <w:r w:rsidR="009D1B97" w:rsidRPr="00E04ED2">
        <w:rPr>
          <w:rStyle w:val="FootnoteReference"/>
          <w:rFonts w:ascii="Book Antiqua" w:hAnsi="Book Antiqua"/>
          <w:sz w:val="23"/>
          <w:szCs w:val="23"/>
        </w:rPr>
        <w:footnoteReference w:id="2"/>
      </w:r>
      <w:r w:rsidR="00A157FD" w:rsidRPr="00E04ED2">
        <w:rPr>
          <w:rFonts w:ascii="Book Antiqua" w:hAnsi="Book Antiqua"/>
          <w:sz w:val="23"/>
          <w:szCs w:val="23"/>
        </w:rPr>
        <w:t xml:space="preserve"> </w:t>
      </w:r>
    </w:p>
    <w:p w14:paraId="21CEE5E6" w14:textId="77777777" w:rsidR="00E45EFC" w:rsidRPr="00E04ED2" w:rsidRDefault="00E45EFC" w:rsidP="00E04ED2">
      <w:pPr>
        <w:spacing w:line="276" w:lineRule="auto"/>
        <w:jc w:val="both"/>
        <w:rPr>
          <w:rFonts w:ascii="Book Antiqua" w:hAnsi="Book Antiqua"/>
          <w:sz w:val="23"/>
          <w:szCs w:val="23"/>
        </w:rPr>
      </w:pPr>
    </w:p>
    <w:p w14:paraId="195679C8" w14:textId="77777777" w:rsidR="00FA09FB" w:rsidRPr="00E04ED2" w:rsidRDefault="00D063D7" w:rsidP="00E04ED2">
      <w:pPr>
        <w:spacing w:line="276" w:lineRule="auto"/>
        <w:jc w:val="both"/>
        <w:rPr>
          <w:rFonts w:ascii="Book Antiqua" w:hAnsi="Book Antiqua"/>
          <w:sz w:val="23"/>
          <w:szCs w:val="23"/>
        </w:rPr>
      </w:pPr>
      <w:r w:rsidRPr="00E04ED2">
        <w:rPr>
          <w:rFonts w:ascii="Book Antiqua" w:hAnsi="Book Antiqua"/>
          <w:sz w:val="23"/>
          <w:szCs w:val="23"/>
        </w:rPr>
        <w:t xml:space="preserve">Dentro de sus facultades encontramos que este Comité cuenta con la posibilidad de llevar a cabo un </w:t>
      </w:r>
      <w:r w:rsidR="001F379C" w:rsidRPr="00E04ED2">
        <w:rPr>
          <w:rFonts w:ascii="Book Antiqua" w:hAnsi="Book Antiqua"/>
          <w:sz w:val="23"/>
          <w:szCs w:val="23"/>
        </w:rPr>
        <w:t xml:space="preserve">procedimiento de presentación de informes, </w:t>
      </w:r>
      <w:r w:rsidRPr="00E04ED2">
        <w:rPr>
          <w:rFonts w:ascii="Book Antiqua" w:hAnsi="Book Antiqua"/>
          <w:sz w:val="23"/>
          <w:szCs w:val="23"/>
        </w:rPr>
        <w:t xml:space="preserve">conforme a lo estipulado en el </w:t>
      </w:r>
      <w:r w:rsidR="001F379C" w:rsidRPr="00E04ED2">
        <w:rPr>
          <w:rFonts w:ascii="Book Antiqua" w:hAnsi="Book Antiqua"/>
          <w:sz w:val="23"/>
          <w:szCs w:val="23"/>
        </w:rPr>
        <w:t>artículo 41 del Pacto</w:t>
      </w:r>
      <w:r w:rsidR="00F7029E" w:rsidRPr="00E04ED2">
        <w:rPr>
          <w:rFonts w:ascii="Book Antiqua" w:hAnsi="Book Antiqua"/>
          <w:sz w:val="23"/>
          <w:szCs w:val="23"/>
        </w:rPr>
        <w:t>, que</w:t>
      </w:r>
      <w:r w:rsidR="001F379C" w:rsidRPr="00E04ED2">
        <w:rPr>
          <w:rFonts w:ascii="Book Antiqua" w:hAnsi="Book Antiqua"/>
          <w:sz w:val="23"/>
          <w:szCs w:val="23"/>
        </w:rPr>
        <w:t xml:space="preserve"> establece que el Comité debe examinar las denuncias entre los Estados. Adem</w:t>
      </w:r>
      <w:bookmarkStart w:id="0" w:name="_GoBack"/>
      <w:r w:rsidR="001F379C" w:rsidRPr="00E04ED2">
        <w:rPr>
          <w:rFonts w:ascii="Book Antiqua" w:hAnsi="Book Antiqua"/>
          <w:sz w:val="23"/>
          <w:szCs w:val="23"/>
        </w:rPr>
        <w:t>á</w:t>
      </w:r>
      <w:bookmarkEnd w:id="0"/>
      <w:r w:rsidR="001F379C" w:rsidRPr="00E04ED2">
        <w:rPr>
          <w:rFonts w:ascii="Book Antiqua" w:hAnsi="Book Antiqua"/>
          <w:sz w:val="23"/>
          <w:szCs w:val="23"/>
        </w:rPr>
        <w:t>s, el Primer Protocolo Facultativo del Pacto</w:t>
      </w:r>
      <w:r w:rsidR="00142DEE" w:rsidRPr="00E04ED2">
        <w:rPr>
          <w:rFonts w:ascii="Book Antiqua" w:hAnsi="Book Antiqua"/>
          <w:sz w:val="23"/>
          <w:szCs w:val="23"/>
        </w:rPr>
        <w:t>,</w:t>
      </w:r>
      <w:r w:rsidR="002E5B23" w:rsidRPr="00E04ED2">
        <w:rPr>
          <w:rStyle w:val="FootnoteReference"/>
          <w:rFonts w:ascii="Book Antiqua" w:hAnsi="Book Antiqua"/>
          <w:sz w:val="23"/>
          <w:szCs w:val="23"/>
        </w:rPr>
        <w:footnoteReference w:id="3"/>
      </w:r>
      <w:r w:rsidR="00142DEE" w:rsidRPr="00E04ED2">
        <w:rPr>
          <w:rFonts w:ascii="Book Antiqua" w:hAnsi="Book Antiqua"/>
          <w:sz w:val="23"/>
          <w:szCs w:val="23"/>
        </w:rPr>
        <w:t xml:space="preserve"> que </w:t>
      </w:r>
      <w:r w:rsidR="001F379C" w:rsidRPr="00E04ED2">
        <w:rPr>
          <w:rFonts w:ascii="Book Antiqua" w:hAnsi="Book Antiqua"/>
          <w:sz w:val="23"/>
          <w:szCs w:val="23"/>
        </w:rPr>
        <w:t>otorga al Comité competencia para examinar las denuncias de los particulares en relación con supuestas violaciones del Pacto cometidas por los Estados Partes en el Protocolo</w:t>
      </w:r>
      <w:r w:rsidR="00A52B54" w:rsidRPr="00E04ED2">
        <w:rPr>
          <w:rFonts w:ascii="Book Antiqua" w:hAnsi="Book Antiqua"/>
          <w:sz w:val="23"/>
          <w:szCs w:val="23"/>
        </w:rPr>
        <w:t>; mientras que la plena competencia del Comité se extiende al Segundo Protocolo Facultativo del Pacto relativo a la abolición de la pena de muerte respecto de los Estados que han aceptado el Protocolo.</w:t>
      </w:r>
    </w:p>
    <w:p w14:paraId="258A9D3D" w14:textId="77777777" w:rsidR="00FA09FB" w:rsidRPr="00E04ED2" w:rsidRDefault="00FA09FB" w:rsidP="00E04ED2">
      <w:pPr>
        <w:spacing w:line="276" w:lineRule="auto"/>
        <w:jc w:val="both"/>
        <w:rPr>
          <w:rFonts w:ascii="Book Antiqua" w:hAnsi="Book Antiqua"/>
          <w:sz w:val="23"/>
          <w:szCs w:val="23"/>
        </w:rPr>
      </w:pPr>
    </w:p>
    <w:p w14:paraId="51BEEDBF" w14:textId="77777777" w:rsidR="008B126B" w:rsidRPr="00E04ED2" w:rsidRDefault="008B126B"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Esto nos lleva a la conclusión preliminar de que este Comité tiene la EXCLUSIVA facultad, dada por los Estados, a aplicar lo que por ellos ha sido pactado,</w:t>
      </w:r>
      <w:r w:rsidR="00490510" w:rsidRPr="00E04ED2">
        <w:rPr>
          <w:rFonts w:ascii="Book Antiqua" w:hAnsi="Book Antiqua"/>
          <w:sz w:val="23"/>
          <w:szCs w:val="23"/>
          <w:lang w:val="es-ES"/>
        </w:rPr>
        <w:t xml:space="preserve"> en las condiciones que éstos acodaron, bajo el principio general de Derecho Internacional </w:t>
      </w:r>
      <w:r w:rsidR="00490510" w:rsidRPr="00E04ED2">
        <w:rPr>
          <w:rFonts w:ascii="Book Antiqua" w:hAnsi="Book Antiqua"/>
          <w:i/>
          <w:sz w:val="23"/>
          <w:szCs w:val="23"/>
          <w:lang w:val="es-ES"/>
        </w:rPr>
        <w:t>Pacta Sunt Servanda.</w:t>
      </w:r>
      <w:r w:rsidR="00490510" w:rsidRPr="00E04ED2">
        <w:rPr>
          <w:rStyle w:val="FootnoteReference"/>
          <w:rFonts w:ascii="Book Antiqua" w:hAnsi="Book Antiqua"/>
          <w:i/>
          <w:sz w:val="23"/>
          <w:szCs w:val="23"/>
          <w:lang w:val="es-ES"/>
        </w:rPr>
        <w:footnoteReference w:id="4"/>
      </w:r>
      <w:r w:rsidRPr="00E04ED2">
        <w:rPr>
          <w:rFonts w:ascii="Book Antiqua" w:hAnsi="Book Antiqua"/>
          <w:sz w:val="23"/>
          <w:szCs w:val="23"/>
          <w:lang w:val="es-ES"/>
        </w:rPr>
        <w:t xml:space="preserve"> </w:t>
      </w:r>
    </w:p>
    <w:p w14:paraId="24B3A842" w14:textId="77777777" w:rsidR="00195F21" w:rsidRPr="00E04ED2" w:rsidRDefault="00195F21" w:rsidP="00E04ED2">
      <w:pPr>
        <w:spacing w:line="276" w:lineRule="auto"/>
        <w:jc w:val="both"/>
        <w:rPr>
          <w:rFonts w:ascii="Book Antiqua" w:hAnsi="Book Antiqua"/>
          <w:sz w:val="23"/>
          <w:szCs w:val="23"/>
          <w:lang w:val="es-ES"/>
        </w:rPr>
      </w:pPr>
    </w:p>
    <w:p w14:paraId="1B4AA6B9" w14:textId="77777777" w:rsidR="00195F21" w:rsidRPr="00E04ED2" w:rsidRDefault="00195F21"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Como toda obligación jurídica, el rompimiento de este vínculo implica una violación a un orden</w:t>
      </w:r>
      <w:r w:rsidR="003D0991" w:rsidRPr="00E04ED2">
        <w:rPr>
          <w:rFonts w:ascii="Book Antiqua" w:hAnsi="Book Antiqua"/>
          <w:sz w:val="23"/>
          <w:szCs w:val="23"/>
          <w:lang w:val="es-ES"/>
        </w:rPr>
        <w:t>am</w:t>
      </w:r>
      <w:r w:rsidRPr="00E04ED2">
        <w:rPr>
          <w:rFonts w:ascii="Book Antiqua" w:hAnsi="Book Antiqua"/>
          <w:sz w:val="23"/>
          <w:szCs w:val="23"/>
          <w:lang w:val="es-ES"/>
        </w:rPr>
        <w:t xml:space="preserve">iento, </w:t>
      </w:r>
      <w:r w:rsidR="006D1A18" w:rsidRPr="00E04ED2">
        <w:rPr>
          <w:rFonts w:ascii="Book Antiqua" w:hAnsi="Book Antiqua"/>
          <w:sz w:val="23"/>
          <w:szCs w:val="23"/>
          <w:lang w:val="es-ES"/>
        </w:rPr>
        <w:t xml:space="preserve">esto es, </w:t>
      </w:r>
      <w:r w:rsidRPr="00E04ED2">
        <w:rPr>
          <w:rFonts w:ascii="Book Antiqua" w:hAnsi="Book Antiqua"/>
          <w:sz w:val="23"/>
          <w:szCs w:val="23"/>
          <w:lang w:val="es-ES"/>
        </w:rPr>
        <w:t xml:space="preserve">no solo al mismo PIDCP, sino a la misma </w:t>
      </w:r>
      <w:r w:rsidR="00385370" w:rsidRPr="00E04ED2">
        <w:rPr>
          <w:rFonts w:ascii="Book Antiqua" w:hAnsi="Book Antiqua"/>
          <w:sz w:val="23"/>
          <w:szCs w:val="23"/>
          <w:lang w:val="es-ES"/>
        </w:rPr>
        <w:t xml:space="preserve">Carta de las </w:t>
      </w:r>
      <w:r w:rsidR="00385370" w:rsidRPr="00E04ED2">
        <w:rPr>
          <w:rFonts w:ascii="Book Antiqua" w:hAnsi="Book Antiqua"/>
          <w:sz w:val="23"/>
          <w:szCs w:val="23"/>
          <w:lang w:val="es-ES"/>
        </w:rPr>
        <w:lastRenderedPageBreak/>
        <w:t>Naciones Unidas; siendo un ataque directo a la soberanía de los Estados Signatarios; yendo</w:t>
      </w:r>
      <w:r w:rsidR="003D0991" w:rsidRPr="00E04ED2">
        <w:rPr>
          <w:rFonts w:ascii="Book Antiqua" w:hAnsi="Book Antiqua"/>
          <w:sz w:val="23"/>
          <w:szCs w:val="23"/>
          <w:lang w:val="es-ES"/>
        </w:rPr>
        <w:t xml:space="preserve"> en contra de todo principio de</w:t>
      </w:r>
      <w:r w:rsidR="00385370" w:rsidRPr="00E04ED2">
        <w:rPr>
          <w:rFonts w:ascii="Book Antiqua" w:hAnsi="Book Antiqua"/>
          <w:sz w:val="23"/>
          <w:szCs w:val="23"/>
          <w:lang w:val="es-ES"/>
        </w:rPr>
        <w:t>mocrático, principio que rige al comité</w:t>
      </w:r>
      <w:r w:rsidR="006D1A18" w:rsidRPr="00E04ED2">
        <w:rPr>
          <w:rFonts w:ascii="Book Antiqua" w:hAnsi="Book Antiqua"/>
          <w:sz w:val="23"/>
          <w:szCs w:val="23"/>
          <w:lang w:val="es-ES"/>
        </w:rPr>
        <w:t>.</w:t>
      </w:r>
      <w:r w:rsidR="00385370" w:rsidRPr="00E04ED2">
        <w:rPr>
          <w:rStyle w:val="FootnoteReference"/>
          <w:rFonts w:ascii="Book Antiqua" w:hAnsi="Book Antiqua"/>
          <w:sz w:val="23"/>
          <w:szCs w:val="23"/>
          <w:lang w:val="es-ES"/>
        </w:rPr>
        <w:footnoteReference w:id="5"/>
      </w:r>
      <w:r w:rsidR="00385370" w:rsidRPr="00E04ED2">
        <w:rPr>
          <w:rFonts w:ascii="Book Antiqua" w:hAnsi="Book Antiqua"/>
          <w:sz w:val="23"/>
          <w:szCs w:val="23"/>
          <w:lang w:val="es-ES"/>
        </w:rPr>
        <w:t xml:space="preserve"> </w:t>
      </w:r>
    </w:p>
    <w:p w14:paraId="19EACA45" w14:textId="77777777" w:rsidR="008B126B" w:rsidRPr="00E04ED2" w:rsidRDefault="006D1A18"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Siendo así, el Comité</w:t>
      </w:r>
      <w:r w:rsidR="00AE014D" w:rsidRPr="00E04ED2">
        <w:rPr>
          <w:rFonts w:ascii="Book Antiqua" w:hAnsi="Book Antiqua"/>
          <w:sz w:val="23"/>
          <w:szCs w:val="23"/>
          <w:lang w:val="es-ES"/>
        </w:rPr>
        <w:t xml:space="preserve"> no debe olvidar que, apegándose al Principio General de Derecho, de Legalidad, no puede cometer </w:t>
      </w:r>
      <w:r w:rsidR="00482CBE" w:rsidRPr="00E04ED2">
        <w:rPr>
          <w:rFonts w:ascii="Book Antiqua" w:hAnsi="Book Antiqua"/>
          <w:sz w:val="23"/>
          <w:szCs w:val="23"/>
          <w:lang w:val="es-ES"/>
        </w:rPr>
        <w:t>actos ultra vires,</w:t>
      </w:r>
      <w:r w:rsidR="00482CBE" w:rsidRPr="00E04ED2">
        <w:rPr>
          <w:rStyle w:val="FootnoteReference"/>
          <w:rFonts w:ascii="Book Antiqua" w:hAnsi="Book Antiqua"/>
          <w:sz w:val="23"/>
          <w:szCs w:val="23"/>
          <w:lang w:val="es-ES"/>
        </w:rPr>
        <w:footnoteReference w:id="6"/>
      </w:r>
      <w:r w:rsidR="00482CBE" w:rsidRPr="00E04ED2">
        <w:rPr>
          <w:rFonts w:ascii="Book Antiqua" w:hAnsi="Book Antiqua"/>
          <w:sz w:val="23"/>
          <w:szCs w:val="23"/>
          <w:lang w:val="es-ES"/>
        </w:rPr>
        <w:t xml:space="preserve"> </w:t>
      </w:r>
      <w:r w:rsidR="00EB1B67" w:rsidRPr="00E04ED2">
        <w:rPr>
          <w:rFonts w:ascii="Book Antiqua" w:hAnsi="Book Antiqua"/>
          <w:sz w:val="23"/>
          <w:szCs w:val="23"/>
          <w:lang w:val="es-ES"/>
        </w:rPr>
        <w:t xml:space="preserve">en perjuicio de los Estados signatarios dándole más obligaciones. </w:t>
      </w:r>
    </w:p>
    <w:p w14:paraId="5F5E8258" w14:textId="77777777" w:rsidR="00EB1B67" w:rsidRPr="00E04ED2" w:rsidRDefault="00EB1B67" w:rsidP="00E04ED2">
      <w:pPr>
        <w:spacing w:line="276" w:lineRule="auto"/>
        <w:jc w:val="both"/>
        <w:rPr>
          <w:rFonts w:ascii="Book Antiqua" w:hAnsi="Book Antiqua"/>
          <w:sz w:val="23"/>
          <w:szCs w:val="23"/>
          <w:lang w:val="es-ES"/>
        </w:rPr>
      </w:pPr>
    </w:p>
    <w:p w14:paraId="47BB5C89" w14:textId="77777777" w:rsidR="00EB1B67" w:rsidRPr="00E04ED2" w:rsidRDefault="006A5B55"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 xml:space="preserve">Un claro ejemplo del exceso del ejercicio de facultades, es que en materia de las obligaciones de los Estados por proteger y preservar los derechos de sus miembros (la sociedad), el párrafo 9 en su redacción exige a los Estados que prevean el acceso legal al aborto en cualquier caso en que peligre la vida o la salud de la madre embarazada, así como en los casos de violación, incesto, muertes fetales, y otros escenarios en los que continuar el embarazo causaría a la mujer “dolores o sufrimientos considerables” (para no ir en contra de la prohibición establecida en el artículo 7 de tratos crueles, inhumanos o degradantes). </w:t>
      </w:r>
      <w:r w:rsidR="004B6EFE" w:rsidRPr="00E04ED2">
        <w:rPr>
          <w:rFonts w:ascii="Book Antiqua" w:hAnsi="Book Antiqua"/>
          <w:sz w:val="23"/>
          <w:szCs w:val="23"/>
          <w:lang w:val="es-ES"/>
        </w:rPr>
        <w:t xml:space="preserve">Claramente, el imponer una obligación de </w:t>
      </w:r>
      <w:r w:rsidR="004B6EFE" w:rsidRPr="00E04ED2">
        <w:rPr>
          <w:rFonts w:ascii="Book Antiqua" w:hAnsi="Book Antiqua"/>
          <w:i/>
          <w:sz w:val="23"/>
          <w:szCs w:val="23"/>
          <w:lang w:val="es-ES"/>
        </w:rPr>
        <w:t xml:space="preserve">hacer </w:t>
      </w:r>
      <w:r w:rsidR="004B6EFE" w:rsidRPr="00E04ED2">
        <w:rPr>
          <w:rFonts w:ascii="Book Antiqua" w:hAnsi="Book Antiqua"/>
          <w:sz w:val="23"/>
          <w:szCs w:val="23"/>
          <w:lang w:val="es-ES"/>
        </w:rPr>
        <w:t>por parte de los Estados, siendo que se afecta al desarrollo económico de los mismo, su planeación y desarrollo es una intromisió</w:t>
      </w:r>
      <w:r w:rsidR="00EA3B7B" w:rsidRPr="00E04ED2">
        <w:rPr>
          <w:rFonts w:ascii="Book Antiqua" w:hAnsi="Book Antiqua"/>
          <w:sz w:val="23"/>
          <w:szCs w:val="23"/>
          <w:lang w:val="es-ES"/>
        </w:rPr>
        <w:t xml:space="preserve">n en la autodeterminación de los Estados. </w:t>
      </w:r>
    </w:p>
    <w:p w14:paraId="79D9C331" w14:textId="77777777" w:rsidR="00EA3B7B" w:rsidRPr="00E04ED2" w:rsidRDefault="00EA3B7B" w:rsidP="00E04ED2">
      <w:pPr>
        <w:spacing w:line="276" w:lineRule="auto"/>
        <w:jc w:val="both"/>
        <w:rPr>
          <w:rFonts w:ascii="Book Antiqua" w:hAnsi="Book Antiqua"/>
          <w:sz w:val="23"/>
          <w:szCs w:val="23"/>
          <w:lang w:val="es-ES"/>
        </w:rPr>
      </w:pPr>
    </w:p>
    <w:p w14:paraId="32221D52" w14:textId="77777777" w:rsidR="00EA3B7B" w:rsidRPr="00E04ED2" w:rsidRDefault="0027286F"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El C</w:t>
      </w:r>
      <w:r w:rsidR="00EA3B7B" w:rsidRPr="00E04ED2">
        <w:rPr>
          <w:rFonts w:ascii="Book Antiqua" w:hAnsi="Book Antiqua"/>
          <w:sz w:val="23"/>
          <w:szCs w:val="23"/>
          <w:lang w:val="es-ES"/>
        </w:rPr>
        <w:t xml:space="preserve">omité claramente </w:t>
      </w:r>
      <w:r w:rsidRPr="00E04ED2">
        <w:rPr>
          <w:rFonts w:ascii="Book Antiqua" w:hAnsi="Book Antiqua"/>
          <w:sz w:val="23"/>
          <w:szCs w:val="23"/>
          <w:lang w:val="es-ES"/>
        </w:rPr>
        <w:t xml:space="preserve">está excediendo sus facultades de </w:t>
      </w:r>
      <w:r w:rsidR="00A23454" w:rsidRPr="00E04ED2">
        <w:rPr>
          <w:rFonts w:ascii="Book Antiqua" w:hAnsi="Book Antiqua"/>
          <w:sz w:val="23"/>
          <w:szCs w:val="23"/>
          <w:lang w:val="es-ES"/>
        </w:rPr>
        <w:t xml:space="preserve">otorgadas en el Pacto y sus protocolos facultativos. </w:t>
      </w:r>
    </w:p>
    <w:p w14:paraId="61CBA9A1" w14:textId="77777777" w:rsidR="008B126B" w:rsidRPr="00E04ED2" w:rsidRDefault="008B126B" w:rsidP="00E04ED2">
      <w:pPr>
        <w:spacing w:line="276" w:lineRule="auto"/>
        <w:jc w:val="both"/>
        <w:rPr>
          <w:rFonts w:ascii="Book Antiqua" w:hAnsi="Book Antiqua"/>
          <w:sz w:val="23"/>
          <w:szCs w:val="23"/>
          <w:lang w:val="es-ES"/>
        </w:rPr>
      </w:pPr>
    </w:p>
    <w:p w14:paraId="5D377355" w14:textId="77777777" w:rsidR="00DA112D" w:rsidRPr="00E04ED2" w:rsidRDefault="00374538" w:rsidP="00E04ED2">
      <w:pPr>
        <w:pStyle w:val="Heading1"/>
        <w:spacing w:line="276" w:lineRule="auto"/>
        <w:rPr>
          <w:rFonts w:ascii="Book Antiqua" w:hAnsi="Book Antiqua"/>
          <w:sz w:val="23"/>
          <w:szCs w:val="23"/>
          <w:lang w:val="es-ES"/>
        </w:rPr>
      </w:pPr>
      <w:r w:rsidRPr="00E04ED2">
        <w:rPr>
          <w:rFonts w:ascii="Book Antiqua" w:hAnsi="Book Antiqua"/>
          <w:color w:val="92D050"/>
          <w:sz w:val="23"/>
          <w:szCs w:val="23"/>
          <w:lang w:val="es-ES"/>
        </w:rPr>
        <w:t>INTERPRETACIÓ</w:t>
      </w:r>
      <w:r w:rsidR="00DA112D" w:rsidRPr="00E04ED2">
        <w:rPr>
          <w:rFonts w:ascii="Book Antiqua" w:hAnsi="Book Antiqua"/>
          <w:color w:val="92D050"/>
          <w:sz w:val="23"/>
          <w:szCs w:val="23"/>
          <w:lang w:val="es-ES"/>
        </w:rPr>
        <w:t xml:space="preserve">N DE LOS TRATADOS </w:t>
      </w:r>
    </w:p>
    <w:p w14:paraId="335068A9" w14:textId="77777777" w:rsidR="008D0F2D" w:rsidRPr="00E04ED2" w:rsidRDefault="008D0F2D" w:rsidP="00E04ED2">
      <w:pPr>
        <w:spacing w:line="276" w:lineRule="auto"/>
        <w:jc w:val="both"/>
        <w:rPr>
          <w:rFonts w:ascii="Book Antiqua" w:hAnsi="Book Antiqua"/>
          <w:sz w:val="23"/>
          <w:szCs w:val="23"/>
          <w:lang w:val="es-ES"/>
        </w:rPr>
      </w:pPr>
    </w:p>
    <w:p w14:paraId="2ECBDAA3" w14:textId="77777777" w:rsidR="00A62D1C" w:rsidRPr="00E04ED2" w:rsidRDefault="00A62D1C" w:rsidP="00E04ED2">
      <w:pPr>
        <w:spacing w:line="276" w:lineRule="auto"/>
        <w:jc w:val="both"/>
        <w:rPr>
          <w:rFonts w:ascii="Book Antiqua" w:hAnsi="Book Antiqua"/>
          <w:sz w:val="23"/>
          <w:szCs w:val="23"/>
        </w:rPr>
      </w:pPr>
      <w:r w:rsidRPr="00E04ED2">
        <w:rPr>
          <w:rFonts w:ascii="Book Antiqua" w:hAnsi="Book Antiqua"/>
          <w:sz w:val="23"/>
          <w:szCs w:val="23"/>
          <w:lang w:val="es-ES"/>
        </w:rPr>
        <w:t>Los tratados</w:t>
      </w:r>
      <w:r w:rsidR="00A643A1" w:rsidRPr="00E04ED2">
        <w:rPr>
          <w:rFonts w:ascii="Book Antiqua" w:hAnsi="Book Antiqua"/>
          <w:sz w:val="23"/>
          <w:szCs w:val="23"/>
          <w:lang w:val="es-ES"/>
        </w:rPr>
        <w:t>, son</w:t>
      </w:r>
      <w:r w:rsidRPr="00E04ED2">
        <w:rPr>
          <w:rFonts w:ascii="Book Antiqua" w:hAnsi="Book Antiqua"/>
          <w:sz w:val="23"/>
          <w:szCs w:val="23"/>
          <w:lang w:val="es-ES"/>
        </w:rPr>
        <w:t xml:space="preserve"> fuente del derecho porque crea derechos y obligaciones.</w:t>
      </w:r>
      <w:r w:rsidR="00A910D1" w:rsidRPr="00E04ED2">
        <w:rPr>
          <w:rStyle w:val="FootnoteReference"/>
          <w:rFonts w:ascii="Book Antiqua" w:hAnsi="Book Antiqua"/>
          <w:sz w:val="23"/>
          <w:szCs w:val="23"/>
          <w:lang w:val="es-ES"/>
        </w:rPr>
        <w:footnoteReference w:id="7"/>
      </w:r>
      <w:r w:rsidRPr="00E04ED2">
        <w:rPr>
          <w:rFonts w:ascii="Book Antiqua" w:hAnsi="Book Antiqua"/>
          <w:sz w:val="23"/>
          <w:szCs w:val="23"/>
          <w:lang w:val="es-ES"/>
        </w:rPr>
        <w:t xml:space="preserve"> La costumbre, desde el punto de vista del Derecho Internacional, es un procedimiento de creación normativa que nace de la propia voluntad de los Estados, y desde el punto de vista del derecho interno sólo en los casos en que la ley se remita a ella.</w:t>
      </w:r>
    </w:p>
    <w:p w14:paraId="5D8F5E61" w14:textId="77777777" w:rsidR="00A62D1C" w:rsidRPr="00E04ED2" w:rsidRDefault="00A62D1C" w:rsidP="00E04ED2">
      <w:pPr>
        <w:spacing w:line="276" w:lineRule="auto"/>
        <w:jc w:val="both"/>
        <w:rPr>
          <w:rFonts w:ascii="Book Antiqua" w:hAnsi="Book Antiqua"/>
          <w:sz w:val="23"/>
          <w:szCs w:val="23"/>
        </w:rPr>
      </w:pPr>
    </w:p>
    <w:p w14:paraId="60248DCC" w14:textId="77777777" w:rsidR="0033784E" w:rsidRPr="00E04ED2" w:rsidRDefault="003758DE" w:rsidP="00E04ED2">
      <w:pPr>
        <w:spacing w:line="276" w:lineRule="auto"/>
        <w:jc w:val="both"/>
        <w:rPr>
          <w:rFonts w:ascii="Book Antiqua" w:hAnsi="Book Antiqua"/>
          <w:sz w:val="23"/>
          <w:szCs w:val="23"/>
        </w:rPr>
      </w:pPr>
      <w:r w:rsidRPr="00E04ED2">
        <w:rPr>
          <w:rFonts w:ascii="Book Antiqua" w:hAnsi="Book Antiqua"/>
          <w:sz w:val="23"/>
          <w:szCs w:val="23"/>
        </w:rPr>
        <w:t>Los Comentarios Generales, son una de las acciones concretad a las que el</w:t>
      </w:r>
      <w:r w:rsidR="0008677C" w:rsidRPr="00E04ED2">
        <w:rPr>
          <w:rFonts w:ascii="Book Antiqua" w:hAnsi="Book Antiqua"/>
          <w:sz w:val="23"/>
          <w:szCs w:val="23"/>
        </w:rPr>
        <w:t xml:space="preserve"> Comité está facultado</w:t>
      </w:r>
      <w:r w:rsidRPr="00E04ED2">
        <w:rPr>
          <w:rFonts w:ascii="Book Antiqua" w:hAnsi="Book Antiqua"/>
          <w:sz w:val="23"/>
          <w:szCs w:val="23"/>
        </w:rPr>
        <w:t>,</w:t>
      </w:r>
      <w:r w:rsidR="0008677C" w:rsidRPr="00E04ED2">
        <w:rPr>
          <w:rFonts w:ascii="Book Antiqua" w:hAnsi="Book Antiqua"/>
          <w:sz w:val="23"/>
          <w:szCs w:val="23"/>
        </w:rPr>
        <w:t xml:space="preserve"> en virtud del párrafo 4 del artículo 40 del Pacto, que establece que podrá transmitir «los comentarios generales que estime oportunos» a los Estados Partes. </w:t>
      </w:r>
    </w:p>
    <w:p w14:paraId="7560ADC9" w14:textId="77777777" w:rsidR="0033784E" w:rsidRPr="00E04ED2" w:rsidRDefault="0033784E" w:rsidP="00E04ED2">
      <w:pPr>
        <w:spacing w:line="276" w:lineRule="auto"/>
        <w:jc w:val="both"/>
        <w:rPr>
          <w:rFonts w:ascii="Book Antiqua" w:hAnsi="Book Antiqua"/>
          <w:sz w:val="23"/>
          <w:szCs w:val="23"/>
        </w:rPr>
      </w:pPr>
    </w:p>
    <w:p w14:paraId="18F800B1" w14:textId="77777777" w:rsidR="0078625D" w:rsidRPr="00E04ED2" w:rsidRDefault="0008677C" w:rsidP="00E04ED2">
      <w:pPr>
        <w:spacing w:line="276" w:lineRule="auto"/>
        <w:jc w:val="both"/>
        <w:rPr>
          <w:rFonts w:ascii="Book Antiqua" w:hAnsi="Book Antiqua"/>
          <w:sz w:val="23"/>
          <w:szCs w:val="23"/>
        </w:rPr>
      </w:pPr>
      <w:r w:rsidRPr="00E04ED2">
        <w:rPr>
          <w:rFonts w:ascii="Book Antiqua" w:hAnsi="Book Antiqua"/>
          <w:sz w:val="23"/>
          <w:szCs w:val="23"/>
        </w:rPr>
        <w:lastRenderedPageBreak/>
        <w:t xml:space="preserve">Una observación general se puede interpretar como un dictamen jurídico general que expresa la manera en que el Comité entiende conceptualmente el significado de una disposición particular, y en cuanto tal es una guía muy útil del </w:t>
      </w:r>
      <w:r w:rsidR="0078625D" w:rsidRPr="00E04ED2">
        <w:rPr>
          <w:rFonts w:ascii="Book Antiqua" w:hAnsi="Book Antiqua"/>
          <w:sz w:val="23"/>
          <w:szCs w:val="23"/>
        </w:rPr>
        <w:t xml:space="preserve">alcance </w:t>
      </w:r>
      <w:r w:rsidRPr="00E04ED2">
        <w:rPr>
          <w:rFonts w:ascii="Book Antiqua" w:hAnsi="Book Antiqua"/>
          <w:sz w:val="23"/>
          <w:szCs w:val="23"/>
        </w:rPr>
        <w:t xml:space="preserve">de las obligaciones internacionales en materia de derechos humanos. </w:t>
      </w:r>
    </w:p>
    <w:p w14:paraId="7D3F45C3" w14:textId="77777777" w:rsidR="0078625D" w:rsidRPr="00E04ED2" w:rsidRDefault="0078625D" w:rsidP="00E04ED2">
      <w:pPr>
        <w:spacing w:line="276" w:lineRule="auto"/>
        <w:jc w:val="both"/>
        <w:rPr>
          <w:rFonts w:ascii="Book Antiqua" w:hAnsi="Book Antiqua"/>
          <w:sz w:val="23"/>
          <w:szCs w:val="23"/>
        </w:rPr>
      </w:pPr>
    </w:p>
    <w:p w14:paraId="7F644445" w14:textId="77777777" w:rsidR="0044506C" w:rsidRPr="00E04ED2" w:rsidRDefault="0078625D" w:rsidP="00E04ED2">
      <w:pPr>
        <w:spacing w:line="276" w:lineRule="auto"/>
        <w:jc w:val="both"/>
        <w:rPr>
          <w:rFonts w:ascii="Book Antiqua" w:hAnsi="Book Antiqua"/>
          <w:sz w:val="23"/>
          <w:szCs w:val="23"/>
        </w:rPr>
      </w:pPr>
      <w:r w:rsidRPr="00E04ED2">
        <w:rPr>
          <w:rFonts w:ascii="Book Antiqua" w:hAnsi="Book Antiqua"/>
          <w:sz w:val="23"/>
          <w:szCs w:val="23"/>
        </w:rPr>
        <w:t>Si bien e</w:t>
      </w:r>
      <w:r w:rsidR="0008677C" w:rsidRPr="00E04ED2">
        <w:rPr>
          <w:rFonts w:ascii="Book Antiqua" w:hAnsi="Book Antiqua"/>
          <w:sz w:val="23"/>
          <w:szCs w:val="23"/>
        </w:rPr>
        <w:t xml:space="preserve">sta función permite al Comité adaptar el Pacto a las circunstancias </w:t>
      </w:r>
      <w:r w:rsidR="000448EB" w:rsidRPr="00E04ED2">
        <w:rPr>
          <w:rFonts w:ascii="Book Antiqua" w:hAnsi="Book Antiqua"/>
          <w:sz w:val="23"/>
          <w:szCs w:val="23"/>
        </w:rPr>
        <w:t xml:space="preserve">del momento en el que se haga el Comentario, la naturaleza </w:t>
      </w:r>
      <w:r w:rsidR="00466046" w:rsidRPr="00E04ED2">
        <w:rPr>
          <w:rFonts w:ascii="Book Antiqua" w:hAnsi="Book Antiqua"/>
          <w:sz w:val="23"/>
          <w:szCs w:val="23"/>
        </w:rPr>
        <w:t xml:space="preserve">del Pacto como </w:t>
      </w:r>
      <w:r w:rsidR="0008677C" w:rsidRPr="00E04ED2">
        <w:rPr>
          <w:rFonts w:ascii="Book Antiqua" w:hAnsi="Book Antiqua"/>
          <w:sz w:val="23"/>
          <w:szCs w:val="23"/>
        </w:rPr>
        <w:t>un instrumento vivo que guarda una relación tan directa con los problemas contemporáneos como l</w:t>
      </w:r>
      <w:r w:rsidR="00466046" w:rsidRPr="00E04ED2">
        <w:rPr>
          <w:rFonts w:ascii="Book Antiqua" w:hAnsi="Book Antiqua"/>
          <w:sz w:val="23"/>
          <w:szCs w:val="23"/>
        </w:rPr>
        <w:t>a que tenía cuando fue aprobado; no se desprende de su naturaleza primaria de ser un tratado, sujeto de reglas específicas de interpretación y aplicació</w:t>
      </w:r>
      <w:r w:rsidR="0044506C" w:rsidRPr="00E04ED2">
        <w:rPr>
          <w:rFonts w:ascii="Book Antiqua" w:hAnsi="Book Antiqua"/>
          <w:sz w:val="23"/>
          <w:szCs w:val="23"/>
        </w:rPr>
        <w:t>n de las disposiciones del Tratado.</w:t>
      </w:r>
      <w:r w:rsidR="0008677C" w:rsidRPr="00E04ED2">
        <w:rPr>
          <w:rFonts w:ascii="Book Antiqua" w:hAnsi="Book Antiqua"/>
          <w:sz w:val="23"/>
          <w:szCs w:val="23"/>
        </w:rPr>
        <w:t xml:space="preserve"> </w:t>
      </w:r>
    </w:p>
    <w:p w14:paraId="449C03C7" w14:textId="77777777" w:rsidR="0044506C" w:rsidRPr="00E04ED2" w:rsidRDefault="0044506C" w:rsidP="00E04ED2">
      <w:pPr>
        <w:spacing w:line="276" w:lineRule="auto"/>
        <w:jc w:val="both"/>
        <w:rPr>
          <w:rFonts w:ascii="Book Antiqua" w:hAnsi="Book Antiqua"/>
          <w:sz w:val="23"/>
          <w:szCs w:val="23"/>
        </w:rPr>
      </w:pPr>
    </w:p>
    <w:p w14:paraId="3049B4BF" w14:textId="77777777" w:rsidR="0008677C" w:rsidRPr="00E04ED2" w:rsidRDefault="0008677C" w:rsidP="00E04ED2">
      <w:pPr>
        <w:spacing w:line="276" w:lineRule="auto"/>
        <w:jc w:val="both"/>
        <w:rPr>
          <w:rFonts w:ascii="Book Antiqua" w:hAnsi="Book Antiqua"/>
          <w:sz w:val="23"/>
          <w:szCs w:val="23"/>
        </w:rPr>
      </w:pPr>
      <w:r w:rsidRPr="00E04ED2">
        <w:rPr>
          <w:rFonts w:ascii="Book Antiqua" w:hAnsi="Book Antiqua"/>
          <w:sz w:val="23"/>
          <w:szCs w:val="23"/>
        </w:rPr>
        <w:t xml:space="preserve">De esta manera, </w:t>
      </w:r>
      <w:r w:rsidR="0044506C" w:rsidRPr="00E04ED2">
        <w:rPr>
          <w:rFonts w:ascii="Book Antiqua" w:hAnsi="Book Antiqua"/>
          <w:sz w:val="23"/>
          <w:szCs w:val="23"/>
        </w:rPr>
        <w:t xml:space="preserve">se entiende que </w:t>
      </w:r>
      <w:r w:rsidRPr="00E04ED2">
        <w:rPr>
          <w:rFonts w:ascii="Book Antiqua" w:hAnsi="Book Antiqua"/>
          <w:sz w:val="23"/>
          <w:szCs w:val="23"/>
        </w:rPr>
        <w:t xml:space="preserve">las observaciones </w:t>
      </w:r>
      <w:r w:rsidR="00B77BD4" w:rsidRPr="00E04ED2">
        <w:rPr>
          <w:rFonts w:ascii="Book Antiqua" w:hAnsi="Book Antiqua"/>
          <w:sz w:val="23"/>
          <w:szCs w:val="23"/>
        </w:rPr>
        <w:t xml:space="preserve">que hace el Comité </w:t>
      </w:r>
      <w:r w:rsidRPr="00E04ED2">
        <w:rPr>
          <w:rFonts w:ascii="Book Antiqua" w:hAnsi="Book Antiqua"/>
          <w:sz w:val="23"/>
          <w:szCs w:val="23"/>
        </w:rPr>
        <w:t>siguen orientando a los Estados Partes en la aplicación</w:t>
      </w:r>
      <w:r w:rsidR="00B77BD4" w:rsidRPr="00E04ED2">
        <w:rPr>
          <w:rFonts w:ascii="Book Antiqua" w:hAnsi="Book Antiqua"/>
          <w:sz w:val="23"/>
          <w:szCs w:val="23"/>
        </w:rPr>
        <w:t xml:space="preserve"> de las disposiciones del Pacto, pero de ninguna manera pueden imponerles nuevas obligaciones o condiciones. </w:t>
      </w:r>
    </w:p>
    <w:p w14:paraId="16A7D9DB" w14:textId="77777777" w:rsidR="00DA112D" w:rsidRPr="00E04ED2" w:rsidRDefault="00DA112D" w:rsidP="00E04ED2">
      <w:pPr>
        <w:spacing w:line="276" w:lineRule="auto"/>
        <w:jc w:val="both"/>
        <w:rPr>
          <w:rFonts w:ascii="Book Antiqua" w:hAnsi="Book Antiqua"/>
          <w:sz w:val="23"/>
          <w:szCs w:val="23"/>
          <w:lang w:val="es-ES"/>
        </w:rPr>
      </w:pPr>
    </w:p>
    <w:p w14:paraId="405D7190" w14:textId="77777777" w:rsidR="00DA112D" w:rsidRPr="00E04ED2" w:rsidRDefault="00DA112D" w:rsidP="00E04ED2">
      <w:pPr>
        <w:pStyle w:val="Heading1"/>
        <w:spacing w:line="276" w:lineRule="auto"/>
        <w:rPr>
          <w:rFonts w:ascii="Book Antiqua" w:hAnsi="Book Antiqua"/>
          <w:color w:val="00B0F0"/>
          <w:sz w:val="23"/>
          <w:szCs w:val="23"/>
          <w:lang w:val="es-ES"/>
        </w:rPr>
      </w:pPr>
      <w:r w:rsidRPr="00E04ED2">
        <w:rPr>
          <w:rFonts w:ascii="Book Antiqua" w:hAnsi="Book Antiqua"/>
          <w:color w:val="00B0F0"/>
          <w:sz w:val="23"/>
          <w:szCs w:val="23"/>
          <w:lang w:val="es-ES"/>
        </w:rPr>
        <w:t xml:space="preserve">FINALIDAD DE LA INTERPRETACIÓN </w:t>
      </w:r>
    </w:p>
    <w:p w14:paraId="5BDA7455" w14:textId="77777777" w:rsidR="00E67FDE" w:rsidRPr="00E04ED2" w:rsidRDefault="00E67FDE" w:rsidP="00E04ED2">
      <w:pPr>
        <w:spacing w:line="276" w:lineRule="auto"/>
        <w:jc w:val="both"/>
        <w:rPr>
          <w:rFonts w:ascii="Book Antiqua" w:hAnsi="Book Antiqua"/>
          <w:sz w:val="23"/>
          <w:szCs w:val="23"/>
        </w:rPr>
      </w:pPr>
    </w:p>
    <w:p w14:paraId="66ADC49B" w14:textId="77777777" w:rsidR="00E67FDE" w:rsidRPr="00E04ED2" w:rsidRDefault="00E67FDE" w:rsidP="00E04ED2">
      <w:pPr>
        <w:spacing w:line="276" w:lineRule="auto"/>
        <w:jc w:val="both"/>
        <w:rPr>
          <w:rFonts w:ascii="Book Antiqua" w:hAnsi="Book Antiqua"/>
          <w:sz w:val="23"/>
          <w:szCs w:val="23"/>
        </w:rPr>
      </w:pPr>
      <w:r w:rsidRPr="00E04ED2">
        <w:rPr>
          <w:rFonts w:ascii="Book Antiqua" w:hAnsi="Book Antiqua"/>
          <w:sz w:val="23"/>
          <w:szCs w:val="23"/>
        </w:rPr>
        <w:t>Una vez habiendo firmado y ratificado el Pacto Internacional de Derechos Civiles y Políticos (PIDCP), todos los Estados entre sus obligaciones –“administrativas”- deben presentar al Comité informes periódicos sobre la manera e</w:t>
      </w:r>
      <w:r w:rsidR="00B77BD4" w:rsidRPr="00E04ED2">
        <w:rPr>
          <w:rFonts w:ascii="Book Antiqua" w:hAnsi="Book Antiqua"/>
          <w:sz w:val="23"/>
          <w:szCs w:val="23"/>
        </w:rPr>
        <w:t>n que se ejercitan los derechos</w:t>
      </w:r>
      <w:r w:rsidRPr="00E04ED2">
        <w:rPr>
          <w:rFonts w:ascii="Book Antiqua" w:hAnsi="Book Antiqua"/>
          <w:sz w:val="23"/>
          <w:szCs w:val="23"/>
        </w:rPr>
        <w:t>.</w:t>
      </w:r>
      <w:r w:rsidRPr="00E04ED2">
        <w:rPr>
          <w:rStyle w:val="FootnoteReference"/>
          <w:rFonts w:ascii="Book Antiqua" w:hAnsi="Book Antiqua"/>
          <w:sz w:val="23"/>
          <w:szCs w:val="23"/>
          <w:lang w:val="es-ES"/>
        </w:rPr>
        <w:footnoteReference w:id="8"/>
      </w:r>
    </w:p>
    <w:p w14:paraId="335C6572" w14:textId="77777777" w:rsidR="0049019A" w:rsidRPr="00E04ED2" w:rsidRDefault="0049019A" w:rsidP="00E04ED2">
      <w:pPr>
        <w:spacing w:line="276" w:lineRule="auto"/>
        <w:jc w:val="both"/>
        <w:rPr>
          <w:rFonts w:ascii="Book Antiqua" w:eastAsiaTheme="majorEastAsia" w:hAnsi="Book Antiqua" w:cstheme="majorBidi"/>
          <w:color w:val="00B0F0"/>
          <w:sz w:val="23"/>
          <w:szCs w:val="23"/>
          <w:lang w:val="es-ES"/>
        </w:rPr>
      </w:pPr>
    </w:p>
    <w:p w14:paraId="7AAC98E8" w14:textId="77777777" w:rsidR="007F4D77" w:rsidRPr="007F4D77" w:rsidRDefault="0049019A" w:rsidP="00E04ED2">
      <w:pPr>
        <w:spacing w:line="276" w:lineRule="auto"/>
        <w:jc w:val="both"/>
        <w:rPr>
          <w:rFonts w:ascii="Book Antiqua" w:eastAsia="Times New Roman" w:hAnsi="Book Antiqua" w:cs="Times New Roman"/>
          <w:sz w:val="23"/>
          <w:szCs w:val="23"/>
          <w:lang w:eastAsia="es-ES_tradnl"/>
        </w:rPr>
      </w:pPr>
      <w:r w:rsidRPr="00E04ED2">
        <w:rPr>
          <w:rFonts w:ascii="Book Antiqua" w:eastAsia="Times New Roman" w:hAnsi="Book Antiqua" w:cs="Times New Roman"/>
          <w:sz w:val="23"/>
          <w:szCs w:val="23"/>
          <w:lang w:eastAsia="es-ES_tradnl"/>
        </w:rPr>
        <w:t>La regulación interna del Comité en el ar</w:t>
      </w:r>
      <w:r w:rsidR="007F4D77" w:rsidRPr="007F4D77">
        <w:rPr>
          <w:rFonts w:ascii="Book Antiqua" w:eastAsia="Times New Roman" w:hAnsi="Book Antiqua" w:cs="Times New Roman"/>
          <w:sz w:val="23"/>
          <w:szCs w:val="23"/>
          <w:lang w:eastAsia="es-ES_tradnl"/>
        </w:rPr>
        <w:t xml:space="preserve">tículo 16 </w:t>
      </w:r>
      <w:r w:rsidRPr="00E04ED2">
        <w:rPr>
          <w:rFonts w:ascii="Book Antiqua" w:eastAsia="Times New Roman" w:hAnsi="Book Antiqua" w:cs="Times New Roman"/>
          <w:sz w:val="23"/>
          <w:szCs w:val="23"/>
          <w:lang w:eastAsia="es-ES_tradnl"/>
        </w:rPr>
        <w:t xml:space="preserve">claramente dice </w:t>
      </w:r>
      <w:r w:rsidR="00EF3E89" w:rsidRPr="00E04ED2">
        <w:rPr>
          <w:rFonts w:ascii="Book Antiqua" w:eastAsia="Times New Roman" w:hAnsi="Book Antiqua" w:cs="Times New Roman"/>
          <w:sz w:val="23"/>
          <w:szCs w:val="23"/>
          <w:lang w:eastAsia="es-ES_tradnl"/>
        </w:rPr>
        <w:t>que a</w:t>
      </w:r>
      <w:r w:rsidR="007F4D77" w:rsidRPr="007F4D77">
        <w:rPr>
          <w:rFonts w:ascii="Book Antiqua" w:eastAsia="Times New Roman" w:hAnsi="Book Antiqua" w:cs="Times New Roman"/>
          <w:sz w:val="23"/>
          <w:szCs w:val="23"/>
          <w:lang w:eastAsia="es-ES_tradnl"/>
        </w:rPr>
        <w:t>ntes de entrar en funciones, todo miembro del Comité declarará solemnemente en sesión pública del Comité lo siguiente: "Declaro solemnemente que desempeñaré mis funciones de miembro del Comité de Derechos Humanos con toda imparcialidad y conciencia."</w:t>
      </w:r>
      <w:r w:rsidR="007F4D77" w:rsidRPr="00E04ED2">
        <w:rPr>
          <w:rStyle w:val="FootnoteReference"/>
          <w:rFonts w:ascii="Book Antiqua" w:eastAsia="Times New Roman" w:hAnsi="Book Antiqua" w:cs="Times New Roman"/>
          <w:sz w:val="23"/>
          <w:szCs w:val="23"/>
          <w:lang w:eastAsia="es-ES_tradnl"/>
        </w:rPr>
        <w:footnoteReference w:id="9"/>
      </w:r>
      <w:r w:rsidR="007F4D77" w:rsidRPr="007F4D77">
        <w:rPr>
          <w:rFonts w:ascii="Book Antiqua" w:eastAsia="Times New Roman" w:hAnsi="Book Antiqua" w:cs="Times New Roman"/>
          <w:sz w:val="23"/>
          <w:szCs w:val="23"/>
          <w:lang w:eastAsia="es-ES_tradnl"/>
        </w:rPr>
        <w:t xml:space="preserve"> </w:t>
      </w:r>
    </w:p>
    <w:p w14:paraId="4A72FBF5" w14:textId="77777777" w:rsidR="007F4D77" w:rsidRPr="00E04ED2" w:rsidRDefault="007F4D77" w:rsidP="00E04ED2">
      <w:pPr>
        <w:spacing w:line="276" w:lineRule="auto"/>
        <w:jc w:val="both"/>
        <w:rPr>
          <w:rFonts w:ascii="Book Antiqua" w:hAnsi="Book Antiqua"/>
          <w:sz w:val="23"/>
          <w:szCs w:val="23"/>
          <w:lang w:val="es-ES"/>
        </w:rPr>
      </w:pPr>
    </w:p>
    <w:p w14:paraId="3838D3A0" w14:textId="77777777" w:rsidR="00EF3E89" w:rsidRPr="00E04ED2" w:rsidRDefault="00EF3E89"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 xml:space="preserve">Esto quiere decir que el trabajo elaborado, como en el presente asunto, respecto a un Comentario General, ha de estar apegado a la interpretación del tratado, siguiendo las reglas convencionales a nivel internacional, así como respetando en todo momento la soberanía y autodeterminación de los Estados en la forma de cumplir sus obligaciones. </w:t>
      </w:r>
    </w:p>
    <w:p w14:paraId="771B70FF" w14:textId="77777777" w:rsidR="00EF3E89" w:rsidRPr="00E04ED2" w:rsidRDefault="00EF3E89" w:rsidP="00E04ED2">
      <w:pPr>
        <w:spacing w:line="276" w:lineRule="auto"/>
        <w:jc w:val="both"/>
        <w:rPr>
          <w:rFonts w:ascii="Book Antiqua" w:hAnsi="Book Antiqua"/>
          <w:sz w:val="23"/>
          <w:szCs w:val="23"/>
          <w:lang w:val="es-ES"/>
        </w:rPr>
      </w:pPr>
    </w:p>
    <w:p w14:paraId="72CAD89A" w14:textId="77777777" w:rsidR="000F5FDB" w:rsidRPr="00E04ED2" w:rsidRDefault="00542F2D" w:rsidP="00E04ED2">
      <w:pPr>
        <w:spacing w:line="276" w:lineRule="auto"/>
        <w:jc w:val="both"/>
        <w:rPr>
          <w:rFonts w:ascii="Book Antiqua" w:hAnsi="Book Antiqua"/>
          <w:sz w:val="23"/>
          <w:szCs w:val="23"/>
          <w:lang w:val="es-ES"/>
        </w:rPr>
      </w:pPr>
      <w:r w:rsidRPr="00E04ED2">
        <w:rPr>
          <w:rFonts w:ascii="Book Antiqua" w:hAnsi="Book Antiqua"/>
          <w:sz w:val="23"/>
          <w:szCs w:val="23"/>
          <w:lang w:val="es-ES"/>
        </w:rPr>
        <w:t>Siendo que</w:t>
      </w:r>
      <w:r w:rsidR="00EF3E89" w:rsidRPr="00E04ED2">
        <w:rPr>
          <w:rFonts w:ascii="Book Antiqua" w:hAnsi="Book Antiqua"/>
          <w:sz w:val="23"/>
          <w:szCs w:val="23"/>
          <w:lang w:val="es-ES"/>
        </w:rPr>
        <w:t xml:space="preserve"> la razón teleológica del tratado respecto al Artículo 6 de</w:t>
      </w:r>
      <w:r w:rsidR="000F5FDB" w:rsidRPr="00E04ED2">
        <w:rPr>
          <w:rFonts w:ascii="Book Antiqua" w:hAnsi="Book Antiqua"/>
          <w:sz w:val="23"/>
          <w:szCs w:val="23"/>
          <w:lang w:val="es-ES"/>
        </w:rPr>
        <w:t xml:space="preserve">l derecho a la vida, es el valorar y poner al centro de toda interpretación de la dignidad humana; encontramos en un análisis lo siguiente: </w:t>
      </w:r>
    </w:p>
    <w:p w14:paraId="6AE4706C" w14:textId="77777777" w:rsidR="000F5FDB" w:rsidRPr="00E04ED2" w:rsidRDefault="000F5FDB" w:rsidP="00E04ED2">
      <w:pPr>
        <w:spacing w:line="276" w:lineRule="auto"/>
        <w:jc w:val="both"/>
        <w:rPr>
          <w:rFonts w:ascii="Book Antiqua" w:hAnsi="Book Antiqua"/>
          <w:sz w:val="23"/>
          <w:szCs w:val="23"/>
          <w:lang w:val="es-ES"/>
        </w:rPr>
      </w:pPr>
    </w:p>
    <w:p w14:paraId="58B9CF67" w14:textId="77777777" w:rsidR="00EF3E89" w:rsidRPr="00E04ED2" w:rsidRDefault="00C91864" w:rsidP="00E04ED2">
      <w:pPr>
        <w:pStyle w:val="ListParagraph"/>
        <w:numPr>
          <w:ilvl w:val="0"/>
          <w:numId w:val="2"/>
        </w:numPr>
        <w:spacing w:line="276" w:lineRule="auto"/>
        <w:jc w:val="both"/>
        <w:rPr>
          <w:rFonts w:ascii="Book Antiqua" w:hAnsi="Book Antiqua"/>
          <w:sz w:val="23"/>
          <w:szCs w:val="23"/>
          <w:lang w:val="es-ES"/>
        </w:rPr>
      </w:pPr>
      <w:r w:rsidRPr="00E04ED2">
        <w:rPr>
          <w:rFonts w:ascii="Book Antiqua" w:hAnsi="Book Antiqua"/>
          <w:sz w:val="23"/>
          <w:szCs w:val="23"/>
          <w:lang w:val="es-ES"/>
        </w:rPr>
        <w:t>El párrafo 3 afirma con razón que “el derecho a la vida es un derecho que no debe interpretarse de forma restrictiva”, lo que incluye el derecho a “gozar de una vida con dignidad”. El párrafo 9, sin embargo, interpreta que esto significa que la falta de goce de un pretendido “derecho al aborto” es una violación del derecho a la vida con dignidad de la mujer embarazada</w:t>
      </w:r>
      <w:r w:rsidR="00377148" w:rsidRPr="00E04ED2">
        <w:rPr>
          <w:rFonts w:ascii="Book Antiqua" w:hAnsi="Book Antiqua"/>
          <w:sz w:val="23"/>
          <w:szCs w:val="23"/>
          <w:lang w:val="es-ES"/>
        </w:rPr>
        <w:t>. De igual manera en el párrafo 10 se incluye una afirmación de la legalidad con respecto al derecho a la vida del suicidio asistido y la eutanasia, aunque todavía no ha surgido un consenso sobre si los Estados simplemente “pueden permitir” (es decir, están autorizados para legalizar la eutanasia y/o el suicidio asistido) o “no deberían impedir” (es decir, están obligados a legalizar la eutanasia y/o del suicidio asistido) “a los profesionales médicos proporcionar tratamiento médico o los medios médicos para facilitar la terminación de la vida. En estos</w:t>
      </w:r>
      <w:r w:rsidR="006032A3" w:rsidRPr="00E04ED2">
        <w:rPr>
          <w:rFonts w:ascii="Book Antiqua" w:hAnsi="Book Antiqua"/>
          <w:sz w:val="23"/>
          <w:szCs w:val="23"/>
          <w:lang w:val="es-ES"/>
        </w:rPr>
        <w:t xml:space="preserve"> párrafos encontramos que la interpretación contraviene lo que a la literalidad dice el Artí</w:t>
      </w:r>
      <w:r w:rsidR="00484A46" w:rsidRPr="00E04ED2">
        <w:rPr>
          <w:rFonts w:ascii="Book Antiqua" w:hAnsi="Book Antiqua"/>
          <w:sz w:val="23"/>
          <w:szCs w:val="23"/>
          <w:lang w:val="es-ES"/>
        </w:rPr>
        <w:t>culo 4.2 del P</w:t>
      </w:r>
      <w:r w:rsidR="006032A3" w:rsidRPr="00E04ED2">
        <w:rPr>
          <w:rFonts w:ascii="Book Antiqua" w:hAnsi="Book Antiqua"/>
          <w:sz w:val="23"/>
          <w:szCs w:val="23"/>
          <w:lang w:val="es-ES"/>
        </w:rPr>
        <w:t>acto “La disposición precedente no autoriza suspensión alguna de los artículos 6, 7, 8 (párrafos 1 y 2), 11, 15, 16 y 18.”</w:t>
      </w:r>
      <w:r w:rsidR="000F5FDB" w:rsidRPr="00E04ED2">
        <w:rPr>
          <w:rFonts w:ascii="Book Antiqua" w:hAnsi="Book Antiqua"/>
          <w:sz w:val="23"/>
          <w:szCs w:val="23"/>
          <w:lang w:val="es-ES"/>
        </w:rPr>
        <w:t xml:space="preserve"> </w:t>
      </w:r>
    </w:p>
    <w:p w14:paraId="6B56791C" w14:textId="77777777" w:rsidR="00484A46" w:rsidRPr="00E04ED2" w:rsidRDefault="00484A46" w:rsidP="00E04ED2">
      <w:pPr>
        <w:pStyle w:val="ListParagraph"/>
        <w:numPr>
          <w:ilvl w:val="1"/>
          <w:numId w:val="2"/>
        </w:numPr>
        <w:spacing w:line="276" w:lineRule="auto"/>
        <w:jc w:val="both"/>
        <w:rPr>
          <w:rFonts w:ascii="Book Antiqua" w:hAnsi="Book Antiqua"/>
          <w:sz w:val="23"/>
          <w:szCs w:val="23"/>
        </w:rPr>
      </w:pPr>
      <w:r w:rsidRPr="00E04ED2">
        <w:rPr>
          <w:rFonts w:ascii="Book Antiqua" w:hAnsi="Book Antiqua"/>
          <w:sz w:val="23"/>
          <w:szCs w:val="23"/>
          <w:lang w:val="es-ES"/>
        </w:rPr>
        <w:t xml:space="preserve">Claramente se ve que el derecho a la Vida no es sujeta de ser </w:t>
      </w:r>
      <w:proofErr w:type="spellStart"/>
      <w:r w:rsidRPr="00E04ED2">
        <w:rPr>
          <w:rFonts w:ascii="Book Antiqua" w:hAnsi="Book Antiqua"/>
          <w:sz w:val="23"/>
          <w:szCs w:val="23"/>
          <w:lang w:val="es-ES"/>
        </w:rPr>
        <w:t>suspendia</w:t>
      </w:r>
      <w:proofErr w:type="spellEnd"/>
      <w:r w:rsidRPr="00E04ED2">
        <w:rPr>
          <w:rFonts w:ascii="Book Antiqua" w:hAnsi="Book Antiqua"/>
          <w:sz w:val="23"/>
          <w:szCs w:val="23"/>
          <w:lang w:val="es-ES"/>
        </w:rPr>
        <w:t xml:space="preserve"> por ningún </w:t>
      </w:r>
      <w:proofErr w:type="spellStart"/>
      <w:r w:rsidRPr="00E04ED2">
        <w:rPr>
          <w:rFonts w:ascii="Book Antiqua" w:hAnsi="Book Antiqua"/>
          <w:sz w:val="23"/>
          <w:szCs w:val="23"/>
          <w:lang w:val="es-ES"/>
        </w:rPr>
        <w:t>motivol</w:t>
      </w:r>
      <w:proofErr w:type="spellEnd"/>
      <w:r w:rsidRPr="00E04ED2">
        <w:rPr>
          <w:rFonts w:ascii="Book Antiqua" w:hAnsi="Book Antiqua"/>
          <w:sz w:val="23"/>
          <w:szCs w:val="23"/>
          <w:lang w:val="es-ES"/>
        </w:rPr>
        <w:t xml:space="preserve">; </w:t>
      </w:r>
      <w:r w:rsidRPr="00E04ED2">
        <w:rPr>
          <w:rFonts w:ascii="Book Antiqua" w:hAnsi="Book Antiqua"/>
          <w:i/>
          <w:sz w:val="23"/>
          <w:szCs w:val="23"/>
          <w:lang w:val="es-ES"/>
        </w:rPr>
        <w:t>ergo</w:t>
      </w:r>
      <w:r w:rsidRPr="00E04ED2">
        <w:rPr>
          <w:rFonts w:ascii="Book Antiqua" w:hAnsi="Book Antiqua"/>
          <w:sz w:val="23"/>
          <w:szCs w:val="23"/>
          <w:lang w:val="es-ES"/>
        </w:rPr>
        <w:t xml:space="preserve"> siguiendo el principio </w:t>
      </w:r>
      <w:proofErr w:type="spellStart"/>
      <w:r w:rsidR="006E03EF" w:rsidRPr="00E04ED2">
        <w:rPr>
          <w:rFonts w:ascii="Book Antiqua" w:hAnsi="Book Antiqua"/>
          <w:b/>
          <w:bCs/>
          <w:sz w:val="23"/>
          <w:szCs w:val="23"/>
        </w:rPr>
        <w:t>accesorium</w:t>
      </w:r>
      <w:proofErr w:type="spellEnd"/>
      <w:r w:rsidR="006E03EF" w:rsidRPr="00E04ED2">
        <w:rPr>
          <w:rFonts w:ascii="Book Antiqua" w:hAnsi="Book Antiqua"/>
          <w:b/>
          <w:bCs/>
          <w:sz w:val="23"/>
          <w:szCs w:val="23"/>
        </w:rPr>
        <w:t xml:space="preserve"> non </w:t>
      </w:r>
      <w:proofErr w:type="spellStart"/>
      <w:r w:rsidR="006E03EF" w:rsidRPr="00E04ED2">
        <w:rPr>
          <w:rFonts w:ascii="Book Antiqua" w:hAnsi="Book Antiqua"/>
          <w:b/>
          <w:bCs/>
          <w:sz w:val="23"/>
          <w:szCs w:val="23"/>
        </w:rPr>
        <w:t>ducit</w:t>
      </w:r>
      <w:proofErr w:type="spellEnd"/>
      <w:r w:rsidR="006E03EF" w:rsidRPr="00E04ED2">
        <w:rPr>
          <w:rFonts w:ascii="Book Antiqua" w:hAnsi="Book Antiqua"/>
          <w:sz w:val="23"/>
          <w:szCs w:val="23"/>
        </w:rPr>
        <w:t>, </w:t>
      </w:r>
      <w:r w:rsidR="006E03EF" w:rsidRPr="00E04ED2">
        <w:rPr>
          <w:rFonts w:ascii="Book Antiqua" w:hAnsi="Book Antiqua"/>
          <w:b/>
          <w:bCs/>
          <w:sz w:val="23"/>
          <w:szCs w:val="23"/>
        </w:rPr>
        <w:t xml:space="preserve">sed </w:t>
      </w:r>
      <w:proofErr w:type="spellStart"/>
      <w:r w:rsidR="006E03EF" w:rsidRPr="00E04ED2">
        <w:rPr>
          <w:rFonts w:ascii="Book Antiqua" w:hAnsi="Book Antiqua"/>
          <w:b/>
          <w:bCs/>
          <w:sz w:val="23"/>
          <w:szCs w:val="23"/>
        </w:rPr>
        <w:t>sequitur</w:t>
      </w:r>
      <w:proofErr w:type="spellEnd"/>
      <w:r w:rsidR="006E03EF" w:rsidRPr="00E04ED2">
        <w:rPr>
          <w:rFonts w:ascii="Book Antiqua" w:hAnsi="Book Antiqua"/>
          <w:b/>
          <w:bCs/>
          <w:sz w:val="23"/>
          <w:szCs w:val="23"/>
        </w:rPr>
        <w:t xml:space="preserve"> </w:t>
      </w:r>
      <w:proofErr w:type="spellStart"/>
      <w:r w:rsidR="006E03EF" w:rsidRPr="00E04ED2">
        <w:rPr>
          <w:rFonts w:ascii="Book Antiqua" w:hAnsi="Book Antiqua"/>
          <w:b/>
          <w:bCs/>
          <w:sz w:val="23"/>
          <w:szCs w:val="23"/>
        </w:rPr>
        <w:t>suum</w:t>
      </w:r>
      <w:proofErr w:type="spellEnd"/>
      <w:r w:rsidR="006E03EF" w:rsidRPr="00E04ED2">
        <w:rPr>
          <w:rFonts w:ascii="Book Antiqua" w:hAnsi="Book Antiqua"/>
          <w:b/>
          <w:bCs/>
          <w:sz w:val="23"/>
          <w:szCs w:val="23"/>
        </w:rPr>
        <w:t xml:space="preserve"> </w:t>
      </w:r>
      <w:proofErr w:type="spellStart"/>
      <w:r w:rsidR="006E03EF" w:rsidRPr="00E04ED2">
        <w:rPr>
          <w:rFonts w:ascii="Book Antiqua" w:hAnsi="Book Antiqua"/>
          <w:b/>
          <w:bCs/>
          <w:sz w:val="23"/>
          <w:szCs w:val="23"/>
        </w:rPr>
        <w:t>principale</w:t>
      </w:r>
      <w:proofErr w:type="spellEnd"/>
      <w:r w:rsidR="000E1F98" w:rsidRPr="00E04ED2">
        <w:rPr>
          <w:rFonts w:ascii="Book Antiqua" w:hAnsi="Book Antiqua"/>
          <w:b/>
          <w:bCs/>
          <w:sz w:val="23"/>
          <w:szCs w:val="23"/>
        </w:rPr>
        <w:t xml:space="preserve">, </w:t>
      </w:r>
      <w:r w:rsidR="000E1F98" w:rsidRPr="00E04ED2">
        <w:rPr>
          <w:rFonts w:ascii="Book Antiqua" w:hAnsi="Book Antiqua"/>
          <w:bCs/>
          <w:sz w:val="23"/>
          <w:szCs w:val="23"/>
        </w:rPr>
        <w:t>un anexo/Comentario</w:t>
      </w:r>
      <w:r w:rsidR="006E03EF" w:rsidRPr="00E04ED2">
        <w:rPr>
          <w:rFonts w:ascii="Book Antiqua" w:hAnsi="Book Antiqua"/>
          <w:bCs/>
          <w:sz w:val="23"/>
          <w:szCs w:val="23"/>
        </w:rPr>
        <w:t xml:space="preserve"> General/fuente secundaria, de ninguna manera puede contravenir lo </w:t>
      </w:r>
      <w:proofErr w:type="spellStart"/>
      <w:r w:rsidR="006E03EF" w:rsidRPr="00E04ED2">
        <w:rPr>
          <w:rFonts w:ascii="Book Antiqua" w:hAnsi="Book Antiqua"/>
          <w:bCs/>
          <w:sz w:val="23"/>
          <w:szCs w:val="23"/>
        </w:rPr>
        <w:t>sipuesto</w:t>
      </w:r>
      <w:proofErr w:type="spellEnd"/>
      <w:r w:rsidR="006E03EF" w:rsidRPr="00E04ED2">
        <w:rPr>
          <w:rFonts w:ascii="Book Antiqua" w:hAnsi="Book Antiqua"/>
          <w:bCs/>
          <w:sz w:val="23"/>
          <w:szCs w:val="23"/>
        </w:rPr>
        <w:t xml:space="preserve"> en el Tratado (texto principal). </w:t>
      </w:r>
    </w:p>
    <w:p w14:paraId="6F710714" w14:textId="77777777" w:rsidR="00BB6251" w:rsidRPr="00E04ED2" w:rsidRDefault="00BB6251" w:rsidP="00E04ED2">
      <w:pPr>
        <w:pStyle w:val="ListParagraph"/>
        <w:numPr>
          <w:ilvl w:val="1"/>
          <w:numId w:val="2"/>
        </w:numPr>
        <w:spacing w:line="276" w:lineRule="auto"/>
        <w:jc w:val="both"/>
        <w:rPr>
          <w:rFonts w:ascii="Book Antiqua" w:hAnsi="Book Antiqua"/>
          <w:sz w:val="23"/>
          <w:szCs w:val="23"/>
        </w:rPr>
      </w:pPr>
      <w:r w:rsidRPr="00E04ED2">
        <w:rPr>
          <w:rFonts w:ascii="Book Antiqua" w:hAnsi="Book Antiqua"/>
          <w:sz w:val="23"/>
          <w:szCs w:val="23"/>
        </w:rPr>
        <w:t>La suspensión no solo es por parte de acciones del Estado, sino también por l</w:t>
      </w:r>
      <w:r w:rsidR="00800B87" w:rsidRPr="00E04ED2">
        <w:rPr>
          <w:rFonts w:ascii="Book Antiqua" w:hAnsi="Book Antiqua"/>
          <w:sz w:val="23"/>
          <w:szCs w:val="23"/>
        </w:rPr>
        <w:t xml:space="preserve">os acciones de los particulares. </w:t>
      </w:r>
    </w:p>
    <w:p w14:paraId="5E297749" w14:textId="77777777" w:rsidR="006E03EF" w:rsidRPr="00E04ED2" w:rsidRDefault="001B29CC" w:rsidP="00E04ED2">
      <w:pPr>
        <w:pStyle w:val="ListParagraph"/>
        <w:numPr>
          <w:ilvl w:val="0"/>
          <w:numId w:val="2"/>
        </w:numPr>
        <w:spacing w:line="276" w:lineRule="auto"/>
        <w:jc w:val="both"/>
        <w:rPr>
          <w:rFonts w:ascii="Book Antiqua" w:hAnsi="Book Antiqua"/>
          <w:sz w:val="23"/>
          <w:szCs w:val="23"/>
        </w:rPr>
      </w:pPr>
      <w:r w:rsidRPr="00E04ED2">
        <w:rPr>
          <w:rFonts w:ascii="Book Antiqua" w:hAnsi="Book Antiqua"/>
          <w:sz w:val="23"/>
          <w:szCs w:val="23"/>
          <w:lang w:val="es-ES"/>
        </w:rPr>
        <w:t xml:space="preserve">El párrafo 27 también incluye la mención a “personas lesbianas, gais, bisexuales, </w:t>
      </w:r>
      <w:proofErr w:type="spellStart"/>
      <w:r w:rsidRPr="00E04ED2">
        <w:rPr>
          <w:rFonts w:ascii="Book Antiqua" w:hAnsi="Book Antiqua"/>
          <w:sz w:val="23"/>
          <w:szCs w:val="23"/>
          <w:lang w:val="es-ES"/>
        </w:rPr>
        <w:t>transgénero</w:t>
      </w:r>
      <w:proofErr w:type="spellEnd"/>
      <w:r w:rsidRPr="00E04ED2">
        <w:rPr>
          <w:rFonts w:ascii="Book Antiqua" w:hAnsi="Book Antiqua"/>
          <w:sz w:val="23"/>
          <w:szCs w:val="23"/>
          <w:lang w:val="es-ES"/>
        </w:rPr>
        <w:t xml:space="preserve"> e intersexuales (LGBTI)” dentro de una lista de categorías de personas para las cuales los Estados tienen el deber de adoptar medidas especiales para su protección, todo ello debido a determinadas vulnerabilidades, amenazas específicas, o violencia. Otros ejemplos son: defensores de los derechos humanos, periodistas, figuras públicas, testigos de delitos, víctimas de la violencia doméstica, niños de la calle, miembros de minorías étnicas y religiosas y de los pueblos indígenas, personas desplazadas, personas con albinismo, las presuntas brujas, solicitantes de asilo, refugiados y apátridas y, en ciertas situaciones, las mujeres y los niños.</w:t>
      </w:r>
    </w:p>
    <w:p w14:paraId="77D21072" w14:textId="77777777" w:rsidR="0008677C" w:rsidRPr="00E04ED2" w:rsidRDefault="009930BE" w:rsidP="00E04ED2">
      <w:pPr>
        <w:pStyle w:val="ListParagraph"/>
        <w:numPr>
          <w:ilvl w:val="1"/>
          <w:numId w:val="2"/>
        </w:numPr>
        <w:spacing w:line="276" w:lineRule="auto"/>
        <w:jc w:val="both"/>
        <w:rPr>
          <w:rFonts w:ascii="Book Antiqua" w:hAnsi="Book Antiqua"/>
          <w:sz w:val="23"/>
          <w:szCs w:val="23"/>
        </w:rPr>
      </w:pPr>
      <w:r w:rsidRPr="00E04ED2">
        <w:rPr>
          <w:rFonts w:ascii="Book Antiqua" w:eastAsia="Times New Roman" w:hAnsi="Book Antiqua"/>
          <w:bCs/>
          <w:color w:val="262626"/>
          <w:sz w:val="23"/>
          <w:szCs w:val="23"/>
        </w:rPr>
        <w:t xml:space="preserve">Si desde el mismo </w:t>
      </w:r>
      <w:r w:rsidR="00C85CC9" w:rsidRPr="00E04ED2">
        <w:rPr>
          <w:rFonts w:ascii="Book Antiqua" w:eastAsia="Times New Roman" w:hAnsi="Book Antiqua"/>
          <w:bCs/>
          <w:color w:val="262626"/>
          <w:sz w:val="23"/>
          <w:szCs w:val="23"/>
        </w:rPr>
        <w:t>Artículo 2</w:t>
      </w:r>
      <w:r w:rsidRPr="00E04ED2">
        <w:rPr>
          <w:rFonts w:ascii="Book Antiqua" w:eastAsia="Times New Roman" w:hAnsi="Book Antiqua"/>
          <w:bCs/>
          <w:color w:val="262626"/>
          <w:sz w:val="23"/>
          <w:szCs w:val="23"/>
        </w:rPr>
        <w:t xml:space="preserve"> del Pacto encontramos que</w:t>
      </w:r>
      <w:r w:rsidRPr="00E04ED2">
        <w:rPr>
          <w:rFonts w:ascii="Book Antiqua" w:eastAsia="Times New Roman" w:hAnsi="Book Antiqua"/>
          <w:b/>
          <w:bCs/>
          <w:color w:val="262626"/>
          <w:sz w:val="23"/>
          <w:szCs w:val="23"/>
        </w:rPr>
        <w:t xml:space="preserve"> “</w:t>
      </w:r>
      <w:r w:rsidR="00C85CC9" w:rsidRPr="00E04ED2">
        <w:rPr>
          <w:rFonts w:ascii="Book Antiqua" w:hAnsi="Book Antiqua"/>
          <w:color w:val="000000"/>
          <w:sz w:val="23"/>
          <w:szCs w:val="23"/>
        </w:rPr>
        <w:t xml:space="preserve">1. Cada uno de los Estados Partes en el presente Pacto se </w:t>
      </w:r>
      <w:r w:rsidR="00C85CC9" w:rsidRPr="00E04ED2">
        <w:rPr>
          <w:rFonts w:ascii="Book Antiqua" w:hAnsi="Book Antiqua"/>
          <w:color w:val="000000"/>
          <w:sz w:val="23"/>
          <w:szCs w:val="23"/>
        </w:rPr>
        <w:lastRenderedPageBreak/>
        <w:t>compromete a respetar y a garantizar a todos los individuos que se encuentren en su territorio y estén sujetos a su jurisdicción los derechos</w:t>
      </w:r>
      <w:r w:rsidR="00F93E92" w:rsidRPr="00E04ED2">
        <w:rPr>
          <w:rFonts w:ascii="Book Antiqua" w:hAnsi="Book Antiqua"/>
          <w:color w:val="000000"/>
          <w:sz w:val="23"/>
          <w:szCs w:val="23"/>
        </w:rPr>
        <w:t xml:space="preserve"> […];</w:t>
      </w:r>
      <w:r w:rsidRPr="00E04ED2">
        <w:rPr>
          <w:rFonts w:ascii="Book Antiqua" w:hAnsi="Book Antiqua"/>
          <w:color w:val="000000"/>
          <w:sz w:val="23"/>
          <w:szCs w:val="23"/>
        </w:rPr>
        <w:t>”</w:t>
      </w:r>
      <w:r w:rsidR="00F93E92" w:rsidRPr="00E04ED2">
        <w:rPr>
          <w:rFonts w:ascii="Book Antiqua" w:hAnsi="Book Antiqua"/>
          <w:color w:val="000000"/>
          <w:sz w:val="23"/>
          <w:szCs w:val="23"/>
        </w:rPr>
        <w:t xml:space="preserve"> resulta discriminatorio el imponer obligaciones a los Estados, de crear normas o disposiciones que vayan a un grupo específico de la sociedad. Esto</w:t>
      </w:r>
      <w:r w:rsidR="00852708" w:rsidRPr="00E04ED2">
        <w:rPr>
          <w:rFonts w:ascii="Book Antiqua" w:hAnsi="Book Antiqua"/>
          <w:color w:val="000000"/>
          <w:sz w:val="23"/>
          <w:szCs w:val="23"/>
        </w:rPr>
        <w:t xml:space="preserve"> cobra relevancia cuando se está  en entendido que </w:t>
      </w:r>
      <w:r w:rsidR="000D2BA5" w:rsidRPr="00E04ED2">
        <w:rPr>
          <w:rFonts w:ascii="Book Antiqua" w:hAnsi="Book Antiqua"/>
          <w:sz w:val="23"/>
          <w:szCs w:val="23"/>
        </w:rPr>
        <w:t xml:space="preserve">TODA NORMA JURÍDICA debe ser: Bilateral, Imperativo-atributivas, Exterior refiere a lo que debe ser, Se norma el comportamiento de una persona, Coercibles, Heterónoma y Un fin práctico basado en el bien común; lo cual es: </w:t>
      </w:r>
      <w:r w:rsidR="000D2BA5" w:rsidRPr="00E04ED2">
        <w:rPr>
          <w:rFonts w:ascii="Book Antiqua" w:hAnsi="Book Antiqua"/>
          <w:b/>
          <w:bCs/>
          <w:i/>
          <w:iCs/>
          <w:sz w:val="23"/>
          <w:szCs w:val="23"/>
          <w:u w:val="single"/>
        </w:rPr>
        <w:t>HETERÓNOMAS</w:t>
      </w:r>
      <w:r w:rsidR="000D2BA5" w:rsidRPr="00E04ED2">
        <w:rPr>
          <w:rFonts w:ascii="Book Antiqua" w:hAnsi="Book Antiqua"/>
          <w:sz w:val="23"/>
          <w:szCs w:val="23"/>
        </w:rPr>
        <w:t xml:space="preserve">.- deben de ser creadas por un sujeto distinto de aquel que las va a cumplir. </w:t>
      </w:r>
      <w:r w:rsidR="000D2BA5" w:rsidRPr="00E04ED2">
        <w:rPr>
          <w:rFonts w:ascii="Book Antiqua" w:hAnsi="Book Antiqua"/>
          <w:b/>
          <w:bCs/>
          <w:i/>
          <w:iCs/>
          <w:sz w:val="23"/>
          <w:szCs w:val="23"/>
          <w:u w:val="single"/>
        </w:rPr>
        <w:t>BILATERALES.-</w:t>
      </w:r>
      <w:r w:rsidR="000D2BA5" w:rsidRPr="00E04ED2">
        <w:rPr>
          <w:rFonts w:ascii="Book Antiqua" w:hAnsi="Book Antiqua"/>
          <w:sz w:val="23"/>
          <w:szCs w:val="23"/>
        </w:rPr>
        <w:t xml:space="preserve"> que a un mismo tiempo que imponen obligaciones confieran derechos. </w:t>
      </w:r>
      <w:r w:rsidR="000D2BA5" w:rsidRPr="00E04ED2">
        <w:rPr>
          <w:rFonts w:ascii="Book Antiqua" w:hAnsi="Book Antiqua"/>
          <w:b/>
          <w:bCs/>
          <w:i/>
          <w:iCs/>
          <w:sz w:val="23"/>
          <w:szCs w:val="23"/>
          <w:u w:val="single"/>
        </w:rPr>
        <w:t>EXTERIORES</w:t>
      </w:r>
      <w:r w:rsidR="000D2BA5" w:rsidRPr="00E04ED2">
        <w:rPr>
          <w:rFonts w:ascii="Book Antiqua" w:hAnsi="Book Antiqua"/>
          <w:sz w:val="23"/>
          <w:szCs w:val="23"/>
        </w:rPr>
        <w:t xml:space="preserve">.- solo regulan la conducta externa del individuo. </w:t>
      </w:r>
      <w:r w:rsidR="000D2BA5" w:rsidRPr="00E04ED2">
        <w:rPr>
          <w:rFonts w:ascii="Book Antiqua" w:hAnsi="Book Antiqua"/>
          <w:b/>
          <w:bCs/>
          <w:i/>
          <w:iCs/>
          <w:sz w:val="23"/>
          <w:szCs w:val="23"/>
          <w:u w:val="single"/>
        </w:rPr>
        <w:t>COERCIBLES</w:t>
      </w:r>
      <w:r w:rsidR="000D2BA5" w:rsidRPr="00E04ED2">
        <w:rPr>
          <w:rFonts w:ascii="Book Antiqua" w:hAnsi="Book Antiqua"/>
          <w:sz w:val="23"/>
          <w:szCs w:val="23"/>
        </w:rPr>
        <w:t>.- se pueden hacer cumplir aún en contra de la voluntad del destinatario de la norma.</w:t>
      </w:r>
      <w:r w:rsidR="00852708" w:rsidRPr="00E04ED2">
        <w:rPr>
          <w:rFonts w:ascii="Book Antiqua" w:hAnsi="Book Antiqua"/>
          <w:sz w:val="23"/>
          <w:szCs w:val="23"/>
        </w:rPr>
        <w:t xml:space="preserve"> </w:t>
      </w:r>
    </w:p>
    <w:p w14:paraId="50CDD8F4" w14:textId="77777777" w:rsidR="00852708" w:rsidRPr="00E04ED2" w:rsidRDefault="00852708" w:rsidP="00E04ED2">
      <w:pPr>
        <w:pStyle w:val="ListParagraph"/>
        <w:numPr>
          <w:ilvl w:val="1"/>
          <w:numId w:val="2"/>
        </w:numPr>
        <w:spacing w:line="276" w:lineRule="auto"/>
        <w:jc w:val="both"/>
        <w:rPr>
          <w:rFonts w:ascii="Book Antiqua" w:hAnsi="Book Antiqua"/>
          <w:sz w:val="23"/>
          <w:szCs w:val="23"/>
        </w:rPr>
      </w:pPr>
      <w:r w:rsidRPr="00E04ED2">
        <w:rPr>
          <w:rFonts w:ascii="Book Antiqua" w:eastAsia="Times New Roman" w:hAnsi="Book Antiqua"/>
          <w:bCs/>
          <w:color w:val="262626"/>
          <w:sz w:val="23"/>
          <w:szCs w:val="23"/>
        </w:rPr>
        <w:t>Por lo tanto, que el Comité, excediendo sus facultades</w:t>
      </w:r>
      <w:r w:rsidR="00E04ED2" w:rsidRPr="00E04ED2">
        <w:rPr>
          <w:rFonts w:ascii="Book Antiqua" w:eastAsia="Times New Roman" w:hAnsi="Book Antiqua"/>
          <w:bCs/>
          <w:color w:val="262626"/>
          <w:sz w:val="23"/>
          <w:szCs w:val="23"/>
        </w:rPr>
        <w:t xml:space="preserve"> intenta obligar a los Estados a crear disposiciones que a todas luces no están dentro del margen de legalidad y seguridad jurídica (siendo ésta una garantía y derecho de toda persona).</w:t>
      </w:r>
    </w:p>
    <w:p w14:paraId="0408E615" w14:textId="77777777" w:rsidR="00E04ED2" w:rsidRDefault="00E04ED2" w:rsidP="00E04ED2">
      <w:pPr>
        <w:spacing w:line="276" w:lineRule="auto"/>
        <w:jc w:val="both"/>
        <w:rPr>
          <w:rFonts w:ascii="Book Antiqua" w:hAnsi="Book Antiqua"/>
          <w:sz w:val="23"/>
          <w:szCs w:val="23"/>
        </w:rPr>
      </w:pPr>
    </w:p>
    <w:p w14:paraId="646F5425" w14:textId="77777777" w:rsidR="00E04ED2" w:rsidRPr="00E04ED2" w:rsidRDefault="00E04ED2" w:rsidP="00E04ED2">
      <w:pPr>
        <w:spacing w:line="276" w:lineRule="auto"/>
        <w:jc w:val="both"/>
        <w:rPr>
          <w:rFonts w:ascii="Book Antiqua" w:hAnsi="Book Antiqua"/>
          <w:sz w:val="23"/>
          <w:szCs w:val="23"/>
        </w:rPr>
      </w:pPr>
      <w:r>
        <w:rPr>
          <w:rFonts w:ascii="Book Antiqua" w:hAnsi="Book Antiqua"/>
          <w:sz w:val="23"/>
          <w:szCs w:val="23"/>
        </w:rPr>
        <w:t xml:space="preserve">En virtud de lo anteriormente expuesto es que se </w:t>
      </w:r>
      <w:r w:rsidR="00447C53">
        <w:rPr>
          <w:rFonts w:ascii="Book Antiqua" w:hAnsi="Book Antiqua"/>
          <w:sz w:val="23"/>
          <w:szCs w:val="23"/>
        </w:rPr>
        <w:t xml:space="preserve">hace la recomendación al Comité de Derechos Humanos, que actúe ateniendo a las facultades expresa y delimitadas que tiene; respetando la Soberanía de los Estados que son sus mandantes en la encomienda de dar seguimiento y observaciones respecto al ejercicio y cumplimiento de Derechos Humanos en cada territorio, esto evitando invadir facultades propias de cada Estado y que a ninguna luz le corresponden al Comité, esto en abuso del principio de buena Fe de los Estados y el compromiso con la protección de Derechos Humanos de los signatarios del Tratado objeto de Comentario. </w:t>
      </w:r>
    </w:p>
    <w:sectPr w:rsidR="00E04ED2" w:rsidRPr="00E04ED2" w:rsidSect="001B15F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DEA3E" w14:textId="77777777" w:rsidR="0050288D" w:rsidRDefault="0050288D" w:rsidP="005A302F">
      <w:r>
        <w:separator/>
      </w:r>
    </w:p>
  </w:endnote>
  <w:endnote w:type="continuationSeparator" w:id="0">
    <w:p w14:paraId="66FFB5CB" w14:textId="77777777" w:rsidR="0050288D" w:rsidRDefault="0050288D" w:rsidP="005A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52606" w14:textId="77777777" w:rsidR="00584788" w:rsidRDefault="00584788">
    <w:pPr>
      <w:pStyle w:val="Footer"/>
    </w:pPr>
    <w:r>
      <w:rPr>
        <w:noProof/>
        <w:lang w:val="en-GB" w:eastAsia="en-GB"/>
      </w:rPr>
      <w:drawing>
        <wp:anchor distT="0" distB="0" distL="114300" distR="114300" simplePos="0" relativeHeight="251658240" behindDoc="0" locked="0" layoutInCell="1" allowOverlap="1" wp14:anchorId="0512533F" wp14:editId="2B105089">
          <wp:simplePos x="0" y="0"/>
          <wp:positionH relativeFrom="margin">
            <wp:posOffset>3886200</wp:posOffset>
          </wp:positionH>
          <wp:positionV relativeFrom="margin">
            <wp:posOffset>7904480</wp:posOffset>
          </wp:positionV>
          <wp:extent cx="2555875" cy="1208405"/>
          <wp:effectExtent l="0" t="0" r="9525" b="10795"/>
          <wp:wrapTight wrapText="bothSides">
            <wp:wrapPolygon edited="0">
              <wp:start x="0" y="0"/>
              <wp:lineTo x="0" y="21339"/>
              <wp:lineTo x="21466" y="21339"/>
              <wp:lineTo x="21466" y="0"/>
              <wp:lineTo x="0" y="0"/>
            </wp:wrapPolygon>
          </wp:wrapTight>
          <wp:docPr id="3" name="Imagen 3" descr="/Users/isis/Downloads/LOGO IAPF, 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sis/Downloads/LOGO IAPF, A.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B8C5" w14:textId="77777777" w:rsidR="0050288D" w:rsidRDefault="0050288D" w:rsidP="005A302F">
      <w:r>
        <w:separator/>
      </w:r>
    </w:p>
  </w:footnote>
  <w:footnote w:type="continuationSeparator" w:id="0">
    <w:p w14:paraId="25545C63" w14:textId="77777777" w:rsidR="0050288D" w:rsidRDefault="0050288D" w:rsidP="005A302F">
      <w:r>
        <w:continuationSeparator/>
      </w:r>
    </w:p>
  </w:footnote>
  <w:footnote w:id="1">
    <w:p w14:paraId="2BEE5789" w14:textId="77777777" w:rsidR="008334F3" w:rsidRPr="003F725D" w:rsidRDefault="008334F3" w:rsidP="003F725D">
      <w:pPr>
        <w:pStyle w:val="FootnoteText"/>
        <w:jc w:val="both"/>
        <w:rPr>
          <w:rFonts w:ascii="Book Antiqua" w:hAnsi="Book Antiqua"/>
          <w:sz w:val="20"/>
          <w:szCs w:val="20"/>
        </w:rPr>
      </w:pPr>
      <w:r w:rsidRPr="003F725D">
        <w:rPr>
          <w:rStyle w:val="FootnoteReference"/>
          <w:rFonts w:ascii="Book Antiqua" w:hAnsi="Book Antiqua"/>
          <w:sz w:val="20"/>
          <w:szCs w:val="20"/>
        </w:rPr>
        <w:footnoteRef/>
      </w:r>
      <w:r w:rsidRPr="003F725D">
        <w:rPr>
          <w:rFonts w:ascii="Book Antiqua" w:hAnsi="Book Antiqua"/>
          <w:sz w:val="20"/>
          <w:szCs w:val="20"/>
        </w:rPr>
        <w:t xml:space="preserve"> “Vigilancia Del Ejercicio De Los Derechos Civiles y Políticos.” </w:t>
      </w:r>
      <w:r w:rsidRPr="003F725D">
        <w:rPr>
          <w:rFonts w:ascii="Book Antiqua" w:hAnsi="Book Antiqua"/>
          <w:i/>
          <w:iCs/>
          <w:sz w:val="20"/>
          <w:szCs w:val="20"/>
        </w:rPr>
        <w:t>OACDH - Comité De Derechos Humanos</w:t>
      </w:r>
      <w:r w:rsidRPr="003F725D">
        <w:rPr>
          <w:rFonts w:ascii="Book Antiqua" w:hAnsi="Book Antiqua"/>
          <w:sz w:val="20"/>
          <w:szCs w:val="20"/>
        </w:rPr>
        <w:t>, Oficina Del Alto Comisionado De Las Naciones Unidas Para Los Derechos Humanos, www2.ohchr.org/spanish/bodies/hrc/.</w:t>
      </w:r>
    </w:p>
  </w:footnote>
  <w:footnote w:id="2">
    <w:p w14:paraId="71A0EC59" w14:textId="77777777" w:rsidR="00490510" w:rsidRDefault="009D1B97" w:rsidP="003F725D">
      <w:pPr>
        <w:pStyle w:val="FootnoteText"/>
        <w:jc w:val="both"/>
        <w:rPr>
          <w:rFonts w:ascii="Book Antiqua" w:hAnsi="Book Antiqua"/>
          <w:sz w:val="20"/>
          <w:szCs w:val="20"/>
        </w:rPr>
      </w:pPr>
      <w:r w:rsidRPr="003F725D">
        <w:rPr>
          <w:rStyle w:val="FootnoteReference"/>
          <w:rFonts w:ascii="Book Antiqua" w:hAnsi="Book Antiqua"/>
          <w:sz w:val="20"/>
          <w:szCs w:val="20"/>
        </w:rPr>
        <w:footnoteRef/>
      </w:r>
      <w:r w:rsidRPr="003F725D">
        <w:rPr>
          <w:rFonts w:ascii="Book Antiqua" w:hAnsi="Book Antiqua"/>
          <w:sz w:val="20"/>
          <w:szCs w:val="20"/>
        </w:rPr>
        <w:t xml:space="preserve"> </w:t>
      </w:r>
      <w:r w:rsidR="00D46E56" w:rsidRPr="003F725D">
        <w:rPr>
          <w:rFonts w:ascii="Book Antiqua" w:hAnsi="Book Antiqua"/>
          <w:sz w:val="20"/>
          <w:szCs w:val="20"/>
        </w:rPr>
        <w:t xml:space="preserve">UN General </w:t>
      </w:r>
      <w:proofErr w:type="spellStart"/>
      <w:r w:rsidR="00D46E56" w:rsidRPr="003F725D">
        <w:rPr>
          <w:rFonts w:ascii="Book Antiqua" w:hAnsi="Book Antiqua"/>
          <w:sz w:val="20"/>
          <w:szCs w:val="20"/>
        </w:rPr>
        <w:t>Assembly</w:t>
      </w:r>
      <w:proofErr w:type="spellEnd"/>
      <w:r w:rsidR="00D46E56" w:rsidRPr="003F725D">
        <w:rPr>
          <w:rFonts w:ascii="Book Antiqua" w:hAnsi="Book Antiqua"/>
          <w:sz w:val="20"/>
          <w:szCs w:val="20"/>
        </w:rPr>
        <w:t>, </w:t>
      </w:r>
      <w:r w:rsidR="00D46E56" w:rsidRPr="003F725D">
        <w:rPr>
          <w:rFonts w:ascii="Book Antiqua" w:hAnsi="Book Antiqua"/>
          <w:i/>
          <w:iCs/>
          <w:sz w:val="20"/>
          <w:szCs w:val="20"/>
        </w:rPr>
        <w:t xml:space="preserve">International </w:t>
      </w:r>
      <w:proofErr w:type="spellStart"/>
      <w:r w:rsidR="00D46E56" w:rsidRPr="003F725D">
        <w:rPr>
          <w:rFonts w:ascii="Book Antiqua" w:hAnsi="Book Antiqua"/>
          <w:i/>
          <w:iCs/>
          <w:sz w:val="20"/>
          <w:szCs w:val="20"/>
        </w:rPr>
        <w:t>Covenant</w:t>
      </w:r>
      <w:proofErr w:type="spellEnd"/>
      <w:r w:rsidR="00D46E56" w:rsidRPr="003F725D">
        <w:rPr>
          <w:rFonts w:ascii="Book Antiqua" w:hAnsi="Book Antiqua"/>
          <w:i/>
          <w:iCs/>
          <w:sz w:val="20"/>
          <w:szCs w:val="20"/>
        </w:rPr>
        <w:t xml:space="preserve"> </w:t>
      </w:r>
      <w:proofErr w:type="spellStart"/>
      <w:r w:rsidR="00D46E56" w:rsidRPr="003F725D">
        <w:rPr>
          <w:rFonts w:ascii="Book Antiqua" w:hAnsi="Book Antiqua"/>
          <w:i/>
          <w:iCs/>
          <w:sz w:val="20"/>
          <w:szCs w:val="20"/>
        </w:rPr>
        <w:t>on</w:t>
      </w:r>
      <w:proofErr w:type="spellEnd"/>
      <w:r w:rsidR="00D46E56" w:rsidRPr="003F725D">
        <w:rPr>
          <w:rFonts w:ascii="Book Antiqua" w:hAnsi="Book Antiqua"/>
          <w:i/>
          <w:iCs/>
          <w:sz w:val="20"/>
          <w:szCs w:val="20"/>
        </w:rPr>
        <w:t xml:space="preserve"> Civil and </w:t>
      </w:r>
      <w:proofErr w:type="spellStart"/>
      <w:r w:rsidR="00D46E56" w:rsidRPr="003F725D">
        <w:rPr>
          <w:rFonts w:ascii="Book Antiqua" w:hAnsi="Book Antiqua"/>
          <w:i/>
          <w:iCs/>
          <w:sz w:val="20"/>
          <w:szCs w:val="20"/>
        </w:rPr>
        <w:t>Political</w:t>
      </w:r>
      <w:proofErr w:type="spellEnd"/>
      <w:r w:rsidR="00D46E56" w:rsidRPr="003F725D">
        <w:rPr>
          <w:rFonts w:ascii="Book Antiqua" w:hAnsi="Book Antiqua"/>
          <w:i/>
          <w:iCs/>
          <w:sz w:val="20"/>
          <w:szCs w:val="20"/>
        </w:rPr>
        <w:t xml:space="preserve"> </w:t>
      </w:r>
      <w:proofErr w:type="spellStart"/>
      <w:r w:rsidR="00D46E56" w:rsidRPr="003F725D">
        <w:rPr>
          <w:rFonts w:ascii="Book Antiqua" w:hAnsi="Book Antiqua"/>
          <w:i/>
          <w:iCs/>
          <w:sz w:val="20"/>
          <w:szCs w:val="20"/>
        </w:rPr>
        <w:t>Rights</w:t>
      </w:r>
      <w:proofErr w:type="spellEnd"/>
      <w:r w:rsidR="00D46E56" w:rsidRPr="003F725D">
        <w:rPr>
          <w:rFonts w:ascii="Book Antiqua" w:hAnsi="Book Antiqua"/>
          <w:sz w:val="20"/>
          <w:szCs w:val="20"/>
        </w:rPr>
        <w:t xml:space="preserve">, 16 </w:t>
      </w:r>
      <w:proofErr w:type="spellStart"/>
      <w:r w:rsidR="00D46E56" w:rsidRPr="003F725D">
        <w:rPr>
          <w:rFonts w:ascii="Book Antiqua" w:hAnsi="Book Antiqua"/>
          <w:sz w:val="20"/>
          <w:szCs w:val="20"/>
        </w:rPr>
        <w:t>December</w:t>
      </w:r>
      <w:proofErr w:type="spellEnd"/>
      <w:r w:rsidR="00D46E56" w:rsidRPr="003F725D">
        <w:rPr>
          <w:rFonts w:ascii="Book Antiqua" w:hAnsi="Book Antiqua"/>
          <w:sz w:val="20"/>
          <w:szCs w:val="20"/>
        </w:rPr>
        <w:t xml:space="preserve"> 1966, </w:t>
      </w:r>
      <w:proofErr w:type="spellStart"/>
      <w:r w:rsidR="00D46E56" w:rsidRPr="003F725D">
        <w:rPr>
          <w:rFonts w:ascii="Book Antiqua" w:hAnsi="Book Antiqua"/>
          <w:sz w:val="20"/>
          <w:szCs w:val="20"/>
        </w:rPr>
        <w:t>United</w:t>
      </w:r>
      <w:proofErr w:type="spellEnd"/>
      <w:r w:rsidR="00D46E56" w:rsidRPr="003F725D">
        <w:rPr>
          <w:rFonts w:ascii="Book Antiqua" w:hAnsi="Book Antiqua"/>
          <w:sz w:val="20"/>
          <w:szCs w:val="20"/>
        </w:rPr>
        <w:t xml:space="preserve"> </w:t>
      </w:r>
      <w:proofErr w:type="spellStart"/>
      <w:r w:rsidR="00D46E56" w:rsidRPr="003F725D">
        <w:rPr>
          <w:rFonts w:ascii="Book Antiqua" w:hAnsi="Book Antiqua"/>
          <w:sz w:val="20"/>
          <w:szCs w:val="20"/>
        </w:rPr>
        <w:t>Nations</w:t>
      </w:r>
      <w:proofErr w:type="spellEnd"/>
      <w:r w:rsidR="00D46E56" w:rsidRPr="003F725D">
        <w:rPr>
          <w:rFonts w:ascii="Book Antiqua" w:hAnsi="Book Antiqua"/>
          <w:sz w:val="20"/>
          <w:szCs w:val="20"/>
        </w:rPr>
        <w:t xml:space="preserve">, </w:t>
      </w:r>
      <w:proofErr w:type="spellStart"/>
      <w:r w:rsidR="00D46E56" w:rsidRPr="003F725D">
        <w:rPr>
          <w:rFonts w:ascii="Book Antiqua" w:hAnsi="Book Antiqua"/>
          <w:sz w:val="20"/>
          <w:szCs w:val="20"/>
        </w:rPr>
        <w:t>Treaty</w:t>
      </w:r>
      <w:proofErr w:type="spellEnd"/>
      <w:r w:rsidR="00D46E56" w:rsidRPr="003F725D">
        <w:rPr>
          <w:rFonts w:ascii="Book Antiqua" w:hAnsi="Book Antiqua"/>
          <w:sz w:val="20"/>
          <w:szCs w:val="20"/>
        </w:rPr>
        <w:t xml:space="preserve"> Series, vol. 999, p. 171, </w:t>
      </w:r>
      <w:proofErr w:type="spellStart"/>
      <w:r w:rsidR="00D46E56" w:rsidRPr="003F725D">
        <w:rPr>
          <w:rFonts w:ascii="Book Antiqua" w:hAnsi="Book Antiqua"/>
          <w:sz w:val="20"/>
          <w:szCs w:val="20"/>
        </w:rPr>
        <w:t>available</w:t>
      </w:r>
      <w:proofErr w:type="spellEnd"/>
      <w:r w:rsidR="00D46E56" w:rsidRPr="003F725D">
        <w:rPr>
          <w:rFonts w:ascii="Book Antiqua" w:hAnsi="Book Antiqua"/>
          <w:sz w:val="20"/>
          <w:szCs w:val="20"/>
        </w:rPr>
        <w:t xml:space="preserve"> at:</w:t>
      </w:r>
    </w:p>
    <w:p w14:paraId="4597FA68" w14:textId="77777777" w:rsidR="009D1B97" w:rsidRPr="003F725D" w:rsidRDefault="00D46E56" w:rsidP="003F725D">
      <w:pPr>
        <w:pStyle w:val="FootnoteText"/>
        <w:jc w:val="both"/>
        <w:rPr>
          <w:rFonts w:ascii="Book Antiqua" w:hAnsi="Book Antiqua"/>
          <w:sz w:val="20"/>
          <w:szCs w:val="20"/>
        </w:rPr>
      </w:pPr>
      <w:r w:rsidRPr="003F725D">
        <w:rPr>
          <w:rFonts w:ascii="Book Antiqua" w:hAnsi="Book Antiqua"/>
          <w:sz w:val="20"/>
          <w:szCs w:val="20"/>
        </w:rPr>
        <w:t xml:space="preserve">http://www.refworld.org/docid/3ae6b3aa0.html [accessed 5 </w:t>
      </w:r>
      <w:proofErr w:type="spellStart"/>
      <w:r w:rsidRPr="003F725D">
        <w:rPr>
          <w:rFonts w:ascii="Book Antiqua" w:hAnsi="Book Antiqua"/>
          <w:sz w:val="20"/>
          <w:szCs w:val="20"/>
        </w:rPr>
        <w:t>October</w:t>
      </w:r>
      <w:proofErr w:type="spellEnd"/>
      <w:r w:rsidRPr="003F725D">
        <w:rPr>
          <w:rFonts w:ascii="Book Antiqua" w:hAnsi="Book Antiqua"/>
          <w:sz w:val="20"/>
          <w:szCs w:val="20"/>
        </w:rPr>
        <w:t xml:space="preserve"> 2017]</w:t>
      </w:r>
    </w:p>
  </w:footnote>
  <w:footnote w:id="3">
    <w:p w14:paraId="726E4D28" w14:textId="77777777" w:rsidR="002E5B23" w:rsidRPr="003F725D" w:rsidRDefault="002E5B23" w:rsidP="003F725D">
      <w:pPr>
        <w:pStyle w:val="FootnoteText"/>
        <w:jc w:val="both"/>
        <w:rPr>
          <w:rFonts w:ascii="Book Antiqua" w:hAnsi="Book Antiqua"/>
          <w:sz w:val="20"/>
          <w:szCs w:val="20"/>
        </w:rPr>
      </w:pPr>
      <w:r w:rsidRPr="003F725D">
        <w:rPr>
          <w:rStyle w:val="FootnoteReference"/>
          <w:rFonts w:ascii="Book Antiqua" w:hAnsi="Book Antiqua"/>
          <w:sz w:val="20"/>
          <w:szCs w:val="20"/>
        </w:rPr>
        <w:footnoteRef/>
      </w:r>
      <w:r w:rsidRPr="003F725D">
        <w:rPr>
          <w:rFonts w:ascii="Book Antiqua" w:hAnsi="Book Antiqua"/>
          <w:sz w:val="20"/>
          <w:szCs w:val="20"/>
        </w:rPr>
        <w:t xml:space="preserve"> </w:t>
      </w:r>
      <w:r w:rsidR="001678D3" w:rsidRPr="003F725D">
        <w:rPr>
          <w:rFonts w:ascii="Book Antiqua" w:hAnsi="Book Antiqua"/>
          <w:i/>
          <w:iCs/>
          <w:sz w:val="20"/>
          <w:szCs w:val="20"/>
        </w:rPr>
        <w:t>Protocolo Facultativo del Pacto Internacional de Derechos Civiles y Políticos</w:t>
      </w:r>
      <w:r w:rsidR="001678D3" w:rsidRPr="003F725D">
        <w:rPr>
          <w:rFonts w:ascii="Book Antiqua" w:hAnsi="Book Antiqua"/>
          <w:sz w:val="20"/>
          <w:szCs w:val="20"/>
        </w:rPr>
        <w:t>; UN OHCHR.</w:t>
      </w:r>
    </w:p>
  </w:footnote>
  <w:footnote w:id="4">
    <w:p w14:paraId="0C92EE85" w14:textId="77777777" w:rsidR="00490510" w:rsidRPr="00490510" w:rsidRDefault="00490510">
      <w:pPr>
        <w:pStyle w:val="FootnoteText"/>
        <w:rPr>
          <w:lang w:val="en-US"/>
        </w:rPr>
      </w:pPr>
      <w:r>
        <w:rPr>
          <w:rStyle w:val="FootnoteReference"/>
        </w:rPr>
        <w:footnoteRef/>
      </w:r>
      <w:r>
        <w:t xml:space="preserve"> </w:t>
      </w:r>
      <w:proofErr w:type="spellStart"/>
      <w:r>
        <w:rPr>
          <w:lang w:val="en-US"/>
        </w:rPr>
        <w:t>Convención</w:t>
      </w:r>
      <w:proofErr w:type="spellEnd"/>
      <w:r>
        <w:rPr>
          <w:lang w:val="en-US"/>
        </w:rPr>
        <w:t xml:space="preserve"> de </w:t>
      </w:r>
      <w:proofErr w:type="spellStart"/>
      <w:r>
        <w:rPr>
          <w:lang w:val="en-US"/>
        </w:rPr>
        <w:t>Viena</w:t>
      </w:r>
      <w:proofErr w:type="spellEnd"/>
      <w:r>
        <w:rPr>
          <w:lang w:val="en-US"/>
        </w:rPr>
        <w:t xml:space="preserve"> </w:t>
      </w:r>
      <w:proofErr w:type="spellStart"/>
      <w:r>
        <w:rPr>
          <w:lang w:val="en-US"/>
        </w:rPr>
        <w:t>sobre</w:t>
      </w:r>
      <w:proofErr w:type="spellEnd"/>
      <w:r>
        <w:rPr>
          <w:lang w:val="en-US"/>
        </w:rPr>
        <w:t xml:space="preserve"> el Derecho de </w:t>
      </w:r>
      <w:proofErr w:type="spellStart"/>
      <w:r>
        <w:rPr>
          <w:lang w:val="en-US"/>
        </w:rPr>
        <w:t>los</w:t>
      </w:r>
      <w:proofErr w:type="spellEnd"/>
      <w:r>
        <w:rPr>
          <w:lang w:val="en-US"/>
        </w:rPr>
        <w:t xml:space="preserve"> </w:t>
      </w:r>
      <w:proofErr w:type="spellStart"/>
      <w:r>
        <w:rPr>
          <w:lang w:val="en-US"/>
        </w:rPr>
        <w:t>Tratados</w:t>
      </w:r>
      <w:proofErr w:type="spellEnd"/>
      <w:r>
        <w:rPr>
          <w:lang w:val="en-US"/>
        </w:rPr>
        <w:t xml:space="preserve">, Art. 26o. </w:t>
      </w:r>
    </w:p>
  </w:footnote>
  <w:footnote w:id="5">
    <w:p w14:paraId="7BD528DF" w14:textId="77777777" w:rsidR="003F725D" w:rsidRPr="003F725D" w:rsidRDefault="00385370" w:rsidP="003F725D">
      <w:pPr>
        <w:jc w:val="both"/>
        <w:rPr>
          <w:rFonts w:ascii="Book Antiqua" w:eastAsia="Times New Roman" w:hAnsi="Book Antiqua" w:cs="Times New Roman"/>
          <w:sz w:val="20"/>
          <w:szCs w:val="20"/>
          <w:lang w:eastAsia="es-ES_tradnl"/>
        </w:rPr>
      </w:pPr>
      <w:r w:rsidRPr="003F725D">
        <w:rPr>
          <w:rStyle w:val="FootnoteReference"/>
          <w:rFonts w:ascii="Book Antiqua" w:hAnsi="Book Antiqua"/>
          <w:sz w:val="20"/>
          <w:szCs w:val="20"/>
        </w:rPr>
        <w:footnoteRef/>
      </w:r>
      <w:r w:rsidR="00847290" w:rsidRPr="003F725D">
        <w:rPr>
          <w:rFonts w:ascii="Book Antiqua" w:eastAsia="Times New Roman" w:hAnsi="Book Antiqua" w:cs="Times New Roman"/>
          <w:sz w:val="20"/>
          <w:szCs w:val="20"/>
          <w:lang w:eastAsia="es-ES_tradnl"/>
        </w:rPr>
        <w:t>Reglamento del Comité de Derechos Humanos, Secció</w:t>
      </w:r>
      <w:r w:rsidR="003F725D" w:rsidRPr="003F725D">
        <w:rPr>
          <w:rFonts w:ascii="Book Antiqua" w:eastAsia="Times New Roman" w:hAnsi="Book Antiqua" w:cs="Times New Roman"/>
          <w:sz w:val="20"/>
          <w:szCs w:val="20"/>
          <w:lang w:eastAsia="es-ES_tradnl"/>
        </w:rPr>
        <w:t>n IX; CCPR/C/3/Rev.10</w:t>
      </w:r>
      <w:r w:rsidR="003F725D">
        <w:rPr>
          <w:rFonts w:ascii="Book Antiqua" w:eastAsia="Times New Roman" w:hAnsi="Book Antiqua" w:cs="Times New Roman"/>
          <w:sz w:val="20"/>
          <w:szCs w:val="20"/>
          <w:lang w:eastAsia="es-ES_tradnl"/>
        </w:rPr>
        <w:t xml:space="preserve"> </w:t>
      </w:r>
      <w:r w:rsidR="003F725D" w:rsidRPr="003F725D">
        <w:rPr>
          <w:rFonts w:ascii="Book Antiqua" w:eastAsia="Times New Roman" w:hAnsi="Book Antiqua" w:cs="Times New Roman"/>
          <w:sz w:val="20"/>
          <w:szCs w:val="20"/>
          <w:lang w:eastAsia="es-ES_tradnl"/>
        </w:rPr>
        <w:t xml:space="preserve">11 de enero de 2012 </w:t>
      </w:r>
    </w:p>
    <w:p w14:paraId="3B8DFAEF" w14:textId="77777777" w:rsidR="00385370" w:rsidRPr="003F725D" w:rsidRDefault="00385370" w:rsidP="003F725D">
      <w:pPr>
        <w:jc w:val="both"/>
        <w:rPr>
          <w:rFonts w:ascii="Book Antiqua" w:eastAsia="Times New Roman" w:hAnsi="Book Antiqua" w:cs="Times New Roman"/>
          <w:sz w:val="20"/>
          <w:szCs w:val="20"/>
          <w:lang w:eastAsia="es-ES_tradnl"/>
        </w:rPr>
      </w:pPr>
    </w:p>
  </w:footnote>
  <w:footnote w:id="6">
    <w:p w14:paraId="50E0697B" w14:textId="77777777" w:rsidR="00482CBE" w:rsidRPr="00482CBE" w:rsidRDefault="00482CBE" w:rsidP="00482CBE">
      <w:pPr>
        <w:rPr>
          <w:rFonts w:ascii="Times New Roman" w:eastAsia="Times New Roman" w:hAnsi="Times New Roman" w:cs="Times New Roman"/>
          <w:lang w:eastAsia="es-ES_tradnl"/>
        </w:rPr>
      </w:pPr>
      <w:r>
        <w:rPr>
          <w:rStyle w:val="FootnoteReference"/>
        </w:rPr>
        <w:footnoteRef/>
      </w:r>
      <w:r>
        <w:t xml:space="preserve"> </w:t>
      </w:r>
      <w:proofErr w:type="spellStart"/>
      <w:r w:rsidRPr="00482CBE">
        <w:rPr>
          <w:rFonts w:ascii="Arial" w:eastAsia="Times New Roman" w:hAnsi="Arial" w:cs="Arial"/>
          <w:color w:val="000000"/>
          <w:sz w:val="17"/>
          <w:szCs w:val="17"/>
          <w:shd w:val="clear" w:color="auto" w:fill="FFFFFF"/>
          <w:lang w:eastAsia="es-ES_tradnl"/>
        </w:rPr>
        <w:t>Querejazu</w:t>
      </w:r>
      <w:proofErr w:type="spellEnd"/>
      <w:r w:rsidRPr="00482CBE">
        <w:rPr>
          <w:rFonts w:ascii="Arial" w:eastAsia="Times New Roman" w:hAnsi="Arial" w:cs="Arial"/>
          <w:color w:val="000000"/>
          <w:sz w:val="17"/>
          <w:szCs w:val="17"/>
          <w:shd w:val="clear" w:color="auto" w:fill="FFFFFF"/>
          <w:lang w:eastAsia="es-ES_tradnl"/>
        </w:rPr>
        <w:t xml:space="preserve"> </w:t>
      </w:r>
      <w:proofErr w:type="spellStart"/>
      <w:r w:rsidRPr="00482CBE">
        <w:rPr>
          <w:rFonts w:ascii="Arial" w:eastAsia="Times New Roman" w:hAnsi="Arial" w:cs="Arial"/>
          <w:color w:val="000000"/>
          <w:sz w:val="17"/>
          <w:szCs w:val="17"/>
          <w:shd w:val="clear" w:color="auto" w:fill="FFFFFF"/>
          <w:lang w:eastAsia="es-ES_tradnl"/>
        </w:rPr>
        <w:t>Escobari</w:t>
      </w:r>
      <w:proofErr w:type="spellEnd"/>
      <w:r w:rsidRPr="00482CBE">
        <w:rPr>
          <w:rFonts w:ascii="Arial" w:eastAsia="Times New Roman" w:hAnsi="Arial" w:cs="Arial"/>
          <w:color w:val="000000"/>
          <w:sz w:val="17"/>
          <w:szCs w:val="17"/>
          <w:shd w:val="clear" w:color="auto" w:fill="FFFFFF"/>
          <w:lang w:eastAsia="es-ES_tradnl"/>
        </w:rPr>
        <w:t>, Amaya; (2013). Responsabilidad de las organizaciones internacionales por actos Ultra vires. </w:t>
      </w:r>
      <w:r w:rsidRPr="00482CBE">
        <w:rPr>
          <w:rFonts w:ascii="Arial" w:eastAsia="Times New Roman" w:hAnsi="Arial" w:cs="Arial"/>
          <w:i/>
          <w:iCs/>
          <w:color w:val="000000"/>
          <w:sz w:val="17"/>
          <w:szCs w:val="17"/>
          <w:shd w:val="clear" w:color="auto" w:fill="FFFFFF"/>
          <w:lang w:eastAsia="es-ES_tradnl"/>
        </w:rPr>
        <w:t>Revista de Derecho, </w:t>
      </w:r>
      <w:r w:rsidRPr="00482CBE">
        <w:rPr>
          <w:rFonts w:ascii="Arial" w:eastAsia="Times New Roman" w:hAnsi="Arial" w:cs="Arial"/>
          <w:color w:val="000000"/>
          <w:sz w:val="17"/>
          <w:szCs w:val="17"/>
          <w:shd w:val="clear" w:color="auto" w:fill="FFFFFF"/>
          <w:lang w:eastAsia="es-ES_tradnl"/>
        </w:rPr>
        <w:t>Enero-Junio, 1-29. </w:t>
      </w:r>
    </w:p>
  </w:footnote>
  <w:footnote w:id="7">
    <w:p w14:paraId="4C3B7889" w14:textId="77777777" w:rsidR="00A910D1" w:rsidRPr="00A910D1" w:rsidRDefault="00A910D1">
      <w:pPr>
        <w:pStyle w:val="FootnoteText"/>
        <w:rPr>
          <w:lang w:val="en-US"/>
        </w:rPr>
      </w:pPr>
      <w:r>
        <w:rPr>
          <w:rStyle w:val="FootnoteReference"/>
        </w:rPr>
        <w:footnoteRef/>
      </w:r>
      <w:r>
        <w:t xml:space="preserve"> </w:t>
      </w:r>
      <w:proofErr w:type="spellStart"/>
      <w:r>
        <w:rPr>
          <w:lang w:val="en-US"/>
        </w:rPr>
        <w:t>Convención</w:t>
      </w:r>
      <w:proofErr w:type="spellEnd"/>
      <w:r>
        <w:rPr>
          <w:lang w:val="en-US"/>
        </w:rPr>
        <w:t xml:space="preserve"> de </w:t>
      </w:r>
      <w:proofErr w:type="spellStart"/>
      <w:r>
        <w:rPr>
          <w:lang w:val="en-US"/>
        </w:rPr>
        <w:t>Viena</w:t>
      </w:r>
      <w:proofErr w:type="spellEnd"/>
      <w:r>
        <w:rPr>
          <w:lang w:val="en-US"/>
        </w:rPr>
        <w:t xml:space="preserve"> de Derecho de </w:t>
      </w:r>
      <w:proofErr w:type="spellStart"/>
      <w:r>
        <w:rPr>
          <w:lang w:val="en-US"/>
        </w:rPr>
        <w:t>los</w:t>
      </w:r>
      <w:proofErr w:type="spellEnd"/>
      <w:r>
        <w:rPr>
          <w:lang w:val="en-US"/>
        </w:rPr>
        <w:t xml:space="preserve"> </w:t>
      </w:r>
      <w:proofErr w:type="spellStart"/>
      <w:r>
        <w:rPr>
          <w:lang w:val="en-US"/>
        </w:rPr>
        <w:t>Tratados</w:t>
      </w:r>
      <w:proofErr w:type="spellEnd"/>
      <w:r>
        <w:rPr>
          <w:lang w:val="en-US"/>
        </w:rPr>
        <w:t xml:space="preserve">, Art. 31. </w:t>
      </w:r>
    </w:p>
  </w:footnote>
  <w:footnote w:id="8">
    <w:p w14:paraId="208C0C58" w14:textId="77777777" w:rsidR="00E67FDE" w:rsidRPr="003F725D" w:rsidRDefault="00E67FDE" w:rsidP="003F725D">
      <w:pPr>
        <w:pStyle w:val="FootnoteText"/>
        <w:jc w:val="both"/>
        <w:rPr>
          <w:rFonts w:ascii="Book Antiqua" w:hAnsi="Book Antiqua"/>
          <w:sz w:val="20"/>
          <w:szCs w:val="20"/>
        </w:rPr>
      </w:pPr>
      <w:r w:rsidRPr="003F725D">
        <w:rPr>
          <w:rStyle w:val="FootnoteReference"/>
          <w:rFonts w:ascii="Book Antiqua" w:hAnsi="Book Antiqua"/>
          <w:sz w:val="20"/>
          <w:szCs w:val="20"/>
        </w:rPr>
        <w:footnoteRef/>
      </w:r>
      <w:r w:rsidRPr="003F725D">
        <w:rPr>
          <w:rFonts w:ascii="Book Antiqua" w:hAnsi="Book Antiqua"/>
          <w:sz w:val="20"/>
          <w:szCs w:val="20"/>
        </w:rPr>
        <w:t xml:space="preserve"> “Vigilancia Del Ejercicio De Los Derechos Civiles y Políticos.” </w:t>
      </w:r>
      <w:r w:rsidRPr="003F725D">
        <w:rPr>
          <w:rFonts w:ascii="Book Antiqua" w:hAnsi="Book Antiqua"/>
          <w:i/>
          <w:iCs/>
          <w:sz w:val="20"/>
          <w:szCs w:val="20"/>
        </w:rPr>
        <w:t>OACDH - Comité De Derechos Humanos</w:t>
      </w:r>
      <w:r w:rsidRPr="003F725D">
        <w:rPr>
          <w:rFonts w:ascii="Book Antiqua" w:hAnsi="Book Antiqua"/>
          <w:sz w:val="20"/>
          <w:szCs w:val="20"/>
        </w:rPr>
        <w:t>, Oficina Del Alto Comisionado De Las Naciones Unidas Para Los Derechos Humanos, www2.ohchr.org/spanish/bodies/hrc/.</w:t>
      </w:r>
    </w:p>
  </w:footnote>
  <w:footnote w:id="9">
    <w:p w14:paraId="37C24703" w14:textId="77777777" w:rsidR="007F4D77" w:rsidRPr="003F725D" w:rsidRDefault="007F4D77" w:rsidP="003F725D">
      <w:pPr>
        <w:pStyle w:val="FootnoteText"/>
        <w:jc w:val="both"/>
        <w:rPr>
          <w:rFonts w:ascii="Book Antiqua" w:hAnsi="Book Antiqua"/>
          <w:sz w:val="20"/>
          <w:szCs w:val="20"/>
          <w:lang w:val="en-US"/>
        </w:rPr>
      </w:pPr>
      <w:r w:rsidRPr="003F725D">
        <w:rPr>
          <w:rStyle w:val="FootnoteReference"/>
          <w:rFonts w:ascii="Book Antiqua" w:hAnsi="Book Antiqua"/>
          <w:sz w:val="20"/>
          <w:szCs w:val="20"/>
        </w:rPr>
        <w:footnoteRef/>
      </w:r>
      <w:r w:rsidRPr="003F725D">
        <w:rPr>
          <w:rFonts w:ascii="Book Antiqua" w:hAnsi="Book Antiqua"/>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7242" w14:textId="77777777" w:rsidR="00B5712F" w:rsidRDefault="00584788">
    <w:pPr>
      <w:pStyle w:val="Header"/>
    </w:pPr>
    <w:r>
      <w:rPr>
        <w:noProof/>
        <w:lang w:val="en-GB" w:eastAsia="en-GB"/>
      </w:rPr>
      <w:drawing>
        <wp:anchor distT="0" distB="0" distL="114300" distR="114300" simplePos="0" relativeHeight="251660288" behindDoc="0" locked="0" layoutInCell="1" allowOverlap="1" wp14:anchorId="55B931E2" wp14:editId="3CBBA0BD">
          <wp:simplePos x="0" y="0"/>
          <wp:positionH relativeFrom="margin">
            <wp:posOffset>-454660</wp:posOffset>
          </wp:positionH>
          <wp:positionV relativeFrom="margin">
            <wp:posOffset>-787400</wp:posOffset>
          </wp:positionV>
          <wp:extent cx="1254125" cy="1479550"/>
          <wp:effectExtent l="0" t="0" r="0" b="0"/>
          <wp:wrapTight wrapText="bothSides">
            <wp:wrapPolygon edited="0">
              <wp:start x="0" y="0"/>
              <wp:lineTo x="0" y="21136"/>
              <wp:lineTo x="20998" y="21136"/>
              <wp:lineTo x="20998" y="0"/>
              <wp:lineTo x="0" y="0"/>
            </wp:wrapPolygon>
          </wp:wrapTight>
          <wp:docPr id="4" name="Imagen 4" descr="/Users/isis/Downloads/LOGO IAPF, 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sis/Downloads/LOGO IAPF, A.C..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8893" t="9314" r="4768"/>
                  <a:stretch/>
                </pic:blipFill>
                <pic:spPr bwMode="auto">
                  <a:xfrm>
                    <a:off x="0" y="0"/>
                    <a:ext cx="1254125"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0F9"/>
    <w:multiLevelType w:val="hybridMultilevel"/>
    <w:tmpl w:val="D86C4384"/>
    <w:lvl w:ilvl="0" w:tplc="ADD08BF6">
      <w:start w:val="1"/>
      <w:numFmt w:val="decimal"/>
      <w:lvlText w:val="%1)"/>
      <w:lvlJc w:val="left"/>
      <w:pPr>
        <w:ind w:left="720" w:hanging="360"/>
      </w:pPr>
      <w:rPr>
        <w:rFonts w:asciiTheme="minorHAnsi" w:hAnsiTheme="minorHAnsi"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C0B1388"/>
    <w:multiLevelType w:val="multilevel"/>
    <w:tmpl w:val="DB00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2D"/>
    <w:rsid w:val="000448EB"/>
    <w:rsid w:val="0008677C"/>
    <w:rsid w:val="000D2BA5"/>
    <w:rsid w:val="000E1F98"/>
    <w:rsid w:val="000F5FDB"/>
    <w:rsid w:val="00142DEE"/>
    <w:rsid w:val="0016565A"/>
    <w:rsid w:val="001678D3"/>
    <w:rsid w:val="00195F21"/>
    <w:rsid w:val="001B15FB"/>
    <w:rsid w:val="001B29CC"/>
    <w:rsid w:val="001F379C"/>
    <w:rsid w:val="0027286F"/>
    <w:rsid w:val="002E5B23"/>
    <w:rsid w:val="0033784E"/>
    <w:rsid w:val="00337C3A"/>
    <w:rsid w:val="00374538"/>
    <w:rsid w:val="003758DE"/>
    <w:rsid w:val="00377148"/>
    <w:rsid w:val="00385370"/>
    <w:rsid w:val="003D0991"/>
    <w:rsid w:val="003F725D"/>
    <w:rsid w:val="0044506C"/>
    <w:rsid w:val="00447C53"/>
    <w:rsid w:val="00466046"/>
    <w:rsid w:val="00482CBE"/>
    <w:rsid w:val="00484A46"/>
    <w:rsid w:val="0049019A"/>
    <w:rsid w:val="00490510"/>
    <w:rsid w:val="004B6EFE"/>
    <w:rsid w:val="004F6F96"/>
    <w:rsid w:val="0050288D"/>
    <w:rsid w:val="00542F2D"/>
    <w:rsid w:val="00584788"/>
    <w:rsid w:val="005A302F"/>
    <w:rsid w:val="006032A3"/>
    <w:rsid w:val="006A5B55"/>
    <w:rsid w:val="006D1A18"/>
    <w:rsid w:val="006E03EF"/>
    <w:rsid w:val="0078625D"/>
    <w:rsid w:val="007A42E1"/>
    <w:rsid w:val="007B1EDC"/>
    <w:rsid w:val="007F4D77"/>
    <w:rsid w:val="00800B87"/>
    <w:rsid w:val="00803A8A"/>
    <w:rsid w:val="008334F3"/>
    <w:rsid w:val="00847290"/>
    <w:rsid w:val="00852708"/>
    <w:rsid w:val="008B126B"/>
    <w:rsid w:val="008D0F2D"/>
    <w:rsid w:val="008F1E85"/>
    <w:rsid w:val="00924B46"/>
    <w:rsid w:val="00992023"/>
    <w:rsid w:val="009930BE"/>
    <w:rsid w:val="00997E18"/>
    <w:rsid w:val="009D1B97"/>
    <w:rsid w:val="00A157FD"/>
    <w:rsid w:val="00A23454"/>
    <w:rsid w:val="00A52B54"/>
    <w:rsid w:val="00A62D1C"/>
    <w:rsid w:val="00A643A1"/>
    <w:rsid w:val="00A910D1"/>
    <w:rsid w:val="00AE014D"/>
    <w:rsid w:val="00B5712F"/>
    <w:rsid w:val="00B77BD4"/>
    <w:rsid w:val="00BB6251"/>
    <w:rsid w:val="00C85CC9"/>
    <w:rsid w:val="00C91864"/>
    <w:rsid w:val="00D063D7"/>
    <w:rsid w:val="00D46E56"/>
    <w:rsid w:val="00D5730D"/>
    <w:rsid w:val="00DA112D"/>
    <w:rsid w:val="00E04ED2"/>
    <w:rsid w:val="00E45EFC"/>
    <w:rsid w:val="00E67FDE"/>
    <w:rsid w:val="00EA3B7B"/>
    <w:rsid w:val="00EB1B67"/>
    <w:rsid w:val="00EC2799"/>
    <w:rsid w:val="00ED0F36"/>
    <w:rsid w:val="00EF3E89"/>
    <w:rsid w:val="00F7029E"/>
    <w:rsid w:val="00F93E92"/>
    <w:rsid w:val="00FA09FB"/>
    <w:rsid w:val="00FD36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BB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73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73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57F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302F"/>
  </w:style>
  <w:style w:type="character" w:customStyle="1" w:styleId="FootnoteTextChar">
    <w:name w:val="Footnote Text Char"/>
    <w:basedOn w:val="DefaultParagraphFont"/>
    <w:link w:val="FootnoteText"/>
    <w:uiPriority w:val="99"/>
    <w:rsid w:val="005A302F"/>
  </w:style>
  <w:style w:type="character" w:styleId="FootnoteReference">
    <w:name w:val="footnote reference"/>
    <w:basedOn w:val="DefaultParagraphFont"/>
    <w:uiPriority w:val="99"/>
    <w:unhideWhenUsed/>
    <w:rsid w:val="005A302F"/>
    <w:rPr>
      <w:vertAlign w:val="superscript"/>
    </w:rPr>
  </w:style>
  <w:style w:type="character" w:styleId="Hyperlink">
    <w:name w:val="Hyperlink"/>
    <w:basedOn w:val="DefaultParagraphFont"/>
    <w:uiPriority w:val="99"/>
    <w:unhideWhenUsed/>
    <w:rsid w:val="00E45EFC"/>
    <w:rPr>
      <w:color w:val="0563C1" w:themeColor="hyperlink"/>
      <w:u w:val="single"/>
    </w:rPr>
  </w:style>
  <w:style w:type="character" w:customStyle="1" w:styleId="Heading3Char">
    <w:name w:val="Heading 3 Char"/>
    <w:basedOn w:val="DefaultParagraphFont"/>
    <w:link w:val="Heading3"/>
    <w:uiPriority w:val="9"/>
    <w:semiHidden/>
    <w:rsid w:val="00A157FD"/>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B5712F"/>
    <w:pPr>
      <w:tabs>
        <w:tab w:val="center" w:pos="4419"/>
        <w:tab w:val="right" w:pos="8838"/>
      </w:tabs>
    </w:pPr>
  </w:style>
  <w:style w:type="character" w:customStyle="1" w:styleId="HeaderChar">
    <w:name w:val="Header Char"/>
    <w:basedOn w:val="DefaultParagraphFont"/>
    <w:link w:val="Header"/>
    <w:uiPriority w:val="99"/>
    <w:rsid w:val="00B5712F"/>
  </w:style>
  <w:style w:type="paragraph" w:styleId="Footer">
    <w:name w:val="footer"/>
    <w:basedOn w:val="Normal"/>
    <w:link w:val="FooterChar"/>
    <w:uiPriority w:val="99"/>
    <w:unhideWhenUsed/>
    <w:rsid w:val="00B5712F"/>
    <w:pPr>
      <w:tabs>
        <w:tab w:val="center" w:pos="4419"/>
        <w:tab w:val="right" w:pos="8838"/>
      </w:tabs>
    </w:pPr>
  </w:style>
  <w:style w:type="character" w:customStyle="1" w:styleId="FooterChar">
    <w:name w:val="Footer Char"/>
    <w:basedOn w:val="DefaultParagraphFont"/>
    <w:link w:val="Footer"/>
    <w:uiPriority w:val="99"/>
    <w:rsid w:val="00B5712F"/>
  </w:style>
  <w:style w:type="character" w:customStyle="1" w:styleId="Heading1Char">
    <w:name w:val="Heading 1 Char"/>
    <w:basedOn w:val="DefaultParagraphFont"/>
    <w:link w:val="Heading1"/>
    <w:uiPriority w:val="9"/>
    <w:rsid w:val="00D573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730D"/>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482CBE"/>
    <w:rPr>
      <w:i/>
      <w:iCs/>
    </w:rPr>
  </w:style>
  <w:style w:type="paragraph" w:styleId="ListParagraph">
    <w:name w:val="List Paragraph"/>
    <w:basedOn w:val="Normal"/>
    <w:uiPriority w:val="34"/>
    <w:qFormat/>
    <w:rsid w:val="004F6F96"/>
    <w:pPr>
      <w:ind w:left="720"/>
      <w:contextualSpacing/>
    </w:pPr>
  </w:style>
  <w:style w:type="paragraph" w:styleId="NormalWeb">
    <w:name w:val="Normal (Web)"/>
    <w:basedOn w:val="Normal"/>
    <w:uiPriority w:val="99"/>
    <w:unhideWhenUsed/>
    <w:rsid w:val="00C85CC9"/>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307">
      <w:bodyDiv w:val="1"/>
      <w:marLeft w:val="0"/>
      <w:marRight w:val="0"/>
      <w:marTop w:val="0"/>
      <w:marBottom w:val="0"/>
      <w:divBdr>
        <w:top w:val="none" w:sz="0" w:space="0" w:color="auto"/>
        <w:left w:val="none" w:sz="0" w:space="0" w:color="auto"/>
        <w:bottom w:val="none" w:sz="0" w:space="0" w:color="auto"/>
        <w:right w:val="none" w:sz="0" w:space="0" w:color="auto"/>
      </w:divBdr>
    </w:div>
    <w:div w:id="137967225">
      <w:bodyDiv w:val="1"/>
      <w:marLeft w:val="0"/>
      <w:marRight w:val="0"/>
      <w:marTop w:val="0"/>
      <w:marBottom w:val="0"/>
      <w:divBdr>
        <w:top w:val="none" w:sz="0" w:space="0" w:color="auto"/>
        <w:left w:val="none" w:sz="0" w:space="0" w:color="auto"/>
        <w:bottom w:val="none" w:sz="0" w:space="0" w:color="auto"/>
        <w:right w:val="none" w:sz="0" w:space="0" w:color="auto"/>
      </w:divBdr>
    </w:div>
    <w:div w:id="197937907">
      <w:bodyDiv w:val="1"/>
      <w:marLeft w:val="0"/>
      <w:marRight w:val="0"/>
      <w:marTop w:val="0"/>
      <w:marBottom w:val="0"/>
      <w:divBdr>
        <w:top w:val="none" w:sz="0" w:space="0" w:color="auto"/>
        <w:left w:val="none" w:sz="0" w:space="0" w:color="auto"/>
        <w:bottom w:val="none" w:sz="0" w:space="0" w:color="auto"/>
        <w:right w:val="none" w:sz="0" w:space="0" w:color="auto"/>
      </w:divBdr>
    </w:div>
    <w:div w:id="213928946">
      <w:bodyDiv w:val="1"/>
      <w:marLeft w:val="0"/>
      <w:marRight w:val="0"/>
      <w:marTop w:val="0"/>
      <w:marBottom w:val="0"/>
      <w:divBdr>
        <w:top w:val="none" w:sz="0" w:space="0" w:color="auto"/>
        <w:left w:val="none" w:sz="0" w:space="0" w:color="auto"/>
        <w:bottom w:val="none" w:sz="0" w:space="0" w:color="auto"/>
        <w:right w:val="none" w:sz="0" w:space="0" w:color="auto"/>
      </w:divBdr>
    </w:div>
    <w:div w:id="281884542">
      <w:bodyDiv w:val="1"/>
      <w:marLeft w:val="0"/>
      <w:marRight w:val="0"/>
      <w:marTop w:val="0"/>
      <w:marBottom w:val="0"/>
      <w:divBdr>
        <w:top w:val="none" w:sz="0" w:space="0" w:color="auto"/>
        <w:left w:val="none" w:sz="0" w:space="0" w:color="auto"/>
        <w:bottom w:val="none" w:sz="0" w:space="0" w:color="auto"/>
        <w:right w:val="none" w:sz="0" w:space="0" w:color="auto"/>
      </w:divBdr>
    </w:div>
    <w:div w:id="315568177">
      <w:bodyDiv w:val="1"/>
      <w:marLeft w:val="0"/>
      <w:marRight w:val="0"/>
      <w:marTop w:val="0"/>
      <w:marBottom w:val="0"/>
      <w:divBdr>
        <w:top w:val="none" w:sz="0" w:space="0" w:color="auto"/>
        <w:left w:val="none" w:sz="0" w:space="0" w:color="auto"/>
        <w:bottom w:val="none" w:sz="0" w:space="0" w:color="auto"/>
        <w:right w:val="none" w:sz="0" w:space="0" w:color="auto"/>
      </w:divBdr>
    </w:div>
    <w:div w:id="422646699">
      <w:bodyDiv w:val="1"/>
      <w:marLeft w:val="0"/>
      <w:marRight w:val="0"/>
      <w:marTop w:val="0"/>
      <w:marBottom w:val="0"/>
      <w:divBdr>
        <w:top w:val="none" w:sz="0" w:space="0" w:color="auto"/>
        <w:left w:val="none" w:sz="0" w:space="0" w:color="auto"/>
        <w:bottom w:val="none" w:sz="0" w:space="0" w:color="auto"/>
        <w:right w:val="none" w:sz="0" w:space="0" w:color="auto"/>
      </w:divBdr>
    </w:div>
    <w:div w:id="480512080">
      <w:bodyDiv w:val="1"/>
      <w:marLeft w:val="0"/>
      <w:marRight w:val="0"/>
      <w:marTop w:val="0"/>
      <w:marBottom w:val="0"/>
      <w:divBdr>
        <w:top w:val="none" w:sz="0" w:space="0" w:color="auto"/>
        <w:left w:val="none" w:sz="0" w:space="0" w:color="auto"/>
        <w:bottom w:val="none" w:sz="0" w:space="0" w:color="auto"/>
        <w:right w:val="none" w:sz="0" w:space="0" w:color="auto"/>
      </w:divBdr>
    </w:div>
    <w:div w:id="520972549">
      <w:bodyDiv w:val="1"/>
      <w:marLeft w:val="0"/>
      <w:marRight w:val="0"/>
      <w:marTop w:val="0"/>
      <w:marBottom w:val="0"/>
      <w:divBdr>
        <w:top w:val="none" w:sz="0" w:space="0" w:color="auto"/>
        <w:left w:val="none" w:sz="0" w:space="0" w:color="auto"/>
        <w:bottom w:val="none" w:sz="0" w:space="0" w:color="auto"/>
        <w:right w:val="none" w:sz="0" w:space="0" w:color="auto"/>
      </w:divBdr>
    </w:div>
    <w:div w:id="530144321">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95177977">
      <w:bodyDiv w:val="1"/>
      <w:marLeft w:val="0"/>
      <w:marRight w:val="0"/>
      <w:marTop w:val="0"/>
      <w:marBottom w:val="0"/>
      <w:divBdr>
        <w:top w:val="none" w:sz="0" w:space="0" w:color="auto"/>
        <w:left w:val="none" w:sz="0" w:space="0" w:color="auto"/>
        <w:bottom w:val="none" w:sz="0" w:space="0" w:color="auto"/>
        <w:right w:val="none" w:sz="0" w:space="0" w:color="auto"/>
      </w:divBdr>
    </w:div>
    <w:div w:id="888608583">
      <w:bodyDiv w:val="1"/>
      <w:marLeft w:val="0"/>
      <w:marRight w:val="0"/>
      <w:marTop w:val="0"/>
      <w:marBottom w:val="0"/>
      <w:divBdr>
        <w:top w:val="none" w:sz="0" w:space="0" w:color="auto"/>
        <w:left w:val="none" w:sz="0" w:space="0" w:color="auto"/>
        <w:bottom w:val="none" w:sz="0" w:space="0" w:color="auto"/>
        <w:right w:val="none" w:sz="0" w:space="0" w:color="auto"/>
      </w:divBdr>
    </w:div>
    <w:div w:id="1036272274">
      <w:bodyDiv w:val="1"/>
      <w:marLeft w:val="0"/>
      <w:marRight w:val="0"/>
      <w:marTop w:val="0"/>
      <w:marBottom w:val="0"/>
      <w:divBdr>
        <w:top w:val="none" w:sz="0" w:space="0" w:color="auto"/>
        <w:left w:val="none" w:sz="0" w:space="0" w:color="auto"/>
        <w:bottom w:val="none" w:sz="0" w:space="0" w:color="auto"/>
        <w:right w:val="none" w:sz="0" w:space="0" w:color="auto"/>
      </w:divBdr>
    </w:div>
    <w:div w:id="1133327037">
      <w:bodyDiv w:val="1"/>
      <w:marLeft w:val="0"/>
      <w:marRight w:val="0"/>
      <w:marTop w:val="0"/>
      <w:marBottom w:val="0"/>
      <w:divBdr>
        <w:top w:val="none" w:sz="0" w:space="0" w:color="auto"/>
        <w:left w:val="none" w:sz="0" w:space="0" w:color="auto"/>
        <w:bottom w:val="none" w:sz="0" w:space="0" w:color="auto"/>
        <w:right w:val="none" w:sz="0" w:space="0" w:color="auto"/>
      </w:divBdr>
    </w:div>
    <w:div w:id="1342657842">
      <w:bodyDiv w:val="1"/>
      <w:marLeft w:val="0"/>
      <w:marRight w:val="0"/>
      <w:marTop w:val="0"/>
      <w:marBottom w:val="0"/>
      <w:divBdr>
        <w:top w:val="none" w:sz="0" w:space="0" w:color="auto"/>
        <w:left w:val="none" w:sz="0" w:space="0" w:color="auto"/>
        <w:bottom w:val="none" w:sz="0" w:space="0" w:color="auto"/>
        <w:right w:val="none" w:sz="0" w:space="0" w:color="auto"/>
      </w:divBdr>
    </w:div>
    <w:div w:id="1396930998">
      <w:bodyDiv w:val="1"/>
      <w:marLeft w:val="0"/>
      <w:marRight w:val="0"/>
      <w:marTop w:val="0"/>
      <w:marBottom w:val="0"/>
      <w:divBdr>
        <w:top w:val="none" w:sz="0" w:space="0" w:color="auto"/>
        <w:left w:val="none" w:sz="0" w:space="0" w:color="auto"/>
        <w:bottom w:val="none" w:sz="0" w:space="0" w:color="auto"/>
        <w:right w:val="none" w:sz="0" w:space="0" w:color="auto"/>
      </w:divBdr>
    </w:div>
    <w:div w:id="1529486821">
      <w:bodyDiv w:val="1"/>
      <w:marLeft w:val="0"/>
      <w:marRight w:val="0"/>
      <w:marTop w:val="0"/>
      <w:marBottom w:val="0"/>
      <w:divBdr>
        <w:top w:val="none" w:sz="0" w:space="0" w:color="auto"/>
        <w:left w:val="none" w:sz="0" w:space="0" w:color="auto"/>
        <w:bottom w:val="none" w:sz="0" w:space="0" w:color="auto"/>
        <w:right w:val="none" w:sz="0" w:space="0" w:color="auto"/>
      </w:divBdr>
    </w:div>
    <w:div w:id="1566139138">
      <w:bodyDiv w:val="1"/>
      <w:marLeft w:val="0"/>
      <w:marRight w:val="0"/>
      <w:marTop w:val="0"/>
      <w:marBottom w:val="0"/>
      <w:divBdr>
        <w:top w:val="none" w:sz="0" w:space="0" w:color="auto"/>
        <w:left w:val="none" w:sz="0" w:space="0" w:color="auto"/>
        <w:bottom w:val="none" w:sz="0" w:space="0" w:color="auto"/>
        <w:right w:val="none" w:sz="0" w:space="0" w:color="auto"/>
      </w:divBdr>
    </w:div>
    <w:div w:id="1575433558">
      <w:bodyDiv w:val="1"/>
      <w:marLeft w:val="0"/>
      <w:marRight w:val="0"/>
      <w:marTop w:val="0"/>
      <w:marBottom w:val="0"/>
      <w:divBdr>
        <w:top w:val="none" w:sz="0" w:space="0" w:color="auto"/>
        <w:left w:val="none" w:sz="0" w:space="0" w:color="auto"/>
        <w:bottom w:val="none" w:sz="0" w:space="0" w:color="auto"/>
        <w:right w:val="none" w:sz="0" w:space="0" w:color="auto"/>
      </w:divBdr>
    </w:div>
    <w:div w:id="1816679734">
      <w:bodyDiv w:val="1"/>
      <w:marLeft w:val="0"/>
      <w:marRight w:val="0"/>
      <w:marTop w:val="0"/>
      <w:marBottom w:val="0"/>
      <w:divBdr>
        <w:top w:val="none" w:sz="0" w:space="0" w:color="auto"/>
        <w:left w:val="none" w:sz="0" w:space="0" w:color="auto"/>
        <w:bottom w:val="none" w:sz="0" w:space="0" w:color="auto"/>
        <w:right w:val="none" w:sz="0" w:space="0" w:color="auto"/>
      </w:divBdr>
    </w:div>
    <w:div w:id="1824007182">
      <w:bodyDiv w:val="1"/>
      <w:marLeft w:val="0"/>
      <w:marRight w:val="0"/>
      <w:marTop w:val="0"/>
      <w:marBottom w:val="0"/>
      <w:divBdr>
        <w:top w:val="none" w:sz="0" w:space="0" w:color="auto"/>
        <w:left w:val="none" w:sz="0" w:space="0" w:color="auto"/>
        <w:bottom w:val="none" w:sz="0" w:space="0" w:color="auto"/>
        <w:right w:val="none" w:sz="0" w:space="0" w:color="auto"/>
      </w:divBdr>
    </w:div>
    <w:div w:id="1888830416">
      <w:bodyDiv w:val="1"/>
      <w:marLeft w:val="0"/>
      <w:marRight w:val="0"/>
      <w:marTop w:val="0"/>
      <w:marBottom w:val="0"/>
      <w:divBdr>
        <w:top w:val="none" w:sz="0" w:space="0" w:color="auto"/>
        <w:left w:val="none" w:sz="0" w:space="0" w:color="auto"/>
        <w:bottom w:val="none" w:sz="0" w:space="0" w:color="auto"/>
        <w:right w:val="none" w:sz="0" w:space="0" w:color="auto"/>
      </w:divBdr>
    </w:div>
    <w:div w:id="1932002317">
      <w:bodyDiv w:val="1"/>
      <w:marLeft w:val="0"/>
      <w:marRight w:val="0"/>
      <w:marTop w:val="0"/>
      <w:marBottom w:val="0"/>
      <w:divBdr>
        <w:top w:val="none" w:sz="0" w:space="0" w:color="auto"/>
        <w:left w:val="none" w:sz="0" w:space="0" w:color="auto"/>
        <w:bottom w:val="none" w:sz="0" w:space="0" w:color="auto"/>
        <w:right w:val="none" w:sz="0" w:space="0" w:color="auto"/>
      </w:divBdr>
      <w:divsChild>
        <w:div w:id="12614718">
          <w:marLeft w:val="720"/>
          <w:marRight w:val="0"/>
          <w:marTop w:val="0"/>
          <w:marBottom w:val="0"/>
          <w:divBdr>
            <w:top w:val="none" w:sz="0" w:space="0" w:color="auto"/>
            <w:left w:val="none" w:sz="0" w:space="0" w:color="auto"/>
            <w:bottom w:val="none" w:sz="0" w:space="0" w:color="auto"/>
            <w:right w:val="none" w:sz="0" w:space="0" w:color="auto"/>
          </w:divBdr>
        </w:div>
      </w:divsChild>
    </w:div>
    <w:div w:id="1956711158">
      <w:bodyDiv w:val="1"/>
      <w:marLeft w:val="0"/>
      <w:marRight w:val="0"/>
      <w:marTop w:val="0"/>
      <w:marBottom w:val="0"/>
      <w:divBdr>
        <w:top w:val="none" w:sz="0" w:space="0" w:color="auto"/>
        <w:left w:val="none" w:sz="0" w:space="0" w:color="auto"/>
        <w:bottom w:val="none" w:sz="0" w:space="0" w:color="auto"/>
        <w:right w:val="none" w:sz="0" w:space="0" w:color="auto"/>
      </w:divBdr>
    </w:div>
    <w:div w:id="2015454082">
      <w:bodyDiv w:val="1"/>
      <w:marLeft w:val="0"/>
      <w:marRight w:val="0"/>
      <w:marTop w:val="0"/>
      <w:marBottom w:val="0"/>
      <w:divBdr>
        <w:top w:val="none" w:sz="0" w:space="0" w:color="auto"/>
        <w:left w:val="none" w:sz="0" w:space="0" w:color="auto"/>
        <w:bottom w:val="none" w:sz="0" w:space="0" w:color="auto"/>
        <w:right w:val="none" w:sz="0" w:space="0" w:color="auto"/>
      </w:divBdr>
    </w:div>
    <w:div w:id="2039350161">
      <w:bodyDiv w:val="1"/>
      <w:marLeft w:val="0"/>
      <w:marRight w:val="0"/>
      <w:marTop w:val="0"/>
      <w:marBottom w:val="0"/>
      <w:divBdr>
        <w:top w:val="none" w:sz="0" w:space="0" w:color="auto"/>
        <w:left w:val="none" w:sz="0" w:space="0" w:color="auto"/>
        <w:bottom w:val="none" w:sz="0" w:space="0" w:color="auto"/>
        <w:right w:val="none" w:sz="0" w:space="0" w:color="auto"/>
      </w:divBdr>
      <w:divsChild>
        <w:div w:id="680012816">
          <w:marLeft w:val="720"/>
          <w:marRight w:val="0"/>
          <w:marTop w:val="0"/>
          <w:marBottom w:val="0"/>
          <w:divBdr>
            <w:top w:val="none" w:sz="0" w:space="0" w:color="auto"/>
            <w:left w:val="none" w:sz="0" w:space="0" w:color="auto"/>
            <w:bottom w:val="none" w:sz="0" w:space="0" w:color="auto"/>
            <w:right w:val="none" w:sz="0" w:space="0" w:color="auto"/>
          </w:divBdr>
        </w:div>
      </w:divsChild>
    </w:div>
    <w:div w:id="2045015667">
      <w:bodyDiv w:val="1"/>
      <w:marLeft w:val="0"/>
      <w:marRight w:val="0"/>
      <w:marTop w:val="0"/>
      <w:marBottom w:val="0"/>
      <w:divBdr>
        <w:top w:val="none" w:sz="0" w:space="0" w:color="auto"/>
        <w:left w:val="none" w:sz="0" w:space="0" w:color="auto"/>
        <w:bottom w:val="none" w:sz="0" w:space="0" w:color="auto"/>
        <w:right w:val="none" w:sz="0" w:space="0" w:color="auto"/>
      </w:divBdr>
    </w:div>
    <w:div w:id="2076928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BC3885-EA46-437A-9932-6892FABFB125}">
  <ds:schemaRefs>
    <ds:schemaRef ds:uri="http://schemas.openxmlformats.org/officeDocument/2006/bibliography"/>
  </ds:schemaRefs>
</ds:datastoreItem>
</file>

<file path=customXml/itemProps2.xml><?xml version="1.0" encoding="utf-8"?>
<ds:datastoreItem xmlns:ds="http://schemas.openxmlformats.org/officeDocument/2006/customXml" ds:itemID="{F5A97083-D821-4D93-A33C-B9BF6838451E}"/>
</file>

<file path=customXml/itemProps3.xml><?xml version="1.0" encoding="utf-8"?>
<ds:datastoreItem xmlns:ds="http://schemas.openxmlformats.org/officeDocument/2006/customXml" ds:itemID="{57679608-2FE2-47EA-A3BF-36B97DEE2F2D}"/>
</file>

<file path=customXml/itemProps4.xml><?xml version="1.0" encoding="utf-8"?>
<ds:datastoreItem xmlns:ds="http://schemas.openxmlformats.org/officeDocument/2006/customXml" ds:itemID="{9585DE16-8F0C-432F-B561-7E5E24BC9E7F}"/>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8362</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del R. Pérez Márquez</dc:creator>
  <cp:keywords/>
  <dc:description/>
  <cp:lastModifiedBy>Durnescu Lilian</cp:lastModifiedBy>
  <cp:revision>2</cp:revision>
  <dcterms:created xsi:type="dcterms:W3CDTF">2017-10-06T07:44:00Z</dcterms:created>
  <dcterms:modified xsi:type="dcterms:W3CDTF">2017-10-06T07:44:00Z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