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173D0" w14:textId="77777777" w:rsidR="00C175A5" w:rsidRPr="00AE29EC" w:rsidRDefault="00C175A5" w:rsidP="00C175A5">
      <w:pPr>
        <w:spacing w:after="0" w:line="240" w:lineRule="auto"/>
        <w:jc w:val="center"/>
        <w:rPr>
          <w:rFonts w:eastAsia="Times New Roman" w:cstheme="minorHAnsi"/>
          <w:b/>
          <w:bCs/>
          <w:u w:val="single"/>
        </w:rPr>
      </w:pPr>
      <w:r w:rsidRPr="00AE29EC">
        <w:rPr>
          <w:rFonts w:eastAsia="Times New Roman" w:cstheme="minorHAnsi"/>
          <w:b/>
          <w:bCs/>
          <w:u w:val="single"/>
        </w:rPr>
        <w:t>Written Contribution to the Human Rights Committee</w:t>
      </w:r>
    </w:p>
    <w:p w14:paraId="3E64BC4B" w14:textId="4FE78086" w:rsidR="00C175A5" w:rsidRPr="00AE29EC" w:rsidRDefault="006B42A2" w:rsidP="00C175A5">
      <w:pPr>
        <w:spacing w:after="0" w:line="240" w:lineRule="auto"/>
        <w:jc w:val="center"/>
        <w:rPr>
          <w:rFonts w:eastAsia="Times New Roman" w:cstheme="minorHAnsi"/>
          <w:b/>
          <w:bCs/>
          <w:u w:val="single"/>
        </w:rPr>
      </w:pPr>
      <w:r w:rsidRPr="00AE29EC">
        <w:rPr>
          <w:rFonts w:eastAsia="Times New Roman" w:cstheme="minorHAnsi"/>
          <w:b/>
          <w:bCs/>
          <w:u w:val="single"/>
        </w:rPr>
        <w:t xml:space="preserve">Revised draft of </w:t>
      </w:r>
      <w:r w:rsidR="00C175A5" w:rsidRPr="00AE29EC">
        <w:rPr>
          <w:rFonts w:eastAsia="Times New Roman" w:cstheme="minorHAnsi"/>
          <w:b/>
          <w:bCs/>
          <w:u w:val="single"/>
        </w:rPr>
        <w:t xml:space="preserve">General Comment </w:t>
      </w:r>
      <w:r w:rsidR="00AE29EC">
        <w:rPr>
          <w:rFonts w:eastAsia="Times New Roman" w:cstheme="minorHAnsi"/>
          <w:b/>
          <w:bCs/>
          <w:u w:val="single"/>
        </w:rPr>
        <w:t xml:space="preserve">36 </w:t>
      </w:r>
      <w:r w:rsidR="00C175A5" w:rsidRPr="00AE29EC">
        <w:rPr>
          <w:rFonts w:eastAsia="Times New Roman" w:cstheme="minorHAnsi"/>
          <w:b/>
          <w:bCs/>
          <w:u w:val="single"/>
        </w:rPr>
        <w:t>on Article 6 (Right to Life)</w:t>
      </w:r>
    </w:p>
    <w:p w14:paraId="1497EADF" w14:textId="1989CEEE" w:rsidR="00AE29EC" w:rsidRPr="00AE29EC" w:rsidRDefault="00AE29EC" w:rsidP="00C175A5">
      <w:pPr>
        <w:spacing w:after="0" w:line="240" w:lineRule="auto"/>
        <w:jc w:val="center"/>
        <w:rPr>
          <w:rFonts w:cstheme="minorHAnsi"/>
          <w:b/>
          <w:u w:val="single"/>
        </w:rPr>
      </w:pPr>
      <w:r w:rsidRPr="00AE29EC">
        <w:rPr>
          <w:rFonts w:eastAsia="Times New Roman" w:cstheme="minorHAnsi"/>
          <w:b/>
          <w:bCs/>
          <w:u w:val="single"/>
        </w:rPr>
        <w:t>October 6, 2017</w:t>
      </w:r>
    </w:p>
    <w:p w14:paraId="399858E5" w14:textId="77777777" w:rsidR="003655ED" w:rsidRPr="00876DDF" w:rsidRDefault="003655ED" w:rsidP="00B159E3">
      <w:pPr>
        <w:widowControl w:val="0"/>
        <w:spacing w:after="0" w:line="240" w:lineRule="auto"/>
        <w:rPr>
          <w:rFonts w:cstheme="minorHAnsi"/>
        </w:rPr>
      </w:pPr>
    </w:p>
    <w:p w14:paraId="55A35604" w14:textId="62E3D430" w:rsidR="000B15D4" w:rsidRPr="00876DDF" w:rsidRDefault="006B42A2" w:rsidP="00AE29EC">
      <w:pPr>
        <w:shd w:val="clear" w:color="auto" w:fill="FFFFFF"/>
        <w:jc w:val="both"/>
        <w:rPr>
          <w:rFonts w:cstheme="minorHAnsi"/>
        </w:rPr>
      </w:pPr>
      <w:r w:rsidRPr="00AE29EC">
        <w:rPr>
          <w:rFonts w:cstheme="minorHAnsi"/>
        </w:rPr>
        <w:t>The</w:t>
      </w:r>
      <w:r w:rsidR="007D4D45" w:rsidRPr="00AE29EC">
        <w:rPr>
          <w:rFonts w:cstheme="minorHAnsi"/>
        </w:rPr>
        <w:t xml:space="preserve"> </w:t>
      </w:r>
      <w:r w:rsidR="00AE29EC">
        <w:rPr>
          <w:rFonts w:cstheme="minorHAnsi"/>
        </w:rPr>
        <w:t xml:space="preserve">undersigned </w:t>
      </w:r>
      <w:r w:rsidR="00FD32FD" w:rsidRPr="00AE29EC">
        <w:rPr>
          <w:rFonts w:cstheme="minorHAnsi"/>
        </w:rPr>
        <w:t>civil society organizations</w:t>
      </w:r>
      <w:r w:rsidR="009115E5" w:rsidRPr="00AE29EC">
        <w:rPr>
          <w:rFonts w:cstheme="minorHAnsi"/>
        </w:rPr>
        <w:t>,</w:t>
      </w:r>
      <w:r w:rsidR="00FD32FD" w:rsidRPr="00AE29EC">
        <w:rPr>
          <w:rFonts w:cstheme="minorHAnsi"/>
        </w:rPr>
        <w:t xml:space="preserve"> </w:t>
      </w:r>
      <w:r w:rsidRPr="00AE29EC">
        <w:rPr>
          <w:rFonts w:cstheme="minorHAnsi"/>
        </w:rPr>
        <w:t>are</w:t>
      </w:r>
      <w:r w:rsidR="00C175A5" w:rsidRPr="00AE29EC">
        <w:rPr>
          <w:rFonts w:cstheme="minorHAnsi"/>
        </w:rPr>
        <w:t xml:space="preserve"> grate</w:t>
      </w:r>
      <w:r w:rsidR="00C175A5" w:rsidRPr="00876DDF">
        <w:rPr>
          <w:rFonts w:cstheme="minorHAnsi"/>
        </w:rPr>
        <w:t xml:space="preserve">ful for the opportunity to make a written contribution to the Human Rights Committee </w:t>
      </w:r>
      <w:r w:rsidRPr="00876DDF">
        <w:rPr>
          <w:rFonts w:cstheme="minorHAnsi"/>
        </w:rPr>
        <w:t>on the revised draft of</w:t>
      </w:r>
      <w:r w:rsidR="00C175A5" w:rsidRPr="00876DDF">
        <w:rPr>
          <w:rFonts w:cstheme="minorHAnsi"/>
        </w:rPr>
        <w:t xml:space="preserve"> General Comment on Article 6 of the International Covenant on Civil and Political Rights (the Covenant). </w:t>
      </w:r>
      <w:r w:rsidRPr="00876DDF">
        <w:rPr>
          <w:rFonts w:cstheme="minorHAnsi"/>
        </w:rPr>
        <w:t>We believe t</w:t>
      </w:r>
      <w:r w:rsidR="00C175A5" w:rsidRPr="00876DDF">
        <w:rPr>
          <w:rFonts w:cstheme="minorHAnsi"/>
        </w:rPr>
        <w:t xml:space="preserve">his general comment offers </w:t>
      </w:r>
      <w:r w:rsidRPr="00876DDF">
        <w:rPr>
          <w:rFonts w:cstheme="minorHAnsi"/>
        </w:rPr>
        <w:t xml:space="preserve">the Committee </w:t>
      </w:r>
      <w:r w:rsidR="00C175A5" w:rsidRPr="00876DDF">
        <w:rPr>
          <w:rFonts w:cstheme="minorHAnsi"/>
        </w:rPr>
        <w:t>an opportunity to</w:t>
      </w:r>
      <w:r w:rsidRPr="00876DDF">
        <w:rPr>
          <w:rFonts w:cstheme="minorHAnsi"/>
        </w:rPr>
        <w:t xml:space="preserve"> </w:t>
      </w:r>
      <w:r w:rsidR="00C175A5" w:rsidRPr="00876DDF">
        <w:rPr>
          <w:rFonts w:cstheme="minorHAnsi"/>
        </w:rPr>
        <w:t>fully examine the right to life, including through the consideration of the principles of gender equality and nondiscrimination, and</w:t>
      </w:r>
      <w:r w:rsidR="009279DA">
        <w:rPr>
          <w:rFonts w:cstheme="minorHAnsi"/>
        </w:rPr>
        <w:t xml:space="preserve"> to</w:t>
      </w:r>
      <w:r w:rsidR="00C175A5" w:rsidRPr="00876DDF">
        <w:rPr>
          <w:rFonts w:cstheme="minorHAnsi"/>
        </w:rPr>
        <w:t xml:space="preserve"> further elaborate on states’ obligations to ensure the realization of </w:t>
      </w:r>
      <w:r w:rsidR="000B15D4" w:rsidRPr="00876DDF">
        <w:rPr>
          <w:rFonts w:cstheme="minorHAnsi"/>
        </w:rPr>
        <w:t>every human being</w:t>
      </w:r>
      <w:r w:rsidR="00C175A5" w:rsidRPr="00876DDF">
        <w:rPr>
          <w:rFonts w:cstheme="minorHAnsi"/>
        </w:rPr>
        <w:t xml:space="preserve"> right to life. </w:t>
      </w:r>
    </w:p>
    <w:p w14:paraId="7627BF73" w14:textId="77777777" w:rsidR="000B15D4" w:rsidRPr="00876DDF" w:rsidRDefault="000B15D4" w:rsidP="006B42A2">
      <w:pPr>
        <w:spacing w:after="0" w:line="240" w:lineRule="auto"/>
        <w:jc w:val="both"/>
        <w:rPr>
          <w:rFonts w:cstheme="minorHAnsi"/>
        </w:rPr>
      </w:pPr>
      <w:r w:rsidRPr="00876DDF">
        <w:rPr>
          <w:rFonts w:cstheme="minorHAnsi"/>
        </w:rPr>
        <w:t xml:space="preserve">We </w:t>
      </w:r>
      <w:r w:rsidR="00E35177">
        <w:rPr>
          <w:rFonts w:cstheme="minorHAnsi"/>
        </w:rPr>
        <w:t xml:space="preserve">commend the work </w:t>
      </w:r>
      <w:r w:rsidR="00B55227">
        <w:rPr>
          <w:rFonts w:cstheme="minorHAnsi"/>
        </w:rPr>
        <w:t xml:space="preserve">done by </w:t>
      </w:r>
      <w:r w:rsidR="00B55227" w:rsidRPr="00876DDF">
        <w:rPr>
          <w:rFonts w:cstheme="minorHAnsi"/>
        </w:rPr>
        <w:t xml:space="preserve">the </w:t>
      </w:r>
      <w:r w:rsidR="00B55227">
        <w:rPr>
          <w:rFonts w:cstheme="minorHAnsi"/>
        </w:rPr>
        <w:t xml:space="preserve">Human Rights </w:t>
      </w:r>
      <w:r w:rsidR="00B55227" w:rsidRPr="00876DDF">
        <w:rPr>
          <w:rFonts w:cstheme="minorHAnsi"/>
        </w:rPr>
        <w:t>Committee</w:t>
      </w:r>
      <w:r w:rsidR="00B55227">
        <w:rPr>
          <w:rFonts w:cstheme="minorHAnsi"/>
        </w:rPr>
        <w:t xml:space="preserve"> towards the respect, protection and fulfillment of human rights </w:t>
      </w:r>
      <w:r w:rsidR="00B55227" w:rsidRPr="00876DDF">
        <w:rPr>
          <w:rFonts w:cstheme="minorHAnsi"/>
        </w:rPr>
        <w:t xml:space="preserve">and </w:t>
      </w:r>
      <w:r w:rsidR="00B55227">
        <w:rPr>
          <w:rFonts w:cstheme="minorHAnsi"/>
        </w:rPr>
        <w:t>fundamental freedoms without discrimination of any kind worldwide</w:t>
      </w:r>
      <w:r w:rsidR="003D6EF1">
        <w:rPr>
          <w:rFonts w:cstheme="minorHAnsi"/>
        </w:rPr>
        <w:t xml:space="preserve">. In general, we </w:t>
      </w:r>
      <w:r w:rsidR="00694A79">
        <w:rPr>
          <w:rFonts w:cstheme="minorHAnsi"/>
        </w:rPr>
        <w:t>support</w:t>
      </w:r>
      <w:r w:rsidR="00F4190F">
        <w:rPr>
          <w:rFonts w:cstheme="minorHAnsi"/>
        </w:rPr>
        <w:t xml:space="preserve"> </w:t>
      </w:r>
      <w:r w:rsidR="00D403EC">
        <w:rPr>
          <w:rFonts w:cstheme="minorHAnsi"/>
        </w:rPr>
        <w:t xml:space="preserve">this draft General Comment </w:t>
      </w:r>
      <w:r w:rsidR="003D6EF1">
        <w:rPr>
          <w:rFonts w:cstheme="minorHAnsi"/>
        </w:rPr>
        <w:t>and</w:t>
      </w:r>
      <w:r w:rsidR="00F4190F">
        <w:rPr>
          <w:rFonts w:cstheme="minorHAnsi"/>
        </w:rPr>
        <w:t xml:space="preserve"> </w:t>
      </w:r>
      <w:r w:rsidR="00D403EC">
        <w:rPr>
          <w:rFonts w:cstheme="minorHAnsi"/>
        </w:rPr>
        <w:t>t</w:t>
      </w:r>
      <w:r w:rsidR="00C139D5">
        <w:rPr>
          <w:rFonts w:cstheme="minorHAnsi"/>
        </w:rPr>
        <w:t xml:space="preserve">he </w:t>
      </w:r>
      <w:r w:rsidRPr="00876DDF">
        <w:rPr>
          <w:rFonts w:cstheme="minorHAnsi"/>
        </w:rPr>
        <w:t xml:space="preserve">revisions made </w:t>
      </w:r>
      <w:r w:rsidR="00D403EC">
        <w:rPr>
          <w:rFonts w:cstheme="minorHAnsi"/>
        </w:rPr>
        <w:t>so f</w:t>
      </w:r>
      <w:bookmarkStart w:id="0" w:name="_GoBack"/>
      <w:bookmarkEnd w:id="0"/>
      <w:r w:rsidR="00D403EC">
        <w:rPr>
          <w:rFonts w:cstheme="minorHAnsi"/>
        </w:rPr>
        <w:t>ar,</w:t>
      </w:r>
      <w:r w:rsidR="003C60D4" w:rsidRPr="00876DDF">
        <w:rPr>
          <w:rFonts w:cstheme="minorHAnsi"/>
        </w:rPr>
        <w:t xml:space="preserve"> including the </w:t>
      </w:r>
      <w:r w:rsidR="00056E4C">
        <w:rPr>
          <w:rFonts w:cstheme="minorHAnsi"/>
        </w:rPr>
        <w:t>deletion of ref</w:t>
      </w:r>
      <w:r w:rsidR="00B55227">
        <w:rPr>
          <w:rFonts w:cstheme="minorHAnsi"/>
        </w:rPr>
        <w:t>erences to rights before birth.</w:t>
      </w:r>
      <w:r w:rsidR="003D6EF1">
        <w:rPr>
          <w:rFonts w:cstheme="minorHAnsi"/>
        </w:rPr>
        <w:t xml:space="preserve"> </w:t>
      </w:r>
      <w:r w:rsidRPr="00C139D5">
        <w:rPr>
          <w:rFonts w:cstheme="minorHAnsi"/>
        </w:rPr>
        <w:t>There are</w:t>
      </w:r>
      <w:r w:rsidRPr="00876DDF">
        <w:rPr>
          <w:rFonts w:cstheme="minorHAnsi"/>
        </w:rPr>
        <w:t xml:space="preserve"> however </w:t>
      </w:r>
      <w:r w:rsidR="00056E4C">
        <w:rPr>
          <w:rFonts w:cstheme="minorHAnsi"/>
        </w:rPr>
        <w:t xml:space="preserve">important </w:t>
      </w:r>
      <w:r w:rsidRPr="00876DDF">
        <w:rPr>
          <w:rFonts w:cstheme="minorHAnsi"/>
        </w:rPr>
        <w:t>areas</w:t>
      </w:r>
      <w:r w:rsidR="00056E4C">
        <w:rPr>
          <w:rFonts w:cstheme="minorHAnsi"/>
        </w:rPr>
        <w:t xml:space="preserve"> where the Committee could further improve </w:t>
      </w:r>
      <w:r w:rsidR="008405AA">
        <w:rPr>
          <w:rFonts w:cstheme="minorHAnsi"/>
        </w:rPr>
        <w:t xml:space="preserve">the draft </w:t>
      </w:r>
      <w:r w:rsidR="00056E4C">
        <w:rPr>
          <w:rFonts w:cstheme="minorHAnsi"/>
        </w:rPr>
        <w:t xml:space="preserve">and support States to respect, protect and fulfill the right to life, </w:t>
      </w:r>
      <w:r w:rsidRPr="00876DDF">
        <w:rPr>
          <w:rFonts w:cstheme="minorHAnsi"/>
        </w:rPr>
        <w:t xml:space="preserve">also in line with </w:t>
      </w:r>
      <w:r w:rsidR="003D3247" w:rsidRPr="00876DDF">
        <w:rPr>
          <w:rFonts w:cstheme="minorHAnsi"/>
        </w:rPr>
        <w:t xml:space="preserve">the Committee Concluding Observations and </w:t>
      </w:r>
      <w:r w:rsidRPr="00876DDF">
        <w:rPr>
          <w:rFonts w:cstheme="minorHAnsi"/>
        </w:rPr>
        <w:t xml:space="preserve">other Human Rights </w:t>
      </w:r>
      <w:r w:rsidR="003D3247" w:rsidRPr="00876DDF">
        <w:rPr>
          <w:rFonts w:cstheme="minorHAnsi"/>
        </w:rPr>
        <w:t xml:space="preserve">Treaty </w:t>
      </w:r>
      <w:r w:rsidR="001159E7" w:rsidRPr="00876DDF">
        <w:rPr>
          <w:rFonts w:cstheme="minorHAnsi"/>
        </w:rPr>
        <w:t>Bodies</w:t>
      </w:r>
      <w:r w:rsidR="00F6283B">
        <w:rPr>
          <w:rFonts w:cstheme="minorHAnsi"/>
        </w:rPr>
        <w:t xml:space="preserve"> General Comments</w:t>
      </w:r>
      <w:r w:rsidR="003C60D4" w:rsidRPr="00876DDF">
        <w:rPr>
          <w:rFonts w:cstheme="minorHAnsi"/>
        </w:rPr>
        <w:t>:</w:t>
      </w:r>
      <w:r w:rsidRPr="00876DDF">
        <w:rPr>
          <w:rFonts w:cstheme="minorHAnsi"/>
        </w:rPr>
        <w:t xml:space="preserve">  </w:t>
      </w:r>
    </w:p>
    <w:p w14:paraId="6DE8A379" w14:textId="77777777" w:rsidR="00563F36" w:rsidRPr="00876DDF" w:rsidRDefault="00563F36" w:rsidP="00563F36">
      <w:pPr>
        <w:widowControl w:val="0"/>
        <w:spacing w:after="0" w:line="240" w:lineRule="auto"/>
        <w:rPr>
          <w:rFonts w:cstheme="minorHAnsi"/>
        </w:rPr>
      </w:pPr>
    </w:p>
    <w:p w14:paraId="10D44D2D" w14:textId="77777777" w:rsidR="00C175A5" w:rsidRPr="00876DDF" w:rsidRDefault="001E27AD" w:rsidP="00563F36">
      <w:pPr>
        <w:pStyle w:val="ListParagraph"/>
        <w:widowControl w:val="0"/>
        <w:numPr>
          <w:ilvl w:val="0"/>
          <w:numId w:val="2"/>
        </w:numPr>
        <w:spacing w:after="0" w:line="240" w:lineRule="auto"/>
        <w:rPr>
          <w:rFonts w:cstheme="minorHAnsi"/>
          <w:b/>
        </w:rPr>
      </w:pPr>
      <w:r w:rsidRPr="00876DDF">
        <w:rPr>
          <w:rFonts w:cstheme="minorHAnsi"/>
          <w:b/>
        </w:rPr>
        <w:t xml:space="preserve">Interdependence </w:t>
      </w:r>
      <w:r w:rsidR="00563F36" w:rsidRPr="00876DDF">
        <w:rPr>
          <w:rFonts w:cstheme="minorHAnsi"/>
          <w:b/>
        </w:rPr>
        <w:t>of the right t</w:t>
      </w:r>
      <w:r w:rsidR="00AD072F">
        <w:rPr>
          <w:rFonts w:cstheme="minorHAnsi"/>
          <w:b/>
        </w:rPr>
        <w:t>o life with other human rights</w:t>
      </w:r>
    </w:p>
    <w:p w14:paraId="3BA16056" w14:textId="7F8D114A" w:rsidR="005031C9" w:rsidRPr="00BF3904" w:rsidRDefault="008405AA" w:rsidP="001159E7">
      <w:pPr>
        <w:widowControl w:val="0"/>
        <w:spacing w:after="0" w:line="240" w:lineRule="auto"/>
        <w:jc w:val="both"/>
      </w:pPr>
      <w:r>
        <w:rPr>
          <w:rFonts w:cstheme="minorHAnsi"/>
        </w:rPr>
        <w:t xml:space="preserve">We welcome </w:t>
      </w:r>
      <w:r w:rsidR="001159E7">
        <w:rPr>
          <w:rFonts w:cstheme="minorHAnsi"/>
        </w:rPr>
        <w:t xml:space="preserve">the </w:t>
      </w:r>
      <w:r w:rsidR="009279DA">
        <w:rPr>
          <w:rFonts w:cstheme="minorHAnsi"/>
        </w:rPr>
        <w:t xml:space="preserve">recognition outlined in the current draft of the </w:t>
      </w:r>
      <w:r w:rsidR="001159E7">
        <w:rPr>
          <w:rFonts w:cstheme="minorHAnsi"/>
        </w:rPr>
        <w:t>interdependence of the right to life</w:t>
      </w:r>
      <w:r>
        <w:rPr>
          <w:rFonts w:cstheme="minorHAnsi"/>
        </w:rPr>
        <w:t xml:space="preserve"> with other human rights, including </w:t>
      </w:r>
      <w:r w:rsidR="00CE49DF" w:rsidRPr="00AD072F">
        <w:rPr>
          <w:rFonts w:cstheme="minorHAnsi"/>
        </w:rPr>
        <w:t xml:space="preserve">the </w:t>
      </w:r>
      <w:r w:rsidR="007A46A7">
        <w:rPr>
          <w:rFonts w:cstheme="minorHAnsi"/>
        </w:rPr>
        <w:t>right to</w:t>
      </w:r>
      <w:r w:rsidR="007F7E7E" w:rsidRPr="00AD072F">
        <w:rPr>
          <w:rFonts w:cstheme="minorHAnsi"/>
        </w:rPr>
        <w:t xml:space="preserve"> freedom from torture, cruel</w:t>
      </w:r>
      <w:r w:rsidR="009279DA">
        <w:rPr>
          <w:rFonts w:cstheme="minorHAnsi"/>
        </w:rPr>
        <w:t>,</w:t>
      </w:r>
      <w:r w:rsidR="007F7E7E" w:rsidRPr="00AD072F">
        <w:rPr>
          <w:rFonts w:cstheme="minorHAnsi"/>
        </w:rPr>
        <w:t xml:space="preserve"> inhuman</w:t>
      </w:r>
      <w:r w:rsidR="009279DA">
        <w:rPr>
          <w:rFonts w:cstheme="minorHAnsi"/>
        </w:rPr>
        <w:t>,</w:t>
      </w:r>
      <w:r w:rsidR="007F7E7E" w:rsidRPr="00AD072F">
        <w:rPr>
          <w:rFonts w:cstheme="minorHAnsi"/>
        </w:rPr>
        <w:t xml:space="preserve"> </w:t>
      </w:r>
      <w:r w:rsidR="00FF1137">
        <w:rPr>
          <w:rFonts w:cstheme="minorHAnsi"/>
        </w:rPr>
        <w:t xml:space="preserve">or </w:t>
      </w:r>
      <w:r w:rsidR="007F7E7E" w:rsidRPr="00AD072F">
        <w:rPr>
          <w:rFonts w:cstheme="minorHAnsi"/>
        </w:rPr>
        <w:t>degrading treatment</w:t>
      </w:r>
      <w:r w:rsidR="00FF1137">
        <w:rPr>
          <w:rFonts w:cstheme="minorHAnsi"/>
        </w:rPr>
        <w:t xml:space="preserve"> or punishment</w:t>
      </w:r>
      <w:r>
        <w:rPr>
          <w:rFonts w:cstheme="minorHAnsi"/>
        </w:rPr>
        <w:t>. Nevertheless,</w:t>
      </w:r>
      <w:r w:rsidR="00382BEB">
        <w:rPr>
          <w:rFonts w:cstheme="minorHAnsi"/>
        </w:rPr>
        <w:t xml:space="preserve"> </w:t>
      </w:r>
      <w:r w:rsidR="00CE49DF">
        <w:t>the</w:t>
      </w:r>
      <w:r w:rsidR="00BF3904">
        <w:t xml:space="preserve">re are other human rights to which the right to life is </w:t>
      </w:r>
      <w:r w:rsidR="003D6EF1">
        <w:t>inter-</w:t>
      </w:r>
      <w:r w:rsidR="00B55227">
        <w:t>related</w:t>
      </w:r>
      <w:r w:rsidR="00FF1137">
        <w:t xml:space="preserve"> to</w:t>
      </w:r>
      <w:r w:rsidR="009279DA">
        <w:t xml:space="preserve"> which are</w:t>
      </w:r>
      <w:r>
        <w:t xml:space="preserve"> important to recognize</w:t>
      </w:r>
      <w:r w:rsidR="00DA5D6F">
        <w:t xml:space="preserve"> </w:t>
      </w:r>
      <w:r w:rsidR="00F4190F">
        <w:t>in this draft general comment</w:t>
      </w:r>
      <w:r w:rsidR="007A46A7">
        <w:t>, including the rights to non-discrimination and the right to privacy. Additionally, t</w:t>
      </w:r>
      <w:r w:rsidR="00BF3904">
        <w:t>he Committee</w:t>
      </w:r>
      <w:r w:rsidR="001E27AD" w:rsidRPr="007F7E7E">
        <w:t xml:space="preserve"> on Economic Social and Cultural Rights</w:t>
      </w:r>
      <w:r w:rsidR="00382BEB">
        <w:t xml:space="preserve"> (CESCR)</w:t>
      </w:r>
      <w:r w:rsidR="00F4190F">
        <w:t xml:space="preserve">, in its General Comment 22, </w:t>
      </w:r>
      <w:r w:rsidR="00B55227">
        <w:t>recognized</w:t>
      </w:r>
      <w:r w:rsidR="001513CE">
        <w:t xml:space="preserve"> </w:t>
      </w:r>
      <w:r w:rsidR="00BF3904">
        <w:t>that</w:t>
      </w:r>
      <w:r w:rsidR="001159E7">
        <w:t xml:space="preserve"> </w:t>
      </w:r>
      <w:r w:rsidR="00AD072F" w:rsidRPr="00AD072F">
        <w:rPr>
          <w:rFonts w:cstheme="minorHAnsi"/>
        </w:rPr>
        <w:t xml:space="preserve">the right to sexual and reproductive health </w:t>
      </w:r>
      <w:r w:rsidR="00563F36" w:rsidRPr="008017E6">
        <w:t>is intimately linked to civil and political rights underpinning the physical and mental integrity of individuals</w:t>
      </w:r>
      <w:r w:rsidR="00563F36" w:rsidRPr="007F7E7E">
        <w:t xml:space="preserve"> and their autonomy, such as the right to life; liberty and security of person; freedom fr</w:t>
      </w:r>
      <w:r w:rsidR="009279DA">
        <w:t>om</w:t>
      </w:r>
      <w:r w:rsidR="00563F36" w:rsidRPr="007F7E7E">
        <w:t xml:space="preserve"> torture and other cruel</w:t>
      </w:r>
      <w:r w:rsidR="00563F36" w:rsidRPr="00876DDF">
        <w:t>, inhuman or degrading treatment; privacy and respect for family life; and non-discrimination and equality</w:t>
      </w:r>
      <w:r w:rsidR="008E562B">
        <w:t>.</w:t>
      </w:r>
      <w:r w:rsidR="007A46A7">
        <w:rPr>
          <w:rStyle w:val="EndnoteReference"/>
        </w:rPr>
        <w:endnoteReference w:id="1"/>
      </w:r>
      <w:r w:rsidR="00BF3904">
        <w:t xml:space="preserve"> </w:t>
      </w:r>
      <w:r w:rsidR="009279DA">
        <w:t>M</w:t>
      </w:r>
      <w:r w:rsidR="001513CE">
        <w:t>ore recently</w:t>
      </w:r>
      <w:r>
        <w:t>,</w:t>
      </w:r>
      <w:r w:rsidR="00BF3904">
        <w:t xml:space="preserve"> </w:t>
      </w:r>
      <w:r w:rsidR="00B55227">
        <w:t xml:space="preserve">the </w:t>
      </w:r>
      <w:r w:rsidR="00BF3904">
        <w:t xml:space="preserve">Committee </w:t>
      </w:r>
      <w:r w:rsidR="00BF3904" w:rsidRPr="007F7E7E">
        <w:t>on the Elimination of Discrimination Against Women</w:t>
      </w:r>
      <w:r w:rsidR="00BF3904">
        <w:t xml:space="preserve"> (CEDAW)</w:t>
      </w:r>
      <w:r>
        <w:t>, in its General Recommendation 35,</w:t>
      </w:r>
      <w:r w:rsidR="00BF3904" w:rsidRPr="00BF3904">
        <w:rPr>
          <w:rFonts w:cstheme="minorHAnsi"/>
        </w:rPr>
        <w:t xml:space="preserve"> </w:t>
      </w:r>
      <w:r w:rsidR="001362FB">
        <w:rPr>
          <w:rFonts w:cstheme="minorHAnsi"/>
        </w:rPr>
        <w:t xml:space="preserve">also </w:t>
      </w:r>
      <w:r>
        <w:t xml:space="preserve">recognized the interdependence of the right to life </w:t>
      </w:r>
      <w:r w:rsidR="00DA5D6F">
        <w:t xml:space="preserve">and </w:t>
      </w:r>
      <w:r w:rsidR="001513CE">
        <w:rPr>
          <w:rFonts w:cstheme="minorHAnsi"/>
        </w:rPr>
        <w:t xml:space="preserve">the right to </w:t>
      </w:r>
      <w:r w:rsidR="00BF3904" w:rsidRPr="00AD072F">
        <w:rPr>
          <w:rFonts w:cstheme="minorHAnsi"/>
        </w:rPr>
        <w:t>a life free from gender-based</w:t>
      </w:r>
      <w:r w:rsidR="00BF3904">
        <w:rPr>
          <w:rFonts w:cstheme="minorHAnsi"/>
        </w:rPr>
        <w:t xml:space="preserve"> </w:t>
      </w:r>
      <w:r w:rsidR="00BF3904" w:rsidRPr="00AD072F">
        <w:rPr>
          <w:rFonts w:cstheme="minorHAnsi"/>
        </w:rPr>
        <w:t>violence</w:t>
      </w:r>
      <w:r w:rsidR="008E562B">
        <w:rPr>
          <w:rFonts w:cstheme="minorHAnsi"/>
        </w:rPr>
        <w:t>.</w:t>
      </w:r>
      <w:r w:rsidR="001513CE" w:rsidRPr="007F7E7E">
        <w:rPr>
          <w:rStyle w:val="EndnoteReference"/>
          <w:rFonts w:cstheme="minorHAnsi"/>
        </w:rPr>
        <w:endnoteReference w:id="2"/>
      </w:r>
      <w:r w:rsidR="00BF3904">
        <w:rPr>
          <w:rFonts w:cstheme="minorHAnsi"/>
        </w:rPr>
        <w:t xml:space="preserve"> </w:t>
      </w:r>
    </w:p>
    <w:p w14:paraId="38F9846E" w14:textId="77777777" w:rsidR="001159E7" w:rsidRPr="001159E7" w:rsidRDefault="001159E7" w:rsidP="001159E7">
      <w:pPr>
        <w:widowControl w:val="0"/>
        <w:spacing w:after="0" w:line="240" w:lineRule="auto"/>
        <w:jc w:val="both"/>
        <w:rPr>
          <w:rFonts w:cstheme="minorHAnsi"/>
        </w:rPr>
      </w:pPr>
    </w:p>
    <w:p w14:paraId="575A4AD9" w14:textId="77777777" w:rsidR="00563F36" w:rsidRPr="001E6A0E" w:rsidRDefault="00563F36" w:rsidP="00563F36">
      <w:pPr>
        <w:pStyle w:val="ListParagraph"/>
        <w:widowControl w:val="0"/>
        <w:numPr>
          <w:ilvl w:val="0"/>
          <w:numId w:val="2"/>
        </w:numPr>
        <w:spacing w:after="0" w:line="240" w:lineRule="auto"/>
        <w:rPr>
          <w:rFonts w:cstheme="minorHAnsi"/>
          <w:b/>
        </w:rPr>
      </w:pPr>
      <w:r w:rsidRPr="00876DDF">
        <w:rPr>
          <w:rFonts w:cstheme="minorHAnsi"/>
        </w:rPr>
        <w:t xml:space="preserve"> </w:t>
      </w:r>
      <w:r w:rsidR="005031C9" w:rsidRPr="00876DDF">
        <w:rPr>
          <w:rFonts w:cstheme="minorHAnsi"/>
          <w:b/>
        </w:rPr>
        <w:t xml:space="preserve">Right to Life </w:t>
      </w:r>
      <w:r w:rsidR="005031C9" w:rsidRPr="001E6A0E">
        <w:rPr>
          <w:rFonts w:cstheme="minorHAnsi"/>
          <w:b/>
        </w:rPr>
        <w:t xml:space="preserve">and </w:t>
      </w:r>
      <w:r w:rsidR="001E6A0E" w:rsidRPr="001E6A0E">
        <w:rPr>
          <w:rFonts w:cstheme="minorHAnsi"/>
          <w:b/>
        </w:rPr>
        <w:t>Women’s Rights</w:t>
      </w:r>
    </w:p>
    <w:p w14:paraId="3DF64D56" w14:textId="17F0A26B" w:rsidR="001E6A0E" w:rsidRPr="00876DDF" w:rsidRDefault="008E562B" w:rsidP="00FF1137">
      <w:pPr>
        <w:pStyle w:val="ListParagraph"/>
        <w:widowControl w:val="0"/>
        <w:numPr>
          <w:ilvl w:val="0"/>
          <w:numId w:val="3"/>
        </w:numPr>
        <w:spacing w:after="0" w:line="240" w:lineRule="auto"/>
        <w:rPr>
          <w:rFonts w:cstheme="minorHAnsi"/>
          <w:b/>
        </w:rPr>
      </w:pPr>
      <w:r>
        <w:rPr>
          <w:rFonts w:cstheme="minorHAnsi"/>
          <w:b/>
        </w:rPr>
        <w:t xml:space="preserve">Access to </w:t>
      </w:r>
      <w:r w:rsidR="001E6A0E" w:rsidRPr="008467FB">
        <w:rPr>
          <w:rFonts w:cstheme="minorHAnsi"/>
          <w:b/>
        </w:rPr>
        <w:t>Abortion</w:t>
      </w:r>
      <w:r w:rsidR="00F6283B" w:rsidRPr="008467FB">
        <w:rPr>
          <w:rFonts w:cstheme="minorHAnsi"/>
          <w:b/>
        </w:rPr>
        <w:t xml:space="preserve"> </w:t>
      </w:r>
      <w:r w:rsidR="00F6283B">
        <w:rPr>
          <w:rFonts w:cstheme="minorHAnsi"/>
          <w:b/>
        </w:rPr>
        <w:t xml:space="preserve">and </w:t>
      </w:r>
      <w:r w:rsidR="001513CE">
        <w:rPr>
          <w:rFonts w:cstheme="minorHAnsi"/>
          <w:b/>
        </w:rPr>
        <w:t xml:space="preserve">other </w:t>
      </w:r>
      <w:r w:rsidR="00F6283B">
        <w:rPr>
          <w:rFonts w:cstheme="minorHAnsi"/>
          <w:b/>
        </w:rPr>
        <w:t>Sexual and Reproductive Health Services</w:t>
      </w:r>
    </w:p>
    <w:p w14:paraId="32BC3772" w14:textId="16FD096A" w:rsidR="009279DA" w:rsidRDefault="00C175A5" w:rsidP="005F784D">
      <w:pPr>
        <w:autoSpaceDE w:val="0"/>
        <w:autoSpaceDN w:val="0"/>
        <w:adjustRightInd w:val="0"/>
        <w:spacing w:after="0" w:line="240" w:lineRule="auto"/>
        <w:jc w:val="both"/>
        <w:rPr>
          <w:rFonts w:cstheme="minorHAnsi"/>
        </w:rPr>
      </w:pPr>
      <w:r w:rsidRPr="00876DDF">
        <w:t xml:space="preserve">The Human Rights Committee has consistently </w:t>
      </w:r>
      <w:r w:rsidR="00532E0F" w:rsidRPr="00876DDF">
        <w:t>recognized the</w:t>
      </w:r>
      <w:r w:rsidR="005031C9" w:rsidRPr="00876DDF">
        <w:t xml:space="preserve"> link between </w:t>
      </w:r>
      <w:r w:rsidR="00DC7D5A">
        <w:t xml:space="preserve">restrictive abortion laws, </w:t>
      </w:r>
      <w:r w:rsidR="005031C9" w:rsidRPr="00876DDF">
        <w:t>unsafe abortions and high rates of maternal mortality</w:t>
      </w:r>
      <w:r w:rsidR="008E562B">
        <w:t>,</w:t>
      </w:r>
      <w:r w:rsidR="00AC27A6">
        <w:rPr>
          <w:rStyle w:val="EndnoteReference"/>
          <w:rFonts w:cstheme="minorHAnsi"/>
        </w:rPr>
        <w:endnoteReference w:id="3"/>
      </w:r>
      <w:r w:rsidR="005031C9" w:rsidRPr="00876DDF">
        <w:t xml:space="preserve"> as well as</w:t>
      </w:r>
      <w:r w:rsidRPr="00876DDF">
        <w:t xml:space="preserve"> the threat that barriers to access to abort</w:t>
      </w:r>
      <w:r w:rsidR="00DC7D5A">
        <w:t>ion present to women’s right to life</w:t>
      </w:r>
      <w:r w:rsidR="0005379E">
        <w:t xml:space="preserve">. </w:t>
      </w:r>
      <w:r w:rsidR="006F5866">
        <w:t xml:space="preserve">A recent study by </w:t>
      </w:r>
      <w:r w:rsidR="009279DA">
        <w:t xml:space="preserve">the </w:t>
      </w:r>
      <w:r w:rsidR="00A11F3D">
        <w:t>W</w:t>
      </w:r>
      <w:r w:rsidR="009279DA">
        <w:t xml:space="preserve">orld </w:t>
      </w:r>
      <w:r w:rsidR="00A11F3D">
        <w:t>H</w:t>
      </w:r>
      <w:r w:rsidR="009279DA">
        <w:t xml:space="preserve">ealth </w:t>
      </w:r>
      <w:r w:rsidR="00A11F3D">
        <w:t>O</w:t>
      </w:r>
      <w:r w:rsidR="009279DA">
        <w:t>rganization</w:t>
      </w:r>
      <w:r w:rsidR="006C327C">
        <w:t xml:space="preserve"> (WHO)</w:t>
      </w:r>
      <w:r w:rsidR="00737716">
        <w:t xml:space="preserve"> </w:t>
      </w:r>
      <w:r w:rsidR="006F5866">
        <w:t xml:space="preserve">and </w:t>
      </w:r>
      <w:r w:rsidR="008E562B">
        <w:t xml:space="preserve">the </w:t>
      </w:r>
      <w:r w:rsidR="006F5866">
        <w:t xml:space="preserve">Guttmacher Institute </w:t>
      </w:r>
      <w:r w:rsidR="00737716">
        <w:t>estimates</w:t>
      </w:r>
      <w:r w:rsidR="00713AF8">
        <w:t xml:space="preserve"> that</w:t>
      </w:r>
      <w:r w:rsidR="00D41CE3">
        <w:t xml:space="preserve"> </w:t>
      </w:r>
      <w:r w:rsidR="00713AF8">
        <w:t xml:space="preserve">each year </w:t>
      </w:r>
      <w:r w:rsidR="00737716">
        <w:t xml:space="preserve">around 25 million unsafe abortions </w:t>
      </w:r>
      <w:r w:rsidR="00713AF8">
        <w:t xml:space="preserve">take </w:t>
      </w:r>
      <w:r w:rsidR="00737716">
        <w:t>place worldwide</w:t>
      </w:r>
      <w:r w:rsidR="00713AF8">
        <w:t>; that</w:t>
      </w:r>
      <w:r w:rsidR="00D41CE3">
        <w:t xml:space="preserve"> between 4.7% – 13.2% of maternal deaths can be attributed to unsafe abortion</w:t>
      </w:r>
      <w:r w:rsidR="00F4190F">
        <w:t>s</w:t>
      </w:r>
      <w:r w:rsidR="00FE0B6B">
        <w:t xml:space="preserve">; </w:t>
      </w:r>
      <w:r w:rsidR="006F5866">
        <w:t>and that in countries where abortion is completely banned or permitted only to save the woman’s life or preserve her physical health, only 1 in 4 abortions were safe</w:t>
      </w:r>
      <w:r w:rsidR="00B07E3B">
        <w:t>.</w:t>
      </w:r>
      <w:r w:rsidR="00D41CE3">
        <w:rPr>
          <w:rStyle w:val="EndnoteReference"/>
        </w:rPr>
        <w:endnoteReference w:id="4"/>
      </w:r>
      <w:r w:rsidR="00A11F3D">
        <w:t xml:space="preserve"> </w:t>
      </w:r>
      <w:r w:rsidR="00FF1137">
        <w:t>In contrast</w:t>
      </w:r>
      <w:r w:rsidR="005F784D">
        <w:t>,</w:t>
      </w:r>
      <w:r w:rsidR="00363E0A">
        <w:t xml:space="preserve"> </w:t>
      </w:r>
      <w:r w:rsidR="005F784D" w:rsidRPr="008467FB">
        <w:rPr>
          <w:rFonts w:cstheme="minorHAnsi"/>
        </w:rPr>
        <w:t xml:space="preserve">in countries where legislation </w:t>
      </w:r>
      <w:r w:rsidR="00E720BF" w:rsidRPr="008467FB">
        <w:rPr>
          <w:rFonts w:cstheme="minorHAnsi"/>
        </w:rPr>
        <w:t>decriminalizing</w:t>
      </w:r>
      <w:r w:rsidR="005F784D" w:rsidRPr="008467FB">
        <w:rPr>
          <w:rFonts w:cstheme="minorHAnsi"/>
        </w:rPr>
        <w:t xml:space="preserve"> abortion </w:t>
      </w:r>
      <w:r w:rsidR="00B833F0" w:rsidRPr="008467FB">
        <w:rPr>
          <w:rFonts w:cstheme="minorHAnsi"/>
        </w:rPr>
        <w:t>was</w:t>
      </w:r>
      <w:r w:rsidR="005F784D" w:rsidRPr="008467FB">
        <w:rPr>
          <w:rFonts w:cstheme="minorHAnsi"/>
        </w:rPr>
        <w:t xml:space="preserve"> adopted</w:t>
      </w:r>
      <w:r w:rsidR="00E720BF" w:rsidRPr="008467FB">
        <w:rPr>
          <w:rFonts w:cstheme="minorHAnsi"/>
        </w:rPr>
        <w:t>,</w:t>
      </w:r>
      <w:r w:rsidR="005F784D" w:rsidRPr="008467FB">
        <w:rPr>
          <w:rFonts w:cstheme="minorHAnsi"/>
        </w:rPr>
        <w:t xml:space="preserve"> such as Uruguay</w:t>
      </w:r>
      <w:r w:rsidR="008E562B">
        <w:rPr>
          <w:rFonts w:cstheme="minorHAnsi"/>
        </w:rPr>
        <w:t>,</w:t>
      </w:r>
      <w:r w:rsidR="005F784D" w:rsidRPr="008467FB">
        <w:rPr>
          <w:rFonts w:cstheme="minorHAnsi"/>
        </w:rPr>
        <w:t xml:space="preserve"> a </w:t>
      </w:r>
      <w:r w:rsidR="00363E0A" w:rsidRPr="008467FB">
        <w:rPr>
          <w:rFonts w:cstheme="minorHAnsi"/>
        </w:rPr>
        <w:t>dramatic reduction in</w:t>
      </w:r>
      <w:r w:rsidR="005F784D" w:rsidRPr="008467FB">
        <w:rPr>
          <w:rFonts w:cstheme="minorHAnsi"/>
        </w:rPr>
        <w:t xml:space="preserve"> </w:t>
      </w:r>
      <w:r w:rsidR="00363E0A" w:rsidRPr="008467FB">
        <w:rPr>
          <w:rFonts w:cstheme="minorHAnsi"/>
        </w:rPr>
        <w:t>maternal mortality has occurred</w:t>
      </w:r>
      <w:r w:rsidR="005F784D" w:rsidRPr="008467FB">
        <w:rPr>
          <w:rFonts w:cstheme="minorHAnsi"/>
        </w:rPr>
        <w:t xml:space="preserve">. </w:t>
      </w:r>
      <w:r w:rsidR="00363E0A" w:rsidRPr="008467FB">
        <w:rPr>
          <w:rFonts w:cstheme="minorHAnsi"/>
        </w:rPr>
        <w:t>According to P</w:t>
      </w:r>
      <w:r w:rsidR="008E562B">
        <w:rPr>
          <w:rFonts w:cstheme="minorHAnsi"/>
        </w:rPr>
        <w:t>an-</w:t>
      </w:r>
      <w:r w:rsidR="00363E0A" w:rsidRPr="008467FB">
        <w:rPr>
          <w:rFonts w:cstheme="minorHAnsi"/>
        </w:rPr>
        <w:t>A</w:t>
      </w:r>
      <w:r w:rsidR="008E562B">
        <w:rPr>
          <w:rFonts w:cstheme="minorHAnsi"/>
        </w:rPr>
        <w:t xml:space="preserve">merica </w:t>
      </w:r>
      <w:r w:rsidR="00363E0A" w:rsidRPr="008467FB">
        <w:rPr>
          <w:rFonts w:cstheme="minorHAnsi"/>
        </w:rPr>
        <w:t>H</w:t>
      </w:r>
      <w:r w:rsidR="008E562B">
        <w:rPr>
          <w:rFonts w:cstheme="minorHAnsi"/>
        </w:rPr>
        <w:t xml:space="preserve">ealth </w:t>
      </w:r>
      <w:r w:rsidR="00363E0A" w:rsidRPr="008467FB">
        <w:rPr>
          <w:rFonts w:cstheme="minorHAnsi"/>
        </w:rPr>
        <w:t>O</w:t>
      </w:r>
      <w:r w:rsidR="008E562B">
        <w:rPr>
          <w:rFonts w:cstheme="minorHAnsi"/>
        </w:rPr>
        <w:t>rganization (PAHO)</w:t>
      </w:r>
      <w:r w:rsidR="00363E0A" w:rsidRPr="008467FB">
        <w:rPr>
          <w:rFonts w:cstheme="minorHAnsi"/>
        </w:rPr>
        <w:t>–WHO</w:t>
      </w:r>
      <w:r w:rsidR="00E720BF" w:rsidRPr="008467FB">
        <w:rPr>
          <w:rFonts w:cstheme="minorHAnsi"/>
        </w:rPr>
        <w:t xml:space="preserve"> ranks</w:t>
      </w:r>
      <w:r w:rsidR="008E562B">
        <w:rPr>
          <w:rFonts w:cstheme="minorHAnsi"/>
        </w:rPr>
        <w:t>,</w:t>
      </w:r>
      <w:r w:rsidR="00363E0A" w:rsidRPr="008467FB">
        <w:rPr>
          <w:rFonts w:cstheme="minorHAnsi"/>
        </w:rPr>
        <w:t xml:space="preserve"> </w:t>
      </w:r>
      <w:r w:rsidR="00B833F0" w:rsidRPr="008467FB">
        <w:rPr>
          <w:rFonts w:cstheme="minorHAnsi"/>
        </w:rPr>
        <w:t>Uruguay</w:t>
      </w:r>
      <w:r w:rsidR="00363E0A" w:rsidRPr="008467FB">
        <w:rPr>
          <w:rFonts w:cstheme="minorHAnsi"/>
        </w:rPr>
        <w:t xml:space="preserve"> </w:t>
      </w:r>
      <w:r w:rsidR="008E562B">
        <w:rPr>
          <w:rFonts w:cstheme="minorHAnsi"/>
        </w:rPr>
        <w:t xml:space="preserve">now has the </w:t>
      </w:r>
      <w:r w:rsidR="00363E0A" w:rsidRPr="008467FB">
        <w:rPr>
          <w:rFonts w:cstheme="minorHAnsi"/>
        </w:rPr>
        <w:t>second lowest maternal mortality ratio in the region (14 per</w:t>
      </w:r>
      <w:r w:rsidR="005F784D" w:rsidRPr="008467FB">
        <w:rPr>
          <w:rFonts w:cstheme="minorHAnsi"/>
        </w:rPr>
        <w:t xml:space="preserve"> </w:t>
      </w:r>
      <w:r w:rsidR="00363E0A" w:rsidRPr="008467FB">
        <w:rPr>
          <w:rFonts w:cstheme="minorHAnsi"/>
        </w:rPr>
        <w:t>100 000 live births), after Canada (11 per 100 000)</w:t>
      </w:r>
      <w:r w:rsidR="00B07E3B">
        <w:rPr>
          <w:rFonts w:cstheme="minorHAnsi"/>
        </w:rPr>
        <w:t>.</w:t>
      </w:r>
      <w:r w:rsidR="00B833F0">
        <w:rPr>
          <w:rStyle w:val="EndnoteReference"/>
          <w:rFonts w:cstheme="minorHAnsi"/>
        </w:rPr>
        <w:endnoteReference w:id="5"/>
      </w:r>
      <w:r w:rsidR="00A11F3D" w:rsidRPr="008467FB">
        <w:rPr>
          <w:rFonts w:cstheme="minorHAnsi"/>
        </w:rPr>
        <w:t xml:space="preserve"> </w:t>
      </w:r>
    </w:p>
    <w:p w14:paraId="79A7D139" w14:textId="710EB50C" w:rsidR="00225EA1" w:rsidRDefault="00E457DB" w:rsidP="005F784D">
      <w:pPr>
        <w:autoSpaceDE w:val="0"/>
        <w:autoSpaceDN w:val="0"/>
        <w:adjustRightInd w:val="0"/>
        <w:spacing w:after="0" w:line="240" w:lineRule="auto"/>
        <w:jc w:val="both"/>
      </w:pPr>
      <w:r>
        <w:rPr>
          <w:rFonts w:cstheme="minorHAnsi"/>
        </w:rPr>
        <w:t>The Committee has long recognized that c</w:t>
      </w:r>
      <w:r w:rsidR="00C175A5" w:rsidRPr="005F784D">
        <w:rPr>
          <w:rFonts w:cstheme="minorHAnsi"/>
        </w:rPr>
        <w:t>riminalization, third party</w:t>
      </w:r>
      <w:r w:rsidR="00C175A5" w:rsidRPr="00876DDF">
        <w:t xml:space="preserve"> authorization requirements, </w:t>
      </w:r>
      <w:r w:rsidR="00FE0B6B" w:rsidRPr="00367C24">
        <w:t>refusal to perform legal operations on the basis of conscientious objection</w:t>
      </w:r>
      <w:r w:rsidR="00FE0B6B" w:rsidRPr="00367C24">
        <w:rPr>
          <w:rStyle w:val="EndnoteReference"/>
        </w:rPr>
        <w:endnoteReference w:id="6"/>
      </w:r>
      <w:r w:rsidR="00FE0B6B" w:rsidRPr="00367C24">
        <w:t xml:space="preserve"> </w:t>
      </w:r>
      <w:r w:rsidR="00C175A5" w:rsidRPr="00876DDF">
        <w:t>and other barriers to access force women to seek d</w:t>
      </w:r>
      <w:r w:rsidR="001C0C12" w:rsidRPr="00876DDF">
        <w:t>angerous and unsafe abortions, which constitutes a</w:t>
      </w:r>
      <w:r w:rsidR="00C175A5" w:rsidRPr="00876DDF">
        <w:t xml:space="preserve"> violation of the right to life under </w:t>
      </w:r>
      <w:r w:rsidR="00C175A5" w:rsidRPr="00876DDF">
        <w:lastRenderedPageBreak/>
        <w:t>Article 6</w:t>
      </w:r>
      <w:r w:rsidR="00F4190F">
        <w:t xml:space="preserve">, </w:t>
      </w:r>
      <w:r w:rsidR="00DA1B2E">
        <w:t>the right to be free from torture or cruel, inhuman or degrading treatment</w:t>
      </w:r>
      <w:r w:rsidR="00AC27A6">
        <w:rPr>
          <w:rStyle w:val="EndnoteReference"/>
          <w:rFonts w:cstheme="minorHAnsi"/>
        </w:rPr>
        <w:endnoteReference w:id="7"/>
      </w:r>
      <w:r w:rsidR="00B55227">
        <w:t xml:space="preserve"> </w:t>
      </w:r>
      <w:r w:rsidR="00F4190F">
        <w:t xml:space="preserve">and </w:t>
      </w:r>
      <w:r w:rsidR="00B55227">
        <w:t>their right to non-discrimination</w:t>
      </w:r>
      <w:r w:rsidR="00B07E3B">
        <w:t>.</w:t>
      </w:r>
      <w:r w:rsidR="00B55227">
        <w:rPr>
          <w:rStyle w:val="EndnoteReference"/>
        </w:rPr>
        <w:endnoteReference w:id="8"/>
      </w:r>
      <w:r>
        <w:t xml:space="preserve"> </w:t>
      </w:r>
      <w:r w:rsidR="00A8290D">
        <w:t>Th</w:t>
      </w:r>
      <w:r w:rsidR="008E562B">
        <w:t xml:space="preserve">is is </w:t>
      </w:r>
      <w:r w:rsidR="006C327C">
        <w:t xml:space="preserve">also </w:t>
      </w:r>
      <w:r>
        <w:t>corroborated by o</w:t>
      </w:r>
      <w:r w:rsidR="002A360F">
        <w:t>ther Treaty Bodies and Special Procedures</w:t>
      </w:r>
      <w:r w:rsidR="00B07E3B">
        <w:t>.</w:t>
      </w:r>
      <w:r w:rsidR="002A360F">
        <w:rPr>
          <w:rStyle w:val="EndnoteReference"/>
          <w:rFonts w:cstheme="minorHAnsi"/>
        </w:rPr>
        <w:endnoteReference w:id="9"/>
      </w:r>
      <w:r>
        <w:t xml:space="preserve"> </w:t>
      </w:r>
      <w:r w:rsidR="008E562B">
        <w:t xml:space="preserve">The </w:t>
      </w:r>
      <w:r>
        <w:t>CEDAW</w:t>
      </w:r>
      <w:r w:rsidR="00A11F3D">
        <w:t xml:space="preserve"> goes even further</w:t>
      </w:r>
      <w:r w:rsidR="006C327C">
        <w:t xml:space="preserve"> and</w:t>
      </w:r>
      <w:r w:rsidR="00D76E95">
        <w:t xml:space="preserve"> recogniz</w:t>
      </w:r>
      <w:r w:rsidR="00A8290D">
        <w:t>es</w:t>
      </w:r>
      <w:r w:rsidR="00D76E95">
        <w:t xml:space="preserve"> that criminalization of abortion, denial or delay of safe ab</w:t>
      </w:r>
      <w:r w:rsidR="00713AF8">
        <w:t>ortion and post abortion care are</w:t>
      </w:r>
      <w:r w:rsidR="00D76E95">
        <w:t xml:space="preserve"> “for</w:t>
      </w:r>
      <w:r w:rsidR="003D6EF1">
        <w:t>ms of gender based violence</w:t>
      </w:r>
      <w:r w:rsidR="00D76E95">
        <w:t xml:space="preserve"> </w:t>
      </w:r>
      <w:r>
        <w:t xml:space="preserve">that </w:t>
      </w:r>
      <w:r w:rsidR="00D76E95">
        <w:t>… may amount to torture or cruel, inhuman or degrading treatment</w:t>
      </w:r>
      <w:r w:rsidR="00E720BF">
        <w:t>.</w:t>
      </w:r>
      <w:r w:rsidR="00D76E95">
        <w:t>”</w:t>
      </w:r>
      <w:r w:rsidR="00D76E95">
        <w:rPr>
          <w:rStyle w:val="EndnoteReference"/>
        </w:rPr>
        <w:endnoteReference w:id="10"/>
      </w:r>
    </w:p>
    <w:p w14:paraId="3779F326" w14:textId="7FB7C76C" w:rsidR="00185657" w:rsidRDefault="00E41844" w:rsidP="00185657">
      <w:pPr>
        <w:spacing w:after="0"/>
        <w:jc w:val="both"/>
      </w:pPr>
      <w:r>
        <w:t>T</w:t>
      </w:r>
      <w:r w:rsidR="00C819B0">
        <w:t xml:space="preserve">hroughout the years </w:t>
      </w:r>
      <w:r w:rsidR="00185657">
        <w:t>in its Concluding Observations</w:t>
      </w:r>
      <w:r w:rsidR="00B07E3B">
        <w:t>,</w:t>
      </w:r>
      <w:r w:rsidR="00185657">
        <w:t xml:space="preserve"> th</w:t>
      </w:r>
      <w:r w:rsidR="00A8290D">
        <w:t>is</w:t>
      </w:r>
      <w:r w:rsidR="00185657">
        <w:t xml:space="preserve"> Committee</w:t>
      </w:r>
      <w:r w:rsidR="00C819B0">
        <w:t xml:space="preserve"> has </w:t>
      </w:r>
      <w:r w:rsidR="00A8290D">
        <w:t xml:space="preserve">repeatedly </w:t>
      </w:r>
      <w:r w:rsidR="002338C0">
        <w:t>emphasiz</w:t>
      </w:r>
      <w:r w:rsidR="00A8290D">
        <w:t>ed</w:t>
      </w:r>
      <w:r w:rsidR="002338C0">
        <w:t xml:space="preserve"> </w:t>
      </w:r>
      <w:r w:rsidR="00F40FDD">
        <w:t xml:space="preserve">the importance </w:t>
      </w:r>
      <w:r w:rsidR="00970F3B">
        <w:t>of sexual and reproductive health to women’s right to life, urging States to ensure access to reproductive health services for all women, including adolescents</w:t>
      </w:r>
      <w:r w:rsidR="00B07E3B">
        <w:t>.</w:t>
      </w:r>
      <w:r w:rsidR="006C327C">
        <w:rPr>
          <w:rStyle w:val="EndnoteReference"/>
        </w:rPr>
        <w:endnoteReference w:id="11"/>
      </w:r>
      <w:r w:rsidR="00970F3B">
        <w:t xml:space="preserve"> </w:t>
      </w:r>
      <w:r w:rsidR="00E664E6">
        <w:t xml:space="preserve">Other </w:t>
      </w:r>
      <w:r w:rsidR="009004FF">
        <w:t>Treaty Bodies Committees</w:t>
      </w:r>
      <w:r w:rsidR="00E664E6">
        <w:t xml:space="preserve"> also reiterate this call, a</w:t>
      </w:r>
      <w:r w:rsidR="009004FF">
        <w:t xml:space="preserve">s the CESCR’s </w:t>
      </w:r>
      <w:r w:rsidR="008467FB">
        <w:t>G</w:t>
      </w:r>
      <w:r w:rsidR="009004FF">
        <w:t xml:space="preserve">eneral </w:t>
      </w:r>
      <w:r w:rsidR="008467FB">
        <w:t>C</w:t>
      </w:r>
      <w:r w:rsidR="009004FF">
        <w:t xml:space="preserve">omment </w:t>
      </w:r>
      <w:r w:rsidR="00BC4A4D">
        <w:t xml:space="preserve">22 </w:t>
      </w:r>
      <w:r w:rsidR="00E664E6">
        <w:t xml:space="preserve">demonstrate: </w:t>
      </w:r>
      <w:r w:rsidR="00FC6181">
        <w:t>“health facilities, goods, information and services related to sexual and reproductive health care should be accessible to all individuals and groups without discrimination and free from barriers</w:t>
      </w:r>
      <w:r w:rsidR="009004FF">
        <w:t xml:space="preserve">; should be sensitive to gender, age, disability, sexual diversity and life-cycle requirements; must be affordable to all;  all individuals and groups, including adolescents and youth, have the right to evidence-based information on all aspects of sexual and reproductive health, including maternal health, contraceptives, family planning, sexually transmitted infections, HIV prevention, safe abortion and post-abortion care </w:t>
      </w:r>
      <w:r w:rsidR="003E60D2">
        <w:t>while respecting their privacy and confidentiality.</w:t>
      </w:r>
      <w:r w:rsidR="008467FB">
        <w:t>”</w:t>
      </w:r>
      <w:r w:rsidR="00E664E6">
        <w:t xml:space="preserve">; as well as General Comment 20 of the </w:t>
      </w:r>
      <w:r w:rsidR="00977CAA">
        <w:t>Rights of the Child</w:t>
      </w:r>
      <w:r w:rsidR="003E533E">
        <w:t xml:space="preserve"> Committee</w:t>
      </w:r>
      <w:r w:rsidR="00B07E3B" w:rsidRPr="00B07E3B">
        <w:t>.</w:t>
      </w:r>
      <w:r w:rsidR="00977CAA" w:rsidRPr="00B07E3B">
        <w:rPr>
          <w:rStyle w:val="EndnoteReference"/>
        </w:rPr>
        <w:endnoteReference w:id="12"/>
      </w:r>
      <w:r w:rsidR="00977CAA" w:rsidRPr="00B07E3B">
        <w:t xml:space="preserve"> </w:t>
      </w:r>
      <w:r w:rsidR="008467FB" w:rsidRPr="00B07E3B">
        <w:t xml:space="preserve"> Global</w:t>
      </w:r>
      <w:r w:rsidR="008467FB">
        <w:t xml:space="preserve"> consensus </w:t>
      </w:r>
      <w:r w:rsidR="003E533E">
        <w:t xml:space="preserve">on this matter </w:t>
      </w:r>
      <w:r w:rsidR="008467FB">
        <w:t xml:space="preserve">is </w:t>
      </w:r>
      <w:r w:rsidR="003E533E">
        <w:t>also reflected i</w:t>
      </w:r>
      <w:r w:rsidR="008467FB">
        <w:t>n the 2030</w:t>
      </w:r>
      <w:r w:rsidR="008467FB" w:rsidRPr="00E41844">
        <w:t xml:space="preserve"> </w:t>
      </w:r>
      <w:r w:rsidR="008467FB">
        <w:t>Agenda for Sustainable Development, adopted by Heads of State and Government in 2015, which includes goals and targets to be achieved by all countries in the area of sexual and reproductive health services and reproductive rights.</w:t>
      </w:r>
      <w:r w:rsidR="008467FB">
        <w:rPr>
          <w:rStyle w:val="EndnoteReference"/>
        </w:rPr>
        <w:endnoteReference w:id="13"/>
      </w:r>
    </w:p>
    <w:p w14:paraId="5C71B7AB" w14:textId="77777777" w:rsidR="00E720BF" w:rsidRDefault="00E720BF" w:rsidP="00185657">
      <w:pPr>
        <w:spacing w:after="0"/>
        <w:jc w:val="both"/>
      </w:pPr>
    </w:p>
    <w:p w14:paraId="11A0042C" w14:textId="14FF5BC3" w:rsidR="001A4BB7" w:rsidRDefault="009854B4" w:rsidP="00DC7D5A">
      <w:pPr>
        <w:jc w:val="both"/>
      </w:pPr>
      <w:r>
        <w:t>In</w:t>
      </w:r>
      <w:r w:rsidR="00DC7D5A">
        <w:t xml:space="preserve"> order to </w:t>
      </w:r>
      <w:r w:rsidR="00546A40">
        <w:t>provide clear guidance to State Parties on</w:t>
      </w:r>
      <w:r w:rsidR="00DC7D5A">
        <w:t xml:space="preserve"> the realization</w:t>
      </w:r>
      <w:r w:rsidR="00E35177">
        <w:t xml:space="preserve">, protection and fulfillment </w:t>
      </w:r>
      <w:r w:rsidR="00DC7D5A">
        <w:t>of women’s right to life,</w:t>
      </w:r>
      <w:r>
        <w:t xml:space="preserve"> </w:t>
      </w:r>
      <w:r w:rsidR="00FD0D60">
        <w:t xml:space="preserve">we </w:t>
      </w:r>
      <w:r w:rsidR="00571AE5">
        <w:t>suggest</w:t>
      </w:r>
      <w:r w:rsidR="00970A32">
        <w:t xml:space="preserve"> the inclusion of a strong</w:t>
      </w:r>
      <w:r w:rsidR="00C352E5">
        <w:t xml:space="preserve"> call</w:t>
      </w:r>
      <w:r w:rsidR="00E35177">
        <w:t xml:space="preserve"> </w:t>
      </w:r>
      <w:r w:rsidR="00C352E5">
        <w:t>to</w:t>
      </w:r>
      <w:r w:rsidR="0005379E" w:rsidRPr="00876DDF">
        <w:t xml:space="preserve"> </w:t>
      </w:r>
      <w:r w:rsidR="0005379E">
        <w:t>repeal</w:t>
      </w:r>
      <w:r w:rsidR="0005379E" w:rsidRPr="00876DDF">
        <w:t xml:space="preserve"> </w:t>
      </w:r>
      <w:r w:rsidR="0005379E">
        <w:t>or reform</w:t>
      </w:r>
      <w:r w:rsidR="0005379E" w:rsidRPr="00876DDF">
        <w:t xml:space="preserve"> </w:t>
      </w:r>
      <w:r w:rsidR="001C0C12" w:rsidRPr="00876DDF">
        <w:t xml:space="preserve">discriminatory laws, policies and practices </w:t>
      </w:r>
      <w:r w:rsidR="009274B2" w:rsidRPr="00876DDF">
        <w:t>to guarantee that all individuals</w:t>
      </w:r>
      <w:r w:rsidR="00F6283B">
        <w:t>, without discrimination</w:t>
      </w:r>
      <w:r w:rsidR="00A8290D">
        <w:t>,</w:t>
      </w:r>
      <w:r w:rsidR="00F6283B">
        <w:t xml:space="preserve"> and respecting the principles of confidentiality and privacy,</w:t>
      </w:r>
      <w:r w:rsidR="009274B2" w:rsidRPr="00876DDF">
        <w:t xml:space="preserve"> have access to affordable </w:t>
      </w:r>
      <w:r w:rsidR="00876DDF">
        <w:t xml:space="preserve">and quality </w:t>
      </w:r>
      <w:r w:rsidR="009274B2" w:rsidRPr="00876DDF">
        <w:t xml:space="preserve">sexual and </w:t>
      </w:r>
      <w:r w:rsidR="00C73FD0">
        <w:t xml:space="preserve">reproductive health services and </w:t>
      </w:r>
      <w:r w:rsidR="009274B2" w:rsidRPr="00876DDF">
        <w:t>comprehensive sexuality education</w:t>
      </w:r>
      <w:r w:rsidR="00B07E3B">
        <w:t>;</w:t>
      </w:r>
      <w:r w:rsidR="003A406B">
        <w:rPr>
          <w:rStyle w:val="EndnoteReference"/>
        </w:rPr>
        <w:endnoteReference w:id="14"/>
      </w:r>
      <w:r w:rsidR="009274B2" w:rsidRPr="00876DDF">
        <w:t xml:space="preserve"> </w:t>
      </w:r>
      <w:r w:rsidR="004D2160" w:rsidRPr="00571AE5">
        <w:t>liberalize restrictive</w:t>
      </w:r>
      <w:r w:rsidR="009274B2" w:rsidRPr="00571AE5">
        <w:t xml:space="preserve"> abortion</w:t>
      </w:r>
      <w:r w:rsidR="00571AE5">
        <w:t xml:space="preserve"> law</w:t>
      </w:r>
      <w:r w:rsidR="00A8290D">
        <w:t>s</w:t>
      </w:r>
      <w:r w:rsidR="00571AE5">
        <w:t xml:space="preserve"> and</w:t>
      </w:r>
      <w:r w:rsidR="00C73FD0" w:rsidRPr="00571AE5">
        <w:t xml:space="preserve"> </w:t>
      </w:r>
      <w:r w:rsidR="003C4920" w:rsidRPr="00571AE5">
        <w:t>guarantee women and girls access to safe abortion services</w:t>
      </w:r>
      <w:r w:rsidR="00571AE5">
        <w:t xml:space="preserve"> and quality post-abo</w:t>
      </w:r>
      <w:r w:rsidR="00AA5ECA">
        <w:t>r</w:t>
      </w:r>
      <w:r w:rsidR="003C4920" w:rsidRPr="00876DDF">
        <w:t xml:space="preserve">tion care; </w:t>
      </w:r>
      <w:r w:rsidR="00571AE5" w:rsidRPr="00571AE5">
        <w:t>decriminalize abortion</w:t>
      </w:r>
      <w:r w:rsidR="00A8290D">
        <w:t>;</w:t>
      </w:r>
      <w:r w:rsidR="00FE0B6B">
        <w:t xml:space="preserve"> </w:t>
      </w:r>
      <w:r w:rsidR="00FE0B6B" w:rsidRPr="00367C24">
        <w:t>ensure that conscientious objection</w:t>
      </w:r>
      <w:r w:rsidR="00FE0B6B">
        <w:rPr>
          <w:rStyle w:val="EndnoteReference"/>
        </w:rPr>
        <w:endnoteReference w:id="15"/>
      </w:r>
      <w:r w:rsidR="00FE0B6B" w:rsidRPr="00367C24">
        <w:t xml:space="preserve"> is not used as a barrier preventing women from accessing safe abortion</w:t>
      </w:r>
      <w:r w:rsidR="00B07E3B">
        <w:t>;</w:t>
      </w:r>
      <w:r w:rsidR="00FE0B6B" w:rsidRPr="00367C24">
        <w:rPr>
          <w:rStyle w:val="EndnoteReference"/>
        </w:rPr>
        <w:endnoteReference w:id="16"/>
      </w:r>
      <w:r w:rsidR="00FE0B6B">
        <w:t xml:space="preserve"> </w:t>
      </w:r>
      <w:r w:rsidR="003C4920" w:rsidRPr="00876DDF">
        <w:t xml:space="preserve">and respect the right of women to make autonomous decisions about their sexual and reproductive </w:t>
      </w:r>
      <w:r w:rsidR="0005379E">
        <w:t>health</w:t>
      </w:r>
      <w:r w:rsidR="00B07E3B">
        <w:t>.</w:t>
      </w:r>
      <w:r w:rsidR="00AC27A6">
        <w:rPr>
          <w:rStyle w:val="EndnoteReference"/>
          <w:rFonts w:cstheme="minorHAnsi"/>
        </w:rPr>
        <w:endnoteReference w:id="17"/>
      </w:r>
      <w:r w:rsidR="003C4920" w:rsidRPr="00876DDF">
        <w:t xml:space="preserve"> </w:t>
      </w:r>
    </w:p>
    <w:p w14:paraId="42CCD8C9" w14:textId="77777777" w:rsidR="00902F63" w:rsidRPr="0005379E" w:rsidRDefault="00902F63" w:rsidP="00902F63">
      <w:pPr>
        <w:widowControl w:val="0"/>
        <w:spacing w:after="0" w:line="240" w:lineRule="auto"/>
        <w:jc w:val="both"/>
        <w:rPr>
          <w:rFonts w:cstheme="minorHAnsi"/>
        </w:rPr>
      </w:pPr>
    </w:p>
    <w:p w14:paraId="47A577D4" w14:textId="77777777" w:rsidR="00902F63" w:rsidRPr="007B7D2E" w:rsidRDefault="00902F63" w:rsidP="003E533E">
      <w:pPr>
        <w:pStyle w:val="ListParagraph"/>
        <w:numPr>
          <w:ilvl w:val="0"/>
          <w:numId w:val="5"/>
        </w:numPr>
        <w:spacing w:after="0"/>
        <w:rPr>
          <w:b/>
        </w:rPr>
      </w:pPr>
      <w:bookmarkStart w:id="1" w:name="_Hlk493865662"/>
      <w:r w:rsidRPr="007B7D2E">
        <w:rPr>
          <w:b/>
        </w:rPr>
        <w:t>Gender Based Violence against women</w:t>
      </w:r>
    </w:p>
    <w:p w14:paraId="31F2CD91" w14:textId="4ADFBAB5" w:rsidR="005A7285" w:rsidRDefault="00ED32ED" w:rsidP="005A7285">
      <w:pPr>
        <w:spacing w:after="0"/>
        <w:jc w:val="both"/>
        <w:rPr>
          <w:rFonts w:cstheme="minorHAnsi"/>
        </w:rPr>
      </w:pPr>
      <w:r w:rsidRPr="008262F7">
        <w:rPr>
          <w:rFonts w:cstheme="minorHAnsi"/>
        </w:rPr>
        <w:t xml:space="preserve">As </w:t>
      </w:r>
      <w:r w:rsidR="00D176B7">
        <w:rPr>
          <w:rFonts w:cstheme="minorHAnsi"/>
        </w:rPr>
        <w:t xml:space="preserve">outlined </w:t>
      </w:r>
      <w:r w:rsidRPr="008262F7">
        <w:rPr>
          <w:rFonts w:cstheme="minorHAnsi"/>
        </w:rPr>
        <w:t>in th</w:t>
      </w:r>
      <w:r w:rsidR="008467FB">
        <w:rPr>
          <w:rFonts w:cstheme="minorHAnsi"/>
        </w:rPr>
        <w:t>e</w:t>
      </w:r>
      <w:r w:rsidRPr="008262F7">
        <w:rPr>
          <w:rFonts w:cstheme="minorHAnsi"/>
        </w:rPr>
        <w:t xml:space="preserve"> </w:t>
      </w:r>
      <w:r w:rsidR="008262F7" w:rsidRPr="008262F7">
        <w:rPr>
          <w:rFonts w:cstheme="minorHAnsi"/>
        </w:rPr>
        <w:t xml:space="preserve">draft </w:t>
      </w:r>
      <w:r w:rsidRPr="008262F7">
        <w:rPr>
          <w:rFonts w:cstheme="minorHAnsi"/>
        </w:rPr>
        <w:t xml:space="preserve">general comment, the duty to protect the right to life by law also includes an obligation for State Parties to take all appropriate legal measures to protect life from all foreseeable threats, including from threats emanating from private persons and entities. </w:t>
      </w:r>
    </w:p>
    <w:p w14:paraId="40BC33A0" w14:textId="1A4AE925" w:rsidR="00E720BF" w:rsidRPr="005A7285" w:rsidRDefault="003E533E" w:rsidP="00313441">
      <w:pPr>
        <w:spacing w:after="0"/>
        <w:jc w:val="both"/>
        <w:rPr>
          <w:rFonts w:cstheme="minorHAnsi"/>
        </w:rPr>
      </w:pPr>
      <w:r>
        <w:rPr>
          <w:rFonts w:cstheme="minorHAnsi"/>
        </w:rPr>
        <w:t>As recognized i</w:t>
      </w:r>
      <w:r w:rsidR="008467FB">
        <w:rPr>
          <w:rFonts w:cstheme="minorHAnsi"/>
        </w:rPr>
        <w:t>n</w:t>
      </w:r>
      <w:r>
        <w:rPr>
          <w:rFonts w:cstheme="minorHAnsi"/>
        </w:rPr>
        <w:t xml:space="preserve"> CEDAW’s </w:t>
      </w:r>
      <w:r w:rsidR="008467FB">
        <w:rPr>
          <w:rFonts w:cstheme="minorHAnsi"/>
        </w:rPr>
        <w:t xml:space="preserve">General Recommendation 19, </w:t>
      </w:r>
      <w:r w:rsidR="00D176B7">
        <w:rPr>
          <w:rFonts w:eastAsia="Times New Roman" w:cstheme="minorHAnsi"/>
        </w:rPr>
        <w:t>v</w:t>
      </w:r>
      <w:r w:rsidR="00D176B7" w:rsidRPr="005A7285">
        <w:rPr>
          <w:rFonts w:eastAsia="Times New Roman" w:cstheme="minorHAnsi"/>
        </w:rPr>
        <w:t>iolence against women puts their health and lives at risk</w:t>
      </w:r>
      <w:r w:rsidR="00B07E3B">
        <w:rPr>
          <w:rFonts w:eastAsia="Times New Roman" w:cstheme="minorHAnsi"/>
        </w:rPr>
        <w:t>.</w:t>
      </w:r>
      <w:r w:rsidR="00D176B7" w:rsidRPr="005A7285">
        <w:rPr>
          <w:rStyle w:val="EndnoteReference"/>
          <w:rFonts w:eastAsia="Times New Roman" w:cstheme="minorHAnsi"/>
        </w:rPr>
        <w:endnoteReference w:id="18"/>
      </w:r>
      <w:r w:rsidR="00D176B7" w:rsidRPr="005A7285">
        <w:rPr>
          <w:rFonts w:cstheme="minorHAnsi"/>
        </w:rPr>
        <w:t xml:space="preserve"> </w:t>
      </w:r>
      <w:r w:rsidR="00D176B7" w:rsidRPr="005A7285">
        <w:rPr>
          <w:rFonts w:eastAsia="Times New Roman" w:cstheme="minorHAnsi"/>
        </w:rPr>
        <w:t xml:space="preserve"> </w:t>
      </w:r>
      <w:r w:rsidR="008467FB">
        <w:rPr>
          <w:rFonts w:eastAsia="Times New Roman" w:cstheme="minorHAnsi"/>
        </w:rPr>
        <w:t>T</w:t>
      </w:r>
      <w:r w:rsidR="008262F7" w:rsidRPr="008262F7">
        <w:rPr>
          <w:rFonts w:cstheme="minorHAnsi"/>
        </w:rPr>
        <w:t>he Declaration on the Elimination of Violence Against Women</w:t>
      </w:r>
      <w:r w:rsidR="00313441">
        <w:rPr>
          <w:rFonts w:cstheme="minorHAnsi"/>
        </w:rPr>
        <w:t xml:space="preserve"> (the Declaration)</w:t>
      </w:r>
      <w:r w:rsidR="007B7D2E">
        <w:rPr>
          <w:rFonts w:cstheme="minorHAnsi"/>
        </w:rPr>
        <w:t xml:space="preserve"> </w:t>
      </w:r>
      <w:r w:rsidR="00145403">
        <w:rPr>
          <w:rFonts w:cstheme="minorHAnsi"/>
        </w:rPr>
        <w:t>affirms that</w:t>
      </w:r>
      <w:r w:rsidR="00D176B7">
        <w:rPr>
          <w:rFonts w:cstheme="minorHAnsi"/>
        </w:rPr>
        <w:t xml:space="preserve"> </w:t>
      </w:r>
      <w:r w:rsidR="00145403">
        <w:rPr>
          <w:rFonts w:cstheme="minorHAnsi"/>
        </w:rPr>
        <w:t>violence a</w:t>
      </w:r>
      <w:r w:rsidR="00D176B7">
        <w:rPr>
          <w:rFonts w:cstheme="minorHAnsi"/>
        </w:rPr>
        <w:t xml:space="preserve">gainst </w:t>
      </w:r>
      <w:r w:rsidR="00145403">
        <w:rPr>
          <w:rFonts w:cstheme="minorHAnsi"/>
        </w:rPr>
        <w:t>w</w:t>
      </w:r>
      <w:r w:rsidR="00D176B7">
        <w:rPr>
          <w:rFonts w:cstheme="minorHAnsi"/>
        </w:rPr>
        <w:t xml:space="preserve">omen </w:t>
      </w:r>
      <w:r w:rsidR="007B7D2E">
        <w:rPr>
          <w:rFonts w:cstheme="minorHAnsi"/>
        </w:rPr>
        <w:t>constitutes</w:t>
      </w:r>
      <w:r w:rsidR="008262F7" w:rsidRPr="008262F7">
        <w:rPr>
          <w:rFonts w:cstheme="minorHAnsi"/>
        </w:rPr>
        <w:t xml:space="preserve"> any act of gender-based violence that results in, or is</w:t>
      </w:r>
      <w:r w:rsidR="008262F7" w:rsidRPr="008262F7">
        <w:rPr>
          <w:rFonts w:eastAsia="Times New Roman" w:cstheme="minorHAnsi"/>
        </w:rPr>
        <w:t xml:space="preserve"> likely to result in, physical, sexual or psychological harm or suffering</w:t>
      </w:r>
      <w:r w:rsidR="008262F7">
        <w:rPr>
          <w:rFonts w:cstheme="minorHAnsi"/>
        </w:rPr>
        <w:t xml:space="preserve"> </w:t>
      </w:r>
      <w:r w:rsidR="008262F7" w:rsidRPr="008262F7">
        <w:rPr>
          <w:rFonts w:eastAsia="Times New Roman" w:cstheme="minorHAnsi"/>
        </w:rPr>
        <w:t>to women, including threats of such acts, coercion or arbitrary deprivation of liberty, whether occurring in public or in private life</w:t>
      </w:r>
      <w:r w:rsidR="00AF30B2">
        <w:rPr>
          <w:rFonts w:cstheme="minorHAnsi"/>
        </w:rPr>
        <w:t xml:space="preserve">; and </w:t>
      </w:r>
      <w:r w:rsidR="00573F45">
        <w:rPr>
          <w:rFonts w:cstheme="minorHAnsi"/>
        </w:rPr>
        <w:t>recognizes</w:t>
      </w:r>
      <w:r w:rsidR="00AF30B2">
        <w:rPr>
          <w:rFonts w:cstheme="minorHAnsi"/>
        </w:rPr>
        <w:t xml:space="preserve"> that women are entitled to the equal enjoyment and protection of all human rights and fundamental freedoms, including the right to life, to equality, liberty and security of person, equal protection under the law, free from all forms of discrimination, the highest standard of physical and mental health, just and favourable conditions of work, and not to be subjected to torture, or other cruel, inhuman or degrading treatment </w:t>
      </w:r>
      <w:r w:rsidR="00573F45">
        <w:rPr>
          <w:rFonts w:cstheme="minorHAnsi"/>
        </w:rPr>
        <w:t>or punishment</w:t>
      </w:r>
      <w:r w:rsidR="00B07E3B">
        <w:rPr>
          <w:rFonts w:cstheme="minorHAnsi"/>
        </w:rPr>
        <w:t>.</w:t>
      </w:r>
      <w:r w:rsidR="008262F7">
        <w:rPr>
          <w:rStyle w:val="EndnoteReference"/>
          <w:rFonts w:cstheme="minorHAnsi"/>
        </w:rPr>
        <w:endnoteReference w:id="19"/>
      </w:r>
      <w:r w:rsidR="005A7285">
        <w:rPr>
          <w:rFonts w:cstheme="minorHAnsi"/>
        </w:rPr>
        <w:t xml:space="preserve"> </w:t>
      </w:r>
    </w:p>
    <w:p w14:paraId="0F154EFB" w14:textId="0AAB0CF9" w:rsidR="00313441" w:rsidRDefault="00313441" w:rsidP="008262F7">
      <w:pPr>
        <w:pStyle w:val="HTMLPreformatted"/>
        <w:jc w:val="both"/>
        <w:rPr>
          <w:rFonts w:asciiTheme="minorHAnsi" w:hAnsiTheme="minorHAnsi" w:cstheme="minorHAnsi"/>
          <w:sz w:val="22"/>
          <w:szCs w:val="22"/>
        </w:rPr>
      </w:pPr>
      <w:r>
        <w:rPr>
          <w:rFonts w:asciiTheme="minorHAnsi" w:hAnsiTheme="minorHAnsi" w:cstheme="minorHAnsi"/>
          <w:sz w:val="22"/>
          <w:szCs w:val="22"/>
        </w:rPr>
        <w:lastRenderedPageBreak/>
        <w:t>We</w:t>
      </w:r>
      <w:r w:rsidR="00C441F2">
        <w:rPr>
          <w:rFonts w:asciiTheme="minorHAnsi" w:hAnsiTheme="minorHAnsi" w:cstheme="minorHAnsi"/>
          <w:sz w:val="22"/>
          <w:szCs w:val="22"/>
        </w:rPr>
        <w:t xml:space="preserve"> welcome the </w:t>
      </w:r>
      <w:r w:rsidR="0012505D">
        <w:rPr>
          <w:rFonts w:asciiTheme="minorHAnsi" w:hAnsiTheme="minorHAnsi" w:cstheme="minorHAnsi"/>
          <w:sz w:val="22"/>
          <w:szCs w:val="22"/>
        </w:rPr>
        <w:t>request</w:t>
      </w:r>
      <w:r w:rsidR="00902F63" w:rsidRPr="005A7285">
        <w:rPr>
          <w:rFonts w:asciiTheme="minorHAnsi" w:hAnsiTheme="minorHAnsi" w:cstheme="minorHAnsi"/>
          <w:sz w:val="22"/>
          <w:szCs w:val="22"/>
        </w:rPr>
        <w:t xml:space="preserve"> made in this </w:t>
      </w:r>
      <w:r>
        <w:rPr>
          <w:rFonts w:asciiTheme="minorHAnsi" w:hAnsiTheme="minorHAnsi" w:cstheme="minorHAnsi"/>
          <w:sz w:val="22"/>
          <w:szCs w:val="22"/>
        </w:rPr>
        <w:t xml:space="preserve">draft </w:t>
      </w:r>
      <w:r w:rsidR="00902F63" w:rsidRPr="005A7285">
        <w:rPr>
          <w:rFonts w:asciiTheme="minorHAnsi" w:hAnsiTheme="minorHAnsi" w:cstheme="minorHAnsi"/>
          <w:sz w:val="22"/>
          <w:szCs w:val="22"/>
        </w:rPr>
        <w:t xml:space="preserve">general comment for State Parties to take positive measures to </w:t>
      </w:r>
      <w:r w:rsidR="0012505D">
        <w:rPr>
          <w:rFonts w:asciiTheme="minorHAnsi" w:hAnsiTheme="minorHAnsi" w:cstheme="minorHAnsi"/>
          <w:sz w:val="22"/>
          <w:szCs w:val="22"/>
        </w:rPr>
        <w:t>protect women from certain forms</w:t>
      </w:r>
      <w:r w:rsidR="00902F63" w:rsidRPr="005A7285">
        <w:rPr>
          <w:rFonts w:asciiTheme="minorHAnsi" w:hAnsiTheme="minorHAnsi" w:cstheme="minorHAnsi"/>
          <w:sz w:val="22"/>
          <w:szCs w:val="22"/>
        </w:rPr>
        <w:t xml:space="preserve"> of</w:t>
      </w:r>
      <w:r w:rsidR="00902F63" w:rsidRPr="008262F7">
        <w:rPr>
          <w:rFonts w:asciiTheme="minorHAnsi" w:hAnsiTheme="minorHAnsi" w:cstheme="minorHAnsi"/>
          <w:sz w:val="22"/>
          <w:szCs w:val="22"/>
        </w:rPr>
        <w:t xml:space="preserve"> violence under the chapter “The Duty to Protect Life”. However, </w:t>
      </w:r>
      <w:r>
        <w:rPr>
          <w:rFonts w:asciiTheme="minorHAnsi" w:hAnsiTheme="minorHAnsi" w:cstheme="minorHAnsi"/>
          <w:sz w:val="22"/>
          <w:szCs w:val="22"/>
        </w:rPr>
        <w:t xml:space="preserve">the forms of violence against women </w:t>
      </w:r>
      <w:r w:rsidR="0012505D">
        <w:rPr>
          <w:rFonts w:asciiTheme="minorHAnsi" w:hAnsiTheme="minorHAnsi" w:cstheme="minorHAnsi"/>
          <w:sz w:val="22"/>
          <w:szCs w:val="22"/>
        </w:rPr>
        <w:t>identified</w:t>
      </w:r>
      <w:r>
        <w:rPr>
          <w:rFonts w:asciiTheme="minorHAnsi" w:hAnsiTheme="minorHAnsi" w:cstheme="minorHAnsi"/>
          <w:sz w:val="22"/>
          <w:szCs w:val="22"/>
        </w:rPr>
        <w:t xml:space="preserve"> </w:t>
      </w:r>
      <w:r w:rsidR="00145403">
        <w:rPr>
          <w:rFonts w:asciiTheme="minorHAnsi" w:hAnsiTheme="minorHAnsi" w:cstheme="minorHAnsi"/>
          <w:sz w:val="22"/>
          <w:szCs w:val="22"/>
        </w:rPr>
        <w:t xml:space="preserve">in the current draft </w:t>
      </w:r>
      <w:r>
        <w:rPr>
          <w:rFonts w:asciiTheme="minorHAnsi" w:hAnsiTheme="minorHAnsi" w:cstheme="minorHAnsi"/>
          <w:sz w:val="22"/>
          <w:szCs w:val="22"/>
        </w:rPr>
        <w:t xml:space="preserve">do not encompass all forms of violence that might threaten or </w:t>
      </w:r>
      <w:r w:rsidR="008B142D">
        <w:rPr>
          <w:rFonts w:asciiTheme="minorHAnsi" w:hAnsiTheme="minorHAnsi" w:cstheme="minorHAnsi"/>
          <w:sz w:val="22"/>
          <w:szCs w:val="22"/>
        </w:rPr>
        <w:t>pose</w:t>
      </w:r>
      <w:r>
        <w:rPr>
          <w:rFonts w:asciiTheme="minorHAnsi" w:hAnsiTheme="minorHAnsi" w:cstheme="minorHAnsi"/>
          <w:sz w:val="22"/>
          <w:szCs w:val="22"/>
        </w:rPr>
        <w:t xml:space="preserve"> a risk </w:t>
      </w:r>
      <w:r w:rsidR="008B142D">
        <w:rPr>
          <w:rFonts w:asciiTheme="minorHAnsi" w:hAnsiTheme="minorHAnsi" w:cstheme="minorHAnsi"/>
          <w:sz w:val="22"/>
          <w:szCs w:val="22"/>
        </w:rPr>
        <w:t>to</w:t>
      </w:r>
      <w:r>
        <w:rPr>
          <w:rFonts w:asciiTheme="minorHAnsi" w:hAnsiTheme="minorHAnsi" w:cstheme="minorHAnsi"/>
          <w:sz w:val="22"/>
          <w:szCs w:val="22"/>
        </w:rPr>
        <w:t xml:space="preserve"> a woman’s right to life</w:t>
      </w:r>
      <w:r w:rsidR="004F0CC3">
        <w:rPr>
          <w:rFonts w:asciiTheme="minorHAnsi" w:hAnsiTheme="minorHAnsi" w:cstheme="minorHAnsi"/>
          <w:sz w:val="22"/>
          <w:szCs w:val="22"/>
        </w:rPr>
        <w:t xml:space="preserve"> and which have been </w:t>
      </w:r>
      <w:r>
        <w:rPr>
          <w:rFonts w:asciiTheme="minorHAnsi" w:hAnsiTheme="minorHAnsi" w:cstheme="minorHAnsi"/>
          <w:sz w:val="22"/>
          <w:szCs w:val="22"/>
        </w:rPr>
        <w:t>identifie</w:t>
      </w:r>
      <w:r w:rsidR="004F0CC3">
        <w:rPr>
          <w:rFonts w:asciiTheme="minorHAnsi" w:hAnsiTheme="minorHAnsi" w:cstheme="minorHAnsi"/>
          <w:sz w:val="22"/>
          <w:szCs w:val="22"/>
        </w:rPr>
        <w:t>d in the Declaration mentioned above, e.g. physical, sexual and psychological violence occurring in the family, community or perpetrated or condone</w:t>
      </w:r>
      <w:r w:rsidR="008B142D">
        <w:rPr>
          <w:rFonts w:asciiTheme="minorHAnsi" w:hAnsiTheme="minorHAnsi" w:cstheme="minorHAnsi"/>
          <w:sz w:val="22"/>
          <w:szCs w:val="22"/>
        </w:rPr>
        <w:t>d</w:t>
      </w:r>
      <w:r w:rsidR="004F0CC3">
        <w:rPr>
          <w:rFonts w:asciiTheme="minorHAnsi" w:hAnsiTheme="minorHAnsi" w:cstheme="minorHAnsi"/>
          <w:sz w:val="22"/>
          <w:szCs w:val="22"/>
        </w:rPr>
        <w:t xml:space="preserve"> by the state, including marital rape, female genital mutilation and other traditional practices harmful to women, sexual abuse, rape, trafficking in women and forced prostitution</w:t>
      </w:r>
      <w:r w:rsidR="0012505D">
        <w:rPr>
          <w:rFonts w:asciiTheme="minorHAnsi" w:hAnsiTheme="minorHAnsi" w:cstheme="minorHAnsi"/>
          <w:sz w:val="22"/>
          <w:szCs w:val="22"/>
        </w:rPr>
        <w:t>.</w:t>
      </w:r>
      <w:r w:rsidR="004F0CC3">
        <w:rPr>
          <w:rStyle w:val="EndnoteReference"/>
          <w:rFonts w:asciiTheme="minorHAnsi" w:hAnsiTheme="minorHAnsi" w:cstheme="minorHAnsi"/>
          <w:sz w:val="22"/>
          <w:szCs w:val="22"/>
        </w:rPr>
        <w:endnoteReference w:id="20"/>
      </w:r>
      <w:r w:rsidR="004F0CC3">
        <w:rPr>
          <w:rFonts w:asciiTheme="minorHAnsi" w:hAnsiTheme="minorHAnsi" w:cstheme="minorHAnsi"/>
          <w:sz w:val="22"/>
          <w:szCs w:val="22"/>
        </w:rPr>
        <w:t xml:space="preserve"> </w:t>
      </w:r>
    </w:p>
    <w:p w14:paraId="5F1D6434" w14:textId="77777777" w:rsidR="00E76ED6" w:rsidRDefault="00E76ED6" w:rsidP="008262F7">
      <w:pPr>
        <w:pStyle w:val="HTMLPreformatted"/>
        <w:jc w:val="both"/>
        <w:rPr>
          <w:rFonts w:asciiTheme="minorHAnsi" w:hAnsiTheme="minorHAnsi" w:cstheme="minorHAnsi"/>
          <w:sz w:val="22"/>
          <w:szCs w:val="22"/>
        </w:rPr>
      </w:pPr>
    </w:p>
    <w:p w14:paraId="3708254D" w14:textId="1FE3ECD3" w:rsidR="00902F63" w:rsidRPr="008262F7" w:rsidRDefault="00083B02" w:rsidP="008262F7">
      <w:pPr>
        <w:pStyle w:val="HTMLPreformatted"/>
        <w:jc w:val="both"/>
        <w:rPr>
          <w:rFonts w:asciiTheme="minorHAnsi" w:hAnsiTheme="minorHAnsi" w:cstheme="minorHAnsi"/>
          <w:sz w:val="22"/>
          <w:szCs w:val="22"/>
        </w:rPr>
      </w:pPr>
      <w:r>
        <w:rPr>
          <w:rFonts w:asciiTheme="minorHAnsi" w:hAnsiTheme="minorHAnsi" w:cstheme="minorHAnsi"/>
          <w:sz w:val="22"/>
          <w:szCs w:val="22"/>
        </w:rPr>
        <w:t>Considering</w:t>
      </w:r>
      <w:r w:rsidR="000A3A1A">
        <w:rPr>
          <w:rFonts w:asciiTheme="minorHAnsi" w:hAnsiTheme="minorHAnsi" w:cstheme="minorHAnsi"/>
          <w:sz w:val="22"/>
          <w:szCs w:val="22"/>
        </w:rPr>
        <w:t xml:space="preserve"> the recent agreement </w:t>
      </w:r>
      <w:r w:rsidR="00902F63" w:rsidRPr="008262F7">
        <w:rPr>
          <w:rFonts w:asciiTheme="minorHAnsi" w:hAnsiTheme="minorHAnsi" w:cstheme="minorHAnsi"/>
          <w:sz w:val="22"/>
          <w:szCs w:val="22"/>
        </w:rPr>
        <w:t>by C</w:t>
      </w:r>
      <w:r w:rsidR="00145403">
        <w:rPr>
          <w:rFonts w:asciiTheme="minorHAnsi" w:hAnsiTheme="minorHAnsi" w:cstheme="minorHAnsi"/>
          <w:sz w:val="22"/>
          <w:szCs w:val="22"/>
        </w:rPr>
        <w:t>EDAW</w:t>
      </w:r>
      <w:r w:rsidR="0024101E">
        <w:rPr>
          <w:rFonts w:asciiTheme="minorHAnsi" w:hAnsiTheme="minorHAnsi" w:cstheme="minorHAnsi"/>
          <w:sz w:val="22"/>
          <w:szCs w:val="22"/>
        </w:rPr>
        <w:t xml:space="preserve"> in its General Recommendation 35</w:t>
      </w:r>
      <w:r w:rsidR="00B07E3B">
        <w:rPr>
          <w:rFonts w:asciiTheme="minorHAnsi" w:hAnsiTheme="minorHAnsi" w:cstheme="minorHAnsi"/>
          <w:sz w:val="22"/>
          <w:szCs w:val="22"/>
        </w:rPr>
        <w:t>,</w:t>
      </w:r>
      <w:r w:rsidR="00145403">
        <w:rPr>
          <w:rStyle w:val="EndnoteReference"/>
          <w:rFonts w:asciiTheme="minorHAnsi" w:hAnsiTheme="minorHAnsi" w:cstheme="minorHAnsi"/>
          <w:sz w:val="22"/>
          <w:szCs w:val="22"/>
        </w:rPr>
        <w:endnoteReference w:id="21"/>
      </w:r>
      <w:r w:rsidR="000A3A1A">
        <w:rPr>
          <w:rFonts w:asciiTheme="minorHAnsi" w:hAnsiTheme="minorHAnsi" w:cstheme="minorHAnsi"/>
          <w:sz w:val="22"/>
          <w:szCs w:val="22"/>
        </w:rPr>
        <w:t xml:space="preserve"> a </w:t>
      </w:r>
      <w:r w:rsidR="00902F63" w:rsidRPr="008262F7">
        <w:rPr>
          <w:rFonts w:asciiTheme="minorHAnsi" w:hAnsiTheme="minorHAnsi" w:cstheme="minorHAnsi"/>
          <w:sz w:val="22"/>
          <w:szCs w:val="22"/>
        </w:rPr>
        <w:t xml:space="preserve">broader term </w:t>
      </w:r>
      <w:r w:rsidR="000A3A1A">
        <w:rPr>
          <w:rFonts w:asciiTheme="minorHAnsi" w:hAnsiTheme="minorHAnsi" w:cstheme="minorHAnsi"/>
          <w:sz w:val="22"/>
          <w:szCs w:val="22"/>
        </w:rPr>
        <w:t xml:space="preserve">referring to </w:t>
      </w:r>
      <w:r w:rsidR="00902F63" w:rsidRPr="008262F7">
        <w:rPr>
          <w:rFonts w:asciiTheme="minorHAnsi" w:hAnsiTheme="minorHAnsi" w:cstheme="minorHAnsi"/>
          <w:sz w:val="22"/>
          <w:szCs w:val="22"/>
        </w:rPr>
        <w:t xml:space="preserve">gender-based violence against women </w:t>
      </w:r>
      <w:r w:rsidR="000A3A1A">
        <w:rPr>
          <w:rFonts w:asciiTheme="minorHAnsi" w:hAnsiTheme="minorHAnsi" w:cstheme="minorHAnsi"/>
          <w:sz w:val="22"/>
          <w:szCs w:val="22"/>
        </w:rPr>
        <w:t>could</w:t>
      </w:r>
      <w:r w:rsidR="00902F63" w:rsidRPr="008262F7">
        <w:rPr>
          <w:rFonts w:asciiTheme="minorHAnsi" w:hAnsiTheme="minorHAnsi" w:cstheme="minorHAnsi"/>
          <w:sz w:val="22"/>
          <w:szCs w:val="22"/>
        </w:rPr>
        <w:t xml:space="preserve"> be used throughout the text, and thus ensure that all forms of violence against women are included</w:t>
      </w:r>
      <w:r w:rsidR="00897478">
        <w:rPr>
          <w:rFonts w:asciiTheme="minorHAnsi" w:hAnsiTheme="minorHAnsi" w:cstheme="minorHAnsi"/>
          <w:sz w:val="22"/>
          <w:szCs w:val="22"/>
        </w:rPr>
        <w:t xml:space="preserve"> as they may constitute a threat </w:t>
      </w:r>
      <w:r w:rsidR="0041133B">
        <w:rPr>
          <w:rFonts w:asciiTheme="minorHAnsi" w:hAnsiTheme="minorHAnsi" w:cstheme="minorHAnsi"/>
          <w:sz w:val="22"/>
          <w:szCs w:val="22"/>
        </w:rPr>
        <w:t xml:space="preserve">or a risk </w:t>
      </w:r>
      <w:r w:rsidR="00897478">
        <w:rPr>
          <w:rFonts w:asciiTheme="minorHAnsi" w:hAnsiTheme="minorHAnsi" w:cstheme="minorHAnsi"/>
          <w:sz w:val="22"/>
          <w:szCs w:val="22"/>
        </w:rPr>
        <w:t>to a woman’s right to life</w:t>
      </w:r>
      <w:r w:rsidR="00902F63" w:rsidRPr="008262F7">
        <w:rPr>
          <w:rFonts w:asciiTheme="minorHAnsi" w:hAnsiTheme="minorHAnsi" w:cstheme="minorHAnsi"/>
          <w:sz w:val="22"/>
          <w:szCs w:val="22"/>
        </w:rPr>
        <w:t xml:space="preserve">.  </w:t>
      </w:r>
      <w:r w:rsidR="0024101E">
        <w:rPr>
          <w:rFonts w:asciiTheme="minorHAnsi" w:hAnsiTheme="minorHAnsi" w:cstheme="minorHAnsi"/>
          <w:sz w:val="22"/>
          <w:szCs w:val="22"/>
        </w:rPr>
        <w:t xml:space="preserve">It </w:t>
      </w:r>
      <w:r w:rsidR="00902F63" w:rsidRPr="008262F7">
        <w:rPr>
          <w:rFonts w:asciiTheme="minorHAnsi" w:hAnsiTheme="minorHAnsi" w:cstheme="minorHAnsi"/>
          <w:sz w:val="22"/>
          <w:szCs w:val="22"/>
        </w:rPr>
        <w:t xml:space="preserve">should also </w:t>
      </w:r>
      <w:r w:rsidR="0024101E" w:rsidRPr="008262F7">
        <w:rPr>
          <w:rFonts w:asciiTheme="minorHAnsi" w:hAnsiTheme="minorHAnsi" w:cstheme="minorHAnsi"/>
          <w:sz w:val="22"/>
          <w:szCs w:val="22"/>
        </w:rPr>
        <w:t>contain</w:t>
      </w:r>
      <w:r w:rsidR="00902F63" w:rsidRPr="008262F7">
        <w:rPr>
          <w:rFonts w:asciiTheme="minorHAnsi" w:hAnsiTheme="minorHAnsi" w:cstheme="minorHAnsi"/>
          <w:sz w:val="22"/>
          <w:szCs w:val="22"/>
        </w:rPr>
        <w:t xml:space="preserve"> a call on State Parties to develop and/or implement legislative and other measures to prevent and combat </w:t>
      </w:r>
      <w:r w:rsidR="00EF6BC5">
        <w:rPr>
          <w:rFonts w:asciiTheme="minorHAnsi" w:hAnsiTheme="minorHAnsi" w:cstheme="minorHAnsi"/>
          <w:sz w:val="22"/>
          <w:szCs w:val="22"/>
        </w:rPr>
        <w:t xml:space="preserve">discrimination and </w:t>
      </w:r>
      <w:r w:rsidR="00902F63" w:rsidRPr="008262F7">
        <w:rPr>
          <w:rFonts w:asciiTheme="minorHAnsi" w:hAnsiTheme="minorHAnsi" w:cstheme="minorHAnsi"/>
          <w:sz w:val="22"/>
          <w:szCs w:val="22"/>
        </w:rPr>
        <w:t xml:space="preserve">gender based violence against women, </w:t>
      </w:r>
      <w:r w:rsidR="0024101E">
        <w:rPr>
          <w:rFonts w:asciiTheme="minorHAnsi" w:hAnsiTheme="minorHAnsi" w:cstheme="minorHAnsi"/>
          <w:sz w:val="22"/>
          <w:szCs w:val="22"/>
        </w:rPr>
        <w:t>including</w:t>
      </w:r>
      <w:r w:rsidR="00902F63" w:rsidRPr="008262F7">
        <w:rPr>
          <w:rFonts w:asciiTheme="minorHAnsi" w:hAnsiTheme="minorHAnsi" w:cstheme="minorHAnsi"/>
          <w:sz w:val="22"/>
          <w:szCs w:val="22"/>
        </w:rPr>
        <w:t xml:space="preserve"> </w:t>
      </w:r>
      <w:r w:rsidR="008B142D">
        <w:rPr>
          <w:rFonts w:asciiTheme="minorHAnsi" w:hAnsiTheme="minorHAnsi" w:cstheme="minorHAnsi"/>
          <w:sz w:val="22"/>
          <w:szCs w:val="22"/>
        </w:rPr>
        <w:t xml:space="preserve">integrating </w:t>
      </w:r>
      <w:r w:rsidR="00897478">
        <w:rPr>
          <w:rFonts w:asciiTheme="minorHAnsi" w:hAnsiTheme="minorHAnsi" w:cstheme="minorHAnsi"/>
          <w:sz w:val="22"/>
          <w:szCs w:val="22"/>
        </w:rPr>
        <w:t>gender equality content</w:t>
      </w:r>
      <w:r w:rsidR="008B142D">
        <w:rPr>
          <w:rFonts w:asciiTheme="minorHAnsi" w:hAnsiTheme="minorHAnsi" w:cstheme="minorHAnsi"/>
          <w:sz w:val="22"/>
          <w:szCs w:val="22"/>
        </w:rPr>
        <w:t xml:space="preserve"> and</w:t>
      </w:r>
      <w:r w:rsidR="00897478">
        <w:rPr>
          <w:rFonts w:asciiTheme="minorHAnsi" w:hAnsiTheme="minorHAnsi" w:cstheme="minorHAnsi"/>
          <w:sz w:val="22"/>
          <w:szCs w:val="22"/>
        </w:rPr>
        <w:t xml:space="preserve"> evidence-based and scientifically accurate </w:t>
      </w:r>
      <w:r w:rsidR="00902F63" w:rsidRPr="008262F7">
        <w:rPr>
          <w:rFonts w:asciiTheme="minorHAnsi" w:hAnsiTheme="minorHAnsi" w:cstheme="minorHAnsi"/>
          <w:sz w:val="22"/>
          <w:szCs w:val="22"/>
        </w:rPr>
        <w:t>comprehensive sexuality education</w:t>
      </w:r>
      <w:r w:rsidR="008B142D">
        <w:rPr>
          <w:rFonts w:asciiTheme="minorHAnsi" w:hAnsiTheme="minorHAnsi" w:cstheme="minorHAnsi"/>
          <w:sz w:val="22"/>
          <w:szCs w:val="22"/>
        </w:rPr>
        <w:t xml:space="preserve"> into </w:t>
      </w:r>
      <w:r w:rsidR="0024101E">
        <w:rPr>
          <w:rFonts w:asciiTheme="minorHAnsi" w:hAnsiTheme="minorHAnsi" w:cstheme="minorHAnsi"/>
          <w:sz w:val="22"/>
          <w:szCs w:val="22"/>
        </w:rPr>
        <w:t xml:space="preserve">school </w:t>
      </w:r>
      <w:r w:rsidR="008B142D">
        <w:rPr>
          <w:rFonts w:asciiTheme="minorHAnsi" w:hAnsiTheme="minorHAnsi" w:cstheme="minorHAnsi"/>
          <w:sz w:val="22"/>
          <w:szCs w:val="22"/>
        </w:rPr>
        <w:t>curricula at all levels;</w:t>
      </w:r>
      <w:r w:rsidR="00902F63" w:rsidRPr="008262F7">
        <w:rPr>
          <w:rFonts w:asciiTheme="minorHAnsi" w:hAnsiTheme="minorHAnsi" w:cstheme="minorHAnsi"/>
          <w:sz w:val="22"/>
          <w:szCs w:val="22"/>
        </w:rPr>
        <w:t xml:space="preserve"> </w:t>
      </w:r>
      <w:r w:rsidR="008B142D">
        <w:rPr>
          <w:rFonts w:asciiTheme="minorHAnsi" w:hAnsiTheme="minorHAnsi" w:cstheme="minorHAnsi"/>
          <w:sz w:val="22"/>
          <w:szCs w:val="22"/>
        </w:rPr>
        <w:t xml:space="preserve">conducting </w:t>
      </w:r>
      <w:r w:rsidR="00902F63" w:rsidRPr="008262F7">
        <w:rPr>
          <w:rFonts w:asciiTheme="minorHAnsi" w:hAnsiTheme="minorHAnsi" w:cstheme="minorHAnsi"/>
          <w:sz w:val="22"/>
          <w:szCs w:val="22"/>
        </w:rPr>
        <w:t>awareness-raising campaigns</w:t>
      </w:r>
      <w:r w:rsidR="008B142D">
        <w:rPr>
          <w:rFonts w:asciiTheme="minorHAnsi" w:hAnsiTheme="minorHAnsi" w:cstheme="minorHAnsi"/>
          <w:sz w:val="22"/>
          <w:szCs w:val="22"/>
        </w:rPr>
        <w:t>;</w:t>
      </w:r>
      <w:r w:rsidR="00902F63" w:rsidRPr="008262F7">
        <w:rPr>
          <w:rFonts w:asciiTheme="minorHAnsi" w:hAnsiTheme="minorHAnsi" w:cstheme="minorHAnsi"/>
          <w:sz w:val="22"/>
          <w:szCs w:val="22"/>
        </w:rPr>
        <w:t xml:space="preserve"> ensur</w:t>
      </w:r>
      <w:r w:rsidR="008B142D">
        <w:rPr>
          <w:rFonts w:asciiTheme="minorHAnsi" w:hAnsiTheme="minorHAnsi" w:cstheme="minorHAnsi"/>
          <w:sz w:val="22"/>
          <w:szCs w:val="22"/>
        </w:rPr>
        <w:t>ing</w:t>
      </w:r>
      <w:r w:rsidR="00902F63" w:rsidRPr="008262F7">
        <w:rPr>
          <w:rFonts w:asciiTheme="minorHAnsi" w:hAnsiTheme="minorHAnsi" w:cstheme="minorHAnsi"/>
          <w:sz w:val="22"/>
          <w:szCs w:val="22"/>
        </w:rPr>
        <w:t xml:space="preserve"> that victims/survivors have access to free or low-cost high</w:t>
      </w:r>
      <w:r w:rsidR="008B142D">
        <w:rPr>
          <w:rFonts w:asciiTheme="minorHAnsi" w:hAnsiTheme="minorHAnsi" w:cstheme="minorHAnsi"/>
          <w:sz w:val="22"/>
          <w:szCs w:val="22"/>
        </w:rPr>
        <w:t>-</w:t>
      </w:r>
      <w:r w:rsidR="00902F63" w:rsidRPr="008262F7">
        <w:rPr>
          <w:rFonts w:asciiTheme="minorHAnsi" w:hAnsiTheme="minorHAnsi" w:cstheme="minorHAnsi"/>
          <w:sz w:val="22"/>
          <w:szCs w:val="22"/>
        </w:rPr>
        <w:t xml:space="preserve">quality legal aid, </w:t>
      </w:r>
      <w:r w:rsidR="008B142D">
        <w:rPr>
          <w:rFonts w:asciiTheme="minorHAnsi" w:hAnsiTheme="minorHAnsi" w:cstheme="minorHAnsi"/>
          <w:sz w:val="22"/>
          <w:szCs w:val="22"/>
        </w:rPr>
        <w:t xml:space="preserve">compassionate </w:t>
      </w:r>
      <w:r w:rsidR="00902F63" w:rsidRPr="008262F7">
        <w:rPr>
          <w:rFonts w:asciiTheme="minorHAnsi" w:hAnsiTheme="minorHAnsi" w:cstheme="minorHAnsi"/>
          <w:sz w:val="22"/>
          <w:szCs w:val="22"/>
        </w:rPr>
        <w:t>medical, psychosocial and counselling service</w:t>
      </w:r>
      <w:r w:rsidR="008B142D">
        <w:rPr>
          <w:rFonts w:asciiTheme="minorHAnsi" w:hAnsiTheme="minorHAnsi" w:cstheme="minorHAnsi"/>
          <w:sz w:val="22"/>
          <w:szCs w:val="22"/>
        </w:rPr>
        <w:t>s</w:t>
      </w:r>
      <w:r w:rsidR="00902F63" w:rsidRPr="008262F7">
        <w:rPr>
          <w:rFonts w:asciiTheme="minorHAnsi" w:hAnsiTheme="minorHAnsi" w:cstheme="minorHAnsi"/>
          <w:sz w:val="22"/>
          <w:szCs w:val="22"/>
        </w:rPr>
        <w:t>, including timely and comprehensive mental, sexual and reproductive health services</w:t>
      </w:r>
      <w:r w:rsidR="007F0D38">
        <w:rPr>
          <w:rFonts w:asciiTheme="minorHAnsi" w:hAnsiTheme="minorHAnsi" w:cstheme="minorHAnsi"/>
          <w:sz w:val="22"/>
          <w:szCs w:val="22"/>
        </w:rPr>
        <w:t>, including emergency contraception and HIV Post Exposure Prophylaxis (PEP)</w:t>
      </w:r>
      <w:r w:rsidR="00B07E3B">
        <w:rPr>
          <w:rFonts w:asciiTheme="minorHAnsi" w:hAnsiTheme="minorHAnsi" w:cstheme="minorHAnsi"/>
          <w:sz w:val="22"/>
          <w:szCs w:val="22"/>
        </w:rPr>
        <w:t>,</w:t>
      </w:r>
      <w:r w:rsidR="00902F63" w:rsidRPr="008262F7">
        <w:rPr>
          <w:rStyle w:val="EndnoteReference"/>
          <w:rFonts w:asciiTheme="minorHAnsi" w:hAnsiTheme="minorHAnsi" w:cstheme="minorHAnsi"/>
          <w:sz w:val="22"/>
          <w:szCs w:val="22"/>
        </w:rPr>
        <w:endnoteReference w:id="22"/>
      </w:r>
      <w:r w:rsidR="00FE0B6B">
        <w:rPr>
          <w:rFonts w:asciiTheme="minorHAnsi" w:hAnsiTheme="minorHAnsi" w:cstheme="minorHAnsi"/>
          <w:sz w:val="22"/>
          <w:szCs w:val="22"/>
        </w:rPr>
        <w:t xml:space="preserve"> </w:t>
      </w:r>
      <w:r w:rsidR="00FE0B6B" w:rsidRPr="00FE0B6B">
        <w:rPr>
          <w:rFonts w:asciiTheme="minorHAnsi" w:hAnsiTheme="minorHAnsi" w:cstheme="minorHAnsi"/>
          <w:sz w:val="22"/>
          <w:szCs w:val="22"/>
        </w:rPr>
        <w:t>and addressing impunity in cases of violence and discrimination threatening the life of women</w:t>
      </w:r>
      <w:r w:rsidR="00902F63" w:rsidRPr="008262F7">
        <w:rPr>
          <w:rFonts w:asciiTheme="minorHAnsi" w:hAnsiTheme="minorHAnsi" w:cstheme="minorHAnsi"/>
          <w:sz w:val="22"/>
          <w:szCs w:val="22"/>
        </w:rPr>
        <w:t xml:space="preserve">. </w:t>
      </w:r>
    </w:p>
    <w:bookmarkEnd w:id="1"/>
    <w:p w14:paraId="4E8BD9FB" w14:textId="77777777" w:rsidR="00902F63" w:rsidRPr="008262F7" w:rsidRDefault="00902F63" w:rsidP="00902F63">
      <w:pPr>
        <w:jc w:val="both"/>
        <w:rPr>
          <w:rFonts w:cstheme="minorHAnsi"/>
        </w:rPr>
      </w:pPr>
      <w:r w:rsidRPr="008262F7">
        <w:rPr>
          <w:rFonts w:cstheme="minorHAnsi"/>
        </w:rPr>
        <w:t xml:space="preserve">  </w:t>
      </w:r>
      <w:r w:rsidR="004708EF">
        <w:rPr>
          <w:rFonts w:cstheme="minorHAnsi"/>
        </w:rPr>
        <w:t xml:space="preserve"> </w:t>
      </w:r>
    </w:p>
    <w:p w14:paraId="6636584F" w14:textId="6754154E" w:rsidR="00902F63" w:rsidRPr="009F797F" w:rsidRDefault="009F797F" w:rsidP="009F797F">
      <w:pPr>
        <w:pStyle w:val="ListParagraph"/>
        <w:numPr>
          <w:ilvl w:val="0"/>
          <w:numId w:val="2"/>
        </w:numPr>
        <w:rPr>
          <w:rFonts w:cstheme="minorHAnsi"/>
        </w:rPr>
      </w:pPr>
      <w:r w:rsidRPr="009F797F">
        <w:rPr>
          <w:rFonts w:cstheme="minorHAnsi"/>
          <w:b/>
        </w:rPr>
        <w:t xml:space="preserve">Right to Life </w:t>
      </w:r>
      <w:r w:rsidR="0024101E">
        <w:rPr>
          <w:rFonts w:cstheme="minorHAnsi"/>
          <w:b/>
        </w:rPr>
        <w:t xml:space="preserve">and </w:t>
      </w:r>
      <w:r w:rsidR="006535A2">
        <w:rPr>
          <w:rFonts w:cstheme="minorHAnsi"/>
          <w:b/>
        </w:rPr>
        <w:t xml:space="preserve">Lesbian, </w:t>
      </w:r>
      <w:r w:rsidR="008B142D">
        <w:rPr>
          <w:rFonts w:cstheme="minorHAnsi"/>
          <w:b/>
        </w:rPr>
        <w:t>G</w:t>
      </w:r>
      <w:r w:rsidR="006535A2">
        <w:rPr>
          <w:rFonts w:cstheme="minorHAnsi"/>
          <w:b/>
        </w:rPr>
        <w:t xml:space="preserve">ay, </w:t>
      </w:r>
      <w:r w:rsidR="008B142D">
        <w:rPr>
          <w:rFonts w:cstheme="minorHAnsi"/>
          <w:b/>
        </w:rPr>
        <w:t>B</w:t>
      </w:r>
      <w:r w:rsidR="006535A2">
        <w:rPr>
          <w:rFonts w:cstheme="minorHAnsi"/>
          <w:b/>
        </w:rPr>
        <w:t xml:space="preserve">isexual, </w:t>
      </w:r>
      <w:r w:rsidR="008B142D">
        <w:rPr>
          <w:rFonts w:cstheme="minorHAnsi"/>
          <w:b/>
        </w:rPr>
        <w:t>T</w:t>
      </w:r>
      <w:r w:rsidR="006535A2">
        <w:rPr>
          <w:rFonts w:cstheme="minorHAnsi"/>
          <w:b/>
        </w:rPr>
        <w:t xml:space="preserve">ransgender and </w:t>
      </w:r>
      <w:r w:rsidR="008B142D">
        <w:rPr>
          <w:rFonts w:cstheme="minorHAnsi"/>
          <w:b/>
        </w:rPr>
        <w:t>I</w:t>
      </w:r>
      <w:r w:rsidR="0024101E">
        <w:rPr>
          <w:rFonts w:cstheme="minorHAnsi"/>
          <w:b/>
        </w:rPr>
        <w:t>nter</w:t>
      </w:r>
      <w:r w:rsidR="006535A2">
        <w:rPr>
          <w:rFonts w:cstheme="minorHAnsi"/>
          <w:b/>
        </w:rPr>
        <w:t>sex (LGBTI) persons</w:t>
      </w:r>
      <w:r w:rsidRPr="009F797F">
        <w:rPr>
          <w:rFonts w:cstheme="minorHAnsi"/>
          <w:b/>
        </w:rPr>
        <w:t xml:space="preserve"> Rights</w:t>
      </w:r>
    </w:p>
    <w:p w14:paraId="282C81A8" w14:textId="799FD3F2" w:rsidR="00794031" w:rsidRDefault="008443F3" w:rsidP="00E76ED6">
      <w:pPr>
        <w:jc w:val="both"/>
        <w:rPr>
          <w:rFonts w:eastAsia="Times New Roman" w:cstheme="minorHAnsi"/>
        </w:rPr>
      </w:pPr>
      <w:r>
        <w:rPr>
          <w:rFonts w:cstheme="minorHAnsi"/>
        </w:rPr>
        <w:t>W</w:t>
      </w:r>
      <w:r w:rsidR="002C7AD8">
        <w:rPr>
          <w:rFonts w:cstheme="minorHAnsi"/>
        </w:rPr>
        <w:t xml:space="preserve">e welcome the reference to LGBTI persons in the list of </w:t>
      </w:r>
      <w:r w:rsidR="00D52904">
        <w:rPr>
          <w:rFonts w:cstheme="minorHAnsi"/>
        </w:rPr>
        <w:t xml:space="preserve">vulnerable </w:t>
      </w:r>
      <w:r w:rsidR="002C7AD8">
        <w:rPr>
          <w:rFonts w:cstheme="minorHAnsi"/>
        </w:rPr>
        <w:t xml:space="preserve">groups </w:t>
      </w:r>
      <w:r w:rsidR="00D52904">
        <w:rPr>
          <w:rFonts w:cstheme="minorHAnsi"/>
        </w:rPr>
        <w:t>to whom the</w:t>
      </w:r>
      <w:r w:rsidR="002C7AD8">
        <w:rPr>
          <w:rFonts w:cstheme="minorHAnsi"/>
        </w:rPr>
        <w:t xml:space="preserve"> State Party has the duty to protect </w:t>
      </w:r>
      <w:r w:rsidR="00D52904">
        <w:rPr>
          <w:rFonts w:cstheme="minorHAnsi"/>
        </w:rPr>
        <w:t xml:space="preserve">and </w:t>
      </w:r>
      <w:r w:rsidR="00EF6BC5">
        <w:rPr>
          <w:rFonts w:cstheme="minorHAnsi"/>
        </w:rPr>
        <w:t xml:space="preserve">the call to </w:t>
      </w:r>
      <w:r w:rsidR="00D52904">
        <w:rPr>
          <w:rFonts w:cstheme="minorHAnsi"/>
        </w:rPr>
        <w:t>adopt special measures to guarantee their right to life</w:t>
      </w:r>
      <w:r w:rsidR="002C7AD8" w:rsidRPr="00FE0B6B">
        <w:rPr>
          <w:rFonts w:cstheme="minorHAnsi"/>
        </w:rPr>
        <w:t xml:space="preserve">. </w:t>
      </w:r>
      <w:r w:rsidR="00FE0B6B" w:rsidRPr="00FE0B6B">
        <w:rPr>
          <w:rFonts w:cstheme="minorHAnsi"/>
        </w:rPr>
        <w:t xml:space="preserve">We also </w:t>
      </w:r>
      <w:r w:rsidR="00794031">
        <w:rPr>
          <w:rFonts w:cstheme="minorHAnsi"/>
        </w:rPr>
        <w:t>support</w:t>
      </w:r>
      <w:r w:rsidR="00794031" w:rsidRPr="00FE0B6B">
        <w:rPr>
          <w:rFonts w:cstheme="minorHAnsi"/>
        </w:rPr>
        <w:t xml:space="preserve"> </w:t>
      </w:r>
      <w:r w:rsidR="00FE0B6B" w:rsidRPr="00FE0B6B">
        <w:rPr>
          <w:rFonts w:cstheme="minorHAnsi"/>
        </w:rPr>
        <w:t xml:space="preserve">the recognition that the death penalty </w:t>
      </w:r>
      <w:r w:rsidR="008B142D">
        <w:rPr>
          <w:rFonts w:cstheme="minorHAnsi"/>
        </w:rPr>
        <w:t>should never</w:t>
      </w:r>
      <w:r w:rsidR="008B142D" w:rsidRPr="00FE0B6B">
        <w:rPr>
          <w:rFonts w:cstheme="minorHAnsi"/>
        </w:rPr>
        <w:t xml:space="preserve"> </w:t>
      </w:r>
      <w:r w:rsidR="00FE0B6B" w:rsidRPr="00FE0B6B">
        <w:rPr>
          <w:rFonts w:cstheme="minorHAnsi"/>
        </w:rPr>
        <w:t xml:space="preserve">be applied, under </w:t>
      </w:r>
      <w:r w:rsidR="008B142D">
        <w:rPr>
          <w:rFonts w:cstheme="minorHAnsi"/>
        </w:rPr>
        <w:t>any</w:t>
      </w:r>
      <w:r w:rsidR="008B142D" w:rsidRPr="00FE0B6B">
        <w:rPr>
          <w:rFonts w:cstheme="minorHAnsi"/>
        </w:rPr>
        <w:t xml:space="preserve"> </w:t>
      </w:r>
      <w:r w:rsidR="00FE0B6B" w:rsidRPr="00FE0B6B">
        <w:rPr>
          <w:rFonts w:cstheme="minorHAnsi"/>
        </w:rPr>
        <w:t xml:space="preserve">circumstances, based on an individual’s sexual orientation. </w:t>
      </w:r>
      <w:r w:rsidR="000A7022" w:rsidRPr="00FE0B6B">
        <w:rPr>
          <w:rFonts w:cstheme="minorHAnsi"/>
        </w:rPr>
        <w:t>However, the General Comment falls short in addressing discrimination</w:t>
      </w:r>
      <w:r w:rsidR="000A7022">
        <w:rPr>
          <w:rFonts w:cstheme="minorHAnsi"/>
        </w:rPr>
        <w:t xml:space="preserve"> and violence against LGBTI persons, </w:t>
      </w:r>
      <w:r w:rsidR="005178E8">
        <w:rPr>
          <w:rFonts w:cstheme="minorHAnsi"/>
        </w:rPr>
        <w:t>in particular</w:t>
      </w:r>
      <w:r w:rsidR="009E20E4">
        <w:rPr>
          <w:rFonts w:cstheme="minorHAnsi"/>
        </w:rPr>
        <w:t xml:space="preserve"> </w:t>
      </w:r>
      <w:r w:rsidR="000A7022">
        <w:rPr>
          <w:rFonts w:cstheme="minorHAnsi"/>
        </w:rPr>
        <w:t xml:space="preserve">discriminatory laws, </w:t>
      </w:r>
      <w:r w:rsidR="00220E59">
        <w:rPr>
          <w:rFonts w:cstheme="minorHAnsi"/>
        </w:rPr>
        <w:t>pr</w:t>
      </w:r>
      <w:r w:rsidR="00522608">
        <w:rPr>
          <w:rFonts w:cstheme="minorHAnsi"/>
        </w:rPr>
        <w:t xml:space="preserve">osecution and </w:t>
      </w:r>
      <w:r w:rsidR="00AC64A7">
        <w:rPr>
          <w:rFonts w:cstheme="minorHAnsi"/>
        </w:rPr>
        <w:t xml:space="preserve">punishments, </w:t>
      </w:r>
      <w:r w:rsidR="00522608">
        <w:rPr>
          <w:rFonts w:cstheme="minorHAnsi"/>
        </w:rPr>
        <w:t xml:space="preserve">including </w:t>
      </w:r>
      <w:r w:rsidR="00AC64A7">
        <w:rPr>
          <w:rFonts w:cstheme="minorHAnsi"/>
        </w:rPr>
        <w:t xml:space="preserve">the death penalty, </w:t>
      </w:r>
      <w:r w:rsidR="00794031">
        <w:rPr>
          <w:rFonts w:cstheme="minorHAnsi"/>
        </w:rPr>
        <w:t xml:space="preserve">“conversion therapy,” </w:t>
      </w:r>
      <w:r w:rsidR="000A7022">
        <w:rPr>
          <w:rFonts w:cstheme="minorHAnsi"/>
        </w:rPr>
        <w:t>negative stereotypes, prejudices and hate speech against them</w:t>
      </w:r>
      <w:r w:rsidR="00EF6BC5">
        <w:rPr>
          <w:rFonts w:cstheme="minorHAnsi"/>
        </w:rPr>
        <w:t xml:space="preserve"> that may constitute a threat or a risk for their lives</w:t>
      </w:r>
      <w:r w:rsidR="000A7022">
        <w:rPr>
          <w:rFonts w:cstheme="minorHAnsi"/>
        </w:rPr>
        <w:t xml:space="preserve">, recognized in various </w:t>
      </w:r>
      <w:r w:rsidR="00A75F27">
        <w:rPr>
          <w:rFonts w:cstheme="minorHAnsi"/>
        </w:rPr>
        <w:t xml:space="preserve">Committee </w:t>
      </w:r>
      <w:r w:rsidR="000A7022">
        <w:rPr>
          <w:rFonts w:cstheme="minorHAnsi"/>
        </w:rPr>
        <w:t>Concluding Observations</w:t>
      </w:r>
      <w:r w:rsidR="00B07E3B">
        <w:rPr>
          <w:rFonts w:cstheme="minorHAnsi"/>
        </w:rPr>
        <w:t>.</w:t>
      </w:r>
      <w:r w:rsidR="000A7022">
        <w:rPr>
          <w:rStyle w:val="EndnoteReference"/>
          <w:rFonts w:cstheme="minorHAnsi"/>
        </w:rPr>
        <w:endnoteReference w:id="23"/>
      </w:r>
      <w:r w:rsidR="000A7022">
        <w:rPr>
          <w:rFonts w:cstheme="minorHAnsi"/>
        </w:rPr>
        <w:t xml:space="preserve"> </w:t>
      </w:r>
      <w:r w:rsidR="00EF6BC5">
        <w:rPr>
          <w:rFonts w:cstheme="minorHAnsi"/>
        </w:rPr>
        <w:t xml:space="preserve">As the Independent </w:t>
      </w:r>
      <w:r w:rsidR="00EF6BC5" w:rsidRPr="00AC64A7">
        <w:rPr>
          <w:rFonts w:cstheme="minorHAnsi"/>
        </w:rPr>
        <w:t xml:space="preserve">Expert </w:t>
      </w:r>
      <w:r w:rsidR="00AC64A7" w:rsidRPr="00AC64A7">
        <w:rPr>
          <w:rFonts w:cstheme="minorHAnsi"/>
        </w:rPr>
        <w:t>o</w:t>
      </w:r>
      <w:r w:rsidR="00AC64A7" w:rsidRPr="00AC64A7">
        <w:rPr>
          <w:rFonts w:eastAsia="Times New Roman" w:cstheme="minorHAnsi"/>
        </w:rPr>
        <w:t>n protection against violence and discrimination based on sexual orientation and gender identity</w:t>
      </w:r>
      <w:r w:rsidR="00AC64A7">
        <w:rPr>
          <w:rFonts w:eastAsia="Times New Roman" w:cstheme="minorHAnsi"/>
        </w:rPr>
        <w:t xml:space="preserve"> </w:t>
      </w:r>
      <w:r w:rsidR="00B8402F">
        <w:rPr>
          <w:rFonts w:eastAsia="Times New Roman" w:cstheme="minorHAnsi"/>
        </w:rPr>
        <w:t>summarizes</w:t>
      </w:r>
      <w:r w:rsidR="00AC64A7">
        <w:rPr>
          <w:rFonts w:eastAsia="Times New Roman" w:cstheme="minorHAnsi"/>
        </w:rPr>
        <w:t xml:space="preserve"> in his report to the UN General Assembly, “</w:t>
      </w:r>
      <w:r w:rsidR="00EF6BC5" w:rsidRPr="00EF6BC5">
        <w:rPr>
          <w:rFonts w:eastAsia="Times New Roman" w:cstheme="minorHAnsi"/>
        </w:rPr>
        <w:t>The criminalization of consensual same-sex relations between adults of the same sex violates States’</w:t>
      </w:r>
      <w:r w:rsidR="00AC64A7">
        <w:rPr>
          <w:rFonts w:eastAsia="Times New Roman" w:cstheme="minorHAnsi"/>
        </w:rPr>
        <w:t xml:space="preserve"> </w:t>
      </w:r>
      <w:r w:rsidR="00EF6BC5" w:rsidRPr="00EF6BC5">
        <w:rPr>
          <w:rFonts w:eastAsia="Times New Roman" w:cstheme="minorHAnsi"/>
        </w:rPr>
        <w:t>obligations under international law, including the obligation</w:t>
      </w:r>
      <w:r w:rsidR="00EF6BC5">
        <w:rPr>
          <w:rFonts w:eastAsia="Times New Roman" w:cstheme="minorHAnsi"/>
        </w:rPr>
        <w:t xml:space="preserve"> </w:t>
      </w:r>
      <w:r w:rsidR="00EF6BC5" w:rsidRPr="00EF6BC5">
        <w:rPr>
          <w:rFonts w:eastAsia="Times New Roman" w:cstheme="minorHAnsi"/>
        </w:rPr>
        <w:t>to protect privacy and to guarantee non-discrimination.</w:t>
      </w:r>
      <w:r w:rsidR="00EF6BC5">
        <w:rPr>
          <w:rFonts w:eastAsia="Times New Roman" w:cstheme="minorHAnsi"/>
        </w:rPr>
        <w:t xml:space="preserve"> </w:t>
      </w:r>
      <w:r w:rsidR="00EF6BC5" w:rsidRPr="00EF6BC5">
        <w:rPr>
          <w:rFonts w:eastAsia="Times New Roman" w:cstheme="minorHAnsi"/>
        </w:rPr>
        <w:t>Such violations occur even when the law is not enforced.</w:t>
      </w:r>
      <w:r w:rsidR="00EF6BC5">
        <w:rPr>
          <w:rFonts w:eastAsia="Times New Roman" w:cstheme="minorHAnsi"/>
        </w:rPr>
        <w:t xml:space="preserve"> </w:t>
      </w:r>
      <w:r w:rsidR="00EF6BC5" w:rsidRPr="00EF6BC5">
        <w:rPr>
          <w:rFonts w:eastAsia="Times New Roman" w:cstheme="minorHAnsi"/>
        </w:rPr>
        <w:t>As such, arrests and detentions on the basis of sexual orientation, gender identity or expression are to be considered arbitrary.</w:t>
      </w:r>
      <w:r w:rsidR="00EF6BC5">
        <w:rPr>
          <w:rFonts w:eastAsia="Times New Roman" w:cstheme="minorHAnsi"/>
        </w:rPr>
        <w:t xml:space="preserve"> </w:t>
      </w:r>
      <w:r w:rsidR="00EF6BC5" w:rsidRPr="00EF6BC5">
        <w:rPr>
          <w:rFonts w:eastAsia="Times New Roman" w:cstheme="minorHAnsi"/>
        </w:rPr>
        <w:t xml:space="preserve">The imposition of the death penalty for offences related to homosexuality violates the right to life as it does not pass the qualification criteria of </w:t>
      </w:r>
      <w:r w:rsidR="00794031">
        <w:rPr>
          <w:rFonts w:eastAsia="Times New Roman" w:cstheme="minorHAnsi"/>
        </w:rPr>
        <w:t>‘</w:t>
      </w:r>
      <w:r w:rsidR="00EF6BC5" w:rsidRPr="00EF6BC5">
        <w:rPr>
          <w:rFonts w:eastAsia="Times New Roman" w:cstheme="minorHAnsi"/>
        </w:rPr>
        <w:t>most serious crimes</w:t>
      </w:r>
      <w:r w:rsidR="00794031">
        <w:rPr>
          <w:rFonts w:eastAsia="Times New Roman" w:cstheme="minorHAnsi"/>
        </w:rPr>
        <w:t>’</w:t>
      </w:r>
      <w:r w:rsidR="00EF6BC5" w:rsidRPr="00EF6BC5">
        <w:rPr>
          <w:rFonts w:eastAsia="Times New Roman" w:cstheme="minorHAnsi"/>
        </w:rPr>
        <w:t xml:space="preserve">, as provided for in article 6 of the International Covenant on Civil and Political </w:t>
      </w:r>
      <w:r w:rsidR="00EF6BC5" w:rsidRPr="00AC64A7">
        <w:rPr>
          <w:rFonts w:eastAsia="Times New Roman" w:cstheme="minorHAnsi"/>
        </w:rPr>
        <w:t xml:space="preserve">Rights. </w:t>
      </w:r>
      <w:r w:rsidR="000A7022" w:rsidRPr="00AC64A7">
        <w:rPr>
          <w:rFonts w:cstheme="minorHAnsi"/>
        </w:rPr>
        <w:t xml:space="preserve"> </w:t>
      </w:r>
      <w:r w:rsidR="00EF6BC5" w:rsidRPr="00EF6BC5">
        <w:rPr>
          <w:rFonts w:eastAsia="Times New Roman" w:cstheme="minorHAnsi"/>
        </w:rPr>
        <w:t>Criminalization of same-sex relations also fuels stigma, legitimizes prejudice and exposes people to family and institutional violence and further human rights abuses such as hate crimes, death threats and torture</w:t>
      </w:r>
      <w:r w:rsidR="00B8402F">
        <w:rPr>
          <w:rFonts w:eastAsia="Times New Roman" w:cstheme="minorHAnsi"/>
        </w:rPr>
        <w:t>”</w:t>
      </w:r>
      <w:r w:rsidR="00B07E3B">
        <w:rPr>
          <w:rFonts w:eastAsia="Times New Roman" w:cstheme="minorHAnsi"/>
        </w:rPr>
        <w:t>.</w:t>
      </w:r>
      <w:r w:rsidR="00B8402F">
        <w:rPr>
          <w:rStyle w:val="EndnoteReference"/>
          <w:rFonts w:eastAsia="Times New Roman" w:cstheme="minorHAnsi"/>
        </w:rPr>
        <w:endnoteReference w:id="24"/>
      </w:r>
      <w:r w:rsidR="00EF6BC5" w:rsidRPr="00EF6BC5">
        <w:rPr>
          <w:rFonts w:eastAsia="Times New Roman" w:cstheme="minorHAnsi"/>
        </w:rPr>
        <w:t xml:space="preserve"> </w:t>
      </w:r>
    </w:p>
    <w:p w14:paraId="4E76C8F8" w14:textId="2DB9F3DB" w:rsidR="00AE29EC" w:rsidRDefault="00B8402F" w:rsidP="00794031">
      <w:pPr>
        <w:jc w:val="both"/>
        <w:rPr>
          <w:rFonts w:eastAsia="Times New Roman" w:cstheme="minorHAnsi"/>
        </w:rPr>
      </w:pPr>
      <w:r>
        <w:rPr>
          <w:rFonts w:eastAsia="Times New Roman" w:cstheme="minorHAnsi"/>
        </w:rPr>
        <w:t>For these reasons, th</w:t>
      </w:r>
      <w:r w:rsidR="00860F93">
        <w:rPr>
          <w:rFonts w:eastAsia="Times New Roman" w:cstheme="minorHAnsi"/>
        </w:rPr>
        <w:t>e</w:t>
      </w:r>
      <w:r>
        <w:rPr>
          <w:rFonts w:eastAsia="Times New Roman" w:cstheme="minorHAnsi"/>
        </w:rPr>
        <w:t xml:space="preserve"> General Comment should include a strong call for States Parties to decriminalize same-sex relations between adults and take all necessary measures in law and in practice to ensure</w:t>
      </w:r>
      <w:r w:rsidR="00860F93">
        <w:rPr>
          <w:rFonts w:eastAsia="Times New Roman" w:cstheme="minorHAnsi"/>
        </w:rPr>
        <w:t xml:space="preserve"> protection, respect and fulfillment of the right to life of LGBTI persons.</w:t>
      </w:r>
    </w:p>
    <w:p w14:paraId="7657E3BE" w14:textId="77777777" w:rsidR="00AE29EC" w:rsidRDefault="00AE29EC" w:rsidP="00AE29EC">
      <w:pPr>
        <w:spacing w:after="0" w:line="240" w:lineRule="auto"/>
        <w:jc w:val="center"/>
        <w:rPr>
          <w:rFonts w:cstheme="minorHAnsi"/>
          <w:b/>
          <w:i/>
          <w:sz w:val="24"/>
          <w:szCs w:val="24"/>
        </w:rPr>
      </w:pPr>
      <w:r w:rsidRPr="00AE29EC">
        <w:rPr>
          <w:rFonts w:cstheme="minorHAnsi"/>
          <w:b/>
          <w:i/>
          <w:sz w:val="24"/>
          <w:szCs w:val="24"/>
        </w:rPr>
        <w:lastRenderedPageBreak/>
        <w:t>List of Civil Society Organizations Signatories</w:t>
      </w:r>
      <w:r>
        <w:rPr>
          <w:rFonts w:cstheme="minorHAnsi"/>
          <w:b/>
          <w:i/>
          <w:sz w:val="24"/>
          <w:szCs w:val="24"/>
        </w:rPr>
        <w:t xml:space="preserve"> to</w:t>
      </w:r>
    </w:p>
    <w:p w14:paraId="7A5EC539" w14:textId="069DFF4D" w:rsidR="00AE29EC" w:rsidRPr="00AE29EC" w:rsidRDefault="00AE29EC" w:rsidP="00AE29EC">
      <w:pPr>
        <w:spacing w:after="0" w:line="240" w:lineRule="auto"/>
        <w:jc w:val="center"/>
        <w:rPr>
          <w:rFonts w:eastAsia="Times New Roman" w:cstheme="minorHAnsi"/>
          <w:b/>
          <w:bCs/>
          <w:i/>
          <w:sz w:val="24"/>
          <w:szCs w:val="24"/>
        </w:rPr>
      </w:pPr>
      <w:r w:rsidRPr="00AE29EC">
        <w:rPr>
          <w:rFonts w:cstheme="minorHAnsi"/>
          <w:b/>
          <w:i/>
          <w:sz w:val="24"/>
          <w:szCs w:val="24"/>
        </w:rPr>
        <w:t xml:space="preserve"> </w:t>
      </w:r>
      <w:r w:rsidRPr="00AE29EC">
        <w:rPr>
          <w:rFonts w:eastAsia="Times New Roman" w:cstheme="minorHAnsi"/>
          <w:b/>
          <w:bCs/>
          <w:i/>
          <w:sz w:val="24"/>
          <w:szCs w:val="24"/>
        </w:rPr>
        <w:t>Written Contribution to the Human Rights Committee</w:t>
      </w:r>
    </w:p>
    <w:p w14:paraId="20C11B3D" w14:textId="77777777" w:rsidR="00AE29EC" w:rsidRPr="00AE29EC" w:rsidRDefault="00AE29EC" w:rsidP="00AE29EC">
      <w:pPr>
        <w:spacing w:after="0" w:line="240" w:lineRule="auto"/>
        <w:jc w:val="center"/>
        <w:rPr>
          <w:rFonts w:eastAsia="Times New Roman" w:cstheme="minorHAnsi"/>
          <w:b/>
          <w:bCs/>
          <w:i/>
          <w:sz w:val="24"/>
          <w:szCs w:val="24"/>
        </w:rPr>
      </w:pPr>
      <w:r w:rsidRPr="00AE29EC">
        <w:rPr>
          <w:rFonts w:eastAsia="Times New Roman" w:cstheme="minorHAnsi"/>
          <w:b/>
          <w:bCs/>
          <w:i/>
          <w:sz w:val="24"/>
          <w:szCs w:val="24"/>
        </w:rPr>
        <w:t>Revised draft of General Comment 36 on Article 6 (Right to Life)</w:t>
      </w:r>
    </w:p>
    <w:p w14:paraId="782798F6" w14:textId="2CBAE7E1" w:rsidR="00AE29EC" w:rsidRPr="00AE29EC" w:rsidRDefault="00AE29EC" w:rsidP="00794031">
      <w:pPr>
        <w:jc w:val="both"/>
        <w:rPr>
          <w:rFonts w:cstheme="minorHAnsi"/>
          <w:b/>
          <w:i/>
          <w:sz w:val="24"/>
          <w:szCs w:val="24"/>
        </w:rPr>
      </w:pPr>
    </w:p>
    <w:p w14:paraId="35B18953" w14:textId="3F569890" w:rsidR="00AE29EC" w:rsidRPr="00AE29EC" w:rsidRDefault="00AE29EC" w:rsidP="00794031">
      <w:pPr>
        <w:jc w:val="both"/>
        <w:rPr>
          <w:rFonts w:cstheme="minorHAnsi"/>
          <w:b/>
          <w:i/>
          <w:sz w:val="24"/>
          <w:szCs w:val="24"/>
        </w:rPr>
      </w:pPr>
      <w:r w:rsidRPr="00AE29EC">
        <w:rPr>
          <w:rFonts w:cstheme="minorHAnsi"/>
          <w:b/>
          <w:i/>
          <w:sz w:val="24"/>
          <w:szCs w:val="24"/>
        </w:rPr>
        <w:t xml:space="preserve">International Planned Parenthood Federation (IPPF), </w:t>
      </w:r>
    </w:p>
    <w:p w14:paraId="44945CC0" w14:textId="77777777" w:rsidR="00AE29EC" w:rsidRPr="00AE29EC" w:rsidRDefault="00AE29EC" w:rsidP="00794031">
      <w:pPr>
        <w:jc w:val="both"/>
        <w:rPr>
          <w:rFonts w:cstheme="minorHAnsi"/>
          <w:b/>
          <w:i/>
          <w:sz w:val="24"/>
          <w:szCs w:val="24"/>
        </w:rPr>
      </w:pPr>
      <w:r w:rsidRPr="00AE29EC">
        <w:rPr>
          <w:rFonts w:cstheme="minorHAnsi"/>
          <w:b/>
          <w:i/>
          <w:sz w:val="24"/>
          <w:szCs w:val="24"/>
        </w:rPr>
        <w:t xml:space="preserve">Asian-Pacific Resource and Research Center for Women (ARROW), </w:t>
      </w:r>
    </w:p>
    <w:p w14:paraId="20912BCD" w14:textId="77777777" w:rsidR="00AE29EC" w:rsidRPr="00AE29EC" w:rsidRDefault="00AE29EC" w:rsidP="00794031">
      <w:pPr>
        <w:jc w:val="both"/>
        <w:rPr>
          <w:rFonts w:cstheme="minorHAnsi"/>
          <w:b/>
          <w:bCs/>
          <w:i/>
          <w:sz w:val="24"/>
          <w:szCs w:val="24"/>
          <w:lang w:val="en-GB"/>
        </w:rPr>
      </w:pPr>
      <w:r w:rsidRPr="00AE29EC">
        <w:rPr>
          <w:rFonts w:cstheme="minorHAnsi"/>
          <w:b/>
          <w:bCs/>
          <w:i/>
          <w:sz w:val="24"/>
          <w:szCs w:val="24"/>
          <w:lang w:val="en-GB"/>
        </w:rPr>
        <w:t xml:space="preserve">CHOICE for Youth and Sexuality, </w:t>
      </w:r>
    </w:p>
    <w:p w14:paraId="08FE1D66" w14:textId="77777777" w:rsidR="00AE29EC" w:rsidRPr="00AE29EC" w:rsidRDefault="00AE29EC" w:rsidP="00794031">
      <w:pPr>
        <w:jc w:val="both"/>
        <w:rPr>
          <w:rFonts w:cstheme="minorHAnsi"/>
          <w:b/>
          <w:bCs/>
          <w:i/>
          <w:sz w:val="24"/>
          <w:szCs w:val="24"/>
          <w:lang w:val="en-GB"/>
        </w:rPr>
      </w:pPr>
      <w:r w:rsidRPr="00AE29EC">
        <w:rPr>
          <w:rFonts w:cstheme="minorHAnsi"/>
          <w:b/>
          <w:bCs/>
          <w:i/>
          <w:sz w:val="24"/>
          <w:szCs w:val="24"/>
          <w:lang w:val="en-GB"/>
        </w:rPr>
        <w:t xml:space="preserve">Danish Family Planning Association (DFPA), </w:t>
      </w:r>
    </w:p>
    <w:p w14:paraId="24810FE1" w14:textId="77777777" w:rsidR="007F72B3" w:rsidRDefault="007F72B3" w:rsidP="00794031">
      <w:pPr>
        <w:jc w:val="both"/>
        <w:rPr>
          <w:rFonts w:cstheme="minorHAnsi"/>
          <w:b/>
          <w:i/>
          <w:sz w:val="24"/>
          <w:szCs w:val="24"/>
          <w:lang w:val="en-GB"/>
        </w:rPr>
      </w:pPr>
      <w:r>
        <w:rPr>
          <w:rFonts w:cstheme="minorHAnsi"/>
          <w:b/>
          <w:i/>
          <w:sz w:val="24"/>
          <w:szCs w:val="24"/>
          <w:lang w:val="en-GB"/>
        </w:rPr>
        <w:t>Development Alternative with Women for a New Era (DAWN)</w:t>
      </w:r>
    </w:p>
    <w:p w14:paraId="3B3C5057" w14:textId="24106861" w:rsidR="00AE29EC" w:rsidRPr="00AE29EC" w:rsidRDefault="00AE29EC" w:rsidP="00794031">
      <w:pPr>
        <w:jc w:val="both"/>
        <w:rPr>
          <w:rFonts w:cstheme="minorHAnsi"/>
          <w:b/>
          <w:i/>
          <w:sz w:val="24"/>
          <w:szCs w:val="24"/>
          <w:lang w:val="en-GB"/>
        </w:rPr>
      </w:pPr>
      <w:r w:rsidRPr="00AE29EC">
        <w:rPr>
          <w:rFonts w:cstheme="minorHAnsi"/>
          <w:b/>
          <w:i/>
          <w:sz w:val="24"/>
          <w:szCs w:val="24"/>
          <w:lang w:val="en-GB"/>
        </w:rPr>
        <w:t xml:space="preserve">International Humanist and Ethical Union (IHEU), </w:t>
      </w:r>
    </w:p>
    <w:p w14:paraId="11BCE676" w14:textId="77777777" w:rsidR="00AE29EC" w:rsidRPr="00AE29EC" w:rsidRDefault="00AE29EC" w:rsidP="00794031">
      <w:pPr>
        <w:jc w:val="both"/>
        <w:rPr>
          <w:rFonts w:cstheme="minorHAnsi"/>
          <w:b/>
          <w:i/>
          <w:sz w:val="24"/>
          <w:szCs w:val="24"/>
        </w:rPr>
      </w:pPr>
      <w:r w:rsidRPr="00AE29EC">
        <w:rPr>
          <w:rFonts w:cstheme="minorHAnsi"/>
          <w:b/>
          <w:i/>
          <w:sz w:val="24"/>
          <w:szCs w:val="24"/>
          <w:lang w:eastAsia="nl-NL"/>
        </w:rPr>
        <w:t>Rutgers</w:t>
      </w:r>
      <w:r w:rsidRPr="00AE29EC">
        <w:rPr>
          <w:rFonts w:cstheme="minorHAnsi"/>
          <w:b/>
          <w:i/>
          <w:sz w:val="24"/>
          <w:szCs w:val="24"/>
        </w:rPr>
        <w:t xml:space="preserve">, </w:t>
      </w:r>
    </w:p>
    <w:p w14:paraId="51CCEC67" w14:textId="4B44B14C" w:rsidR="00AE29EC" w:rsidRPr="00AE29EC" w:rsidRDefault="00AE29EC" w:rsidP="00794031">
      <w:pPr>
        <w:jc w:val="both"/>
        <w:rPr>
          <w:rFonts w:eastAsia="Times New Roman" w:cstheme="minorHAnsi"/>
          <w:sz w:val="24"/>
          <w:szCs w:val="24"/>
        </w:rPr>
      </w:pPr>
      <w:r w:rsidRPr="00AE29EC">
        <w:rPr>
          <w:rFonts w:cstheme="minorHAnsi"/>
          <w:b/>
          <w:i/>
          <w:sz w:val="24"/>
          <w:szCs w:val="24"/>
        </w:rPr>
        <w:t>Swedish</w:t>
      </w:r>
      <w:r w:rsidRPr="00AE29EC">
        <w:rPr>
          <w:b/>
          <w:i/>
          <w:sz w:val="24"/>
          <w:szCs w:val="24"/>
        </w:rPr>
        <w:t xml:space="preserve"> Association for Sexuality Education</w:t>
      </w:r>
      <w:r w:rsidRPr="00AE29EC">
        <w:rPr>
          <w:rFonts w:cstheme="minorHAnsi"/>
          <w:b/>
          <w:i/>
          <w:sz w:val="24"/>
          <w:szCs w:val="24"/>
        </w:rPr>
        <w:t xml:space="preserve"> (RFSU)</w:t>
      </w:r>
    </w:p>
    <w:p w14:paraId="1832767B" w14:textId="24027FBB" w:rsidR="00AE29EC" w:rsidRDefault="00AE29EC">
      <w:pPr>
        <w:rPr>
          <w:rFonts w:eastAsia="Times New Roman" w:cstheme="minorHAnsi"/>
          <w:sz w:val="24"/>
          <w:szCs w:val="24"/>
        </w:rPr>
      </w:pPr>
      <w:r>
        <w:rPr>
          <w:rFonts w:eastAsia="Times New Roman" w:cstheme="minorHAnsi"/>
          <w:sz w:val="24"/>
          <w:szCs w:val="24"/>
        </w:rPr>
        <w:br w:type="page"/>
      </w:r>
    </w:p>
    <w:p w14:paraId="0EEB009A" w14:textId="77777777" w:rsidR="00EF6BC5" w:rsidRPr="00AE29EC" w:rsidRDefault="00EF6BC5" w:rsidP="00AE29EC">
      <w:pPr>
        <w:rPr>
          <w:rFonts w:eastAsia="Times New Roman" w:cstheme="minorHAnsi"/>
        </w:rPr>
      </w:pPr>
    </w:p>
    <w:sectPr w:rsidR="00EF6BC5" w:rsidRPr="00AE29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AEF51" w14:textId="77777777" w:rsidR="00482EBC" w:rsidRDefault="00482EBC" w:rsidP="00E43CE5">
      <w:pPr>
        <w:spacing w:after="0" w:line="240" w:lineRule="auto"/>
      </w:pPr>
      <w:r>
        <w:separator/>
      </w:r>
    </w:p>
  </w:endnote>
  <w:endnote w:type="continuationSeparator" w:id="0">
    <w:p w14:paraId="2CFCB4B0" w14:textId="77777777" w:rsidR="00482EBC" w:rsidRDefault="00482EBC" w:rsidP="00E43CE5">
      <w:pPr>
        <w:spacing w:after="0" w:line="240" w:lineRule="auto"/>
      </w:pPr>
      <w:r>
        <w:continuationSeparator/>
      </w:r>
    </w:p>
  </w:endnote>
  <w:endnote w:id="1">
    <w:p w14:paraId="6221EB01" w14:textId="7BF4823D" w:rsidR="007A46A7" w:rsidRDefault="007A46A7" w:rsidP="00AE29EC">
      <w:pPr>
        <w:pStyle w:val="EndnoteText"/>
        <w:jc w:val="both"/>
      </w:pPr>
      <w:r>
        <w:rPr>
          <w:rStyle w:val="EndnoteReference"/>
        </w:rPr>
        <w:endnoteRef/>
      </w:r>
      <w:r>
        <w:t xml:space="preserve"> </w:t>
      </w:r>
      <w:r w:rsidRPr="007F7E7E">
        <w:rPr>
          <w:rFonts w:cstheme="minorHAnsi"/>
          <w:sz w:val="18"/>
          <w:szCs w:val="18"/>
        </w:rPr>
        <w:t>See Committee on Economic, Social and Cultural Rights genera</w:t>
      </w:r>
      <w:r>
        <w:rPr>
          <w:rFonts w:cstheme="minorHAnsi"/>
          <w:sz w:val="18"/>
          <w:szCs w:val="18"/>
        </w:rPr>
        <w:t>l comment No.22 (2016), para 10.</w:t>
      </w:r>
    </w:p>
  </w:endnote>
  <w:endnote w:id="2">
    <w:p w14:paraId="7AFCE309" w14:textId="7C87AA1D" w:rsidR="001513CE" w:rsidRPr="007F7E7E" w:rsidRDefault="001513CE" w:rsidP="00AE29EC">
      <w:pPr>
        <w:pStyle w:val="EndnoteText"/>
        <w:jc w:val="both"/>
        <w:rPr>
          <w:rFonts w:cstheme="minorHAnsi"/>
          <w:sz w:val="18"/>
          <w:szCs w:val="18"/>
        </w:rPr>
      </w:pPr>
      <w:r w:rsidRPr="007F7E7E">
        <w:rPr>
          <w:rStyle w:val="EndnoteReference"/>
          <w:sz w:val="18"/>
          <w:szCs w:val="18"/>
        </w:rPr>
        <w:endnoteRef/>
      </w:r>
      <w:r w:rsidR="007A46A7">
        <w:rPr>
          <w:sz w:val="18"/>
          <w:szCs w:val="18"/>
        </w:rPr>
        <w:t>See</w:t>
      </w:r>
      <w:r w:rsidRPr="007F7E7E">
        <w:rPr>
          <w:rFonts w:cstheme="minorHAnsi"/>
          <w:sz w:val="18"/>
          <w:szCs w:val="18"/>
        </w:rPr>
        <w:t xml:space="preserve"> Committee on the Elimination of Discrimination Against Women general comment No.35 (2017), para.15.</w:t>
      </w:r>
    </w:p>
  </w:endnote>
  <w:endnote w:id="3">
    <w:p w14:paraId="529EB858" w14:textId="605D98A8" w:rsidR="005F784D" w:rsidRPr="00FF1137" w:rsidRDefault="005F784D" w:rsidP="00AE29EC">
      <w:pPr>
        <w:pStyle w:val="FootnoteText"/>
        <w:jc w:val="both"/>
        <w:rPr>
          <w:rFonts w:cstheme="minorHAnsi"/>
          <w:sz w:val="18"/>
          <w:szCs w:val="18"/>
        </w:rPr>
      </w:pPr>
      <w:r w:rsidRPr="007F7E7E">
        <w:rPr>
          <w:rStyle w:val="EndnoteReference"/>
          <w:rFonts w:cstheme="minorHAnsi"/>
          <w:sz w:val="18"/>
          <w:szCs w:val="18"/>
        </w:rPr>
        <w:endnoteRef/>
      </w:r>
      <w:r w:rsidRPr="00FF1137">
        <w:rPr>
          <w:rFonts w:cstheme="minorHAnsi"/>
          <w:sz w:val="18"/>
          <w:szCs w:val="18"/>
        </w:rPr>
        <w:t xml:space="preserve"> See, e.g., Bolivia, 22, U.N. Doc. </w:t>
      </w:r>
      <w:r w:rsidRPr="007F7E7E">
        <w:rPr>
          <w:rFonts w:cstheme="minorHAnsi"/>
          <w:sz w:val="18"/>
          <w:szCs w:val="18"/>
          <w:lang w:val="es-419"/>
        </w:rPr>
        <w:t>CCPR/</w:t>
      </w:r>
      <w:r w:rsidR="00AE29EC">
        <w:rPr>
          <w:rFonts w:cstheme="minorHAnsi"/>
          <w:sz w:val="18"/>
          <w:szCs w:val="18"/>
          <w:lang w:val="es-419"/>
        </w:rPr>
        <w:t xml:space="preserve">C/79/Add.74 (1997); Colombia, </w:t>
      </w:r>
      <w:r w:rsidRPr="007F7E7E">
        <w:rPr>
          <w:rFonts w:cstheme="minorHAnsi"/>
          <w:sz w:val="18"/>
          <w:szCs w:val="18"/>
          <w:lang w:val="es-419"/>
        </w:rPr>
        <w:t>24, U.N. Doc. CCPR/C/</w:t>
      </w:r>
      <w:r w:rsidR="00AE29EC">
        <w:rPr>
          <w:rFonts w:cstheme="minorHAnsi"/>
          <w:sz w:val="18"/>
          <w:szCs w:val="18"/>
          <w:lang w:val="es-419"/>
        </w:rPr>
        <w:t xml:space="preserve">79/Add.76 (1997); Costa Rica, </w:t>
      </w:r>
      <w:r w:rsidRPr="007F7E7E">
        <w:rPr>
          <w:rFonts w:cstheme="minorHAnsi"/>
          <w:sz w:val="18"/>
          <w:szCs w:val="18"/>
          <w:lang w:val="es-419"/>
        </w:rPr>
        <w:t>11, U.N. Doc. CCPR/C/79/Add.1</w:t>
      </w:r>
      <w:r>
        <w:rPr>
          <w:rFonts w:cstheme="minorHAnsi"/>
          <w:sz w:val="18"/>
          <w:szCs w:val="18"/>
          <w:lang w:val="es-419"/>
        </w:rPr>
        <w:t xml:space="preserve">07 (1999); </w:t>
      </w:r>
      <w:r w:rsidR="00AE29EC">
        <w:rPr>
          <w:rFonts w:cstheme="minorHAnsi"/>
          <w:sz w:val="18"/>
          <w:szCs w:val="18"/>
          <w:lang w:val="es-419"/>
        </w:rPr>
        <w:t>Ecuatorial</w:t>
      </w:r>
      <w:r>
        <w:rPr>
          <w:rFonts w:cstheme="minorHAnsi"/>
          <w:sz w:val="18"/>
          <w:szCs w:val="18"/>
          <w:lang w:val="es-419"/>
        </w:rPr>
        <w:t xml:space="preserve"> Guinea, </w:t>
      </w:r>
      <w:r w:rsidRPr="007F7E7E">
        <w:rPr>
          <w:rFonts w:cstheme="minorHAnsi"/>
          <w:sz w:val="18"/>
          <w:szCs w:val="18"/>
          <w:lang w:val="es-419"/>
        </w:rPr>
        <w:t xml:space="preserve">9, U.N. Doc. </w:t>
      </w:r>
      <w:r w:rsidRPr="00AE29EC">
        <w:rPr>
          <w:rFonts w:cstheme="minorHAnsi"/>
          <w:sz w:val="18"/>
          <w:szCs w:val="18"/>
        </w:rPr>
        <w:t>C</w:t>
      </w:r>
      <w:r w:rsidR="00AE29EC" w:rsidRPr="00AE29EC">
        <w:rPr>
          <w:rFonts w:cstheme="minorHAnsi"/>
          <w:sz w:val="18"/>
          <w:szCs w:val="18"/>
        </w:rPr>
        <w:t xml:space="preserve">CPR/CO/79/GNQ (2004); Gambia, </w:t>
      </w:r>
      <w:r w:rsidRPr="00AE29EC">
        <w:rPr>
          <w:rFonts w:cstheme="minorHAnsi"/>
          <w:sz w:val="18"/>
          <w:szCs w:val="18"/>
        </w:rPr>
        <w:t xml:space="preserve">17, U.N. Doc. </w:t>
      </w:r>
      <w:r w:rsidRPr="007F7E7E">
        <w:rPr>
          <w:rFonts w:cstheme="minorHAnsi"/>
          <w:sz w:val="18"/>
          <w:szCs w:val="18"/>
        </w:rPr>
        <w:t>CCPR/CO/75/G</w:t>
      </w:r>
      <w:r w:rsidR="00AE29EC">
        <w:rPr>
          <w:rFonts w:cstheme="minorHAnsi"/>
          <w:sz w:val="18"/>
          <w:szCs w:val="18"/>
        </w:rPr>
        <w:t xml:space="preserve">MB (2004); Guatemala, </w:t>
      </w:r>
      <w:r w:rsidRPr="007F7E7E">
        <w:rPr>
          <w:rFonts w:cstheme="minorHAnsi"/>
          <w:sz w:val="18"/>
          <w:szCs w:val="18"/>
        </w:rPr>
        <w:t xml:space="preserve">19, U.N. Doc. </w:t>
      </w:r>
      <w:r w:rsidR="00AE29EC">
        <w:rPr>
          <w:rFonts w:cstheme="minorHAnsi"/>
          <w:sz w:val="18"/>
          <w:szCs w:val="18"/>
        </w:rPr>
        <w:t xml:space="preserve">CCPR/CO/72/GTM (2001); Kenya, </w:t>
      </w:r>
      <w:r w:rsidRPr="007F7E7E">
        <w:rPr>
          <w:rFonts w:cstheme="minorHAnsi"/>
          <w:sz w:val="18"/>
          <w:szCs w:val="18"/>
        </w:rPr>
        <w:t>14, U.N. Doc.</w:t>
      </w:r>
      <w:r w:rsidR="00AE29EC">
        <w:rPr>
          <w:rFonts w:cstheme="minorHAnsi"/>
          <w:sz w:val="18"/>
          <w:szCs w:val="18"/>
        </w:rPr>
        <w:t xml:space="preserve"> CCPR/CO/83/KEN (2005); Mali, </w:t>
      </w:r>
      <w:r w:rsidRPr="007F7E7E">
        <w:rPr>
          <w:rFonts w:cstheme="minorHAnsi"/>
          <w:sz w:val="18"/>
          <w:szCs w:val="18"/>
        </w:rPr>
        <w:t>14, U.N. Doc. CCP</w:t>
      </w:r>
      <w:r w:rsidR="00AE29EC">
        <w:rPr>
          <w:rFonts w:cstheme="minorHAnsi"/>
          <w:sz w:val="18"/>
          <w:szCs w:val="18"/>
        </w:rPr>
        <w:t xml:space="preserve">R/CO/77/MLI (2003); Mongolia, </w:t>
      </w:r>
      <w:r w:rsidRPr="007F7E7E">
        <w:rPr>
          <w:rFonts w:cstheme="minorHAnsi"/>
          <w:sz w:val="18"/>
          <w:szCs w:val="18"/>
        </w:rPr>
        <w:t xml:space="preserve">8(b), U.N. Doc. </w:t>
      </w:r>
      <w:r w:rsidRPr="00FF1137">
        <w:rPr>
          <w:rFonts w:cstheme="minorHAnsi"/>
          <w:sz w:val="18"/>
          <w:szCs w:val="18"/>
        </w:rPr>
        <w:t>CCPR/C/</w:t>
      </w:r>
      <w:r w:rsidR="00AE29EC">
        <w:rPr>
          <w:rFonts w:cstheme="minorHAnsi"/>
          <w:sz w:val="18"/>
          <w:szCs w:val="18"/>
        </w:rPr>
        <w:t xml:space="preserve">79/Add.120 (2000); Paraguay, </w:t>
      </w:r>
      <w:r w:rsidRPr="00FF1137">
        <w:rPr>
          <w:rFonts w:cstheme="minorHAnsi"/>
          <w:sz w:val="18"/>
          <w:szCs w:val="18"/>
        </w:rPr>
        <w:t xml:space="preserve">208, 219 U.N. Doc. CCPR/C/79/Add.48; </w:t>
      </w:r>
      <w:r w:rsidR="00AE29EC">
        <w:rPr>
          <w:rFonts w:cstheme="minorHAnsi"/>
          <w:sz w:val="18"/>
          <w:szCs w:val="18"/>
        </w:rPr>
        <w:t xml:space="preserve">A/50/40 (1995); Paraguay, </w:t>
      </w:r>
      <w:r w:rsidRPr="00FF1137">
        <w:rPr>
          <w:rFonts w:cstheme="minorHAnsi"/>
          <w:sz w:val="18"/>
          <w:szCs w:val="18"/>
        </w:rPr>
        <w:t xml:space="preserve">10, U.N. Doc. </w:t>
      </w:r>
      <w:r w:rsidR="00AE29EC">
        <w:rPr>
          <w:rFonts w:cstheme="minorHAnsi"/>
          <w:sz w:val="18"/>
          <w:szCs w:val="18"/>
        </w:rPr>
        <w:t xml:space="preserve">CCPR/C/PRY/CO/2 (2006); Peru, </w:t>
      </w:r>
      <w:r w:rsidRPr="00AC27A6">
        <w:rPr>
          <w:rFonts w:cstheme="minorHAnsi"/>
          <w:sz w:val="18"/>
          <w:szCs w:val="18"/>
        </w:rPr>
        <w:t>15, U.N. Doc. C</w:t>
      </w:r>
      <w:r w:rsidR="00AE29EC">
        <w:rPr>
          <w:rFonts w:cstheme="minorHAnsi"/>
          <w:sz w:val="18"/>
          <w:szCs w:val="18"/>
        </w:rPr>
        <w:t xml:space="preserve">CPR/C/79/Add.72 (1996); Peru, </w:t>
      </w:r>
      <w:r w:rsidRPr="00AC27A6">
        <w:rPr>
          <w:rFonts w:cstheme="minorHAnsi"/>
          <w:sz w:val="18"/>
          <w:szCs w:val="18"/>
        </w:rPr>
        <w:t>20, U.N. Doc. C</w:t>
      </w:r>
      <w:r w:rsidR="00AE29EC">
        <w:rPr>
          <w:rFonts w:cstheme="minorHAnsi"/>
          <w:sz w:val="18"/>
          <w:szCs w:val="18"/>
        </w:rPr>
        <w:t xml:space="preserve">CPR/CO/70/PER (2000); Poland, </w:t>
      </w:r>
      <w:r w:rsidRPr="00AC27A6">
        <w:rPr>
          <w:rFonts w:cstheme="minorHAnsi"/>
          <w:sz w:val="18"/>
          <w:szCs w:val="18"/>
        </w:rPr>
        <w:t>11, U.N. Doc. CCPR/</w:t>
      </w:r>
      <w:r w:rsidR="00AE29EC">
        <w:rPr>
          <w:rFonts w:cstheme="minorHAnsi"/>
          <w:sz w:val="18"/>
          <w:szCs w:val="18"/>
        </w:rPr>
        <w:t xml:space="preserve">C/79/Add.110 (1999); Senegal, </w:t>
      </w:r>
      <w:r w:rsidRPr="00AC27A6">
        <w:rPr>
          <w:rFonts w:cstheme="minorHAnsi"/>
          <w:sz w:val="18"/>
          <w:szCs w:val="18"/>
        </w:rPr>
        <w:t>12, U.N. Doc. CCPR/C/79/Add 82 (1997)</w:t>
      </w:r>
      <w:r w:rsidR="00AE29EC">
        <w:rPr>
          <w:rFonts w:cstheme="minorHAnsi"/>
          <w:sz w:val="18"/>
          <w:szCs w:val="18"/>
        </w:rPr>
        <w:t xml:space="preserve">; Sudan, </w:t>
      </w:r>
      <w:r w:rsidRPr="00AC27A6">
        <w:rPr>
          <w:rFonts w:cstheme="minorHAnsi"/>
          <w:sz w:val="18"/>
          <w:szCs w:val="18"/>
        </w:rPr>
        <w:t>10, U.N. Doc. CCPR/C/79/Add.85 (1997);</w:t>
      </w:r>
      <w:r w:rsidR="00AE29EC">
        <w:rPr>
          <w:rFonts w:cstheme="minorHAnsi"/>
          <w:sz w:val="18"/>
          <w:szCs w:val="18"/>
        </w:rPr>
        <w:t xml:space="preserve"> United Republic of Tanzania, </w:t>
      </w:r>
      <w:r w:rsidRPr="00AC27A6">
        <w:rPr>
          <w:rFonts w:cstheme="minorHAnsi"/>
          <w:sz w:val="18"/>
          <w:szCs w:val="18"/>
        </w:rPr>
        <w:t xml:space="preserve">15, U.N. Doc. </w:t>
      </w:r>
      <w:r w:rsidRPr="00FF1137">
        <w:rPr>
          <w:rFonts w:cstheme="minorHAnsi"/>
          <w:sz w:val="18"/>
          <w:szCs w:val="18"/>
        </w:rPr>
        <w:t>CCP</w:t>
      </w:r>
      <w:r w:rsidR="00AE29EC">
        <w:rPr>
          <w:rFonts w:cstheme="minorHAnsi"/>
          <w:sz w:val="18"/>
          <w:szCs w:val="18"/>
        </w:rPr>
        <w:t xml:space="preserve">R/C/79/Add.97 (1998); Zambia, </w:t>
      </w:r>
      <w:r w:rsidRPr="00FF1137">
        <w:rPr>
          <w:rFonts w:cstheme="minorHAnsi"/>
          <w:sz w:val="18"/>
          <w:szCs w:val="18"/>
        </w:rPr>
        <w:t>9, U.N. Doc. CCPR/C/79/Add.62 (1996).</w:t>
      </w:r>
    </w:p>
  </w:endnote>
  <w:endnote w:id="4">
    <w:p w14:paraId="2E12ED59" w14:textId="0EF94E9B" w:rsidR="00D41CE3" w:rsidRPr="0097153C" w:rsidRDefault="00D41CE3" w:rsidP="00AE29EC">
      <w:pPr>
        <w:pStyle w:val="Heading1"/>
        <w:spacing w:before="0" w:line="240" w:lineRule="auto"/>
        <w:jc w:val="both"/>
        <w:rPr>
          <w:rFonts w:asciiTheme="minorHAnsi" w:hAnsiTheme="minorHAnsi" w:cstheme="minorHAnsi"/>
          <w:sz w:val="18"/>
          <w:szCs w:val="18"/>
        </w:rPr>
      </w:pPr>
      <w:r w:rsidRPr="00D41CE3">
        <w:rPr>
          <w:rStyle w:val="EndnoteReference"/>
          <w:sz w:val="18"/>
          <w:szCs w:val="18"/>
        </w:rPr>
        <w:endnoteRef/>
      </w:r>
      <w:r w:rsidRPr="00D41CE3">
        <w:rPr>
          <w:sz w:val="18"/>
          <w:szCs w:val="18"/>
        </w:rPr>
        <w:t xml:space="preserve"> </w:t>
      </w:r>
      <w:hyperlink r:id="rId1" w:history="1">
        <w:r w:rsidRPr="0097153C">
          <w:rPr>
            <w:rStyle w:val="Hyperlink"/>
            <w:rFonts w:asciiTheme="minorHAnsi" w:hAnsiTheme="minorHAnsi" w:cstheme="minorHAnsi"/>
            <w:color w:val="2E74B5" w:themeColor="accent1" w:themeShade="BF"/>
            <w:sz w:val="18"/>
            <w:szCs w:val="18"/>
          </w:rPr>
          <w:t xml:space="preserve">WHO </w:t>
        </w:r>
        <w:r w:rsidR="006F5866" w:rsidRPr="0097153C">
          <w:rPr>
            <w:rStyle w:val="Hyperlink"/>
            <w:rFonts w:asciiTheme="minorHAnsi" w:hAnsiTheme="minorHAnsi" w:cstheme="minorHAnsi"/>
            <w:color w:val="2E74B5" w:themeColor="accent1" w:themeShade="BF"/>
            <w:sz w:val="18"/>
            <w:szCs w:val="18"/>
          </w:rPr>
          <w:t>and Guttmacher Institute Study</w:t>
        </w:r>
        <w:r w:rsidR="0097153C" w:rsidRPr="0097153C">
          <w:rPr>
            <w:rStyle w:val="Hyperlink"/>
            <w:rFonts w:asciiTheme="minorHAnsi" w:hAnsiTheme="minorHAnsi" w:cstheme="minorHAnsi"/>
            <w:color w:val="2E74B5" w:themeColor="accent1" w:themeShade="BF"/>
            <w:sz w:val="18"/>
            <w:szCs w:val="18"/>
          </w:rPr>
          <w:t xml:space="preserve"> on </w:t>
        </w:r>
        <w:r w:rsidR="0097153C" w:rsidRPr="0097153C">
          <w:rPr>
            <w:rFonts w:asciiTheme="minorHAnsi" w:hAnsiTheme="minorHAnsi" w:cstheme="minorHAnsi"/>
            <w:sz w:val="18"/>
            <w:szCs w:val="18"/>
            <w:u w:val="single"/>
          </w:rPr>
          <w:t>Global, regional, and sub</w:t>
        </w:r>
        <w:r w:rsidR="00AE29EC">
          <w:rPr>
            <w:rFonts w:asciiTheme="minorHAnsi" w:hAnsiTheme="minorHAnsi" w:cstheme="minorHAnsi"/>
            <w:sz w:val="18"/>
            <w:szCs w:val="18"/>
            <w:u w:val="single"/>
          </w:rPr>
          <w:t>-</w:t>
        </w:r>
        <w:r w:rsidR="0097153C" w:rsidRPr="0097153C">
          <w:rPr>
            <w:rFonts w:asciiTheme="minorHAnsi" w:hAnsiTheme="minorHAnsi" w:cstheme="minorHAnsi"/>
            <w:sz w:val="18"/>
            <w:szCs w:val="18"/>
            <w:u w:val="single"/>
          </w:rPr>
          <w:t>regional classification of abortions by safety, 2010–14: estimates from a Bayesian hierarchical model</w:t>
        </w:r>
        <w:r w:rsidR="0097153C">
          <w:rPr>
            <w:rFonts w:asciiTheme="minorHAnsi" w:hAnsiTheme="minorHAnsi" w:cstheme="minorHAnsi"/>
            <w:sz w:val="18"/>
            <w:szCs w:val="18"/>
          </w:rPr>
          <w:t xml:space="preserve">, </w:t>
        </w:r>
        <w:r w:rsidR="0097153C" w:rsidRPr="0097153C">
          <w:rPr>
            <w:rFonts w:asciiTheme="minorHAnsi" w:hAnsiTheme="minorHAnsi" w:cstheme="minorHAnsi"/>
            <w:color w:val="auto"/>
            <w:sz w:val="18"/>
            <w:szCs w:val="18"/>
          </w:rPr>
          <w:t xml:space="preserve">The </w:t>
        </w:r>
        <w:r w:rsidR="006F5866" w:rsidRPr="0097153C">
          <w:rPr>
            <w:rStyle w:val="Hyperlink"/>
            <w:rFonts w:asciiTheme="minorHAnsi" w:hAnsiTheme="minorHAnsi" w:cstheme="minorHAnsi"/>
            <w:color w:val="auto"/>
            <w:sz w:val="18"/>
            <w:szCs w:val="18"/>
            <w:u w:val="none"/>
          </w:rPr>
          <w:t>Lancet</w:t>
        </w:r>
      </w:hyperlink>
      <w:r w:rsidR="0097153C">
        <w:rPr>
          <w:rStyle w:val="Hyperlink"/>
          <w:rFonts w:asciiTheme="minorHAnsi" w:hAnsiTheme="minorHAnsi" w:cstheme="minorHAnsi"/>
          <w:color w:val="auto"/>
          <w:sz w:val="18"/>
          <w:szCs w:val="18"/>
          <w:u w:val="none"/>
        </w:rPr>
        <w:t>,</w:t>
      </w:r>
      <w:r w:rsidR="006F5866" w:rsidRPr="0097153C">
        <w:rPr>
          <w:rStyle w:val="Hyperlink"/>
          <w:rFonts w:asciiTheme="minorHAnsi" w:hAnsiTheme="minorHAnsi" w:cstheme="minorHAnsi"/>
          <w:color w:val="auto"/>
          <w:sz w:val="18"/>
          <w:szCs w:val="18"/>
          <w:u w:val="none"/>
        </w:rPr>
        <w:t xml:space="preserve"> </w:t>
      </w:r>
      <w:r w:rsidR="0097153C" w:rsidRPr="0097153C">
        <w:rPr>
          <w:rStyle w:val="Hyperlink"/>
          <w:rFonts w:asciiTheme="minorHAnsi" w:hAnsiTheme="minorHAnsi" w:cstheme="minorHAnsi"/>
          <w:color w:val="auto"/>
          <w:sz w:val="18"/>
          <w:szCs w:val="18"/>
          <w:u w:val="none"/>
        </w:rPr>
        <w:t>27</w:t>
      </w:r>
      <w:r w:rsidR="0097153C">
        <w:rPr>
          <w:rStyle w:val="Hyperlink"/>
          <w:rFonts w:asciiTheme="minorHAnsi" w:hAnsiTheme="minorHAnsi" w:cstheme="minorHAnsi"/>
          <w:color w:val="auto"/>
          <w:sz w:val="18"/>
          <w:szCs w:val="18"/>
          <w:u w:val="none"/>
        </w:rPr>
        <w:t xml:space="preserve"> </w:t>
      </w:r>
      <w:r w:rsidR="0097153C">
        <w:rPr>
          <w:rFonts w:asciiTheme="minorHAnsi" w:hAnsiTheme="minorHAnsi" w:cstheme="minorHAnsi"/>
          <w:color w:val="auto"/>
          <w:sz w:val="18"/>
          <w:szCs w:val="18"/>
        </w:rPr>
        <w:t xml:space="preserve">September 2017; and </w:t>
      </w:r>
      <w:hyperlink r:id="rId2" w:history="1">
        <w:r w:rsidR="0097153C" w:rsidRPr="0097153C">
          <w:rPr>
            <w:rStyle w:val="Hyperlink"/>
            <w:rFonts w:asciiTheme="minorHAnsi" w:hAnsiTheme="minorHAnsi" w:cstheme="minorHAnsi"/>
            <w:sz w:val="18"/>
            <w:szCs w:val="18"/>
          </w:rPr>
          <w:t>WHO press release</w:t>
        </w:r>
      </w:hyperlink>
      <w:r w:rsidR="0097153C">
        <w:rPr>
          <w:rFonts w:asciiTheme="minorHAnsi" w:hAnsiTheme="minorHAnsi" w:cstheme="minorHAnsi"/>
          <w:color w:val="auto"/>
          <w:sz w:val="18"/>
          <w:szCs w:val="18"/>
        </w:rPr>
        <w:t xml:space="preserve">. </w:t>
      </w:r>
    </w:p>
  </w:endnote>
  <w:endnote w:id="5">
    <w:p w14:paraId="4E2A5E90" w14:textId="77777777" w:rsidR="00B833F0" w:rsidRPr="00B833F0" w:rsidRDefault="00B833F0" w:rsidP="00AE29EC">
      <w:pPr>
        <w:autoSpaceDE w:val="0"/>
        <w:autoSpaceDN w:val="0"/>
        <w:adjustRightInd w:val="0"/>
        <w:spacing w:after="0" w:line="240" w:lineRule="auto"/>
        <w:jc w:val="both"/>
        <w:rPr>
          <w:rFonts w:cstheme="minorHAnsi"/>
          <w:sz w:val="18"/>
          <w:szCs w:val="18"/>
        </w:rPr>
      </w:pPr>
      <w:r w:rsidRPr="00D41CE3">
        <w:rPr>
          <w:rStyle w:val="EndnoteReference"/>
          <w:rFonts w:cstheme="minorHAnsi"/>
          <w:sz w:val="18"/>
          <w:szCs w:val="18"/>
        </w:rPr>
        <w:endnoteRef/>
      </w:r>
      <w:r w:rsidRPr="00D41CE3">
        <w:rPr>
          <w:rFonts w:cstheme="minorHAnsi"/>
          <w:sz w:val="18"/>
          <w:szCs w:val="18"/>
        </w:rPr>
        <w:t xml:space="preserve"> </w:t>
      </w:r>
      <w:hyperlink r:id="rId3" w:history="1">
        <w:r w:rsidRPr="00D41CE3">
          <w:rPr>
            <w:rStyle w:val="Hyperlink"/>
            <w:rFonts w:cstheme="minorHAnsi"/>
            <w:sz w:val="18"/>
            <w:szCs w:val="18"/>
          </w:rPr>
          <w:t>From risk and harm reduction to decriminalizing abortion: The Uruguayan model for women’s rights</w:t>
        </w:r>
      </w:hyperlink>
      <w:r w:rsidRPr="00B833F0">
        <w:rPr>
          <w:rFonts w:cstheme="minorHAnsi"/>
          <w:sz w:val="18"/>
          <w:szCs w:val="18"/>
        </w:rPr>
        <w:t>, Leonel Briozzo, in International Journal of Gynecology and Obstetrics, vol. 134 (2016), Issue S1, Pages S3-S6</w:t>
      </w:r>
      <w:r w:rsidR="00D41CE3">
        <w:rPr>
          <w:rFonts w:cstheme="minorHAnsi"/>
          <w:sz w:val="18"/>
          <w:szCs w:val="18"/>
        </w:rPr>
        <w:t>.</w:t>
      </w:r>
      <w:r w:rsidRPr="00B833F0">
        <w:rPr>
          <w:rFonts w:cstheme="minorHAnsi"/>
          <w:sz w:val="18"/>
          <w:szCs w:val="18"/>
        </w:rPr>
        <w:t xml:space="preserve"> </w:t>
      </w:r>
    </w:p>
  </w:endnote>
  <w:endnote w:id="6">
    <w:p w14:paraId="4A7A9BDE" w14:textId="023F6642" w:rsidR="00FE0B6B" w:rsidRPr="00D41CE3" w:rsidRDefault="00FE0B6B" w:rsidP="00AE29EC">
      <w:pPr>
        <w:pStyle w:val="EndnoteText"/>
        <w:jc w:val="both"/>
        <w:rPr>
          <w:sz w:val="18"/>
          <w:szCs w:val="18"/>
        </w:rPr>
      </w:pPr>
      <w:r w:rsidRPr="00D41CE3">
        <w:rPr>
          <w:rStyle w:val="EndnoteReference"/>
          <w:sz w:val="18"/>
          <w:szCs w:val="18"/>
        </w:rPr>
        <w:endnoteRef/>
      </w:r>
      <w:r w:rsidRPr="00D41CE3">
        <w:rPr>
          <w:sz w:val="18"/>
          <w:szCs w:val="18"/>
        </w:rPr>
        <w:t xml:space="preserve"> </w:t>
      </w:r>
      <w:r>
        <w:rPr>
          <w:sz w:val="18"/>
          <w:szCs w:val="18"/>
        </w:rPr>
        <w:t xml:space="preserve">See, e.g., Poland </w:t>
      </w:r>
      <w:r>
        <w:rPr>
          <w:rFonts w:cstheme="minorHAnsi"/>
          <w:sz w:val="18"/>
          <w:szCs w:val="18"/>
        </w:rPr>
        <w:t>23, U.N. Doc</w:t>
      </w:r>
      <w:r w:rsidRPr="00D41CE3">
        <w:rPr>
          <w:sz w:val="18"/>
          <w:szCs w:val="18"/>
        </w:rPr>
        <w:t>.</w:t>
      </w:r>
      <w:r>
        <w:rPr>
          <w:sz w:val="18"/>
          <w:szCs w:val="18"/>
        </w:rPr>
        <w:t xml:space="preserve"> CAT/C/POL/CO/5-6.</w:t>
      </w:r>
    </w:p>
  </w:endnote>
  <w:endnote w:id="7">
    <w:p w14:paraId="5CBA8085" w14:textId="5D2F5241" w:rsidR="005F784D" w:rsidRPr="00C70AF7" w:rsidRDefault="005F784D" w:rsidP="00AE29EC">
      <w:pPr>
        <w:pStyle w:val="EndnoteText"/>
        <w:jc w:val="both"/>
        <w:rPr>
          <w:rFonts w:cstheme="minorHAnsi"/>
          <w:sz w:val="18"/>
          <w:szCs w:val="18"/>
        </w:rPr>
      </w:pPr>
      <w:r w:rsidRPr="00B833F0">
        <w:rPr>
          <w:rStyle w:val="EndnoteReference"/>
          <w:rFonts w:cstheme="minorHAnsi"/>
          <w:sz w:val="18"/>
          <w:szCs w:val="18"/>
        </w:rPr>
        <w:endnoteRef/>
      </w:r>
      <w:r w:rsidRPr="00B833F0">
        <w:rPr>
          <w:rFonts w:cstheme="minorHAnsi"/>
          <w:sz w:val="18"/>
          <w:szCs w:val="18"/>
        </w:rPr>
        <w:t xml:space="preserve"> </w:t>
      </w:r>
      <w:r w:rsidR="00AE29EC">
        <w:rPr>
          <w:rFonts w:cstheme="minorHAnsi"/>
          <w:sz w:val="18"/>
          <w:szCs w:val="18"/>
        </w:rPr>
        <w:t xml:space="preserve">See, e.g., Chile, </w:t>
      </w:r>
      <w:r w:rsidRPr="00B833F0">
        <w:rPr>
          <w:rFonts w:cstheme="minorHAnsi"/>
          <w:sz w:val="18"/>
          <w:szCs w:val="18"/>
        </w:rPr>
        <w:t xml:space="preserve">15, U.N. Doc. </w:t>
      </w:r>
      <w:r w:rsidRPr="00B833F0">
        <w:rPr>
          <w:rFonts w:cstheme="minorHAnsi"/>
          <w:sz w:val="18"/>
          <w:szCs w:val="18"/>
          <w:lang w:val="es-419"/>
        </w:rPr>
        <w:t>CCPR/C/79</w:t>
      </w:r>
      <w:r w:rsidR="00AE29EC">
        <w:rPr>
          <w:rFonts w:cstheme="minorHAnsi"/>
          <w:sz w:val="18"/>
          <w:szCs w:val="18"/>
          <w:lang w:val="es-419"/>
        </w:rPr>
        <w:t xml:space="preserve">/Add.104 (1999); El Salvador, </w:t>
      </w:r>
      <w:r w:rsidRPr="00B833F0">
        <w:rPr>
          <w:rFonts w:cstheme="minorHAnsi"/>
          <w:sz w:val="18"/>
          <w:szCs w:val="18"/>
          <w:lang w:val="es-419"/>
        </w:rPr>
        <w:t xml:space="preserve">14, U.N. Doc. </w:t>
      </w:r>
      <w:r w:rsidRPr="00B833F0">
        <w:rPr>
          <w:rFonts w:cstheme="minorHAnsi"/>
          <w:sz w:val="18"/>
          <w:szCs w:val="18"/>
        </w:rPr>
        <w:t xml:space="preserve">CCPR/CO/78/SLV (2004); Guatemala,  19, U.N. Doc. </w:t>
      </w:r>
      <w:r w:rsidR="00AE29EC">
        <w:rPr>
          <w:rFonts w:cstheme="minorHAnsi"/>
          <w:sz w:val="18"/>
          <w:szCs w:val="18"/>
        </w:rPr>
        <w:t xml:space="preserve">CCPR/CO/72/GTM (2001); Kenya, </w:t>
      </w:r>
      <w:r w:rsidRPr="00B833F0">
        <w:rPr>
          <w:rFonts w:cstheme="minorHAnsi"/>
          <w:sz w:val="18"/>
          <w:szCs w:val="18"/>
        </w:rPr>
        <w:t>14, U.N. Doc. CCPR</w:t>
      </w:r>
      <w:r w:rsidR="00AE29EC">
        <w:rPr>
          <w:rFonts w:cstheme="minorHAnsi"/>
          <w:sz w:val="18"/>
          <w:szCs w:val="18"/>
        </w:rPr>
        <w:t xml:space="preserve">/CO/83/KEN (2005); Mauritius, </w:t>
      </w:r>
      <w:r w:rsidRPr="00B833F0">
        <w:rPr>
          <w:rFonts w:cstheme="minorHAnsi"/>
          <w:sz w:val="18"/>
          <w:szCs w:val="18"/>
        </w:rPr>
        <w:t xml:space="preserve">9, U.N. Doc. CCPR/CO/83/MUS (2005); </w:t>
      </w:r>
      <w:r w:rsidR="00AE29EC">
        <w:rPr>
          <w:rFonts w:cstheme="minorHAnsi"/>
          <w:sz w:val="18"/>
          <w:szCs w:val="18"/>
        </w:rPr>
        <w:t xml:space="preserve">Paraguay, </w:t>
      </w:r>
      <w:r w:rsidRPr="00B833F0">
        <w:rPr>
          <w:rFonts w:cstheme="minorHAnsi"/>
          <w:sz w:val="18"/>
          <w:szCs w:val="18"/>
        </w:rPr>
        <w:t xml:space="preserve">10, U.N. Doc. </w:t>
      </w:r>
      <w:r w:rsidR="00AE29EC">
        <w:rPr>
          <w:rFonts w:cstheme="minorHAnsi"/>
          <w:sz w:val="18"/>
          <w:szCs w:val="18"/>
        </w:rPr>
        <w:t xml:space="preserve">CCPR/C/PRY/CO/2 (2006); Peru, </w:t>
      </w:r>
      <w:r w:rsidRPr="00B833F0">
        <w:rPr>
          <w:rFonts w:cstheme="minorHAnsi"/>
          <w:sz w:val="18"/>
          <w:szCs w:val="18"/>
        </w:rPr>
        <w:t>15, U.N</w:t>
      </w:r>
      <w:r w:rsidRPr="00AC27A6">
        <w:rPr>
          <w:rFonts w:cstheme="minorHAnsi"/>
          <w:sz w:val="18"/>
          <w:szCs w:val="18"/>
        </w:rPr>
        <w:t>. Doc. C</w:t>
      </w:r>
      <w:r w:rsidR="00AE29EC">
        <w:rPr>
          <w:rFonts w:cstheme="minorHAnsi"/>
          <w:sz w:val="18"/>
          <w:szCs w:val="18"/>
        </w:rPr>
        <w:t xml:space="preserve">CPR/C/79/Add.72 (1996); Peru, </w:t>
      </w:r>
      <w:r w:rsidRPr="00AC27A6">
        <w:rPr>
          <w:rFonts w:cstheme="minorHAnsi"/>
          <w:sz w:val="18"/>
          <w:szCs w:val="18"/>
        </w:rPr>
        <w:t>20, U.N. Doc. CCPR/CO/70/PER (2000);</w:t>
      </w:r>
      <w:r w:rsidR="00AE29EC">
        <w:rPr>
          <w:rFonts w:cstheme="minorHAnsi"/>
          <w:sz w:val="18"/>
          <w:szCs w:val="18"/>
        </w:rPr>
        <w:t xml:space="preserve"> United Republic of Tanzania, </w:t>
      </w:r>
      <w:r w:rsidRPr="00AC27A6">
        <w:rPr>
          <w:rFonts w:cstheme="minorHAnsi"/>
          <w:sz w:val="18"/>
          <w:szCs w:val="18"/>
        </w:rPr>
        <w:t>15, U.N. Doc. CCPR/C/79/Add.97</w:t>
      </w:r>
      <w:r w:rsidR="00AE29EC">
        <w:rPr>
          <w:rFonts w:cstheme="minorHAnsi"/>
          <w:sz w:val="18"/>
          <w:szCs w:val="18"/>
        </w:rPr>
        <w:t xml:space="preserve"> (1998); Trinidad and Tobago, 18, U</w:t>
      </w:r>
      <w:r w:rsidRPr="00AC27A6">
        <w:rPr>
          <w:rFonts w:cstheme="minorHAnsi"/>
          <w:sz w:val="18"/>
          <w:szCs w:val="18"/>
        </w:rPr>
        <w:t>N Doc. CCPR/CO</w:t>
      </w:r>
      <w:r w:rsidR="00AE29EC">
        <w:rPr>
          <w:rFonts w:cstheme="minorHAnsi"/>
          <w:sz w:val="18"/>
          <w:szCs w:val="18"/>
        </w:rPr>
        <w:t xml:space="preserve">/70/TTO (2000); Venezuela, </w:t>
      </w:r>
      <w:r w:rsidRPr="00AC27A6">
        <w:rPr>
          <w:rFonts w:cstheme="minorHAnsi"/>
          <w:sz w:val="18"/>
          <w:szCs w:val="18"/>
        </w:rPr>
        <w:t>19, U.N. Doc. CC</w:t>
      </w:r>
      <w:r w:rsidR="00AE29EC">
        <w:rPr>
          <w:rFonts w:cstheme="minorHAnsi"/>
          <w:sz w:val="18"/>
          <w:szCs w:val="18"/>
        </w:rPr>
        <w:t xml:space="preserve">PR/CO/71/VEN (2001); Vietnam, </w:t>
      </w:r>
      <w:r w:rsidRPr="00AC27A6">
        <w:rPr>
          <w:rFonts w:cstheme="minorHAnsi"/>
          <w:sz w:val="18"/>
          <w:szCs w:val="18"/>
        </w:rPr>
        <w:t>15, U.N. Doc</w:t>
      </w:r>
      <w:r w:rsidRPr="00C70AF7">
        <w:rPr>
          <w:rFonts w:cstheme="minorHAnsi"/>
          <w:sz w:val="18"/>
          <w:szCs w:val="18"/>
        </w:rPr>
        <w:t>. CCPR/CO/75/VNM (2002).</w:t>
      </w:r>
    </w:p>
  </w:endnote>
  <w:endnote w:id="8">
    <w:p w14:paraId="79E1453B" w14:textId="77777777" w:rsidR="00B55227" w:rsidRPr="006B49B0" w:rsidRDefault="00B55227" w:rsidP="00AE29EC">
      <w:pPr>
        <w:pStyle w:val="EndnoteText"/>
        <w:jc w:val="both"/>
        <w:rPr>
          <w:sz w:val="18"/>
          <w:szCs w:val="18"/>
        </w:rPr>
      </w:pPr>
      <w:r w:rsidRPr="006B49B0">
        <w:rPr>
          <w:rStyle w:val="EndnoteReference"/>
          <w:sz w:val="18"/>
          <w:szCs w:val="18"/>
        </w:rPr>
        <w:endnoteRef/>
      </w:r>
      <w:r w:rsidRPr="006B49B0">
        <w:rPr>
          <w:sz w:val="18"/>
          <w:szCs w:val="18"/>
        </w:rPr>
        <w:t xml:space="preserve"> Committee on Human Rights, General Comment No.28: Article 3 (The equality of rights between men and women), 2000, para 10, 11, 20</w:t>
      </w:r>
      <w:r>
        <w:rPr>
          <w:sz w:val="18"/>
          <w:szCs w:val="18"/>
        </w:rPr>
        <w:t xml:space="preserve">. </w:t>
      </w:r>
      <w:r w:rsidRPr="006B49B0">
        <w:rPr>
          <w:sz w:val="18"/>
          <w:szCs w:val="18"/>
        </w:rPr>
        <w:t xml:space="preserve"> </w:t>
      </w:r>
    </w:p>
  </w:endnote>
  <w:endnote w:id="9">
    <w:p w14:paraId="5229DD3F" w14:textId="77777777" w:rsidR="005F784D" w:rsidRPr="00C70AF7" w:rsidRDefault="005F784D" w:rsidP="00AE29EC">
      <w:pPr>
        <w:pStyle w:val="EndnoteText"/>
        <w:jc w:val="both"/>
        <w:rPr>
          <w:sz w:val="18"/>
          <w:szCs w:val="18"/>
        </w:rPr>
      </w:pPr>
      <w:r w:rsidRPr="00C70AF7">
        <w:rPr>
          <w:rStyle w:val="EndnoteReference"/>
          <w:sz w:val="18"/>
          <w:szCs w:val="18"/>
        </w:rPr>
        <w:endnoteRef/>
      </w:r>
      <w:r w:rsidRPr="00C70AF7">
        <w:rPr>
          <w:sz w:val="18"/>
          <w:szCs w:val="18"/>
        </w:rPr>
        <w:t xml:space="preserve"> </w:t>
      </w:r>
      <w:hyperlink r:id="rId4" w:history="1">
        <w:r w:rsidRPr="00C70AF7">
          <w:rPr>
            <w:rStyle w:val="Hyperlink"/>
            <w:color w:val="auto"/>
            <w:sz w:val="18"/>
            <w:szCs w:val="18"/>
            <w:u w:val="none"/>
          </w:rPr>
          <w:t>Se</w:t>
        </w:r>
        <w:r>
          <w:rPr>
            <w:rStyle w:val="Hyperlink"/>
            <w:color w:val="auto"/>
            <w:sz w:val="18"/>
            <w:szCs w:val="18"/>
            <w:u w:val="none"/>
          </w:rPr>
          <w:t xml:space="preserve">e </w:t>
        </w:r>
        <w:r w:rsidRPr="00C70AF7">
          <w:rPr>
            <w:rFonts w:cstheme="minorHAnsi"/>
            <w:sz w:val="18"/>
            <w:szCs w:val="18"/>
          </w:rPr>
          <w:t>Committee on Economic, Social and Cultural</w:t>
        </w:r>
        <w:r w:rsidRPr="00AC27A6">
          <w:rPr>
            <w:rFonts w:cstheme="minorHAnsi"/>
            <w:sz w:val="18"/>
            <w:szCs w:val="18"/>
          </w:rPr>
          <w:t xml:space="preserve"> Rights gener</w:t>
        </w:r>
        <w:r>
          <w:rPr>
            <w:rFonts w:cstheme="minorHAnsi"/>
            <w:sz w:val="18"/>
            <w:szCs w:val="18"/>
          </w:rPr>
          <w:t>al comment No.22 (2016), para 10</w:t>
        </w:r>
        <w:r w:rsidR="001113B1">
          <w:rPr>
            <w:rFonts w:cstheme="minorHAnsi"/>
            <w:sz w:val="18"/>
            <w:szCs w:val="18"/>
          </w:rPr>
          <w:t xml:space="preserve">; </w:t>
        </w:r>
        <w:r w:rsidR="001113B1" w:rsidRPr="00F40FDD">
          <w:rPr>
            <w:rFonts w:cstheme="minorHAnsi"/>
            <w:sz w:val="18"/>
            <w:szCs w:val="18"/>
          </w:rPr>
          <w:t>Committee on the Elimination of Discrimination Against Women general comment No</w:t>
        </w:r>
        <w:r w:rsidR="001113B1">
          <w:rPr>
            <w:rFonts w:cstheme="minorHAnsi"/>
            <w:sz w:val="18"/>
            <w:szCs w:val="18"/>
          </w:rPr>
          <w:t>.24 (1999), Article 12, para.11;</w:t>
        </w:r>
        <w:r>
          <w:rPr>
            <w:rFonts w:cstheme="minorHAnsi"/>
            <w:sz w:val="18"/>
            <w:szCs w:val="18"/>
          </w:rPr>
          <w:t xml:space="preserve"> and </w:t>
        </w:r>
        <w:r w:rsidRPr="00C70AF7">
          <w:rPr>
            <w:rStyle w:val="Hyperlink"/>
            <w:sz w:val="18"/>
            <w:szCs w:val="18"/>
          </w:rPr>
          <w:t xml:space="preserve"> Working Group on Discrimination against Women in Law and in Policy report on health and safety, A/HRC/32/44, para 14 (2016)</w:t>
        </w:r>
      </w:hyperlink>
    </w:p>
  </w:endnote>
  <w:endnote w:id="10">
    <w:p w14:paraId="2B199A9F" w14:textId="77777777" w:rsidR="005F784D" w:rsidRDefault="005F784D" w:rsidP="00AE29EC">
      <w:pPr>
        <w:pStyle w:val="EndnoteText"/>
        <w:jc w:val="both"/>
      </w:pPr>
      <w:r>
        <w:rPr>
          <w:rStyle w:val="EndnoteReference"/>
        </w:rPr>
        <w:endnoteRef/>
      </w:r>
      <w:r>
        <w:t xml:space="preserve"> </w:t>
      </w:r>
      <w:r w:rsidRPr="00AF30B2">
        <w:rPr>
          <w:rFonts w:cstheme="minorHAnsi"/>
          <w:sz w:val="18"/>
          <w:szCs w:val="18"/>
        </w:rPr>
        <w:t>Committee on the Elimination of Discrimination Aga</w:t>
      </w:r>
      <w:r>
        <w:rPr>
          <w:rFonts w:cstheme="minorHAnsi"/>
          <w:sz w:val="18"/>
          <w:szCs w:val="18"/>
        </w:rPr>
        <w:t>inst Women general comment No.35</w:t>
      </w:r>
      <w:r w:rsidRPr="00AF30B2">
        <w:rPr>
          <w:rFonts w:cstheme="minorHAnsi"/>
          <w:sz w:val="18"/>
          <w:szCs w:val="18"/>
        </w:rPr>
        <w:t xml:space="preserve"> (</w:t>
      </w:r>
      <w:r>
        <w:rPr>
          <w:rFonts w:cstheme="minorHAnsi"/>
          <w:sz w:val="18"/>
          <w:szCs w:val="18"/>
        </w:rPr>
        <w:t>2017</w:t>
      </w:r>
      <w:r w:rsidRPr="00AF30B2">
        <w:rPr>
          <w:rFonts w:cstheme="minorHAnsi"/>
          <w:sz w:val="18"/>
          <w:szCs w:val="18"/>
        </w:rPr>
        <w:t>),</w:t>
      </w:r>
      <w:r>
        <w:rPr>
          <w:rFonts w:cstheme="minorHAnsi"/>
          <w:sz w:val="18"/>
          <w:szCs w:val="18"/>
        </w:rPr>
        <w:t xml:space="preserve"> </w:t>
      </w:r>
      <w:r w:rsidRPr="00AF30B2">
        <w:rPr>
          <w:rFonts w:cstheme="minorHAnsi"/>
          <w:sz w:val="18"/>
          <w:szCs w:val="18"/>
        </w:rPr>
        <w:t>para.</w:t>
      </w:r>
      <w:r w:rsidRPr="002B74CF">
        <w:rPr>
          <w:rFonts w:cstheme="minorHAnsi"/>
          <w:sz w:val="18"/>
          <w:szCs w:val="18"/>
        </w:rPr>
        <w:t>1</w:t>
      </w:r>
      <w:r>
        <w:rPr>
          <w:rFonts w:cstheme="minorHAnsi"/>
          <w:sz w:val="18"/>
          <w:szCs w:val="18"/>
        </w:rPr>
        <w:t>8.</w:t>
      </w:r>
    </w:p>
  </w:endnote>
  <w:endnote w:id="11">
    <w:p w14:paraId="094FC90F" w14:textId="77777777" w:rsidR="006C327C" w:rsidRPr="00C819B0" w:rsidRDefault="006C327C" w:rsidP="00AE29EC">
      <w:pPr>
        <w:pStyle w:val="EndnoteText"/>
        <w:jc w:val="both"/>
        <w:rPr>
          <w:sz w:val="18"/>
          <w:szCs w:val="18"/>
        </w:rPr>
      </w:pPr>
      <w:r w:rsidRPr="00F40FDD">
        <w:rPr>
          <w:rStyle w:val="EndnoteReference"/>
          <w:sz w:val="18"/>
          <w:szCs w:val="18"/>
        </w:rPr>
        <w:endnoteRef/>
      </w:r>
      <w:r w:rsidRPr="00F40FDD">
        <w:rPr>
          <w:sz w:val="18"/>
          <w:szCs w:val="18"/>
        </w:rPr>
        <w:t xml:space="preserve"> Human Rights Committee, Concluding Observations: Cameroon, para. 13, U.N. Doc. CCPR/C/CMR/CO/4 (2010) (urging the state to “step up its efforts to reduce maternal mortality, including by ensuring that women have access to reproductive health services.”). See also, Human Rights Committee on Chile, U.N. Doc. </w:t>
      </w:r>
      <w:r w:rsidRPr="007F72B3">
        <w:rPr>
          <w:sz w:val="18"/>
          <w:szCs w:val="18"/>
        </w:rPr>
        <w:t>CCPR/C/CHL/CO/6 (2014), para. 15; Costa Rica, U.N. Doc. CCPR/C/CRI/CO/6 (2016), para. 17; Malawi, U.N. Doc. CCPR/C/MWI/CO/1/Add.1 (2014), para. 9; Sierra Leone, U.N. Doc. CCPR/C/SLE/CO/1 (2014), para. 14; Malta, U.N. Doc. CCPR/C/MLT/CO/2 (2014), para. 13; Sri Lanka, U.N. Doc. CCPR/C/LKA/CO/5 (2014), para. 10; Paraguay, U.N. Doc. </w:t>
      </w:r>
      <w:hyperlink r:id="rId5" w:tgtFrame="_blank" w:history="1">
        <w:r w:rsidRPr="007F72B3">
          <w:rPr>
            <w:rStyle w:val="Hyperlink"/>
            <w:sz w:val="18"/>
            <w:szCs w:val="18"/>
          </w:rPr>
          <w:t>CCPR/C/PRY/CO/3 (2013</w:t>
        </w:r>
      </w:hyperlink>
      <w:r w:rsidRPr="007F72B3">
        <w:rPr>
          <w:sz w:val="18"/>
          <w:szCs w:val="18"/>
        </w:rPr>
        <w:t>), para. 13; Peru, U.N. Doc. </w:t>
      </w:r>
      <w:hyperlink r:id="rId6" w:tgtFrame="_blank" w:history="1">
        <w:r w:rsidRPr="007F72B3">
          <w:rPr>
            <w:rStyle w:val="Hyperlink"/>
            <w:sz w:val="18"/>
            <w:szCs w:val="18"/>
          </w:rPr>
          <w:t>CCPR/C/PER/CO/5 (2013)</w:t>
        </w:r>
      </w:hyperlink>
      <w:r w:rsidRPr="007F72B3">
        <w:rPr>
          <w:sz w:val="18"/>
          <w:szCs w:val="18"/>
        </w:rPr>
        <w:t>, para. 14; Guatemala, U.N. Doc. </w:t>
      </w:r>
      <w:hyperlink r:id="rId7" w:tgtFrame="_blank" w:history="1">
        <w:r w:rsidRPr="007F72B3">
          <w:rPr>
            <w:rStyle w:val="Hyperlink"/>
            <w:sz w:val="18"/>
            <w:szCs w:val="18"/>
          </w:rPr>
          <w:t>CCPR/C/GTM/CO/3 (2012</w:t>
        </w:r>
      </w:hyperlink>
      <w:r w:rsidRPr="007F72B3">
        <w:rPr>
          <w:sz w:val="18"/>
          <w:szCs w:val="18"/>
        </w:rPr>
        <w:t xml:space="preserve">), para. 20; Jamaica, U.N. Doc. </w:t>
      </w:r>
      <w:r w:rsidRPr="00F40FDD">
        <w:rPr>
          <w:sz w:val="18"/>
          <w:szCs w:val="18"/>
          <w:lang w:val="pt-PT"/>
        </w:rPr>
        <w:t xml:space="preserve">CCPR/C/JAM/CO/3 (2011), para. </w:t>
      </w:r>
      <w:r w:rsidRPr="007F72B3">
        <w:rPr>
          <w:sz w:val="18"/>
          <w:szCs w:val="18"/>
          <w:lang w:val="pt-PT"/>
        </w:rPr>
        <w:t xml:space="preserve">14; Dominican Republic, U.N. Doc. CCPR/C/DOM/CO/5 (2012), para. </w:t>
      </w:r>
      <w:r w:rsidRPr="00F40FDD">
        <w:rPr>
          <w:sz w:val="18"/>
          <w:szCs w:val="18"/>
        </w:rPr>
        <w:t>15. For emergency obstetrics care, see Human Rights Committee, Concluding Observations: Mali, para. 14, U.N. Doc. CCPR/CO/77/MLI (2003). For emergency contraceptives, se</w:t>
      </w:r>
      <w:r w:rsidRPr="00C819B0">
        <w:rPr>
          <w:sz w:val="18"/>
          <w:szCs w:val="18"/>
        </w:rPr>
        <w:t>e Peru, U.N. Doc. </w:t>
      </w:r>
      <w:hyperlink r:id="rId8" w:tgtFrame="_blank" w:history="1">
        <w:r w:rsidRPr="00C819B0">
          <w:rPr>
            <w:rStyle w:val="Hyperlink"/>
            <w:sz w:val="18"/>
            <w:szCs w:val="18"/>
          </w:rPr>
          <w:t>CCPR/C/PER/CO/5 (2013)</w:t>
        </w:r>
      </w:hyperlink>
      <w:r w:rsidRPr="00C819B0">
        <w:rPr>
          <w:sz w:val="18"/>
          <w:szCs w:val="18"/>
        </w:rPr>
        <w:t>, para. 14.</w:t>
      </w:r>
    </w:p>
  </w:endnote>
  <w:endnote w:id="12">
    <w:p w14:paraId="40B3257F" w14:textId="5D9370C8" w:rsidR="005F784D" w:rsidRDefault="005F784D" w:rsidP="00AE29EC">
      <w:pPr>
        <w:pStyle w:val="EndnoteText"/>
        <w:jc w:val="both"/>
      </w:pPr>
      <w:r>
        <w:rPr>
          <w:rStyle w:val="EndnoteReference"/>
        </w:rPr>
        <w:endnoteRef/>
      </w:r>
      <w:r>
        <w:t xml:space="preserve"> </w:t>
      </w:r>
      <w:r w:rsidRPr="007F7E7E">
        <w:rPr>
          <w:rFonts w:cstheme="minorHAnsi"/>
          <w:sz w:val="18"/>
          <w:szCs w:val="18"/>
        </w:rPr>
        <w:t xml:space="preserve">Committee on the </w:t>
      </w:r>
      <w:r>
        <w:rPr>
          <w:rFonts w:cstheme="minorHAnsi"/>
          <w:sz w:val="18"/>
          <w:szCs w:val="18"/>
        </w:rPr>
        <w:t>Rights of the Child general comment No.20</w:t>
      </w:r>
      <w:r w:rsidRPr="007F7E7E">
        <w:rPr>
          <w:rFonts w:cstheme="minorHAnsi"/>
          <w:sz w:val="18"/>
          <w:szCs w:val="18"/>
        </w:rPr>
        <w:t xml:space="preserve"> (201</w:t>
      </w:r>
      <w:r>
        <w:rPr>
          <w:rFonts w:cstheme="minorHAnsi"/>
          <w:sz w:val="18"/>
          <w:szCs w:val="18"/>
        </w:rPr>
        <w:t>6), para.59 and 61</w:t>
      </w:r>
    </w:p>
  </w:endnote>
  <w:endnote w:id="13">
    <w:p w14:paraId="33B25B98" w14:textId="77777777" w:rsidR="008467FB" w:rsidRPr="00E41844" w:rsidRDefault="008467FB" w:rsidP="00AE29EC">
      <w:pPr>
        <w:spacing w:after="0" w:line="240" w:lineRule="auto"/>
        <w:jc w:val="both"/>
        <w:rPr>
          <w:rFonts w:eastAsia="Times New Roman" w:cstheme="minorHAnsi"/>
          <w:sz w:val="18"/>
          <w:szCs w:val="18"/>
        </w:rPr>
      </w:pPr>
      <w:r w:rsidRPr="00E41844">
        <w:rPr>
          <w:rStyle w:val="EndnoteReference"/>
          <w:sz w:val="18"/>
          <w:szCs w:val="18"/>
        </w:rPr>
        <w:endnoteRef/>
      </w:r>
      <w:r w:rsidRPr="00E41844">
        <w:rPr>
          <w:sz w:val="18"/>
          <w:szCs w:val="18"/>
        </w:rPr>
        <w:t xml:space="preserve"> </w:t>
      </w:r>
      <w:hyperlink r:id="rId9" w:history="1">
        <w:r w:rsidRPr="00E41844">
          <w:rPr>
            <w:rStyle w:val="Hyperlink"/>
            <w:sz w:val="18"/>
            <w:szCs w:val="18"/>
          </w:rPr>
          <w:t xml:space="preserve">A/RES/70/1 </w:t>
        </w:r>
        <w:r w:rsidRPr="00E41844">
          <w:rPr>
            <w:rStyle w:val="Hyperlink"/>
            <w:rFonts w:eastAsia="Times New Roman" w:cstheme="minorHAnsi"/>
            <w:sz w:val="18"/>
            <w:szCs w:val="18"/>
          </w:rPr>
          <w:t>Transforming our world: the 2030 Agenda for Sustainable Development</w:t>
        </w:r>
      </w:hyperlink>
      <w:r w:rsidRPr="00E41844">
        <w:rPr>
          <w:rFonts w:eastAsia="Times New Roman" w:cstheme="minorHAnsi"/>
          <w:sz w:val="18"/>
          <w:szCs w:val="18"/>
        </w:rPr>
        <w:t xml:space="preserve">, Targets 3.7 and 5.6 </w:t>
      </w:r>
    </w:p>
  </w:endnote>
  <w:endnote w:id="14">
    <w:p w14:paraId="5C70A39E" w14:textId="77777777" w:rsidR="005F784D" w:rsidRPr="003A406B" w:rsidRDefault="005F784D" w:rsidP="00AE29EC">
      <w:pPr>
        <w:pStyle w:val="EndnoteText"/>
        <w:jc w:val="both"/>
        <w:rPr>
          <w:sz w:val="18"/>
          <w:szCs w:val="18"/>
        </w:rPr>
      </w:pPr>
      <w:r>
        <w:rPr>
          <w:rStyle w:val="EndnoteReference"/>
        </w:rPr>
        <w:endnoteRef/>
      </w:r>
      <w:r>
        <w:t xml:space="preserve"> </w:t>
      </w:r>
      <w:r w:rsidRPr="003A406B">
        <w:rPr>
          <w:sz w:val="18"/>
          <w:szCs w:val="18"/>
        </w:rPr>
        <w:t>Guttmacher Definition of Comprehensive Sexuality Education</w:t>
      </w:r>
      <w:r>
        <w:rPr>
          <w:sz w:val="18"/>
          <w:szCs w:val="18"/>
        </w:rPr>
        <w:t xml:space="preserve"> </w:t>
      </w:r>
      <w:hyperlink r:id="rId10" w:history="1">
        <w:r w:rsidRPr="003A406B">
          <w:rPr>
            <w:rStyle w:val="Hyperlink"/>
            <w:sz w:val="18"/>
            <w:szCs w:val="18"/>
          </w:rPr>
          <w:t>here</w:t>
        </w:r>
      </w:hyperlink>
      <w:r w:rsidRPr="003A406B">
        <w:rPr>
          <w:sz w:val="18"/>
          <w:szCs w:val="18"/>
        </w:rPr>
        <w:t xml:space="preserve"> </w:t>
      </w:r>
    </w:p>
  </w:endnote>
  <w:endnote w:id="15">
    <w:p w14:paraId="6841D696" w14:textId="77777777" w:rsidR="00FE0B6B" w:rsidRDefault="00FE0B6B" w:rsidP="00AE29EC">
      <w:pPr>
        <w:pStyle w:val="EndnoteText"/>
        <w:jc w:val="both"/>
      </w:pPr>
      <w:r>
        <w:rPr>
          <w:rStyle w:val="EndnoteReference"/>
        </w:rPr>
        <w:endnoteRef/>
      </w:r>
      <w:r>
        <w:t xml:space="preserve"> </w:t>
      </w:r>
      <w:r w:rsidRPr="00E344A7">
        <w:rPr>
          <w:sz w:val="18"/>
          <w:szCs w:val="18"/>
        </w:rPr>
        <w:t xml:space="preserve">In accordance to the </w:t>
      </w:r>
      <w:hyperlink r:id="rId11" w:history="1">
        <w:r w:rsidRPr="00E344A7">
          <w:rPr>
            <w:rStyle w:val="Hyperlink"/>
            <w:sz w:val="18"/>
            <w:szCs w:val="18"/>
          </w:rPr>
          <w:t>2012 World Health Organization technical and policy guidance on safe abortion</w:t>
        </w:r>
      </w:hyperlink>
    </w:p>
  </w:endnote>
  <w:endnote w:id="16">
    <w:p w14:paraId="40D231CD" w14:textId="77777777" w:rsidR="00FE0B6B" w:rsidRPr="00D41CE3" w:rsidRDefault="00FE0B6B" w:rsidP="00AE29EC">
      <w:pPr>
        <w:pStyle w:val="EndnoteText"/>
        <w:jc w:val="both"/>
        <w:rPr>
          <w:sz w:val="18"/>
          <w:szCs w:val="18"/>
        </w:rPr>
      </w:pPr>
      <w:r w:rsidRPr="00D41CE3">
        <w:rPr>
          <w:rStyle w:val="EndnoteReference"/>
          <w:sz w:val="18"/>
          <w:szCs w:val="18"/>
        </w:rPr>
        <w:endnoteRef/>
      </w:r>
      <w:r w:rsidRPr="00D41CE3">
        <w:rPr>
          <w:sz w:val="18"/>
          <w:szCs w:val="18"/>
        </w:rPr>
        <w:t xml:space="preserve"> </w:t>
      </w:r>
      <w:r>
        <w:rPr>
          <w:sz w:val="18"/>
          <w:szCs w:val="18"/>
        </w:rPr>
        <w:t xml:space="preserve">See, e.g., Poland </w:t>
      </w:r>
      <w:r w:rsidRPr="00B833F0">
        <w:rPr>
          <w:rFonts w:cstheme="minorHAnsi"/>
          <w:sz w:val="18"/>
          <w:szCs w:val="18"/>
        </w:rPr>
        <w:t>¶</w:t>
      </w:r>
      <w:r>
        <w:rPr>
          <w:rFonts w:cstheme="minorHAnsi"/>
          <w:sz w:val="18"/>
          <w:szCs w:val="18"/>
        </w:rPr>
        <w:t xml:space="preserve"> 23, U.N. Doc</w:t>
      </w:r>
      <w:r w:rsidRPr="00D41CE3">
        <w:rPr>
          <w:sz w:val="18"/>
          <w:szCs w:val="18"/>
        </w:rPr>
        <w:t>.</w:t>
      </w:r>
      <w:r>
        <w:rPr>
          <w:sz w:val="18"/>
          <w:szCs w:val="18"/>
        </w:rPr>
        <w:t xml:space="preserve"> CAT/C/POL/CO/5-6.</w:t>
      </w:r>
    </w:p>
  </w:endnote>
  <w:endnote w:id="17">
    <w:p w14:paraId="5ACD623C" w14:textId="77777777" w:rsidR="005F784D" w:rsidRPr="00C819B0" w:rsidRDefault="005F784D" w:rsidP="00AE29EC">
      <w:pPr>
        <w:pStyle w:val="EndnoteText"/>
        <w:jc w:val="both"/>
        <w:rPr>
          <w:rFonts w:cstheme="minorHAnsi"/>
          <w:sz w:val="18"/>
          <w:szCs w:val="18"/>
        </w:rPr>
      </w:pPr>
      <w:r w:rsidRPr="003A406B">
        <w:rPr>
          <w:rStyle w:val="EndnoteReference"/>
          <w:rFonts w:cstheme="minorHAnsi"/>
          <w:sz w:val="18"/>
          <w:szCs w:val="18"/>
        </w:rPr>
        <w:endnoteRef/>
      </w:r>
      <w:r w:rsidRPr="003A406B">
        <w:rPr>
          <w:rFonts w:cstheme="minorHAnsi"/>
          <w:sz w:val="18"/>
          <w:szCs w:val="18"/>
        </w:rPr>
        <w:t xml:space="preserve"> Committee on Economic, Social and Cultural Rights general comment No.22 (2016), para 9 and 28, and Committee on the</w:t>
      </w:r>
      <w:r w:rsidRPr="00C819B0">
        <w:rPr>
          <w:rFonts w:cstheme="minorHAnsi"/>
          <w:sz w:val="18"/>
          <w:szCs w:val="18"/>
        </w:rPr>
        <w:t xml:space="preserve"> Rights of the Child general comment 20 (2016), para 3, 59 and 60.</w:t>
      </w:r>
    </w:p>
  </w:endnote>
  <w:endnote w:id="18">
    <w:p w14:paraId="143E6CB2" w14:textId="77777777" w:rsidR="00D176B7" w:rsidRPr="002B74CF" w:rsidRDefault="00D176B7" w:rsidP="00AE29EC">
      <w:pPr>
        <w:pStyle w:val="EndnoteText"/>
        <w:jc w:val="both"/>
        <w:rPr>
          <w:rFonts w:cstheme="minorHAnsi"/>
          <w:sz w:val="18"/>
          <w:szCs w:val="18"/>
        </w:rPr>
      </w:pPr>
      <w:r w:rsidRPr="00C819B0">
        <w:rPr>
          <w:rStyle w:val="EndnoteReference"/>
          <w:rFonts w:cstheme="minorHAnsi"/>
          <w:sz w:val="18"/>
          <w:szCs w:val="18"/>
        </w:rPr>
        <w:endnoteRef/>
      </w:r>
      <w:r w:rsidRPr="00C819B0">
        <w:rPr>
          <w:rFonts w:cstheme="minorHAnsi"/>
          <w:sz w:val="18"/>
          <w:szCs w:val="18"/>
        </w:rPr>
        <w:t xml:space="preserve"> Committee on the Elimination of Discrimination Against Women</w:t>
      </w:r>
      <w:r w:rsidRPr="00AF30B2">
        <w:rPr>
          <w:rFonts w:cstheme="minorHAnsi"/>
          <w:sz w:val="18"/>
          <w:szCs w:val="18"/>
        </w:rPr>
        <w:t xml:space="preserve"> general comment No.19 (1992), para.</w:t>
      </w:r>
      <w:r w:rsidRPr="002B74CF">
        <w:rPr>
          <w:rFonts w:cstheme="minorHAnsi"/>
          <w:sz w:val="18"/>
          <w:szCs w:val="18"/>
        </w:rPr>
        <w:t>12.</w:t>
      </w:r>
    </w:p>
  </w:endnote>
  <w:endnote w:id="19">
    <w:p w14:paraId="39DC946C" w14:textId="77777777" w:rsidR="005F784D" w:rsidRPr="00C819B0" w:rsidRDefault="005F784D" w:rsidP="00AE29EC">
      <w:pPr>
        <w:pStyle w:val="EndnoteText"/>
        <w:jc w:val="both"/>
        <w:rPr>
          <w:rFonts w:cstheme="minorHAnsi"/>
          <w:sz w:val="18"/>
          <w:szCs w:val="18"/>
        </w:rPr>
      </w:pPr>
      <w:r w:rsidRPr="00C819B0">
        <w:rPr>
          <w:rStyle w:val="EndnoteReference"/>
          <w:rFonts w:cstheme="minorHAnsi"/>
          <w:sz w:val="18"/>
          <w:szCs w:val="18"/>
        </w:rPr>
        <w:endnoteRef/>
      </w:r>
      <w:r w:rsidRPr="00C819B0">
        <w:rPr>
          <w:rFonts w:cstheme="minorHAnsi"/>
          <w:sz w:val="18"/>
          <w:szCs w:val="18"/>
        </w:rPr>
        <w:t xml:space="preserve"> See Declaration on the Elimination of Violence Against Women (1993), Articles 1 and 3.</w:t>
      </w:r>
    </w:p>
  </w:endnote>
  <w:endnote w:id="20">
    <w:p w14:paraId="5E36D012" w14:textId="77777777" w:rsidR="005F784D" w:rsidRDefault="005F784D" w:rsidP="00AE29EC">
      <w:pPr>
        <w:pStyle w:val="EndnoteText"/>
        <w:jc w:val="both"/>
      </w:pPr>
      <w:r>
        <w:rPr>
          <w:rStyle w:val="EndnoteReference"/>
        </w:rPr>
        <w:endnoteRef/>
      </w:r>
      <w:r>
        <w:t xml:space="preserve"> </w:t>
      </w:r>
      <w:r w:rsidRPr="00AF30B2">
        <w:rPr>
          <w:sz w:val="18"/>
          <w:szCs w:val="18"/>
        </w:rPr>
        <w:t>See Declaration on the Elimination of Violence Against Women (1993), Article</w:t>
      </w:r>
      <w:r>
        <w:rPr>
          <w:sz w:val="18"/>
          <w:szCs w:val="18"/>
        </w:rPr>
        <w:t xml:space="preserve"> 2.</w:t>
      </w:r>
    </w:p>
  </w:endnote>
  <w:endnote w:id="21">
    <w:p w14:paraId="77D91E66" w14:textId="77777777" w:rsidR="00145403" w:rsidRDefault="00145403" w:rsidP="00AE29EC">
      <w:pPr>
        <w:pStyle w:val="EndnoteText"/>
        <w:jc w:val="both"/>
      </w:pPr>
      <w:r>
        <w:rPr>
          <w:rStyle w:val="EndnoteReference"/>
        </w:rPr>
        <w:endnoteRef/>
      </w:r>
      <w:r>
        <w:t xml:space="preserve"> </w:t>
      </w:r>
      <w:r w:rsidRPr="00AC27A6">
        <w:rPr>
          <w:rFonts w:cstheme="minorHAnsi"/>
          <w:sz w:val="18"/>
          <w:szCs w:val="18"/>
        </w:rPr>
        <w:t>Committee on the Elimination of Discrimination Against Women general comment No.35</w:t>
      </w:r>
      <w:r>
        <w:rPr>
          <w:rFonts w:cstheme="minorHAnsi"/>
          <w:sz w:val="18"/>
          <w:szCs w:val="18"/>
        </w:rPr>
        <w:t xml:space="preserve"> (2017).</w:t>
      </w:r>
    </w:p>
  </w:endnote>
  <w:endnote w:id="22">
    <w:p w14:paraId="5F70236B" w14:textId="77777777" w:rsidR="005F784D" w:rsidRPr="00AC27A6" w:rsidRDefault="005F784D" w:rsidP="00AE29EC">
      <w:pPr>
        <w:pStyle w:val="EndnoteText"/>
        <w:jc w:val="both"/>
        <w:rPr>
          <w:rFonts w:cstheme="minorHAnsi"/>
          <w:sz w:val="18"/>
          <w:szCs w:val="18"/>
        </w:rPr>
      </w:pPr>
      <w:r>
        <w:rPr>
          <w:rStyle w:val="EndnoteReference"/>
        </w:rPr>
        <w:endnoteRef/>
      </w:r>
      <w:r>
        <w:t xml:space="preserve"> See </w:t>
      </w:r>
      <w:r w:rsidRPr="00AC27A6">
        <w:rPr>
          <w:rFonts w:cstheme="minorHAnsi"/>
          <w:sz w:val="18"/>
          <w:szCs w:val="18"/>
        </w:rPr>
        <w:t>Committee on the Elimination of Discrimination Against Women general comment No.35</w:t>
      </w:r>
      <w:r>
        <w:rPr>
          <w:rFonts w:cstheme="minorHAnsi"/>
          <w:sz w:val="18"/>
          <w:szCs w:val="18"/>
        </w:rPr>
        <w:t xml:space="preserve"> (2017), para.35 a) and b); 40 c)</w:t>
      </w:r>
      <w:r w:rsidRPr="00AC27A6">
        <w:rPr>
          <w:rFonts w:cstheme="minorHAnsi"/>
          <w:sz w:val="18"/>
          <w:szCs w:val="18"/>
        </w:rPr>
        <w:t>.</w:t>
      </w:r>
    </w:p>
    <w:p w14:paraId="6C0B9D28" w14:textId="77777777" w:rsidR="005F784D" w:rsidRDefault="007F1F15" w:rsidP="00AE29EC">
      <w:pPr>
        <w:pStyle w:val="EndnoteText"/>
        <w:jc w:val="both"/>
      </w:pPr>
      <w:hyperlink r:id="rId12" w:history="1">
        <w:r w:rsidR="005F784D" w:rsidRPr="00BF7545">
          <w:rPr>
            <w:rStyle w:val="Hyperlink"/>
          </w:rPr>
          <w:t>http://www.un.org/ga/search/view_doc.asp?symbol=A/RES/70/1&amp;Lang=E</w:t>
        </w:r>
      </w:hyperlink>
    </w:p>
  </w:endnote>
  <w:endnote w:id="23">
    <w:p w14:paraId="1498E6D8" w14:textId="77777777" w:rsidR="005F784D" w:rsidRPr="006C327C" w:rsidRDefault="005F784D" w:rsidP="00AE29EC">
      <w:pPr>
        <w:pStyle w:val="EndnoteText"/>
        <w:jc w:val="both"/>
        <w:rPr>
          <w:sz w:val="18"/>
          <w:szCs w:val="18"/>
        </w:rPr>
      </w:pPr>
      <w:r w:rsidRPr="00F4281B">
        <w:rPr>
          <w:rStyle w:val="EndnoteReference"/>
          <w:sz w:val="18"/>
          <w:szCs w:val="18"/>
        </w:rPr>
        <w:endnoteRef/>
      </w:r>
      <w:r w:rsidRPr="00FF1137">
        <w:rPr>
          <w:sz w:val="18"/>
          <w:szCs w:val="18"/>
        </w:rPr>
        <w:t xml:space="preserve"> Concluding Observations: Swaziland (2017), para 18 &amp; 19; Pakistan (2017), para 11; Honduras (2017), paras 10, 11, 40 &amp; 41; Bangladesh (2017), para 11e) &amp; 12e); Slovakia (2016), para 14&amp;15; Morocco (2016), para 11&amp; 12; Denmark (2016), para 13&amp;14; Mauritani</w:t>
      </w:r>
      <w:r w:rsidRPr="006C327C">
        <w:rPr>
          <w:sz w:val="18"/>
          <w:szCs w:val="18"/>
        </w:rPr>
        <w:t xml:space="preserve">a (2013), para 8; Iran (2011), para 10; </w:t>
      </w:r>
    </w:p>
  </w:endnote>
  <w:endnote w:id="24">
    <w:p w14:paraId="48DCA1BE" w14:textId="77777777" w:rsidR="005F784D" w:rsidRPr="00215245" w:rsidRDefault="005F784D" w:rsidP="00AE29EC">
      <w:pPr>
        <w:jc w:val="both"/>
        <w:rPr>
          <w:rFonts w:eastAsia="Times New Roman" w:cstheme="minorHAnsi"/>
          <w:sz w:val="18"/>
          <w:szCs w:val="18"/>
        </w:rPr>
      </w:pPr>
      <w:r>
        <w:rPr>
          <w:rStyle w:val="EndnoteReference"/>
        </w:rPr>
        <w:endnoteRef/>
      </w:r>
      <w:r>
        <w:t xml:space="preserve"> </w:t>
      </w:r>
      <w:hyperlink r:id="rId13" w:history="1">
        <w:r w:rsidRPr="00860F93">
          <w:rPr>
            <w:rStyle w:val="Hyperlink"/>
            <w:rFonts w:eastAsia="Times New Roman" w:cstheme="minorHAnsi"/>
            <w:sz w:val="18"/>
            <w:szCs w:val="18"/>
          </w:rPr>
          <w:t>Report of the Independent Expert on protection against violence and discrimination based on sexual orientation and gender identity</w:t>
        </w:r>
      </w:hyperlink>
      <w:r>
        <w:rPr>
          <w:rFonts w:eastAsia="Times New Roman" w:cstheme="minorHAnsi"/>
          <w:sz w:val="18"/>
          <w:szCs w:val="18"/>
        </w:rPr>
        <w:t xml:space="preserve"> (</w:t>
      </w:r>
      <w:r w:rsidRPr="00B8402F">
        <w:rPr>
          <w:rFonts w:eastAsia="Times New Roman" w:cstheme="minorHAnsi"/>
          <w:sz w:val="18"/>
          <w:szCs w:val="18"/>
        </w:rPr>
        <w:t>A/72/172</w:t>
      </w:r>
      <w:r>
        <w:rPr>
          <w:rFonts w:eastAsia="Times New Roman" w:cstheme="minorHAnsi"/>
          <w:sz w:val="18"/>
          <w:szCs w:val="18"/>
        </w:rPr>
        <w:t xml:space="preserve">), para 32.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3762" w14:textId="77777777" w:rsidR="005F784D" w:rsidRDefault="005F7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395284"/>
      <w:docPartObj>
        <w:docPartGallery w:val="Page Numbers (Bottom of Page)"/>
        <w:docPartUnique/>
      </w:docPartObj>
    </w:sdtPr>
    <w:sdtEndPr>
      <w:rPr>
        <w:noProof/>
      </w:rPr>
    </w:sdtEndPr>
    <w:sdtContent>
      <w:p w14:paraId="1384CD71" w14:textId="0058D271" w:rsidR="005F784D" w:rsidRDefault="005F784D">
        <w:pPr>
          <w:pStyle w:val="Footer"/>
          <w:jc w:val="center"/>
        </w:pPr>
        <w:r>
          <w:fldChar w:fldCharType="begin"/>
        </w:r>
        <w:r>
          <w:instrText xml:space="preserve"> PAGE   \* MERGEFORMAT </w:instrText>
        </w:r>
        <w:r>
          <w:fldChar w:fldCharType="separate"/>
        </w:r>
        <w:r w:rsidR="007F1F15">
          <w:rPr>
            <w:noProof/>
          </w:rPr>
          <w:t>1</w:t>
        </w:r>
        <w:r>
          <w:rPr>
            <w:noProof/>
          </w:rPr>
          <w:fldChar w:fldCharType="end"/>
        </w:r>
      </w:p>
    </w:sdtContent>
  </w:sdt>
  <w:p w14:paraId="68CA3599" w14:textId="77777777" w:rsidR="005F784D" w:rsidRDefault="005F7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DD52" w14:textId="77777777" w:rsidR="005F784D" w:rsidRDefault="005F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57E0" w14:textId="77777777" w:rsidR="00482EBC" w:rsidRDefault="00482EBC" w:rsidP="00E43CE5">
      <w:pPr>
        <w:spacing w:after="0" w:line="240" w:lineRule="auto"/>
      </w:pPr>
      <w:r>
        <w:separator/>
      </w:r>
    </w:p>
  </w:footnote>
  <w:footnote w:type="continuationSeparator" w:id="0">
    <w:p w14:paraId="7C69FE5E" w14:textId="77777777" w:rsidR="00482EBC" w:rsidRDefault="00482EBC" w:rsidP="00E4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298C" w14:textId="77777777" w:rsidR="005F784D" w:rsidRDefault="005F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0333" w14:textId="49D4B0F0" w:rsidR="005F784D" w:rsidRDefault="005F7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C6D2" w14:textId="77777777" w:rsidR="005F784D" w:rsidRDefault="005F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31003"/>
    <w:multiLevelType w:val="hybridMultilevel"/>
    <w:tmpl w:val="C13CC904"/>
    <w:lvl w:ilvl="0" w:tplc="9B72CB2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5F5150"/>
    <w:multiLevelType w:val="hybridMultilevel"/>
    <w:tmpl w:val="C13CC904"/>
    <w:lvl w:ilvl="0" w:tplc="9B72CB2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F262FA"/>
    <w:multiLevelType w:val="hybridMultilevel"/>
    <w:tmpl w:val="6B146558"/>
    <w:lvl w:ilvl="0" w:tplc="1FA45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56DCB"/>
    <w:multiLevelType w:val="hybridMultilevel"/>
    <w:tmpl w:val="C13CC904"/>
    <w:lvl w:ilvl="0" w:tplc="9B72CB2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D63350"/>
    <w:multiLevelType w:val="hybridMultilevel"/>
    <w:tmpl w:val="444EB714"/>
    <w:lvl w:ilvl="0" w:tplc="93944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E5"/>
    <w:rsid w:val="00050D11"/>
    <w:rsid w:val="0005259F"/>
    <w:rsid w:val="0005379E"/>
    <w:rsid w:val="00056E4C"/>
    <w:rsid w:val="00075487"/>
    <w:rsid w:val="00083B02"/>
    <w:rsid w:val="000A3A1A"/>
    <w:rsid w:val="000A7022"/>
    <w:rsid w:val="000B15D4"/>
    <w:rsid w:val="000C7AED"/>
    <w:rsid w:val="000D4FB1"/>
    <w:rsid w:val="00104902"/>
    <w:rsid w:val="001113B1"/>
    <w:rsid w:val="001159E7"/>
    <w:rsid w:val="00124B38"/>
    <w:rsid w:val="0012505D"/>
    <w:rsid w:val="00135150"/>
    <w:rsid w:val="001362FB"/>
    <w:rsid w:val="00136732"/>
    <w:rsid w:val="00145403"/>
    <w:rsid w:val="001513CE"/>
    <w:rsid w:val="001702FF"/>
    <w:rsid w:val="00185657"/>
    <w:rsid w:val="00193E71"/>
    <w:rsid w:val="001A4BB7"/>
    <w:rsid w:val="001A79A8"/>
    <w:rsid w:val="001C0C12"/>
    <w:rsid w:val="001C254C"/>
    <w:rsid w:val="001D1BC7"/>
    <w:rsid w:val="001D225B"/>
    <w:rsid w:val="001E27AD"/>
    <w:rsid w:val="001E6A0E"/>
    <w:rsid w:val="001E75B5"/>
    <w:rsid w:val="00215245"/>
    <w:rsid w:val="00220E59"/>
    <w:rsid w:val="00225EA1"/>
    <w:rsid w:val="002338C0"/>
    <w:rsid w:val="0024101E"/>
    <w:rsid w:val="002421FA"/>
    <w:rsid w:val="00247320"/>
    <w:rsid w:val="002A360F"/>
    <w:rsid w:val="002B74CF"/>
    <w:rsid w:val="002C24C0"/>
    <w:rsid w:val="002C73C4"/>
    <w:rsid w:val="002C7AD8"/>
    <w:rsid w:val="00313441"/>
    <w:rsid w:val="00363E0A"/>
    <w:rsid w:val="003655ED"/>
    <w:rsid w:val="00382BEB"/>
    <w:rsid w:val="00396E36"/>
    <w:rsid w:val="00396EB8"/>
    <w:rsid w:val="003A406B"/>
    <w:rsid w:val="003C11AE"/>
    <w:rsid w:val="003C2193"/>
    <w:rsid w:val="003C4920"/>
    <w:rsid w:val="003C60D4"/>
    <w:rsid w:val="003D3247"/>
    <w:rsid w:val="003D6EF1"/>
    <w:rsid w:val="003E533E"/>
    <w:rsid w:val="003E60D2"/>
    <w:rsid w:val="0041133B"/>
    <w:rsid w:val="00431DE5"/>
    <w:rsid w:val="00440FA0"/>
    <w:rsid w:val="00453579"/>
    <w:rsid w:val="00456850"/>
    <w:rsid w:val="004708EF"/>
    <w:rsid w:val="004732E8"/>
    <w:rsid w:val="00482EBC"/>
    <w:rsid w:val="004D2160"/>
    <w:rsid w:val="004F0CC3"/>
    <w:rsid w:val="004F0D09"/>
    <w:rsid w:val="005031C9"/>
    <w:rsid w:val="00512E24"/>
    <w:rsid w:val="005178E8"/>
    <w:rsid w:val="00522608"/>
    <w:rsid w:val="00532E0F"/>
    <w:rsid w:val="00546A40"/>
    <w:rsid w:val="0055223B"/>
    <w:rsid w:val="00557EAE"/>
    <w:rsid w:val="00563F36"/>
    <w:rsid w:val="00571AE5"/>
    <w:rsid w:val="00573F45"/>
    <w:rsid w:val="005A7285"/>
    <w:rsid w:val="005E0C28"/>
    <w:rsid w:val="005F784D"/>
    <w:rsid w:val="005F7FB8"/>
    <w:rsid w:val="00650422"/>
    <w:rsid w:val="006535A2"/>
    <w:rsid w:val="00690042"/>
    <w:rsid w:val="00694A79"/>
    <w:rsid w:val="006B42A2"/>
    <w:rsid w:val="006B49B0"/>
    <w:rsid w:val="006B6399"/>
    <w:rsid w:val="006C327C"/>
    <w:rsid w:val="006C6F74"/>
    <w:rsid w:val="006F5866"/>
    <w:rsid w:val="007025C9"/>
    <w:rsid w:val="00713AF8"/>
    <w:rsid w:val="00730184"/>
    <w:rsid w:val="00737716"/>
    <w:rsid w:val="007606D6"/>
    <w:rsid w:val="00767E06"/>
    <w:rsid w:val="00772A0C"/>
    <w:rsid w:val="00772D6F"/>
    <w:rsid w:val="00774EC8"/>
    <w:rsid w:val="00794031"/>
    <w:rsid w:val="007A46A7"/>
    <w:rsid w:val="007B7D2E"/>
    <w:rsid w:val="007C199E"/>
    <w:rsid w:val="007D4D45"/>
    <w:rsid w:val="007F0D38"/>
    <w:rsid w:val="007F1F15"/>
    <w:rsid w:val="007F72B3"/>
    <w:rsid w:val="007F7E7E"/>
    <w:rsid w:val="008011A3"/>
    <w:rsid w:val="008017E6"/>
    <w:rsid w:val="008262F7"/>
    <w:rsid w:val="00835A19"/>
    <w:rsid w:val="008405AA"/>
    <w:rsid w:val="008443F3"/>
    <w:rsid w:val="008467FB"/>
    <w:rsid w:val="00860F93"/>
    <w:rsid w:val="0086734C"/>
    <w:rsid w:val="00876DDF"/>
    <w:rsid w:val="00887220"/>
    <w:rsid w:val="00897478"/>
    <w:rsid w:val="008B142D"/>
    <w:rsid w:val="008B467A"/>
    <w:rsid w:val="008E562B"/>
    <w:rsid w:val="009004FF"/>
    <w:rsid w:val="00902F63"/>
    <w:rsid w:val="009115E5"/>
    <w:rsid w:val="009274B2"/>
    <w:rsid w:val="009279DA"/>
    <w:rsid w:val="00937ED2"/>
    <w:rsid w:val="00953AD7"/>
    <w:rsid w:val="00970A32"/>
    <w:rsid w:val="00970F3B"/>
    <w:rsid w:val="0097153C"/>
    <w:rsid w:val="00977CAA"/>
    <w:rsid w:val="009854B4"/>
    <w:rsid w:val="009B0B6C"/>
    <w:rsid w:val="009B5351"/>
    <w:rsid w:val="009E20E4"/>
    <w:rsid w:val="009E3D01"/>
    <w:rsid w:val="009F797F"/>
    <w:rsid w:val="00A11F3D"/>
    <w:rsid w:val="00A54BDE"/>
    <w:rsid w:val="00A75F27"/>
    <w:rsid w:val="00A8290D"/>
    <w:rsid w:val="00A97E1D"/>
    <w:rsid w:val="00AA2DAC"/>
    <w:rsid w:val="00AA5ECA"/>
    <w:rsid w:val="00AB0C51"/>
    <w:rsid w:val="00AC053D"/>
    <w:rsid w:val="00AC27A6"/>
    <w:rsid w:val="00AC64A7"/>
    <w:rsid w:val="00AD072F"/>
    <w:rsid w:val="00AE1EF3"/>
    <w:rsid w:val="00AE29EC"/>
    <w:rsid w:val="00AF30B2"/>
    <w:rsid w:val="00B07E3B"/>
    <w:rsid w:val="00B159E3"/>
    <w:rsid w:val="00B55227"/>
    <w:rsid w:val="00B6059C"/>
    <w:rsid w:val="00B624C5"/>
    <w:rsid w:val="00B74235"/>
    <w:rsid w:val="00B82467"/>
    <w:rsid w:val="00B833F0"/>
    <w:rsid w:val="00B8402F"/>
    <w:rsid w:val="00B91EC0"/>
    <w:rsid w:val="00B9420F"/>
    <w:rsid w:val="00BB464F"/>
    <w:rsid w:val="00BC4A4D"/>
    <w:rsid w:val="00BD47C9"/>
    <w:rsid w:val="00BF3904"/>
    <w:rsid w:val="00C139D5"/>
    <w:rsid w:val="00C175A5"/>
    <w:rsid w:val="00C352E5"/>
    <w:rsid w:val="00C36688"/>
    <w:rsid w:val="00C37638"/>
    <w:rsid w:val="00C41FCB"/>
    <w:rsid w:val="00C424B1"/>
    <w:rsid w:val="00C441F2"/>
    <w:rsid w:val="00C70AF7"/>
    <w:rsid w:val="00C73FD0"/>
    <w:rsid w:val="00C819B0"/>
    <w:rsid w:val="00C954FD"/>
    <w:rsid w:val="00CA6314"/>
    <w:rsid w:val="00CC6AEF"/>
    <w:rsid w:val="00CE3284"/>
    <w:rsid w:val="00CE49DF"/>
    <w:rsid w:val="00D044E9"/>
    <w:rsid w:val="00D176B7"/>
    <w:rsid w:val="00D30987"/>
    <w:rsid w:val="00D403EC"/>
    <w:rsid w:val="00D41CE3"/>
    <w:rsid w:val="00D50CF3"/>
    <w:rsid w:val="00D52904"/>
    <w:rsid w:val="00D64D8C"/>
    <w:rsid w:val="00D76E95"/>
    <w:rsid w:val="00DA1B2E"/>
    <w:rsid w:val="00DA5D6F"/>
    <w:rsid w:val="00DB6B3B"/>
    <w:rsid w:val="00DC7D5A"/>
    <w:rsid w:val="00DE17D0"/>
    <w:rsid w:val="00DE6900"/>
    <w:rsid w:val="00DF2CF4"/>
    <w:rsid w:val="00DF6B1A"/>
    <w:rsid w:val="00E1561F"/>
    <w:rsid w:val="00E34746"/>
    <w:rsid w:val="00E35177"/>
    <w:rsid w:val="00E41844"/>
    <w:rsid w:val="00E43CE5"/>
    <w:rsid w:val="00E457DB"/>
    <w:rsid w:val="00E51E0A"/>
    <w:rsid w:val="00E664E6"/>
    <w:rsid w:val="00E720BF"/>
    <w:rsid w:val="00E76ED6"/>
    <w:rsid w:val="00E810B2"/>
    <w:rsid w:val="00E9287F"/>
    <w:rsid w:val="00EA4624"/>
    <w:rsid w:val="00EB64DE"/>
    <w:rsid w:val="00ED32ED"/>
    <w:rsid w:val="00EE145D"/>
    <w:rsid w:val="00EF6BC5"/>
    <w:rsid w:val="00F31D0A"/>
    <w:rsid w:val="00F40FDD"/>
    <w:rsid w:val="00F4190F"/>
    <w:rsid w:val="00F4281B"/>
    <w:rsid w:val="00F428DC"/>
    <w:rsid w:val="00F53D38"/>
    <w:rsid w:val="00F6283B"/>
    <w:rsid w:val="00F866E2"/>
    <w:rsid w:val="00FA5547"/>
    <w:rsid w:val="00FB4EBE"/>
    <w:rsid w:val="00FC6181"/>
    <w:rsid w:val="00FD0D60"/>
    <w:rsid w:val="00FD32FD"/>
    <w:rsid w:val="00FE0B6B"/>
    <w:rsid w:val="00FF1137"/>
    <w:rsid w:val="00FF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6C8F4"/>
  <w15:chartTrackingRefBased/>
  <w15:docId w15:val="{9FB78E4A-15B9-4381-9E7B-B5A1D926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81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43CE5"/>
    <w:rPr>
      <w:vertAlign w:val="superscript"/>
    </w:rPr>
  </w:style>
  <w:style w:type="paragraph" w:styleId="FootnoteText">
    <w:name w:val="footnote text"/>
    <w:basedOn w:val="Normal"/>
    <w:link w:val="FootnoteTextChar"/>
    <w:uiPriority w:val="99"/>
    <w:unhideWhenUsed/>
    <w:rsid w:val="00E43CE5"/>
    <w:pPr>
      <w:spacing w:after="0" w:line="240" w:lineRule="auto"/>
    </w:pPr>
    <w:rPr>
      <w:sz w:val="20"/>
      <w:szCs w:val="20"/>
    </w:rPr>
  </w:style>
  <w:style w:type="character" w:customStyle="1" w:styleId="FootnoteTextChar">
    <w:name w:val="Footnote Text Char"/>
    <w:basedOn w:val="DefaultParagraphFont"/>
    <w:link w:val="FootnoteText"/>
    <w:uiPriority w:val="99"/>
    <w:rsid w:val="00E43CE5"/>
    <w:rPr>
      <w:sz w:val="20"/>
      <w:szCs w:val="20"/>
    </w:rPr>
  </w:style>
  <w:style w:type="paragraph" w:styleId="NormalWeb">
    <w:name w:val="Normal (Web)"/>
    <w:basedOn w:val="Normal"/>
    <w:uiPriority w:val="99"/>
    <w:unhideWhenUsed/>
    <w:rsid w:val="00E43CE5"/>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hps">
    <w:name w:val="hps"/>
    <w:basedOn w:val="DefaultParagraphFont"/>
    <w:rsid w:val="00E43CE5"/>
  </w:style>
  <w:style w:type="paragraph" w:styleId="ListParagraph">
    <w:name w:val="List Paragraph"/>
    <w:basedOn w:val="Normal"/>
    <w:uiPriority w:val="34"/>
    <w:qFormat/>
    <w:rsid w:val="003655ED"/>
    <w:pPr>
      <w:ind w:left="720"/>
      <w:contextualSpacing/>
    </w:pPr>
  </w:style>
  <w:style w:type="character" w:customStyle="1" w:styleId="apple-converted-space">
    <w:name w:val="apple-converted-space"/>
    <w:basedOn w:val="DefaultParagraphFont"/>
    <w:rsid w:val="00C954FD"/>
  </w:style>
  <w:style w:type="character" w:styleId="Emphasis">
    <w:name w:val="Emphasis"/>
    <w:basedOn w:val="DefaultParagraphFont"/>
    <w:uiPriority w:val="20"/>
    <w:qFormat/>
    <w:rsid w:val="00C954FD"/>
    <w:rPr>
      <w:i/>
      <w:iCs/>
    </w:rPr>
  </w:style>
  <w:style w:type="paragraph" w:styleId="EndnoteText">
    <w:name w:val="endnote text"/>
    <w:aliases w:val="en"/>
    <w:basedOn w:val="Normal"/>
    <w:link w:val="EndnoteTextChar"/>
    <w:uiPriority w:val="99"/>
    <w:unhideWhenUsed/>
    <w:rsid w:val="00C954FD"/>
    <w:pPr>
      <w:spacing w:after="0" w:line="240" w:lineRule="auto"/>
    </w:pPr>
    <w:rPr>
      <w:sz w:val="20"/>
      <w:szCs w:val="20"/>
    </w:rPr>
  </w:style>
  <w:style w:type="character" w:customStyle="1" w:styleId="EndnoteTextChar">
    <w:name w:val="Endnote Text Char"/>
    <w:aliases w:val="en Char"/>
    <w:basedOn w:val="DefaultParagraphFont"/>
    <w:link w:val="EndnoteText"/>
    <w:uiPriority w:val="99"/>
    <w:rsid w:val="00C954FD"/>
    <w:rPr>
      <w:sz w:val="20"/>
      <w:szCs w:val="20"/>
    </w:rPr>
  </w:style>
  <w:style w:type="character" w:styleId="EndnoteReference">
    <w:name w:val="endnote reference"/>
    <w:basedOn w:val="DefaultParagraphFont"/>
    <w:semiHidden/>
    <w:unhideWhenUsed/>
    <w:rsid w:val="00C954FD"/>
    <w:rPr>
      <w:vertAlign w:val="superscript"/>
    </w:rPr>
  </w:style>
  <w:style w:type="character" w:styleId="Hyperlink">
    <w:name w:val="Hyperlink"/>
    <w:basedOn w:val="DefaultParagraphFont"/>
    <w:uiPriority w:val="99"/>
    <w:unhideWhenUsed/>
    <w:rsid w:val="001E75B5"/>
    <w:rPr>
      <w:color w:val="0563C1" w:themeColor="hyperlink"/>
      <w:u w:val="single"/>
    </w:rPr>
  </w:style>
  <w:style w:type="paragraph" w:styleId="BalloonText">
    <w:name w:val="Balloon Text"/>
    <w:basedOn w:val="Normal"/>
    <w:link w:val="BalloonTextChar"/>
    <w:uiPriority w:val="99"/>
    <w:semiHidden/>
    <w:unhideWhenUsed/>
    <w:rsid w:val="00760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6D6"/>
    <w:rPr>
      <w:rFonts w:ascii="Segoe UI" w:hAnsi="Segoe UI" w:cs="Segoe UI"/>
      <w:sz w:val="18"/>
      <w:szCs w:val="18"/>
    </w:rPr>
  </w:style>
  <w:style w:type="paragraph" w:styleId="Subtitle">
    <w:name w:val="Subtitle"/>
    <w:basedOn w:val="Normal"/>
    <w:next w:val="Normal"/>
    <w:link w:val="SubtitleChar"/>
    <w:uiPriority w:val="11"/>
    <w:qFormat/>
    <w:rsid w:val="001C0C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C12"/>
    <w:rPr>
      <w:rFonts w:eastAsiaTheme="minorEastAsia"/>
      <w:color w:val="5A5A5A" w:themeColor="text1" w:themeTint="A5"/>
      <w:spacing w:val="15"/>
    </w:rPr>
  </w:style>
  <w:style w:type="paragraph" w:styleId="Header">
    <w:name w:val="header"/>
    <w:basedOn w:val="Normal"/>
    <w:link w:val="HeaderChar"/>
    <w:uiPriority w:val="99"/>
    <w:unhideWhenUsed/>
    <w:rsid w:val="00876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DF"/>
  </w:style>
  <w:style w:type="paragraph" w:styleId="Footer">
    <w:name w:val="footer"/>
    <w:basedOn w:val="Normal"/>
    <w:link w:val="FooterChar"/>
    <w:uiPriority w:val="99"/>
    <w:unhideWhenUsed/>
    <w:rsid w:val="00876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DF"/>
  </w:style>
  <w:style w:type="character" w:customStyle="1" w:styleId="Heading1Char">
    <w:name w:val="Heading 1 Char"/>
    <w:basedOn w:val="DefaultParagraphFont"/>
    <w:link w:val="Heading1"/>
    <w:uiPriority w:val="9"/>
    <w:rsid w:val="001E6A0E"/>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C70AF7"/>
    <w:rPr>
      <w:color w:val="808080"/>
      <w:shd w:val="clear" w:color="auto" w:fill="E6E6E6"/>
    </w:rPr>
  </w:style>
  <w:style w:type="paragraph" w:styleId="HTMLPreformatted">
    <w:name w:val="HTML Preformatted"/>
    <w:basedOn w:val="Normal"/>
    <w:link w:val="HTMLPreformattedChar"/>
    <w:uiPriority w:val="99"/>
    <w:unhideWhenUsed/>
    <w:rsid w:val="00826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62F7"/>
    <w:rPr>
      <w:rFonts w:ascii="Courier New" w:eastAsia="Times New Roman" w:hAnsi="Courier New" w:cs="Courier New"/>
      <w:sz w:val="20"/>
      <w:szCs w:val="20"/>
    </w:rPr>
  </w:style>
  <w:style w:type="paragraph" w:styleId="NoSpacing">
    <w:name w:val="No Spacing"/>
    <w:uiPriority w:val="1"/>
    <w:qFormat/>
    <w:rsid w:val="008017E6"/>
    <w:pPr>
      <w:spacing w:after="0" w:line="240" w:lineRule="auto"/>
    </w:pPr>
  </w:style>
  <w:style w:type="character" w:customStyle="1" w:styleId="Heading2Char">
    <w:name w:val="Heading 2 Char"/>
    <w:basedOn w:val="DefaultParagraphFont"/>
    <w:link w:val="Heading2"/>
    <w:uiPriority w:val="9"/>
    <w:rsid w:val="00C819B0"/>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6B6399"/>
    <w:rPr>
      <w:sz w:val="16"/>
      <w:szCs w:val="16"/>
    </w:rPr>
  </w:style>
  <w:style w:type="paragraph" w:styleId="CommentText">
    <w:name w:val="annotation text"/>
    <w:basedOn w:val="Normal"/>
    <w:link w:val="CommentTextChar"/>
    <w:uiPriority w:val="99"/>
    <w:semiHidden/>
    <w:unhideWhenUsed/>
    <w:rsid w:val="006B6399"/>
    <w:pPr>
      <w:spacing w:line="240" w:lineRule="auto"/>
    </w:pPr>
    <w:rPr>
      <w:sz w:val="20"/>
      <w:szCs w:val="20"/>
    </w:rPr>
  </w:style>
  <w:style w:type="character" w:customStyle="1" w:styleId="CommentTextChar">
    <w:name w:val="Comment Text Char"/>
    <w:basedOn w:val="DefaultParagraphFont"/>
    <w:link w:val="CommentText"/>
    <w:uiPriority w:val="99"/>
    <w:semiHidden/>
    <w:rsid w:val="006B6399"/>
    <w:rPr>
      <w:sz w:val="20"/>
      <w:szCs w:val="20"/>
    </w:rPr>
  </w:style>
  <w:style w:type="paragraph" w:styleId="CommentSubject">
    <w:name w:val="annotation subject"/>
    <w:basedOn w:val="CommentText"/>
    <w:next w:val="CommentText"/>
    <w:link w:val="CommentSubjectChar"/>
    <w:uiPriority w:val="99"/>
    <w:semiHidden/>
    <w:unhideWhenUsed/>
    <w:rsid w:val="006B6399"/>
    <w:rPr>
      <w:b/>
      <w:bCs/>
    </w:rPr>
  </w:style>
  <w:style w:type="character" w:customStyle="1" w:styleId="CommentSubjectChar">
    <w:name w:val="Comment Subject Char"/>
    <w:basedOn w:val="CommentTextChar"/>
    <w:link w:val="CommentSubject"/>
    <w:uiPriority w:val="99"/>
    <w:semiHidden/>
    <w:rsid w:val="006B6399"/>
    <w:rPr>
      <w:b/>
      <w:bCs/>
      <w:sz w:val="20"/>
      <w:szCs w:val="20"/>
    </w:rPr>
  </w:style>
  <w:style w:type="character" w:styleId="FollowedHyperlink">
    <w:name w:val="FollowedHyperlink"/>
    <w:basedOn w:val="DefaultParagraphFont"/>
    <w:uiPriority w:val="99"/>
    <w:semiHidden/>
    <w:unhideWhenUsed/>
    <w:rsid w:val="00B833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4303">
      <w:bodyDiv w:val="1"/>
      <w:marLeft w:val="0"/>
      <w:marRight w:val="0"/>
      <w:marTop w:val="0"/>
      <w:marBottom w:val="0"/>
      <w:divBdr>
        <w:top w:val="none" w:sz="0" w:space="0" w:color="auto"/>
        <w:left w:val="none" w:sz="0" w:space="0" w:color="auto"/>
        <w:bottom w:val="none" w:sz="0" w:space="0" w:color="auto"/>
        <w:right w:val="none" w:sz="0" w:space="0" w:color="auto"/>
      </w:divBdr>
      <w:divsChild>
        <w:div w:id="1717584237">
          <w:marLeft w:val="0"/>
          <w:marRight w:val="0"/>
          <w:marTop w:val="0"/>
          <w:marBottom w:val="0"/>
          <w:divBdr>
            <w:top w:val="none" w:sz="0" w:space="0" w:color="auto"/>
            <w:left w:val="none" w:sz="0" w:space="0" w:color="auto"/>
            <w:bottom w:val="none" w:sz="0" w:space="0" w:color="auto"/>
            <w:right w:val="none" w:sz="0" w:space="0" w:color="auto"/>
          </w:divBdr>
          <w:divsChild>
            <w:div w:id="87390595">
              <w:marLeft w:val="0"/>
              <w:marRight w:val="0"/>
              <w:marTop w:val="0"/>
              <w:marBottom w:val="0"/>
              <w:divBdr>
                <w:top w:val="none" w:sz="0" w:space="0" w:color="auto"/>
                <w:left w:val="none" w:sz="0" w:space="0" w:color="auto"/>
                <w:bottom w:val="none" w:sz="0" w:space="0" w:color="auto"/>
                <w:right w:val="none" w:sz="0" w:space="0" w:color="auto"/>
              </w:divBdr>
            </w:div>
            <w:div w:id="350494830">
              <w:marLeft w:val="0"/>
              <w:marRight w:val="0"/>
              <w:marTop w:val="0"/>
              <w:marBottom w:val="0"/>
              <w:divBdr>
                <w:top w:val="none" w:sz="0" w:space="0" w:color="auto"/>
                <w:left w:val="none" w:sz="0" w:space="0" w:color="auto"/>
                <w:bottom w:val="none" w:sz="0" w:space="0" w:color="auto"/>
                <w:right w:val="none" w:sz="0" w:space="0" w:color="auto"/>
              </w:divBdr>
            </w:div>
            <w:div w:id="519006928">
              <w:marLeft w:val="0"/>
              <w:marRight w:val="0"/>
              <w:marTop w:val="0"/>
              <w:marBottom w:val="0"/>
              <w:divBdr>
                <w:top w:val="none" w:sz="0" w:space="0" w:color="auto"/>
                <w:left w:val="none" w:sz="0" w:space="0" w:color="auto"/>
                <w:bottom w:val="none" w:sz="0" w:space="0" w:color="auto"/>
                <w:right w:val="none" w:sz="0" w:space="0" w:color="auto"/>
              </w:divBdr>
            </w:div>
            <w:div w:id="975139259">
              <w:marLeft w:val="0"/>
              <w:marRight w:val="0"/>
              <w:marTop w:val="0"/>
              <w:marBottom w:val="0"/>
              <w:divBdr>
                <w:top w:val="none" w:sz="0" w:space="0" w:color="auto"/>
                <w:left w:val="none" w:sz="0" w:space="0" w:color="auto"/>
                <w:bottom w:val="none" w:sz="0" w:space="0" w:color="auto"/>
                <w:right w:val="none" w:sz="0" w:space="0" w:color="auto"/>
              </w:divBdr>
            </w:div>
            <w:div w:id="992568929">
              <w:marLeft w:val="0"/>
              <w:marRight w:val="0"/>
              <w:marTop w:val="0"/>
              <w:marBottom w:val="0"/>
              <w:divBdr>
                <w:top w:val="none" w:sz="0" w:space="0" w:color="auto"/>
                <w:left w:val="none" w:sz="0" w:space="0" w:color="auto"/>
                <w:bottom w:val="none" w:sz="0" w:space="0" w:color="auto"/>
                <w:right w:val="none" w:sz="0" w:space="0" w:color="auto"/>
              </w:divBdr>
            </w:div>
            <w:div w:id="1214923283">
              <w:marLeft w:val="0"/>
              <w:marRight w:val="0"/>
              <w:marTop w:val="0"/>
              <w:marBottom w:val="0"/>
              <w:divBdr>
                <w:top w:val="none" w:sz="0" w:space="0" w:color="auto"/>
                <w:left w:val="none" w:sz="0" w:space="0" w:color="auto"/>
                <w:bottom w:val="none" w:sz="0" w:space="0" w:color="auto"/>
                <w:right w:val="none" w:sz="0" w:space="0" w:color="auto"/>
              </w:divBdr>
            </w:div>
            <w:div w:id="1224633084">
              <w:marLeft w:val="0"/>
              <w:marRight w:val="0"/>
              <w:marTop w:val="0"/>
              <w:marBottom w:val="0"/>
              <w:divBdr>
                <w:top w:val="none" w:sz="0" w:space="0" w:color="auto"/>
                <w:left w:val="none" w:sz="0" w:space="0" w:color="auto"/>
                <w:bottom w:val="none" w:sz="0" w:space="0" w:color="auto"/>
                <w:right w:val="none" w:sz="0" w:space="0" w:color="auto"/>
              </w:divBdr>
            </w:div>
            <w:div w:id="1723484490">
              <w:marLeft w:val="0"/>
              <w:marRight w:val="0"/>
              <w:marTop w:val="0"/>
              <w:marBottom w:val="0"/>
              <w:divBdr>
                <w:top w:val="none" w:sz="0" w:space="0" w:color="auto"/>
                <w:left w:val="none" w:sz="0" w:space="0" w:color="auto"/>
                <w:bottom w:val="none" w:sz="0" w:space="0" w:color="auto"/>
                <w:right w:val="none" w:sz="0" w:space="0" w:color="auto"/>
              </w:divBdr>
            </w:div>
            <w:div w:id="2083522246">
              <w:marLeft w:val="0"/>
              <w:marRight w:val="0"/>
              <w:marTop w:val="0"/>
              <w:marBottom w:val="0"/>
              <w:divBdr>
                <w:top w:val="none" w:sz="0" w:space="0" w:color="auto"/>
                <w:left w:val="none" w:sz="0" w:space="0" w:color="auto"/>
                <w:bottom w:val="none" w:sz="0" w:space="0" w:color="auto"/>
                <w:right w:val="none" w:sz="0" w:space="0" w:color="auto"/>
              </w:divBdr>
            </w:div>
            <w:div w:id="21441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540">
      <w:bodyDiv w:val="1"/>
      <w:marLeft w:val="0"/>
      <w:marRight w:val="0"/>
      <w:marTop w:val="0"/>
      <w:marBottom w:val="0"/>
      <w:divBdr>
        <w:top w:val="none" w:sz="0" w:space="0" w:color="auto"/>
        <w:left w:val="none" w:sz="0" w:space="0" w:color="auto"/>
        <w:bottom w:val="none" w:sz="0" w:space="0" w:color="auto"/>
        <w:right w:val="none" w:sz="0" w:space="0" w:color="auto"/>
      </w:divBdr>
    </w:div>
    <w:div w:id="409163216">
      <w:bodyDiv w:val="1"/>
      <w:marLeft w:val="0"/>
      <w:marRight w:val="0"/>
      <w:marTop w:val="0"/>
      <w:marBottom w:val="0"/>
      <w:divBdr>
        <w:top w:val="none" w:sz="0" w:space="0" w:color="auto"/>
        <w:left w:val="none" w:sz="0" w:space="0" w:color="auto"/>
        <w:bottom w:val="none" w:sz="0" w:space="0" w:color="auto"/>
        <w:right w:val="none" w:sz="0" w:space="0" w:color="auto"/>
      </w:divBdr>
      <w:divsChild>
        <w:div w:id="942030186">
          <w:marLeft w:val="0"/>
          <w:marRight w:val="0"/>
          <w:marTop w:val="0"/>
          <w:marBottom w:val="0"/>
          <w:divBdr>
            <w:top w:val="none" w:sz="0" w:space="0" w:color="auto"/>
            <w:left w:val="none" w:sz="0" w:space="0" w:color="auto"/>
            <w:bottom w:val="none" w:sz="0" w:space="0" w:color="auto"/>
            <w:right w:val="none" w:sz="0" w:space="0" w:color="auto"/>
          </w:divBdr>
        </w:div>
        <w:div w:id="1281569593">
          <w:marLeft w:val="0"/>
          <w:marRight w:val="0"/>
          <w:marTop w:val="0"/>
          <w:marBottom w:val="0"/>
          <w:divBdr>
            <w:top w:val="none" w:sz="0" w:space="0" w:color="auto"/>
            <w:left w:val="none" w:sz="0" w:space="0" w:color="auto"/>
            <w:bottom w:val="none" w:sz="0" w:space="0" w:color="auto"/>
            <w:right w:val="none" w:sz="0" w:space="0" w:color="auto"/>
          </w:divBdr>
        </w:div>
      </w:divsChild>
    </w:div>
    <w:div w:id="472721908">
      <w:bodyDiv w:val="1"/>
      <w:marLeft w:val="0"/>
      <w:marRight w:val="0"/>
      <w:marTop w:val="0"/>
      <w:marBottom w:val="0"/>
      <w:divBdr>
        <w:top w:val="none" w:sz="0" w:space="0" w:color="auto"/>
        <w:left w:val="none" w:sz="0" w:space="0" w:color="auto"/>
        <w:bottom w:val="none" w:sz="0" w:space="0" w:color="auto"/>
        <w:right w:val="none" w:sz="0" w:space="0" w:color="auto"/>
      </w:divBdr>
      <w:divsChild>
        <w:div w:id="246041236">
          <w:marLeft w:val="0"/>
          <w:marRight w:val="0"/>
          <w:marTop w:val="0"/>
          <w:marBottom w:val="0"/>
          <w:divBdr>
            <w:top w:val="none" w:sz="0" w:space="0" w:color="auto"/>
            <w:left w:val="none" w:sz="0" w:space="0" w:color="auto"/>
            <w:bottom w:val="none" w:sz="0" w:space="0" w:color="auto"/>
            <w:right w:val="none" w:sz="0" w:space="0" w:color="auto"/>
          </w:divBdr>
        </w:div>
        <w:div w:id="791434563">
          <w:marLeft w:val="0"/>
          <w:marRight w:val="0"/>
          <w:marTop w:val="0"/>
          <w:marBottom w:val="0"/>
          <w:divBdr>
            <w:top w:val="none" w:sz="0" w:space="0" w:color="auto"/>
            <w:left w:val="none" w:sz="0" w:space="0" w:color="auto"/>
            <w:bottom w:val="none" w:sz="0" w:space="0" w:color="auto"/>
            <w:right w:val="none" w:sz="0" w:space="0" w:color="auto"/>
          </w:divBdr>
        </w:div>
      </w:divsChild>
    </w:div>
    <w:div w:id="526676071">
      <w:bodyDiv w:val="1"/>
      <w:marLeft w:val="0"/>
      <w:marRight w:val="0"/>
      <w:marTop w:val="0"/>
      <w:marBottom w:val="0"/>
      <w:divBdr>
        <w:top w:val="none" w:sz="0" w:space="0" w:color="auto"/>
        <w:left w:val="none" w:sz="0" w:space="0" w:color="auto"/>
        <w:bottom w:val="none" w:sz="0" w:space="0" w:color="auto"/>
        <w:right w:val="none" w:sz="0" w:space="0" w:color="auto"/>
      </w:divBdr>
    </w:div>
    <w:div w:id="534774319">
      <w:bodyDiv w:val="1"/>
      <w:marLeft w:val="0"/>
      <w:marRight w:val="0"/>
      <w:marTop w:val="0"/>
      <w:marBottom w:val="0"/>
      <w:divBdr>
        <w:top w:val="none" w:sz="0" w:space="0" w:color="auto"/>
        <w:left w:val="none" w:sz="0" w:space="0" w:color="auto"/>
        <w:bottom w:val="none" w:sz="0" w:space="0" w:color="auto"/>
        <w:right w:val="none" w:sz="0" w:space="0" w:color="auto"/>
      </w:divBdr>
      <w:divsChild>
        <w:div w:id="94712503">
          <w:marLeft w:val="0"/>
          <w:marRight w:val="0"/>
          <w:marTop w:val="0"/>
          <w:marBottom w:val="0"/>
          <w:divBdr>
            <w:top w:val="none" w:sz="0" w:space="0" w:color="auto"/>
            <w:left w:val="none" w:sz="0" w:space="0" w:color="auto"/>
            <w:bottom w:val="none" w:sz="0" w:space="0" w:color="auto"/>
            <w:right w:val="none" w:sz="0" w:space="0" w:color="auto"/>
          </w:divBdr>
        </w:div>
        <w:div w:id="233399220">
          <w:marLeft w:val="0"/>
          <w:marRight w:val="0"/>
          <w:marTop w:val="0"/>
          <w:marBottom w:val="0"/>
          <w:divBdr>
            <w:top w:val="none" w:sz="0" w:space="0" w:color="auto"/>
            <w:left w:val="none" w:sz="0" w:space="0" w:color="auto"/>
            <w:bottom w:val="none" w:sz="0" w:space="0" w:color="auto"/>
            <w:right w:val="none" w:sz="0" w:space="0" w:color="auto"/>
          </w:divBdr>
        </w:div>
        <w:div w:id="532425429">
          <w:marLeft w:val="0"/>
          <w:marRight w:val="0"/>
          <w:marTop w:val="0"/>
          <w:marBottom w:val="0"/>
          <w:divBdr>
            <w:top w:val="none" w:sz="0" w:space="0" w:color="auto"/>
            <w:left w:val="none" w:sz="0" w:space="0" w:color="auto"/>
            <w:bottom w:val="none" w:sz="0" w:space="0" w:color="auto"/>
            <w:right w:val="none" w:sz="0" w:space="0" w:color="auto"/>
          </w:divBdr>
        </w:div>
        <w:div w:id="836116542">
          <w:marLeft w:val="0"/>
          <w:marRight w:val="0"/>
          <w:marTop w:val="0"/>
          <w:marBottom w:val="0"/>
          <w:divBdr>
            <w:top w:val="none" w:sz="0" w:space="0" w:color="auto"/>
            <w:left w:val="none" w:sz="0" w:space="0" w:color="auto"/>
            <w:bottom w:val="none" w:sz="0" w:space="0" w:color="auto"/>
            <w:right w:val="none" w:sz="0" w:space="0" w:color="auto"/>
          </w:divBdr>
        </w:div>
        <w:div w:id="1377897643">
          <w:marLeft w:val="0"/>
          <w:marRight w:val="0"/>
          <w:marTop w:val="0"/>
          <w:marBottom w:val="0"/>
          <w:divBdr>
            <w:top w:val="none" w:sz="0" w:space="0" w:color="auto"/>
            <w:left w:val="none" w:sz="0" w:space="0" w:color="auto"/>
            <w:bottom w:val="none" w:sz="0" w:space="0" w:color="auto"/>
            <w:right w:val="none" w:sz="0" w:space="0" w:color="auto"/>
          </w:divBdr>
        </w:div>
        <w:div w:id="1746030980">
          <w:marLeft w:val="0"/>
          <w:marRight w:val="0"/>
          <w:marTop w:val="0"/>
          <w:marBottom w:val="0"/>
          <w:divBdr>
            <w:top w:val="none" w:sz="0" w:space="0" w:color="auto"/>
            <w:left w:val="none" w:sz="0" w:space="0" w:color="auto"/>
            <w:bottom w:val="none" w:sz="0" w:space="0" w:color="auto"/>
            <w:right w:val="none" w:sz="0" w:space="0" w:color="auto"/>
          </w:divBdr>
        </w:div>
        <w:div w:id="1864436783">
          <w:marLeft w:val="0"/>
          <w:marRight w:val="0"/>
          <w:marTop w:val="0"/>
          <w:marBottom w:val="0"/>
          <w:divBdr>
            <w:top w:val="none" w:sz="0" w:space="0" w:color="auto"/>
            <w:left w:val="none" w:sz="0" w:space="0" w:color="auto"/>
            <w:bottom w:val="none" w:sz="0" w:space="0" w:color="auto"/>
            <w:right w:val="none" w:sz="0" w:space="0" w:color="auto"/>
          </w:divBdr>
        </w:div>
      </w:divsChild>
    </w:div>
    <w:div w:id="569343951">
      <w:bodyDiv w:val="1"/>
      <w:marLeft w:val="0"/>
      <w:marRight w:val="0"/>
      <w:marTop w:val="0"/>
      <w:marBottom w:val="0"/>
      <w:divBdr>
        <w:top w:val="none" w:sz="0" w:space="0" w:color="auto"/>
        <w:left w:val="none" w:sz="0" w:space="0" w:color="auto"/>
        <w:bottom w:val="none" w:sz="0" w:space="0" w:color="auto"/>
        <w:right w:val="none" w:sz="0" w:space="0" w:color="auto"/>
      </w:divBdr>
      <w:divsChild>
        <w:div w:id="476726945">
          <w:marLeft w:val="0"/>
          <w:marRight w:val="0"/>
          <w:marTop w:val="0"/>
          <w:marBottom w:val="0"/>
          <w:divBdr>
            <w:top w:val="none" w:sz="0" w:space="0" w:color="auto"/>
            <w:left w:val="none" w:sz="0" w:space="0" w:color="auto"/>
            <w:bottom w:val="none" w:sz="0" w:space="0" w:color="auto"/>
            <w:right w:val="none" w:sz="0" w:space="0" w:color="auto"/>
          </w:divBdr>
        </w:div>
        <w:div w:id="1158839792">
          <w:marLeft w:val="0"/>
          <w:marRight w:val="0"/>
          <w:marTop w:val="0"/>
          <w:marBottom w:val="0"/>
          <w:divBdr>
            <w:top w:val="none" w:sz="0" w:space="0" w:color="auto"/>
            <w:left w:val="none" w:sz="0" w:space="0" w:color="auto"/>
            <w:bottom w:val="none" w:sz="0" w:space="0" w:color="auto"/>
            <w:right w:val="none" w:sz="0" w:space="0" w:color="auto"/>
          </w:divBdr>
        </w:div>
      </w:divsChild>
    </w:div>
    <w:div w:id="746732820">
      <w:bodyDiv w:val="1"/>
      <w:marLeft w:val="0"/>
      <w:marRight w:val="0"/>
      <w:marTop w:val="0"/>
      <w:marBottom w:val="0"/>
      <w:divBdr>
        <w:top w:val="none" w:sz="0" w:space="0" w:color="auto"/>
        <w:left w:val="none" w:sz="0" w:space="0" w:color="auto"/>
        <w:bottom w:val="none" w:sz="0" w:space="0" w:color="auto"/>
        <w:right w:val="none" w:sz="0" w:space="0" w:color="auto"/>
      </w:divBdr>
    </w:div>
    <w:div w:id="779833876">
      <w:bodyDiv w:val="1"/>
      <w:marLeft w:val="0"/>
      <w:marRight w:val="0"/>
      <w:marTop w:val="0"/>
      <w:marBottom w:val="0"/>
      <w:divBdr>
        <w:top w:val="none" w:sz="0" w:space="0" w:color="auto"/>
        <w:left w:val="none" w:sz="0" w:space="0" w:color="auto"/>
        <w:bottom w:val="none" w:sz="0" w:space="0" w:color="auto"/>
        <w:right w:val="none" w:sz="0" w:space="0" w:color="auto"/>
      </w:divBdr>
    </w:div>
    <w:div w:id="811092644">
      <w:bodyDiv w:val="1"/>
      <w:marLeft w:val="0"/>
      <w:marRight w:val="0"/>
      <w:marTop w:val="0"/>
      <w:marBottom w:val="0"/>
      <w:divBdr>
        <w:top w:val="none" w:sz="0" w:space="0" w:color="auto"/>
        <w:left w:val="none" w:sz="0" w:space="0" w:color="auto"/>
        <w:bottom w:val="none" w:sz="0" w:space="0" w:color="auto"/>
        <w:right w:val="none" w:sz="0" w:space="0" w:color="auto"/>
      </w:divBdr>
    </w:div>
    <w:div w:id="1011760065">
      <w:bodyDiv w:val="1"/>
      <w:marLeft w:val="0"/>
      <w:marRight w:val="0"/>
      <w:marTop w:val="0"/>
      <w:marBottom w:val="0"/>
      <w:divBdr>
        <w:top w:val="none" w:sz="0" w:space="0" w:color="auto"/>
        <w:left w:val="none" w:sz="0" w:space="0" w:color="auto"/>
        <w:bottom w:val="none" w:sz="0" w:space="0" w:color="auto"/>
        <w:right w:val="none" w:sz="0" w:space="0" w:color="auto"/>
      </w:divBdr>
      <w:divsChild>
        <w:div w:id="7684455">
          <w:marLeft w:val="0"/>
          <w:marRight w:val="0"/>
          <w:marTop w:val="0"/>
          <w:marBottom w:val="0"/>
          <w:divBdr>
            <w:top w:val="none" w:sz="0" w:space="0" w:color="auto"/>
            <w:left w:val="none" w:sz="0" w:space="0" w:color="auto"/>
            <w:bottom w:val="none" w:sz="0" w:space="0" w:color="auto"/>
            <w:right w:val="none" w:sz="0" w:space="0" w:color="auto"/>
          </w:divBdr>
        </w:div>
        <w:div w:id="79062790">
          <w:marLeft w:val="0"/>
          <w:marRight w:val="0"/>
          <w:marTop w:val="0"/>
          <w:marBottom w:val="0"/>
          <w:divBdr>
            <w:top w:val="none" w:sz="0" w:space="0" w:color="auto"/>
            <w:left w:val="none" w:sz="0" w:space="0" w:color="auto"/>
            <w:bottom w:val="none" w:sz="0" w:space="0" w:color="auto"/>
            <w:right w:val="none" w:sz="0" w:space="0" w:color="auto"/>
          </w:divBdr>
        </w:div>
        <w:div w:id="99690858">
          <w:marLeft w:val="0"/>
          <w:marRight w:val="0"/>
          <w:marTop w:val="0"/>
          <w:marBottom w:val="0"/>
          <w:divBdr>
            <w:top w:val="none" w:sz="0" w:space="0" w:color="auto"/>
            <w:left w:val="none" w:sz="0" w:space="0" w:color="auto"/>
            <w:bottom w:val="none" w:sz="0" w:space="0" w:color="auto"/>
            <w:right w:val="none" w:sz="0" w:space="0" w:color="auto"/>
          </w:divBdr>
        </w:div>
        <w:div w:id="103693128">
          <w:marLeft w:val="0"/>
          <w:marRight w:val="0"/>
          <w:marTop w:val="0"/>
          <w:marBottom w:val="0"/>
          <w:divBdr>
            <w:top w:val="none" w:sz="0" w:space="0" w:color="auto"/>
            <w:left w:val="none" w:sz="0" w:space="0" w:color="auto"/>
            <w:bottom w:val="none" w:sz="0" w:space="0" w:color="auto"/>
            <w:right w:val="none" w:sz="0" w:space="0" w:color="auto"/>
          </w:divBdr>
        </w:div>
        <w:div w:id="186022878">
          <w:marLeft w:val="0"/>
          <w:marRight w:val="0"/>
          <w:marTop w:val="0"/>
          <w:marBottom w:val="0"/>
          <w:divBdr>
            <w:top w:val="none" w:sz="0" w:space="0" w:color="auto"/>
            <w:left w:val="none" w:sz="0" w:space="0" w:color="auto"/>
            <w:bottom w:val="none" w:sz="0" w:space="0" w:color="auto"/>
            <w:right w:val="none" w:sz="0" w:space="0" w:color="auto"/>
          </w:divBdr>
        </w:div>
        <w:div w:id="186144640">
          <w:marLeft w:val="0"/>
          <w:marRight w:val="0"/>
          <w:marTop w:val="0"/>
          <w:marBottom w:val="0"/>
          <w:divBdr>
            <w:top w:val="none" w:sz="0" w:space="0" w:color="auto"/>
            <w:left w:val="none" w:sz="0" w:space="0" w:color="auto"/>
            <w:bottom w:val="none" w:sz="0" w:space="0" w:color="auto"/>
            <w:right w:val="none" w:sz="0" w:space="0" w:color="auto"/>
          </w:divBdr>
        </w:div>
        <w:div w:id="327056626">
          <w:marLeft w:val="0"/>
          <w:marRight w:val="0"/>
          <w:marTop w:val="0"/>
          <w:marBottom w:val="0"/>
          <w:divBdr>
            <w:top w:val="none" w:sz="0" w:space="0" w:color="auto"/>
            <w:left w:val="none" w:sz="0" w:space="0" w:color="auto"/>
            <w:bottom w:val="none" w:sz="0" w:space="0" w:color="auto"/>
            <w:right w:val="none" w:sz="0" w:space="0" w:color="auto"/>
          </w:divBdr>
        </w:div>
        <w:div w:id="414742601">
          <w:marLeft w:val="0"/>
          <w:marRight w:val="0"/>
          <w:marTop w:val="0"/>
          <w:marBottom w:val="0"/>
          <w:divBdr>
            <w:top w:val="none" w:sz="0" w:space="0" w:color="auto"/>
            <w:left w:val="none" w:sz="0" w:space="0" w:color="auto"/>
            <w:bottom w:val="none" w:sz="0" w:space="0" w:color="auto"/>
            <w:right w:val="none" w:sz="0" w:space="0" w:color="auto"/>
          </w:divBdr>
        </w:div>
        <w:div w:id="520360862">
          <w:marLeft w:val="0"/>
          <w:marRight w:val="0"/>
          <w:marTop w:val="0"/>
          <w:marBottom w:val="0"/>
          <w:divBdr>
            <w:top w:val="none" w:sz="0" w:space="0" w:color="auto"/>
            <w:left w:val="none" w:sz="0" w:space="0" w:color="auto"/>
            <w:bottom w:val="none" w:sz="0" w:space="0" w:color="auto"/>
            <w:right w:val="none" w:sz="0" w:space="0" w:color="auto"/>
          </w:divBdr>
        </w:div>
        <w:div w:id="640424518">
          <w:marLeft w:val="0"/>
          <w:marRight w:val="0"/>
          <w:marTop w:val="0"/>
          <w:marBottom w:val="0"/>
          <w:divBdr>
            <w:top w:val="none" w:sz="0" w:space="0" w:color="auto"/>
            <w:left w:val="none" w:sz="0" w:space="0" w:color="auto"/>
            <w:bottom w:val="none" w:sz="0" w:space="0" w:color="auto"/>
            <w:right w:val="none" w:sz="0" w:space="0" w:color="auto"/>
          </w:divBdr>
        </w:div>
        <w:div w:id="737678014">
          <w:marLeft w:val="0"/>
          <w:marRight w:val="0"/>
          <w:marTop w:val="0"/>
          <w:marBottom w:val="0"/>
          <w:divBdr>
            <w:top w:val="none" w:sz="0" w:space="0" w:color="auto"/>
            <w:left w:val="none" w:sz="0" w:space="0" w:color="auto"/>
            <w:bottom w:val="none" w:sz="0" w:space="0" w:color="auto"/>
            <w:right w:val="none" w:sz="0" w:space="0" w:color="auto"/>
          </w:divBdr>
        </w:div>
        <w:div w:id="739450981">
          <w:marLeft w:val="0"/>
          <w:marRight w:val="0"/>
          <w:marTop w:val="0"/>
          <w:marBottom w:val="0"/>
          <w:divBdr>
            <w:top w:val="none" w:sz="0" w:space="0" w:color="auto"/>
            <w:left w:val="none" w:sz="0" w:space="0" w:color="auto"/>
            <w:bottom w:val="none" w:sz="0" w:space="0" w:color="auto"/>
            <w:right w:val="none" w:sz="0" w:space="0" w:color="auto"/>
          </w:divBdr>
        </w:div>
        <w:div w:id="757289745">
          <w:marLeft w:val="0"/>
          <w:marRight w:val="0"/>
          <w:marTop w:val="0"/>
          <w:marBottom w:val="0"/>
          <w:divBdr>
            <w:top w:val="none" w:sz="0" w:space="0" w:color="auto"/>
            <w:left w:val="none" w:sz="0" w:space="0" w:color="auto"/>
            <w:bottom w:val="none" w:sz="0" w:space="0" w:color="auto"/>
            <w:right w:val="none" w:sz="0" w:space="0" w:color="auto"/>
          </w:divBdr>
        </w:div>
        <w:div w:id="773718614">
          <w:marLeft w:val="0"/>
          <w:marRight w:val="0"/>
          <w:marTop w:val="0"/>
          <w:marBottom w:val="0"/>
          <w:divBdr>
            <w:top w:val="none" w:sz="0" w:space="0" w:color="auto"/>
            <w:left w:val="none" w:sz="0" w:space="0" w:color="auto"/>
            <w:bottom w:val="none" w:sz="0" w:space="0" w:color="auto"/>
            <w:right w:val="none" w:sz="0" w:space="0" w:color="auto"/>
          </w:divBdr>
        </w:div>
        <w:div w:id="815030606">
          <w:marLeft w:val="0"/>
          <w:marRight w:val="0"/>
          <w:marTop w:val="0"/>
          <w:marBottom w:val="0"/>
          <w:divBdr>
            <w:top w:val="none" w:sz="0" w:space="0" w:color="auto"/>
            <w:left w:val="none" w:sz="0" w:space="0" w:color="auto"/>
            <w:bottom w:val="none" w:sz="0" w:space="0" w:color="auto"/>
            <w:right w:val="none" w:sz="0" w:space="0" w:color="auto"/>
          </w:divBdr>
        </w:div>
        <w:div w:id="838038619">
          <w:marLeft w:val="0"/>
          <w:marRight w:val="0"/>
          <w:marTop w:val="0"/>
          <w:marBottom w:val="0"/>
          <w:divBdr>
            <w:top w:val="none" w:sz="0" w:space="0" w:color="auto"/>
            <w:left w:val="none" w:sz="0" w:space="0" w:color="auto"/>
            <w:bottom w:val="none" w:sz="0" w:space="0" w:color="auto"/>
            <w:right w:val="none" w:sz="0" w:space="0" w:color="auto"/>
          </w:divBdr>
        </w:div>
        <w:div w:id="921254251">
          <w:marLeft w:val="0"/>
          <w:marRight w:val="0"/>
          <w:marTop w:val="0"/>
          <w:marBottom w:val="0"/>
          <w:divBdr>
            <w:top w:val="none" w:sz="0" w:space="0" w:color="auto"/>
            <w:left w:val="none" w:sz="0" w:space="0" w:color="auto"/>
            <w:bottom w:val="none" w:sz="0" w:space="0" w:color="auto"/>
            <w:right w:val="none" w:sz="0" w:space="0" w:color="auto"/>
          </w:divBdr>
        </w:div>
        <w:div w:id="929508954">
          <w:marLeft w:val="0"/>
          <w:marRight w:val="0"/>
          <w:marTop w:val="0"/>
          <w:marBottom w:val="0"/>
          <w:divBdr>
            <w:top w:val="none" w:sz="0" w:space="0" w:color="auto"/>
            <w:left w:val="none" w:sz="0" w:space="0" w:color="auto"/>
            <w:bottom w:val="none" w:sz="0" w:space="0" w:color="auto"/>
            <w:right w:val="none" w:sz="0" w:space="0" w:color="auto"/>
          </w:divBdr>
        </w:div>
        <w:div w:id="1021585762">
          <w:marLeft w:val="0"/>
          <w:marRight w:val="0"/>
          <w:marTop w:val="0"/>
          <w:marBottom w:val="0"/>
          <w:divBdr>
            <w:top w:val="none" w:sz="0" w:space="0" w:color="auto"/>
            <w:left w:val="none" w:sz="0" w:space="0" w:color="auto"/>
            <w:bottom w:val="none" w:sz="0" w:space="0" w:color="auto"/>
            <w:right w:val="none" w:sz="0" w:space="0" w:color="auto"/>
          </w:divBdr>
        </w:div>
        <w:div w:id="1052313152">
          <w:marLeft w:val="0"/>
          <w:marRight w:val="0"/>
          <w:marTop w:val="0"/>
          <w:marBottom w:val="0"/>
          <w:divBdr>
            <w:top w:val="none" w:sz="0" w:space="0" w:color="auto"/>
            <w:left w:val="none" w:sz="0" w:space="0" w:color="auto"/>
            <w:bottom w:val="none" w:sz="0" w:space="0" w:color="auto"/>
            <w:right w:val="none" w:sz="0" w:space="0" w:color="auto"/>
          </w:divBdr>
        </w:div>
        <w:div w:id="1064985621">
          <w:marLeft w:val="0"/>
          <w:marRight w:val="0"/>
          <w:marTop w:val="0"/>
          <w:marBottom w:val="0"/>
          <w:divBdr>
            <w:top w:val="none" w:sz="0" w:space="0" w:color="auto"/>
            <w:left w:val="none" w:sz="0" w:space="0" w:color="auto"/>
            <w:bottom w:val="none" w:sz="0" w:space="0" w:color="auto"/>
            <w:right w:val="none" w:sz="0" w:space="0" w:color="auto"/>
          </w:divBdr>
        </w:div>
        <w:div w:id="1153840353">
          <w:marLeft w:val="0"/>
          <w:marRight w:val="0"/>
          <w:marTop w:val="0"/>
          <w:marBottom w:val="0"/>
          <w:divBdr>
            <w:top w:val="none" w:sz="0" w:space="0" w:color="auto"/>
            <w:left w:val="none" w:sz="0" w:space="0" w:color="auto"/>
            <w:bottom w:val="none" w:sz="0" w:space="0" w:color="auto"/>
            <w:right w:val="none" w:sz="0" w:space="0" w:color="auto"/>
          </w:divBdr>
        </w:div>
        <w:div w:id="1409812893">
          <w:marLeft w:val="0"/>
          <w:marRight w:val="0"/>
          <w:marTop w:val="0"/>
          <w:marBottom w:val="0"/>
          <w:divBdr>
            <w:top w:val="none" w:sz="0" w:space="0" w:color="auto"/>
            <w:left w:val="none" w:sz="0" w:space="0" w:color="auto"/>
            <w:bottom w:val="none" w:sz="0" w:space="0" w:color="auto"/>
            <w:right w:val="none" w:sz="0" w:space="0" w:color="auto"/>
          </w:divBdr>
        </w:div>
        <w:div w:id="1610510097">
          <w:marLeft w:val="0"/>
          <w:marRight w:val="0"/>
          <w:marTop w:val="0"/>
          <w:marBottom w:val="0"/>
          <w:divBdr>
            <w:top w:val="none" w:sz="0" w:space="0" w:color="auto"/>
            <w:left w:val="none" w:sz="0" w:space="0" w:color="auto"/>
            <w:bottom w:val="none" w:sz="0" w:space="0" w:color="auto"/>
            <w:right w:val="none" w:sz="0" w:space="0" w:color="auto"/>
          </w:divBdr>
        </w:div>
        <w:div w:id="1656494765">
          <w:marLeft w:val="0"/>
          <w:marRight w:val="0"/>
          <w:marTop w:val="0"/>
          <w:marBottom w:val="0"/>
          <w:divBdr>
            <w:top w:val="none" w:sz="0" w:space="0" w:color="auto"/>
            <w:left w:val="none" w:sz="0" w:space="0" w:color="auto"/>
            <w:bottom w:val="none" w:sz="0" w:space="0" w:color="auto"/>
            <w:right w:val="none" w:sz="0" w:space="0" w:color="auto"/>
          </w:divBdr>
        </w:div>
        <w:div w:id="1667436600">
          <w:marLeft w:val="0"/>
          <w:marRight w:val="0"/>
          <w:marTop w:val="0"/>
          <w:marBottom w:val="0"/>
          <w:divBdr>
            <w:top w:val="none" w:sz="0" w:space="0" w:color="auto"/>
            <w:left w:val="none" w:sz="0" w:space="0" w:color="auto"/>
            <w:bottom w:val="none" w:sz="0" w:space="0" w:color="auto"/>
            <w:right w:val="none" w:sz="0" w:space="0" w:color="auto"/>
          </w:divBdr>
        </w:div>
        <w:div w:id="1675062685">
          <w:marLeft w:val="0"/>
          <w:marRight w:val="0"/>
          <w:marTop w:val="0"/>
          <w:marBottom w:val="0"/>
          <w:divBdr>
            <w:top w:val="none" w:sz="0" w:space="0" w:color="auto"/>
            <w:left w:val="none" w:sz="0" w:space="0" w:color="auto"/>
            <w:bottom w:val="none" w:sz="0" w:space="0" w:color="auto"/>
            <w:right w:val="none" w:sz="0" w:space="0" w:color="auto"/>
          </w:divBdr>
        </w:div>
        <w:div w:id="1684283280">
          <w:marLeft w:val="0"/>
          <w:marRight w:val="0"/>
          <w:marTop w:val="0"/>
          <w:marBottom w:val="0"/>
          <w:divBdr>
            <w:top w:val="none" w:sz="0" w:space="0" w:color="auto"/>
            <w:left w:val="none" w:sz="0" w:space="0" w:color="auto"/>
            <w:bottom w:val="none" w:sz="0" w:space="0" w:color="auto"/>
            <w:right w:val="none" w:sz="0" w:space="0" w:color="auto"/>
          </w:divBdr>
        </w:div>
        <w:div w:id="1707294898">
          <w:marLeft w:val="0"/>
          <w:marRight w:val="0"/>
          <w:marTop w:val="0"/>
          <w:marBottom w:val="0"/>
          <w:divBdr>
            <w:top w:val="none" w:sz="0" w:space="0" w:color="auto"/>
            <w:left w:val="none" w:sz="0" w:space="0" w:color="auto"/>
            <w:bottom w:val="none" w:sz="0" w:space="0" w:color="auto"/>
            <w:right w:val="none" w:sz="0" w:space="0" w:color="auto"/>
          </w:divBdr>
        </w:div>
        <w:div w:id="1992755321">
          <w:marLeft w:val="0"/>
          <w:marRight w:val="0"/>
          <w:marTop w:val="0"/>
          <w:marBottom w:val="0"/>
          <w:divBdr>
            <w:top w:val="none" w:sz="0" w:space="0" w:color="auto"/>
            <w:left w:val="none" w:sz="0" w:space="0" w:color="auto"/>
            <w:bottom w:val="none" w:sz="0" w:space="0" w:color="auto"/>
            <w:right w:val="none" w:sz="0" w:space="0" w:color="auto"/>
          </w:divBdr>
        </w:div>
        <w:div w:id="2000619929">
          <w:marLeft w:val="0"/>
          <w:marRight w:val="0"/>
          <w:marTop w:val="0"/>
          <w:marBottom w:val="0"/>
          <w:divBdr>
            <w:top w:val="none" w:sz="0" w:space="0" w:color="auto"/>
            <w:left w:val="none" w:sz="0" w:space="0" w:color="auto"/>
            <w:bottom w:val="none" w:sz="0" w:space="0" w:color="auto"/>
            <w:right w:val="none" w:sz="0" w:space="0" w:color="auto"/>
          </w:divBdr>
        </w:div>
        <w:div w:id="2033796622">
          <w:marLeft w:val="0"/>
          <w:marRight w:val="0"/>
          <w:marTop w:val="0"/>
          <w:marBottom w:val="0"/>
          <w:divBdr>
            <w:top w:val="none" w:sz="0" w:space="0" w:color="auto"/>
            <w:left w:val="none" w:sz="0" w:space="0" w:color="auto"/>
            <w:bottom w:val="none" w:sz="0" w:space="0" w:color="auto"/>
            <w:right w:val="none" w:sz="0" w:space="0" w:color="auto"/>
          </w:divBdr>
        </w:div>
        <w:div w:id="2119637225">
          <w:marLeft w:val="0"/>
          <w:marRight w:val="0"/>
          <w:marTop w:val="0"/>
          <w:marBottom w:val="0"/>
          <w:divBdr>
            <w:top w:val="none" w:sz="0" w:space="0" w:color="auto"/>
            <w:left w:val="none" w:sz="0" w:space="0" w:color="auto"/>
            <w:bottom w:val="none" w:sz="0" w:space="0" w:color="auto"/>
            <w:right w:val="none" w:sz="0" w:space="0" w:color="auto"/>
          </w:divBdr>
        </w:div>
      </w:divsChild>
    </w:div>
    <w:div w:id="1016033100">
      <w:bodyDiv w:val="1"/>
      <w:marLeft w:val="0"/>
      <w:marRight w:val="0"/>
      <w:marTop w:val="0"/>
      <w:marBottom w:val="0"/>
      <w:divBdr>
        <w:top w:val="none" w:sz="0" w:space="0" w:color="auto"/>
        <w:left w:val="none" w:sz="0" w:space="0" w:color="auto"/>
        <w:bottom w:val="none" w:sz="0" w:space="0" w:color="auto"/>
        <w:right w:val="none" w:sz="0" w:space="0" w:color="auto"/>
      </w:divBdr>
    </w:div>
    <w:div w:id="1036542571">
      <w:bodyDiv w:val="1"/>
      <w:marLeft w:val="0"/>
      <w:marRight w:val="0"/>
      <w:marTop w:val="0"/>
      <w:marBottom w:val="0"/>
      <w:divBdr>
        <w:top w:val="none" w:sz="0" w:space="0" w:color="auto"/>
        <w:left w:val="none" w:sz="0" w:space="0" w:color="auto"/>
        <w:bottom w:val="none" w:sz="0" w:space="0" w:color="auto"/>
        <w:right w:val="none" w:sz="0" w:space="0" w:color="auto"/>
      </w:divBdr>
      <w:divsChild>
        <w:div w:id="669337369">
          <w:marLeft w:val="0"/>
          <w:marRight w:val="0"/>
          <w:marTop w:val="0"/>
          <w:marBottom w:val="0"/>
          <w:divBdr>
            <w:top w:val="none" w:sz="0" w:space="0" w:color="auto"/>
            <w:left w:val="none" w:sz="0" w:space="0" w:color="auto"/>
            <w:bottom w:val="none" w:sz="0" w:space="0" w:color="auto"/>
            <w:right w:val="none" w:sz="0" w:space="0" w:color="auto"/>
          </w:divBdr>
        </w:div>
        <w:div w:id="960845960">
          <w:marLeft w:val="0"/>
          <w:marRight w:val="0"/>
          <w:marTop w:val="0"/>
          <w:marBottom w:val="0"/>
          <w:divBdr>
            <w:top w:val="none" w:sz="0" w:space="0" w:color="auto"/>
            <w:left w:val="none" w:sz="0" w:space="0" w:color="auto"/>
            <w:bottom w:val="none" w:sz="0" w:space="0" w:color="auto"/>
            <w:right w:val="none" w:sz="0" w:space="0" w:color="auto"/>
          </w:divBdr>
        </w:div>
        <w:div w:id="1139570019">
          <w:marLeft w:val="0"/>
          <w:marRight w:val="0"/>
          <w:marTop w:val="0"/>
          <w:marBottom w:val="0"/>
          <w:divBdr>
            <w:top w:val="none" w:sz="0" w:space="0" w:color="auto"/>
            <w:left w:val="none" w:sz="0" w:space="0" w:color="auto"/>
            <w:bottom w:val="none" w:sz="0" w:space="0" w:color="auto"/>
            <w:right w:val="none" w:sz="0" w:space="0" w:color="auto"/>
          </w:divBdr>
        </w:div>
        <w:div w:id="1885023410">
          <w:marLeft w:val="0"/>
          <w:marRight w:val="0"/>
          <w:marTop w:val="0"/>
          <w:marBottom w:val="0"/>
          <w:divBdr>
            <w:top w:val="none" w:sz="0" w:space="0" w:color="auto"/>
            <w:left w:val="none" w:sz="0" w:space="0" w:color="auto"/>
            <w:bottom w:val="none" w:sz="0" w:space="0" w:color="auto"/>
            <w:right w:val="none" w:sz="0" w:space="0" w:color="auto"/>
          </w:divBdr>
        </w:div>
        <w:div w:id="2120298578">
          <w:marLeft w:val="0"/>
          <w:marRight w:val="0"/>
          <w:marTop w:val="0"/>
          <w:marBottom w:val="0"/>
          <w:divBdr>
            <w:top w:val="none" w:sz="0" w:space="0" w:color="auto"/>
            <w:left w:val="none" w:sz="0" w:space="0" w:color="auto"/>
            <w:bottom w:val="none" w:sz="0" w:space="0" w:color="auto"/>
            <w:right w:val="none" w:sz="0" w:space="0" w:color="auto"/>
          </w:divBdr>
        </w:div>
      </w:divsChild>
    </w:div>
    <w:div w:id="1067651903">
      <w:bodyDiv w:val="1"/>
      <w:marLeft w:val="0"/>
      <w:marRight w:val="0"/>
      <w:marTop w:val="0"/>
      <w:marBottom w:val="0"/>
      <w:divBdr>
        <w:top w:val="none" w:sz="0" w:space="0" w:color="auto"/>
        <w:left w:val="none" w:sz="0" w:space="0" w:color="auto"/>
        <w:bottom w:val="none" w:sz="0" w:space="0" w:color="auto"/>
        <w:right w:val="none" w:sz="0" w:space="0" w:color="auto"/>
      </w:divBdr>
    </w:div>
    <w:div w:id="1117484500">
      <w:bodyDiv w:val="1"/>
      <w:marLeft w:val="0"/>
      <w:marRight w:val="0"/>
      <w:marTop w:val="0"/>
      <w:marBottom w:val="0"/>
      <w:divBdr>
        <w:top w:val="none" w:sz="0" w:space="0" w:color="auto"/>
        <w:left w:val="none" w:sz="0" w:space="0" w:color="auto"/>
        <w:bottom w:val="none" w:sz="0" w:space="0" w:color="auto"/>
        <w:right w:val="none" w:sz="0" w:space="0" w:color="auto"/>
      </w:divBdr>
    </w:div>
    <w:div w:id="1198464894">
      <w:bodyDiv w:val="1"/>
      <w:marLeft w:val="0"/>
      <w:marRight w:val="0"/>
      <w:marTop w:val="0"/>
      <w:marBottom w:val="0"/>
      <w:divBdr>
        <w:top w:val="none" w:sz="0" w:space="0" w:color="auto"/>
        <w:left w:val="none" w:sz="0" w:space="0" w:color="auto"/>
        <w:bottom w:val="none" w:sz="0" w:space="0" w:color="auto"/>
        <w:right w:val="none" w:sz="0" w:space="0" w:color="auto"/>
      </w:divBdr>
      <w:divsChild>
        <w:div w:id="545415384">
          <w:marLeft w:val="0"/>
          <w:marRight w:val="0"/>
          <w:marTop w:val="0"/>
          <w:marBottom w:val="0"/>
          <w:divBdr>
            <w:top w:val="none" w:sz="0" w:space="0" w:color="auto"/>
            <w:left w:val="none" w:sz="0" w:space="0" w:color="auto"/>
            <w:bottom w:val="none" w:sz="0" w:space="0" w:color="auto"/>
            <w:right w:val="none" w:sz="0" w:space="0" w:color="auto"/>
          </w:divBdr>
        </w:div>
        <w:div w:id="1024788673">
          <w:marLeft w:val="0"/>
          <w:marRight w:val="0"/>
          <w:marTop w:val="0"/>
          <w:marBottom w:val="0"/>
          <w:divBdr>
            <w:top w:val="none" w:sz="0" w:space="0" w:color="auto"/>
            <w:left w:val="none" w:sz="0" w:space="0" w:color="auto"/>
            <w:bottom w:val="none" w:sz="0" w:space="0" w:color="auto"/>
            <w:right w:val="none" w:sz="0" w:space="0" w:color="auto"/>
          </w:divBdr>
        </w:div>
        <w:div w:id="1153566381">
          <w:marLeft w:val="0"/>
          <w:marRight w:val="0"/>
          <w:marTop w:val="0"/>
          <w:marBottom w:val="0"/>
          <w:divBdr>
            <w:top w:val="none" w:sz="0" w:space="0" w:color="auto"/>
            <w:left w:val="none" w:sz="0" w:space="0" w:color="auto"/>
            <w:bottom w:val="none" w:sz="0" w:space="0" w:color="auto"/>
            <w:right w:val="none" w:sz="0" w:space="0" w:color="auto"/>
          </w:divBdr>
        </w:div>
        <w:div w:id="1363283751">
          <w:marLeft w:val="0"/>
          <w:marRight w:val="0"/>
          <w:marTop w:val="0"/>
          <w:marBottom w:val="0"/>
          <w:divBdr>
            <w:top w:val="none" w:sz="0" w:space="0" w:color="auto"/>
            <w:left w:val="none" w:sz="0" w:space="0" w:color="auto"/>
            <w:bottom w:val="none" w:sz="0" w:space="0" w:color="auto"/>
            <w:right w:val="none" w:sz="0" w:space="0" w:color="auto"/>
          </w:divBdr>
        </w:div>
        <w:div w:id="1902793258">
          <w:marLeft w:val="0"/>
          <w:marRight w:val="0"/>
          <w:marTop w:val="0"/>
          <w:marBottom w:val="0"/>
          <w:divBdr>
            <w:top w:val="none" w:sz="0" w:space="0" w:color="auto"/>
            <w:left w:val="none" w:sz="0" w:space="0" w:color="auto"/>
            <w:bottom w:val="none" w:sz="0" w:space="0" w:color="auto"/>
            <w:right w:val="none" w:sz="0" w:space="0" w:color="auto"/>
          </w:divBdr>
        </w:div>
      </w:divsChild>
    </w:div>
    <w:div w:id="1668703350">
      <w:bodyDiv w:val="1"/>
      <w:marLeft w:val="0"/>
      <w:marRight w:val="0"/>
      <w:marTop w:val="0"/>
      <w:marBottom w:val="0"/>
      <w:divBdr>
        <w:top w:val="none" w:sz="0" w:space="0" w:color="auto"/>
        <w:left w:val="none" w:sz="0" w:space="0" w:color="auto"/>
        <w:bottom w:val="none" w:sz="0" w:space="0" w:color="auto"/>
        <w:right w:val="none" w:sz="0" w:space="0" w:color="auto"/>
      </w:divBdr>
      <w:divsChild>
        <w:div w:id="850872624">
          <w:marLeft w:val="0"/>
          <w:marRight w:val="0"/>
          <w:marTop w:val="0"/>
          <w:marBottom w:val="0"/>
          <w:divBdr>
            <w:top w:val="none" w:sz="0" w:space="0" w:color="auto"/>
            <w:left w:val="none" w:sz="0" w:space="0" w:color="auto"/>
            <w:bottom w:val="none" w:sz="0" w:space="0" w:color="auto"/>
            <w:right w:val="none" w:sz="0" w:space="0" w:color="auto"/>
          </w:divBdr>
        </w:div>
        <w:div w:id="957103945">
          <w:marLeft w:val="0"/>
          <w:marRight w:val="0"/>
          <w:marTop w:val="0"/>
          <w:marBottom w:val="0"/>
          <w:divBdr>
            <w:top w:val="none" w:sz="0" w:space="0" w:color="auto"/>
            <w:left w:val="none" w:sz="0" w:space="0" w:color="auto"/>
            <w:bottom w:val="none" w:sz="0" w:space="0" w:color="auto"/>
            <w:right w:val="none" w:sz="0" w:space="0" w:color="auto"/>
          </w:divBdr>
        </w:div>
        <w:div w:id="168312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uhri.ohchr.org/document/index/856ab8b6-3025-419b-b4ba-9d43d3f89148" TargetMode="External"/><Relationship Id="rId13" Type="http://schemas.openxmlformats.org/officeDocument/2006/relationships/hyperlink" Target="http://www.un.org/en/ga/search/view_doc.asp?symbol=A/72/172" TargetMode="External"/><Relationship Id="rId3" Type="http://schemas.openxmlformats.org/officeDocument/2006/relationships/hyperlink" Target="http://onlinelibrary.wiley.com/doi/10.1016/j.ijgo.2016.06.003/full" TargetMode="External"/><Relationship Id="rId7" Type="http://schemas.openxmlformats.org/officeDocument/2006/relationships/hyperlink" Target="http://uhri.ohchr.org/document/index/421d8d8c-7e8c-4a7d-8160-bf0fc64dbb32" TargetMode="External"/><Relationship Id="rId12" Type="http://schemas.openxmlformats.org/officeDocument/2006/relationships/hyperlink" Target="http://www.un.org/ga/search/view_doc.asp?symbol=A/RES/70/1&amp;Lang=E" TargetMode="External"/><Relationship Id="rId2" Type="http://schemas.openxmlformats.org/officeDocument/2006/relationships/hyperlink" Target="http://www.who.int/mediacentre/news/releases/2017/unsafe-abortions-worldwide/en/" TargetMode="External"/><Relationship Id="rId1" Type="http://schemas.openxmlformats.org/officeDocument/2006/relationships/hyperlink" Target="http://www.thelancet.com/journals/lancet/article/PIIS0140-6736(17)31794-4/fulltext" TargetMode="External"/><Relationship Id="rId6" Type="http://schemas.openxmlformats.org/officeDocument/2006/relationships/hyperlink" Target="http://uhri.ohchr.org/document/index/856ab8b6-3025-419b-b4ba-9d43d3f89148" TargetMode="External"/><Relationship Id="rId11" Type="http://schemas.openxmlformats.org/officeDocument/2006/relationships/hyperlink" Target="http://apps.who.int/iris/bitstream/10665/70914/1/9789241548434_eng.pdf?ua=1" TargetMode="External"/><Relationship Id="rId5" Type="http://schemas.openxmlformats.org/officeDocument/2006/relationships/hyperlink" Target="http://uhri.ohchr.org/document/index/b115063e-9adf-43d4-9bba-3e9586cdd7b7" TargetMode="External"/><Relationship Id="rId10" Type="http://schemas.openxmlformats.org/officeDocument/2006/relationships/hyperlink" Target="https://www.guttmacher.org/sites/default/files/report_downloads/demystifying-data-handouts_0.pdf" TargetMode="External"/><Relationship Id="rId4" Type="http://schemas.openxmlformats.org/officeDocument/2006/relationships/hyperlink" Target="https://documents-dds-ny.un.org/doc/UNDOC/GEN/G16/072/19/PDF/G1607219.pdf?OpenElement" TargetMode="External"/><Relationship Id="rId9" Type="http://schemas.openxmlformats.org/officeDocument/2006/relationships/hyperlink" Target="http://www.un.org/ga/search/view_doc.asp?symbol=A/RES/70/1&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5C8A3B-649B-45E1-BC16-E17724B745CE}">
  <ds:schemaRefs>
    <ds:schemaRef ds:uri="http://schemas.openxmlformats.org/officeDocument/2006/bibliography"/>
  </ds:schemaRefs>
</ds:datastoreItem>
</file>

<file path=customXml/itemProps2.xml><?xml version="1.0" encoding="utf-8"?>
<ds:datastoreItem xmlns:ds="http://schemas.openxmlformats.org/officeDocument/2006/customXml" ds:itemID="{2B74E5AE-C2D2-4CC7-BF5B-5B2E64114E69}"/>
</file>

<file path=customXml/itemProps3.xml><?xml version="1.0" encoding="utf-8"?>
<ds:datastoreItem xmlns:ds="http://schemas.openxmlformats.org/officeDocument/2006/customXml" ds:itemID="{28172702-5923-4F5C-83E0-5694E807F16D}"/>
</file>

<file path=customXml/itemProps4.xml><?xml version="1.0" encoding="utf-8"?>
<ds:datastoreItem xmlns:ds="http://schemas.openxmlformats.org/officeDocument/2006/customXml" ds:itemID="{78A4B24E-0C26-4103-BFFD-CA0363EA4CAD}"/>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Wagner</dc:creator>
  <cp:keywords/>
  <dc:description/>
  <cp:lastModifiedBy>Durnescu Lilian</cp:lastModifiedBy>
  <cp:revision>2</cp:revision>
  <cp:lastPrinted>2017-09-29T12:57:00Z</cp:lastPrinted>
  <dcterms:created xsi:type="dcterms:W3CDTF">2017-10-16T13:00:00Z</dcterms:created>
  <dcterms:modified xsi:type="dcterms:W3CDTF">2017-10-16T13:00:00Z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