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661" w:rsidRPr="00F12BCF" w:rsidRDefault="007238F4" w:rsidP="00E02569">
      <w:pPr>
        <w:rPr>
          <w:rFonts w:ascii="Verdana" w:hAnsi="Verdana"/>
          <w:b/>
          <w:sz w:val="18"/>
          <w:szCs w:val="18"/>
          <w:u w:val="single"/>
        </w:rPr>
      </w:pPr>
      <w:bookmarkStart w:id="0" w:name="_GoBack"/>
      <w:bookmarkEnd w:id="0"/>
      <w:r w:rsidRPr="00F12BCF">
        <w:rPr>
          <w:rFonts w:ascii="Verdana" w:hAnsi="Verdana"/>
          <w:b/>
          <w:sz w:val="18"/>
          <w:szCs w:val="18"/>
          <w:u w:val="single"/>
        </w:rPr>
        <w:t>Comments</w:t>
      </w:r>
      <w:r w:rsidR="0053134B">
        <w:rPr>
          <w:rFonts w:ascii="Verdana" w:hAnsi="Verdana"/>
          <w:b/>
          <w:sz w:val="18"/>
          <w:szCs w:val="18"/>
          <w:u w:val="single"/>
        </w:rPr>
        <w:t xml:space="preserve"> of the</w:t>
      </w:r>
      <w:r w:rsidRPr="00F12BCF">
        <w:rPr>
          <w:rFonts w:ascii="Verdana" w:hAnsi="Verdana"/>
          <w:b/>
          <w:sz w:val="18"/>
          <w:szCs w:val="18"/>
          <w:u w:val="single"/>
        </w:rPr>
        <w:t xml:space="preserve"> Netherlands </w:t>
      </w:r>
      <w:r w:rsidR="00F12BCF">
        <w:rPr>
          <w:rFonts w:ascii="Verdana" w:hAnsi="Verdana"/>
          <w:b/>
          <w:sz w:val="18"/>
          <w:szCs w:val="18"/>
          <w:u w:val="single"/>
        </w:rPr>
        <w:t xml:space="preserve">to the Draft </w:t>
      </w:r>
      <w:r w:rsidRPr="00F12BCF">
        <w:rPr>
          <w:rFonts w:ascii="Verdana" w:hAnsi="Verdana"/>
          <w:b/>
          <w:sz w:val="18"/>
          <w:szCs w:val="18"/>
          <w:u w:val="single"/>
        </w:rPr>
        <w:t xml:space="preserve">General Comment </w:t>
      </w:r>
      <w:r w:rsidR="00F12BCF">
        <w:rPr>
          <w:rFonts w:ascii="Verdana" w:hAnsi="Verdana"/>
          <w:b/>
          <w:sz w:val="18"/>
          <w:szCs w:val="18"/>
          <w:u w:val="single"/>
        </w:rPr>
        <w:t xml:space="preserve">No. 36 on </w:t>
      </w:r>
      <w:r w:rsidR="0053134B">
        <w:rPr>
          <w:rFonts w:ascii="Verdana" w:hAnsi="Verdana"/>
          <w:b/>
          <w:sz w:val="18"/>
          <w:szCs w:val="18"/>
          <w:u w:val="single"/>
        </w:rPr>
        <w:t xml:space="preserve">article </w:t>
      </w:r>
      <w:proofErr w:type="gramStart"/>
      <w:r w:rsidR="0053134B">
        <w:rPr>
          <w:rFonts w:ascii="Verdana" w:hAnsi="Verdana"/>
          <w:b/>
          <w:sz w:val="18"/>
          <w:szCs w:val="18"/>
          <w:u w:val="single"/>
        </w:rPr>
        <w:t>6</w:t>
      </w:r>
      <w:proofErr w:type="gramEnd"/>
      <w:r w:rsidR="0053134B">
        <w:rPr>
          <w:rFonts w:ascii="Verdana" w:hAnsi="Verdana"/>
          <w:b/>
          <w:sz w:val="18"/>
          <w:szCs w:val="18"/>
          <w:u w:val="single"/>
        </w:rPr>
        <w:t xml:space="preserve"> of the International Covenant on Civil and </w:t>
      </w:r>
      <w:r w:rsidR="007D37EC">
        <w:rPr>
          <w:rFonts w:ascii="Verdana" w:hAnsi="Verdana"/>
          <w:b/>
          <w:sz w:val="18"/>
          <w:szCs w:val="18"/>
          <w:u w:val="single"/>
        </w:rPr>
        <w:t xml:space="preserve">Political Rights, on </w:t>
      </w:r>
      <w:r w:rsidRPr="00F12BCF">
        <w:rPr>
          <w:rFonts w:ascii="Verdana" w:hAnsi="Verdana"/>
          <w:b/>
          <w:sz w:val="18"/>
          <w:szCs w:val="18"/>
          <w:u w:val="single"/>
        </w:rPr>
        <w:t>Right to Life</w:t>
      </w:r>
    </w:p>
    <w:p w:rsidR="007238F4" w:rsidRPr="00F01821" w:rsidRDefault="00177665" w:rsidP="00E02569">
      <w:pPr>
        <w:rPr>
          <w:rFonts w:ascii="Verdana" w:hAnsi="Verdana"/>
          <w:sz w:val="18"/>
          <w:szCs w:val="18"/>
        </w:rPr>
      </w:pPr>
      <w:r>
        <w:rPr>
          <w:rFonts w:ascii="Verdana" w:hAnsi="Verdana"/>
          <w:sz w:val="18"/>
          <w:szCs w:val="18"/>
        </w:rPr>
        <w:t xml:space="preserve">1. </w:t>
      </w:r>
      <w:r w:rsidR="00F01821" w:rsidRPr="00F01821">
        <w:rPr>
          <w:rFonts w:ascii="Verdana" w:hAnsi="Verdana"/>
          <w:sz w:val="18"/>
          <w:szCs w:val="18"/>
        </w:rPr>
        <w:t xml:space="preserve">The Government of the Netherlands welcomes the initiative by the </w:t>
      </w:r>
      <w:r w:rsidR="00E726CF">
        <w:rPr>
          <w:rFonts w:ascii="Verdana" w:hAnsi="Verdana"/>
          <w:sz w:val="18"/>
          <w:szCs w:val="18"/>
        </w:rPr>
        <w:t xml:space="preserve">Human Rights </w:t>
      </w:r>
      <w:r w:rsidR="00F01821" w:rsidRPr="00F01821">
        <w:rPr>
          <w:rFonts w:ascii="Verdana" w:hAnsi="Verdana"/>
          <w:sz w:val="18"/>
          <w:szCs w:val="18"/>
        </w:rPr>
        <w:t>Committee to prepare a revised General Comment</w:t>
      </w:r>
      <w:r w:rsidR="00963F40">
        <w:rPr>
          <w:rFonts w:ascii="Verdana" w:hAnsi="Verdana"/>
          <w:sz w:val="18"/>
          <w:szCs w:val="18"/>
        </w:rPr>
        <w:t xml:space="preserve"> on the Right to Life</w:t>
      </w:r>
      <w:r w:rsidR="00F01821">
        <w:rPr>
          <w:rFonts w:ascii="Verdana" w:hAnsi="Verdana"/>
          <w:sz w:val="18"/>
          <w:szCs w:val="18"/>
        </w:rPr>
        <w:t xml:space="preserve">. </w:t>
      </w:r>
      <w:r w:rsidR="00963F40">
        <w:rPr>
          <w:rFonts w:ascii="Verdana" w:hAnsi="Verdana"/>
          <w:sz w:val="18"/>
          <w:szCs w:val="18"/>
        </w:rPr>
        <w:t>In response to the Committee’s call for comments</w:t>
      </w:r>
      <w:r w:rsidR="00F154A1">
        <w:rPr>
          <w:rFonts w:ascii="Verdana" w:hAnsi="Verdana"/>
          <w:sz w:val="18"/>
          <w:szCs w:val="18"/>
        </w:rPr>
        <w:t xml:space="preserve"> </w:t>
      </w:r>
      <w:r w:rsidR="00F01821" w:rsidRPr="00F01821">
        <w:rPr>
          <w:rFonts w:ascii="Verdana" w:hAnsi="Verdana"/>
          <w:sz w:val="18"/>
          <w:szCs w:val="18"/>
        </w:rPr>
        <w:t xml:space="preserve">the Government of the Netherlands would like to submit the following comments </w:t>
      </w:r>
      <w:r w:rsidR="00F01821">
        <w:rPr>
          <w:rFonts w:ascii="Verdana" w:hAnsi="Verdana"/>
          <w:sz w:val="18"/>
          <w:szCs w:val="18"/>
        </w:rPr>
        <w:t>on the draft text.</w:t>
      </w:r>
    </w:p>
    <w:p w:rsidR="007238F4" w:rsidRDefault="007238F4" w:rsidP="00E02569">
      <w:pPr>
        <w:rPr>
          <w:rFonts w:ascii="Verdana" w:hAnsi="Verdana"/>
          <w:sz w:val="18"/>
          <w:szCs w:val="18"/>
          <w:u w:val="single"/>
        </w:rPr>
      </w:pPr>
      <w:r>
        <w:rPr>
          <w:rFonts w:ascii="Verdana" w:hAnsi="Verdana"/>
          <w:sz w:val="18"/>
          <w:szCs w:val="18"/>
          <w:u w:val="single"/>
        </w:rPr>
        <w:t>General</w:t>
      </w:r>
    </w:p>
    <w:p w:rsidR="007238F4" w:rsidRPr="000E2DD3" w:rsidRDefault="00177665" w:rsidP="00E02569">
      <w:pPr>
        <w:rPr>
          <w:rFonts w:ascii="Verdana" w:hAnsi="Verdana"/>
          <w:b/>
          <w:sz w:val="18"/>
          <w:szCs w:val="18"/>
        </w:rPr>
      </w:pPr>
      <w:r>
        <w:rPr>
          <w:rFonts w:ascii="Verdana" w:hAnsi="Verdana"/>
          <w:sz w:val="18"/>
          <w:szCs w:val="18"/>
        </w:rPr>
        <w:t xml:space="preserve">2. </w:t>
      </w:r>
      <w:r w:rsidR="007238F4" w:rsidRPr="007238F4">
        <w:rPr>
          <w:rFonts w:ascii="Verdana" w:hAnsi="Verdana"/>
          <w:sz w:val="18"/>
          <w:szCs w:val="18"/>
        </w:rPr>
        <w:t xml:space="preserve">The </w:t>
      </w:r>
      <w:r w:rsidR="007238F4">
        <w:rPr>
          <w:rFonts w:ascii="Verdana" w:hAnsi="Verdana"/>
          <w:sz w:val="18"/>
          <w:szCs w:val="18"/>
        </w:rPr>
        <w:t xml:space="preserve">Draft </w:t>
      </w:r>
      <w:r w:rsidR="007238F4" w:rsidRPr="007238F4">
        <w:rPr>
          <w:rFonts w:ascii="Verdana" w:hAnsi="Verdana"/>
          <w:sz w:val="18"/>
          <w:szCs w:val="18"/>
        </w:rPr>
        <w:t>G</w:t>
      </w:r>
      <w:r w:rsidR="007238F4">
        <w:rPr>
          <w:rFonts w:ascii="Verdana" w:hAnsi="Verdana"/>
          <w:sz w:val="18"/>
          <w:szCs w:val="18"/>
        </w:rPr>
        <w:t xml:space="preserve">eneral </w:t>
      </w:r>
      <w:r w:rsidR="007238F4" w:rsidRPr="007238F4">
        <w:rPr>
          <w:rFonts w:ascii="Verdana" w:hAnsi="Verdana"/>
          <w:sz w:val="18"/>
          <w:szCs w:val="18"/>
        </w:rPr>
        <w:t>C</w:t>
      </w:r>
      <w:r w:rsidR="007238F4">
        <w:rPr>
          <w:rFonts w:ascii="Verdana" w:hAnsi="Verdana"/>
          <w:sz w:val="18"/>
          <w:szCs w:val="18"/>
        </w:rPr>
        <w:t>omment</w:t>
      </w:r>
      <w:r w:rsidR="007238F4" w:rsidRPr="007238F4">
        <w:rPr>
          <w:rFonts w:ascii="Verdana" w:hAnsi="Verdana"/>
          <w:sz w:val="18"/>
          <w:szCs w:val="18"/>
        </w:rPr>
        <w:t xml:space="preserve"> </w:t>
      </w:r>
      <w:r w:rsidR="007238F4">
        <w:rPr>
          <w:rFonts w:ascii="Verdana" w:hAnsi="Verdana"/>
          <w:sz w:val="18"/>
          <w:szCs w:val="18"/>
        </w:rPr>
        <w:t xml:space="preserve">on Article 6 of the International Covenant on Civil and Political Rights – Right to Life </w:t>
      </w:r>
      <w:proofErr w:type="gramStart"/>
      <w:r w:rsidR="007238F4" w:rsidRPr="007238F4">
        <w:rPr>
          <w:rFonts w:ascii="Verdana" w:hAnsi="Verdana"/>
          <w:sz w:val="18"/>
          <w:szCs w:val="18"/>
        </w:rPr>
        <w:t>is based</w:t>
      </w:r>
      <w:proofErr w:type="gramEnd"/>
      <w:r w:rsidR="007238F4" w:rsidRPr="007238F4">
        <w:rPr>
          <w:rFonts w:ascii="Verdana" w:hAnsi="Verdana"/>
          <w:sz w:val="18"/>
          <w:szCs w:val="18"/>
        </w:rPr>
        <w:t xml:space="preserve"> on an expansive scope as rega</w:t>
      </w:r>
      <w:r w:rsidR="007238F4">
        <w:rPr>
          <w:rFonts w:ascii="Verdana" w:hAnsi="Verdana"/>
          <w:sz w:val="18"/>
          <w:szCs w:val="18"/>
        </w:rPr>
        <w:t>rds the interaction between article</w:t>
      </w:r>
      <w:r w:rsidR="007238F4" w:rsidRPr="007238F4">
        <w:rPr>
          <w:rFonts w:ascii="Verdana" w:hAnsi="Verdana"/>
          <w:sz w:val="18"/>
          <w:szCs w:val="18"/>
        </w:rPr>
        <w:t xml:space="preserve"> 6 and other provisions in the ICCPR. This runs the risk of contradicting G</w:t>
      </w:r>
      <w:r w:rsidR="007238F4">
        <w:rPr>
          <w:rFonts w:ascii="Verdana" w:hAnsi="Verdana"/>
          <w:sz w:val="18"/>
          <w:szCs w:val="18"/>
        </w:rPr>
        <w:t xml:space="preserve">eneral </w:t>
      </w:r>
      <w:r w:rsidR="007238F4" w:rsidRPr="007238F4">
        <w:rPr>
          <w:rFonts w:ascii="Verdana" w:hAnsi="Verdana"/>
          <w:sz w:val="18"/>
          <w:szCs w:val="18"/>
        </w:rPr>
        <w:t>C</w:t>
      </w:r>
      <w:r w:rsidR="007238F4">
        <w:rPr>
          <w:rFonts w:ascii="Verdana" w:hAnsi="Verdana"/>
          <w:sz w:val="18"/>
          <w:szCs w:val="18"/>
        </w:rPr>
        <w:t>omment</w:t>
      </w:r>
      <w:r w:rsidR="007238F4" w:rsidRPr="007238F4">
        <w:rPr>
          <w:rFonts w:ascii="Verdana" w:hAnsi="Verdana"/>
          <w:sz w:val="18"/>
          <w:szCs w:val="18"/>
        </w:rPr>
        <w:t>s already issued or making the provisions of the ICCPR codependent instead of independently interactive across the ICCPR as a whole.</w:t>
      </w:r>
      <w:r w:rsidR="00310B3D">
        <w:rPr>
          <w:rFonts w:ascii="Verdana" w:hAnsi="Verdana"/>
          <w:sz w:val="18"/>
          <w:szCs w:val="18"/>
        </w:rPr>
        <w:t xml:space="preserve"> The Netherlands requests the Committee to pay special attention to this. </w:t>
      </w:r>
      <w:r w:rsidR="007238F4">
        <w:rPr>
          <w:rFonts w:ascii="Verdana" w:hAnsi="Verdana"/>
          <w:sz w:val="18"/>
          <w:szCs w:val="18"/>
        </w:rPr>
        <w:t xml:space="preserve"> </w:t>
      </w:r>
    </w:p>
    <w:p w:rsidR="007238F4" w:rsidRPr="000E2DD3" w:rsidRDefault="007238F4" w:rsidP="00E02569">
      <w:pPr>
        <w:rPr>
          <w:rFonts w:ascii="Verdana" w:hAnsi="Verdana"/>
          <w:sz w:val="18"/>
          <w:szCs w:val="18"/>
          <w:u w:val="single"/>
        </w:rPr>
      </w:pPr>
      <w:r w:rsidRPr="000E2DD3">
        <w:rPr>
          <w:rFonts w:ascii="Verdana" w:hAnsi="Verdana"/>
          <w:sz w:val="18"/>
          <w:szCs w:val="18"/>
          <w:u w:val="single"/>
        </w:rPr>
        <w:t>Specific</w:t>
      </w:r>
    </w:p>
    <w:p w:rsidR="007238F4" w:rsidRPr="007238F4" w:rsidRDefault="00177665" w:rsidP="00E02569">
      <w:pPr>
        <w:rPr>
          <w:rFonts w:ascii="Verdana" w:hAnsi="Verdana"/>
          <w:i/>
          <w:sz w:val="18"/>
          <w:szCs w:val="18"/>
        </w:rPr>
      </w:pPr>
      <w:r>
        <w:rPr>
          <w:rFonts w:ascii="Verdana" w:hAnsi="Verdana"/>
          <w:sz w:val="18"/>
          <w:szCs w:val="18"/>
        </w:rPr>
        <w:t xml:space="preserve">3. </w:t>
      </w:r>
      <w:r w:rsidR="007238F4" w:rsidRPr="007238F4">
        <w:rPr>
          <w:rFonts w:ascii="Verdana" w:hAnsi="Verdana"/>
          <w:sz w:val="18"/>
          <w:szCs w:val="18"/>
        </w:rPr>
        <w:t>Paragraph 2 refers to ‘other public emergencies’</w:t>
      </w:r>
      <w:r w:rsidR="00A70292">
        <w:rPr>
          <w:rFonts w:ascii="Verdana" w:hAnsi="Verdana"/>
          <w:sz w:val="18"/>
          <w:szCs w:val="18"/>
        </w:rPr>
        <w:t>. The Netherlands assumes that the Committee does not intend to expand the scope of article 4 of the Covenant and requests to add the wording ‘</w:t>
      </w:r>
      <w:r w:rsidR="00A70292" w:rsidRPr="007238F4">
        <w:rPr>
          <w:rFonts w:ascii="Verdana" w:hAnsi="Verdana"/>
          <w:sz w:val="18"/>
          <w:szCs w:val="18"/>
        </w:rPr>
        <w:t>which threatens the life of the nation’</w:t>
      </w:r>
      <w:r w:rsidR="007238F4" w:rsidRPr="007238F4">
        <w:rPr>
          <w:rFonts w:ascii="Verdana" w:hAnsi="Verdana"/>
          <w:sz w:val="18"/>
          <w:szCs w:val="18"/>
        </w:rPr>
        <w:t>.</w:t>
      </w:r>
      <w:r w:rsidR="0058024B">
        <w:rPr>
          <w:rFonts w:ascii="Verdana" w:hAnsi="Verdana"/>
          <w:sz w:val="18"/>
          <w:szCs w:val="18"/>
        </w:rPr>
        <w:t xml:space="preserve"> </w:t>
      </w:r>
      <w:r w:rsidR="00A70292">
        <w:rPr>
          <w:rFonts w:ascii="Verdana" w:hAnsi="Verdana"/>
          <w:sz w:val="18"/>
          <w:szCs w:val="18"/>
        </w:rPr>
        <w:t xml:space="preserve">This would be in line with </w:t>
      </w:r>
      <w:r w:rsidR="007238F4" w:rsidRPr="007238F4">
        <w:rPr>
          <w:rFonts w:ascii="Verdana" w:hAnsi="Verdana"/>
          <w:sz w:val="18"/>
          <w:szCs w:val="18"/>
        </w:rPr>
        <w:t xml:space="preserve">the </w:t>
      </w:r>
      <w:r w:rsidR="00A70292">
        <w:rPr>
          <w:rFonts w:ascii="Verdana" w:hAnsi="Verdana"/>
          <w:sz w:val="18"/>
          <w:szCs w:val="18"/>
        </w:rPr>
        <w:t xml:space="preserve">Committee’s </w:t>
      </w:r>
      <w:r w:rsidR="007238F4" w:rsidRPr="007238F4">
        <w:rPr>
          <w:rFonts w:ascii="Verdana" w:hAnsi="Verdana"/>
          <w:sz w:val="18"/>
          <w:szCs w:val="18"/>
        </w:rPr>
        <w:t xml:space="preserve">views set forth in </w:t>
      </w:r>
      <w:r w:rsidR="005776C8">
        <w:rPr>
          <w:rFonts w:ascii="Verdana" w:hAnsi="Verdana"/>
          <w:sz w:val="18"/>
          <w:szCs w:val="18"/>
        </w:rPr>
        <w:t>General Comment 6</w:t>
      </w:r>
      <w:r w:rsidR="00A70292">
        <w:rPr>
          <w:rFonts w:ascii="Verdana" w:hAnsi="Verdana"/>
          <w:sz w:val="18"/>
          <w:szCs w:val="18"/>
        </w:rPr>
        <w:t xml:space="preserve"> (1982) and </w:t>
      </w:r>
      <w:r w:rsidR="007238F4" w:rsidRPr="007238F4">
        <w:rPr>
          <w:rFonts w:ascii="Verdana" w:hAnsi="Verdana"/>
          <w:sz w:val="18"/>
          <w:szCs w:val="18"/>
        </w:rPr>
        <w:t>paragraph 68</w:t>
      </w:r>
      <w:r w:rsidR="00E02569">
        <w:rPr>
          <w:rFonts w:ascii="Verdana" w:hAnsi="Verdana"/>
          <w:sz w:val="18"/>
          <w:szCs w:val="18"/>
        </w:rPr>
        <w:t xml:space="preserve"> of the present draft text </w:t>
      </w:r>
      <w:r w:rsidR="007238F4" w:rsidRPr="007238F4">
        <w:rPr>
          <w:rFonts w:ascii="Verdana" w:hAnsi="Verdana"/>
          <w:sz w:val="18"/>
          <w:szCs w:val="18"/>
        </w:rPr>
        <w:t xml:space="preserve">(‘public emergency). </w:t>
      </w:r>
    </w:p>
    <w:p w:rsidR="007238F4" w:rsidRDefault="00177665" w:rsidP="00E02569">
      <w:pPr>
        <w:rPr>
          <w:rFonts w:ascii="Verdana" w:hAnsi="Verdana"/>
          <w:sz w:val="18"/>
          <w:szCs w:val="18"/>
        </w:rPr>
      </w:pPr>
      <w:r>
        <w:rPr>
          <w:rFonts w:ascii="Verdana" w:hAnsi="Verdana"/>
          <w:sz w:val="18"/>
          <w:szCs w:val="18"/>
        </w:rPr>
        <w:t xml:space="preserve">4. </w:t>
      </w:r>
      <w:r w:rsidR="00DA7C5A">
        <w:rPr>
          <w:rFonts w:ascii="Verdana" w:hAnsi="Verdana"/>
          <w:sz w:val="18"/>
          <w:szCs w:val="18"/>
        </w:rPr>
        <w:t>In paragraph 3</w:t>
      </w:r>
      <w:r w:rsidR="008C4820">
        <w:rPr>
          <w:rFonts w:ascii="Verdana" w:hAnsi="Verdana"/>
          <w:sz w:val="18"/>
          <w:szCs w:val="18"/>
        </w:rPr>
        <w:t>,</w:t>
      </w:r>
      <w:r w:rsidR="00DA7C5A">
        <w:rPr>
          <w:rFonts w:ascii="Verdana" w:hAnsi="Verdana"/>
          <w:sz w:val="18"/>
          <w:szCs w:val="18"/>
        </w:rPr>
        <w:t xml:space="preserve"> i</w:t>
      </w:r>
      <w:r w:rsidR="007238F4">
        <w:rPr>
          <w:rFonts w:ascii="Verdana" w:hAnsi="Verdana"/>
          <w:sz w:val="18"/>
          <w:szCs w:val="18"/>
        </w:rPr>
        <w:t xml:space="preserve">t is unclear what </w:t>
      </w:r>
      <w:proofErr w:type="gramStart"/>
      <w:r w:rsidR="007238F4">
        <w:rPr>
          <w:rFonts w:ascii="Verdana" w:hAnsi="Verdana"/>
          <w:sz w:val="18"/>
          <w:szCs w:val="18"/>
        </w:rPr>
        <w:t>is meant</w:t>
      </w:r>
      <w:proofErr w:type="gramEnd"/>
      <w:r w:rsidR="007238F4">
        <w:rPr>
          <w:rFonts w:ascii="Verdana" w:hAnsi="Verdana"/>
          <w:sz w:val="18"/>
          <w:szCs w:val="18"/>
        </w:rPr>
        <w:t xml:space="preserve"> by ‘dignity’ (‘a life with dignity’) in the context of the</w:t>
      </w:r>
      <w:r w:rsidR="000E2DD3">
        <w:rPr>
          <w:rFonts w:ascii="Verdana" w:hAnsi="Verdana"/>
          <w:sz w:val="18"/>
          <w:szCs w:val="18"/>
        </w:rPr>
        <w:t xml:space="preserve"> views of this draft</w:t>
      </w:r>
      <w:r w:rsidR="007238F4">
        <w:rPr>
          <w:rFonts w:ascii="Verdana" w:hAnsi="Verdana"/>
          <w:sz w:val="18"/>
          <w:szCs w:val="18"/>
        </w:rPr>
        <w:t xml:space="preserve"> General Comment as regards the right to life and the I</w:t>
      </w:r>
      <w:r w:rsidR="005776C8">
        <w:rPr>
          <w:rFonts w:ascii="Verdana" w:hAnsi="Verdana"/>
          <w:sz w:val="18"/>
          <w:szCs w:val="18"/>
        </w:rPr>
        <w:t xml:space="preserve">CCPR as a whole. Therefore, </w:t>
      </w:r>
      <w:r w:rsidR="00DA7C5A">
        <w:rPr>
          <w:rFonts w:ascii="Verdana" w:hAnsi="Verdana"/>
          <w:sz w:val="18"/>
          <w:szCs w:val="18"/>
        </w:rPr>
        <w:t>the Netherlands</w:t>
      </w:r>
      <w:r w:rsidR="005776C8">
        <w:rPr>
          <w:rFonts w:ascii="Verdana" w:hAnsi="Verdana"/>
          <w:sz w:val="18"/>
          <w:szCs w:val="18"/>
        </w:rPr>
        <w:t xml:space="preserve"> </w:t>
      </w:r>
      <w:r w:rsidR="007238F4">
        <w:rPr>
          <w:rFonts w:ascii="Verdana" w:hAnsi="Verdana"/>
          <w:sz w:val="18"/>
          <w:szCs w:val="18"/>
        </w:rPr>
        <w:t xml:space="preserve">suggests </w:t>
      </w:r>
      <w:r w:rsidR="00D04504">
        <w:rPr>
          <w:rFonts w:ascii="Verdana" w:hAnsi="Verdana"/>
          <w:sz w:val="18"/>
          <w:szCs w:val="18"/>
        </w:rPr>
        <w:t>clarifying</w:t>
      </w:r>
      <w:r w:rsidR="00DA7C5A">
        <w:rPr>
          <w:rFonts w:ascii="Verdana" w:hAnsi="Verdana"/>
          <w:sz w:val="18"/>
          <w:szCs w:val="18"/>
        </w:rPr>
        <w:t xml:space="preserve"> </w:t>
      </w:r>
      <w:r w:rsidR="007238F4">
        <w:rPr>
          <w:rFonts w:ascii="Verdana" w:hAnsi="Verdana"/>
          <w:sz w:val="18"/>
          <w:szCs w:val="18"/>
        </w:rPr>
        <w:t xml:space="preserve">this phrase. </w:t>
      </w:r>
    </w:p>
    <w:p w:rsidR="00B31D08" w:rsidRDefault="00177665" w:rsidP="00E02569">
      <w:pPr>
        <w:rPr>
          <w:rFonts w:ascii="Verdana" w:hAnsi="Verdana"/>
          <w:sz w:val="18"/>
          <w:szCs w:val="18"/>
        </w:rPr>
      </w:pPr>
      <w:r>
        <w:rPr>
          <w:rFonts w:ascii="Verdana" w:hAnsi="Verdana"/>
          <w:sz w:val="18"/>
          <w:szCs w:val="18"/>
        </w:rPr>
        <w:t xml:space="preserve">5. </w:t>
      </w:r>
      <w:r w:rsidR="007238F4" w:rsidRPr="007238F4">
        <w:rPr>
          <w:rFonts w:ascii="Verdana" w:hAnsi="Verdana"/>
          <w:sz w:val="18"/>
          <w:szCs w:val="18"/>
        </w:rPr>
        <w:t>In paragraph 7</w:t>
      </w:r>
      <w:r w:rsidR="00E02569">
        <w:rPr>
          <w:rFonts w:ascii="Verdana" w:hAnsi="Verdana"/>
          <w:sz w:val="18"/>
          <w:szCs w:val="18"/>
        </w:rPr>
        <w:t>,</w:t>
      </w:r>
      <w:r w:rsidR="007238F4">
        <w:rPr>
          <w:rFonts w:ascii="Verdana" w:hAnsi="Verdana"/>
          <w:sz w:val="18"/>
          <w:szCs w:val="18"/>
        </w:rPr>
        <w:t xml:space="preserve"> </w:t>
      </w:r>
      <w:r>
        <w:rPr>
          <w:rFonts w:ascii="Verdana" w:hAnsi="Verdana"/>
          <w:sz w:val="18"/>
          <w:szCs w:val="18"/>
        </w:rPr>
        <w:t xml:space="preserve">the Netherlands would like to see </w:t>
      </w:r>
      <w:r w:rsidR="007238F4">
        <w:rPr>
          <w:rFonts w:ascii="Verdana" w:hAnsi="Verdana"/>
          <w:sz w:val="18"/>
          <w:szCs w:val="18"/>
        </w:rPr>
        <w:t xml:space="preserve">a reference to the criteria set out by the </w:t>
      </w:r>
      <w:proofErr w:type="spellStart"/>
      <w:r w:rsidR="007238F4">
        <w:rPr>
          <w:rFonts w:ascii="Verdana" w:hAnsi="Verdana"/>
          <w:sz w:val="18"/>
          <w:szCs w:val="18"/>
        </w:rPr>
        <w:t>EC</w:t>
      </w:r>
      <w:r w:rsidR="00822D65">
        <w:rPr>
          <w:rFonts w:ascii="Verdana" w:hAnsi="Verdana"/>
          <w:sz w:val="18"/>
          <w:szCs w:val="18"/>
        </w:rPr>
        <w:t>t</w:t>
      </w:r>
      <w:r w:rsidR="007238F4">
        <w:rPr>
          <w:rFonts w:ascii="Verdana" w:hAnsi="Verdana"/>
          <w:sz w:val="18"/>
          <w:szCs w:val="18"/>
        </w:rPr>
        <w:t>HR</w:t>
      </w:r>
      <w:proofErr w:type="spellEnd"/>
      <w:r w:rsidR="007238F4">
        <w:rPr>
          <w:rFonts w:ascii="Verdana" w:hAnsi="Verdana"/>
          <w:sz w:val="18"/>
          <w:szCs w:val="18"/>
        </w:rPr>
        <w:t xml:space="preserve"> in </w:t>
      </w:r>
      <w:r w:rsidR="007238F4" w:rsidRPr="00D04504">
        <w:rPr>
          <w:rFonts w:ascii="Verdana" w:hAnsi="Verdana"/>
          <w:i/>
          <w:sz w:val="18"/>
          <w:szCs w:val="18"/>
        </w:rPr>
        <w:t>Osman v. the UK</w:t>
      </w:r>
      <w:r w:rsidR="007238F4">
        <w:rPr>
          <w:rFonts w:ascii="Verdana" w:hAnsi="Verdana"/>
          <w:sz w:val="18"/>
          <w:szCs w:val="18"/>
        </w:rPr>
        <w:t>. This case contains a number of crucial criteria, conditions</w:t>
      </w:r>
      <w:r w:rsidR="005776C8">
        <w:rPr>
          <w:rFonts w:ascii="Verdana" w:hAnsi="Verdana"/>
          <w:sz w:val="18"/>
          <w:szCs w:val="18"/>
        </w:rPr>
        <w:t>, and limitations as regards th</w:t>
      </w:r>
      <w:r w:rsidR="00DA7C5A">
        <w:rPr>
          <w:rFonts w:ascii="Verdana" w:hAnsi="Verdana"/>
          <w:sz w:val="18"/>
          <w:szCs w:val="18"/>
        </w:rPr>
        <w:t>e obligation of States to refrain from engaging in conduct resulting in arbitrary deprivation of life</w:t>
      </w:r>
      <w:r w:rsidR="007238F4">
        <w:rPr>
          <w:rFonts w:ascii="Verdana" w:hAnsi="Verdana"/>
          <w:sz w:val="18"/>
          <w:szCs w:val="18"/>
        </w:rPr>
        <w:t>.</w:t>
      </w:r>
      <w:r w:rsidR="005776C8">
        <w:rPr>
          <w:rFonts w:ascii="Verdana" w:hAnsi="Verdana"/>
          <w:sz w:val="18"/>
          <w:szCs w:val="18"/>
        </w:rPr>
        <w:t xml:space="preserve"> </w:t>
      </w:r>
      <w:r w:rsidR="00A73462">
        <w:rPr>
          <w:rFonts w:ascii="Verdana" w:hAnsi="Verdana"/>
          <w:sz w:val="18"/>
          <w:szCs w:val="18"/>
        </w:rPr>
        <w:t xml:space="preserve">The </w:t>
      </w:r>
      <w:proofErr w:type="spellStart"/>
      <w:r w:rsidR="00A73462">
        <w:rPr>
          <w:rFonts w:ascii="Verdana" w:hAnsi="Verdana"/>
          <w:sz w:val="18"/>
          <w:szCs w:val="18"/>
        </w:rPr>
        <w:t>ECtHR</w:t>
      </w:r>
      <w:proofErr w:type="spellEnd"/>
      <w:r w:rsidR="00A73462">
        <w:rPr>
          <w:rFonts w:ascii="Verdana" w:hAnsi="Verdana"/>
          <w:sz w:val="18"/>
          <w:szCs w:val="18"/>
        </w:rPr>
        <w:t xml:space="preserve"> ruled that ‘not every claimed risk to life can entail for the authorities a Convention requirement to take operational measures to prevent that risk from materializing’. </w:t>
      </w:r>
      <w:proofErr w:type="gramStart"/>
      <w:r w:rsidR="00A73462">
        <w:rPr>
          <w:rFonts w:ascii="Verdana" w:hAnsi="Verdana"/>
          <w:sz w:val="18"/>
          <w:szCs w:val="18"/>
        </w:rPr>
        <w:t xml:space="preserve">The determining factor </w:t>
      </w:r>
      <w:r w:rsidR="00AF00B7">
        <w:rPr>
          <w:rFonts w:ascii="Verdana" w:hAnsi="Verdana"/>
          <w:sz w:val="18"/>
          <w:szCs w:val="18"/>
        </w:rPr>
        <w:t xml:space="preserve">in the question </w:t>
      </w:r>
      <w:r w:rsidR="00A73462">
        <w:rPr>
          <w:rFonts w:ascii="Verdana" w:hAnsi="Verdana"/>
          <w:sz w:val="18"/>
          <w:szCs w:val="18"/>
        </w:rPr>
        <w:t xml:space="preserve">whether the State is under a positive obligation to protect </w:t>
      </w:r>
      <w:r w:rsidR="00AF00B7">
        <w:rPr>
          <w:rFonts w:ascii="Verdana" w:hAnsi="Verdana"/>
          <w:sz w:val="18"/>
          <w:szCs w:val="18"/>
        </w:rPr>
        <w:t xml:space="preserve">in a specific situation </w:t>
      </w:r>
      <w:r w:rsidR="00A73462">
        <w:rPr>
          <w:rFonts w:ascii="Verdana" w:hAnsi="Verdana"/>
          <w:sz w:val="18"/>
          <w:szCs w:val="18"/>
        </w:rPr>
        <w:t>is whether ‘the authorities knew or ought to have known at the time of the existence of a real and immediate risk to the life of an identified individual or individuals from the criminal acts of a third party and that they failed to take measures within the scope of their powers which, judged reasonably, might have bee</w:t>
      </w:r>
      <w:r w:rsidR="005776C8">
        <w:rPr>
          <w:rFonts w:ascii="Verdana" w:hAnsi="Verdana"/>
          <w:sz w:val="18"/>
          <w:szCs w:val="18"/>
        </w:rPr>
        <w:t>n expected to avoid that risk.’</w:t>
      </w:r>
      <w:proofErr w:type="gramEnd"/>
      <w:r w:rsidR="00A73462">
        <w:rPr>
          <w:rFonts w:ascii="Verdana" w:hAnsi="Verdana"/>
          <w:sz w:val="18"/>
          <w:szCs w:val="18"/>
        </w:rPr>
        <w:t xml:space="preserve"> This positive obligation only exists under certain, strict circumstances</w:t>
      </w:r>
      <w:r w:rsidR="00E02569">
        <w:rPr>
          <w:rFonts w:ascii="Verdana" w:hAnsi="Verdana"/>
          <w:sz w:val="18"/>
          <w:szCs w:val="18"/>
        </w:rPr>
        <w:t>.</w:t>
      </w:r>
      <w:r w:rsidR="00A73462">
        <w:rPr>
          <w:rFonts w:ascii="Verdana" w:hAnsi="Verdana"/>
          <w:sz w:val="18"/>
          <w:szCs w:val="18"/>
        </w:rPr>
        <w:t xml:space="preserve"> </w:t>
      </w:r>
      <w:r w:rsidR="00120DA3">
        <w:rPr>
          <w:rFonts w:ascii="Verdana" w:hAnsi="Verdana"/>
          <w:sz w:val="18"/>
          <w:szCs w:val="18"/>
        </w:rPr>
        <w:t>L</w:t>
      </w:r>
      <w:r w:rsidR="007238F4">
        <w:rPr>
          <w:rFonts w:ascii="Verdana" w:hAnsi="Verdana"/>
          <w:sz w:val="18"/>
          <w:szCs w:val="18"/>
        </w:rPr>
        <w:t>eaving out th</w:t>
      </w:r>
      <w:r w:rsidR="00120DA3">
        <w:rPr>
          <w:rFonts w:ascii="Verdana" w:hAnsi="Verdana"/>
          <w:sz w:val="18"/>
          <w:szCs w:val="18"/>
        </w:rPr>
        <w:t>e</w:t>
      </w:r>
      <w:r w:rsidR="007238F4">
        <w:rPr>
          <w:rFonts w:ascii="Verdana" w:hAnsi="Verdana"/>
          <w:sz w:val="18"/>
          <w:szCs w:val="18"/>
        </w:rPr>
        <w:t xml:space="preserve">se criteria, conditions and limitations would render this obligation unworkable and unrealistic. </w:t>
      </w:r>
    </w:p>
    <w:p w:rsidR="007238F4" w:rsidRDefault="00120DA3" w:rsidP="00E02569">
      <w:pPr>
        <w:rPr>
          <w:rFonts w:ascii="Verdana" w:hAnsi="Verdana"/>
          <w:sz w:val="18"/>
          <w:szCs w:val="18"/>
        </w:rPr>
      </w:pPr>
      <w:r>
        <w:rPr>
          <w:rFonts w:ascii="Verdana" w:hAnsi="Verdana"/>
          <w:sz w:val="18"/>
          <w:szCs w:val="18"/>
        </w:rPr>
        <w:t xml:space="preserve">The Netherlands would </w:t>
      </w:r>
      <w:r w:rsidR="00177665">
        <w:rPr>
          <w:rFonts w:ascii="Verdana" w:hAnsi="Verdana"/>
          <w:sz w:val="18"/>
          <w:szCs w:val="18"/>
        </w:rPr>
        <w:t xml:space="preserve">therefore </w:t>
      </w:r>
      <w:r w:rsidR="006519A4">
        <w:rPr>
          <w:rFonts w:ascii="Verdana" w:hAnsi="Verdana"/>
          <w:sz w:val="18"/>
          <w:szCs w:val="18"/>
        </w:rPr>
        <w:t xml:space="preserve">welcome a revision of this </w:t>
      </w:r>
      <w:r w:rsidR="005776C8">
        <w:rPr>
          <w:rFonts w:ascii="Verdana" w:hAnsi="Verdana"/>
          <w:sz w:val="18"/>
          <w:szCs w:val="18"/>
        </w:rPr>
        <w:t>paragraph that</w:t>
      </w:r>
      <w:r w:rsidR="006519A4">
        <w:rPr>
          <w:rFonts w:ascii="Verdana" w:hAnsi="Verdana"/>
          <w:sz w:val="18"/>
          <w:szCs w:val="18"/>
        </w:rPr>
        <w:t xml:space="preserve"> incorporate</w:t>
      </w:r>
      <w:r w:rsidR="005776C8">
        <w:rPr>
          <w:rFonts w:ascii="Verdana" w:hAnsi="Verdana"/>
          <w:sz w:val="18"/>
          <w:szCs w:val="18"/>
        </w:rPr>
        <w:t>s</w:t>
      </w:r>
      <w:r w:rsidR="006519A4">
        <w:rPr>
          <w:rFonts w:ascii="Verdana" w:hAnsi="Verdana"/>
          <w:sz w:val="18"/>
          <w:szCs w:val="18"/>
        </w:rPr>
        <w:t xml:space="preserve"> </w:t>
      </w:r>
      <w:r w:rsidR="005776C8">
        <w:rPr>
          <w:rFonts w:ascii="Verdana" w:hAnsi="Verdana"/>
          <w:sz w:val="18"/>
          <w:szCs w:val="18"/>
        </w:rPr>
        <w:t>a reference to</w:t>
      </w:r>
      <w:r w:rsidR="007238F4">
        <w:rPr>
          <w:rFonts w:ascii="Verdana" w:hAnsi="Verdana"/>
          <w:sz w:val="18"/>
          <w:szCs w:val="18"/>
        </w:rPr>
        <w:t xml:space="preserve"> the criteria set out in </w:t>
      </w:r>
      <w:r w:rsidR="007238F4" w:rsidRPr="00D04504">
        <w:rPr>
          <w:rFonts w:ascii="Verdana" w:hAnsi="Verdana"/>
          <w:i/>
          <w:sz w:val="18"/>
          <w:szCs w:val="18"/>
        </w:rPr>
        <w:t>Osman v. the UK</w:t>
      </w:r>
      <w:r w:rsidR="007238F4">
        <w:rPr>
          <w:rFonts w:ascii="Verdana" w:hAnsi="Verdana"/>
          <w:sz w:val="18"/>
          <w:szCs w:val="18"/>
        </w:rPr>
        <w:t xml:space="preserve"> </w:t>
      </w:r>
      <w:r w:rsidR="005776C8">
        <w:rPr>
          <w:rFonts w:ascii="Verdana" w:hAnsi="Verdana"/>
          <w:sz w:val="18"/>
          <w:szCs w:val="18"/>
        </w:rPr>
        <w:t>to</w:t>
      </w:r>
      <w:r w:rsidR="00200390">
        <w:rPr>
          <w:rFonts w:ascii="Verdana" w:hAnsi="Verdana"/>
          <w:sz w:val="18"/>
          <w:szCs w:val="18"/>
        </w:rPr>
        <w:t xml:space="preserve"> ensure that this section is in line with the </w:t>
      </w:r>
      <w:r w:rsidR="000E2DD3">
        <w:rPr>
          <w:rFonts w:ascii="Verdana" w:hAnsi="Verdana"/>
          <w:sz w:val="18"/>
          <w:szCs w:val="18"/>
        </w:rPr>
        <w:t>case law</w:t>
      </w:r>
      <w:r w:rsidR="00200390">
        <w:rPr>
          <w:rFonts w:ascii="Verdana" w:hAnsi="Verdana"/>
          <w:sz w:val="18"/>
          <w:szCs w:val="18"/>
        </w:rPr>
        <w:t xml:space="preserve"> of the </w:t>
      </w:r>
      <w:proofErr w:type="spellStart"/>
      <w:r w:rsidR="00200390">
        <w:rPr>
          <w:rFonts w:ascii="Verdana" w:hAnsi="Verdana"/>
          <w:sz w:val="18"/>
          <w:szCs w:val="18"/>
        </w:rPr>
        <w:t>ECtHR</w:t>
      </w:r>
      <w:proofErr w:type="spellEnd"/>
      <w:r w:rsidR="00200390">
        <w:rPr>
          <w:rFonts w:ascii="Verdana" w:hAnsi="Verdana"/>
          <w:sz w:val="18"/>
          <w:szCs w:val="18"/>
        </w:rPr>
        <w:t>.</w:t>
      </w:r>
      <w:r w:rsidR="00822D65">
        <w:rPr>
          <w:rFonts w:ascii="Verdana" w:hAnsi="Verdana"/>
          <w:sz w:val="18"/>
          <w:szCs w:val="18"/>
        </w:rPr>
        <w:t xml:space="preserve"> This comment </w:t>
      </w:r>
      <w:r w:rsidR="00200390">
        <w:rPr>
          <w:rFonts w:ascii="Verdana" w:hAnsi="Verdana"/>
          <w:sz w:val="18"/>
          <w:szCs w:val="18"/>
        </w:rPr>
        <w:t>equally applies</w:t>
      </w:r>
      <w:r w:rsidR="00822D65">
        <w:rPr>
          <w:rFonts w:ascii="Verdana" w:hAnsi="Verdana"/>
          <w:sz w:val="18"/>
          <w:szCs w:val="18"/>
        </w:rPr>
        <w:t xml:space="preserve"> to paragraph 22 of th</w:t>
      </w:r>
      <w:r w:rsidR="006F0A8B">
        <w:rPr>
          <w:rFonts w:ascii="Verdana" w:hAnsi="Verdana"/>
          <w:sz w:val="18"/>
          <w:szCs w:val="18"/>
        </w:rPr>
        <w:t xml:space="preserve">e present </w:t>
      </w:r>
      <w:r w:rsidR="005776C8">
        <w:rPr>
          <w:rFonts w:ascii="Verdana" w:hAnsi="Verdana"/>
          <w:sz w:val="18"/>
          <w:szCs w:val="18"/>
        </w:rPr>
        <w:t>draft</w:t>
      </w:r>
      <w:r w:rsidR="00822D65">
        <w:rPr>
          <w:rFonts w:ascii="Verdana" w:hAnsi="Verdana"/>
          <w:sz w:val="18"/>
          <w:szCs w:val="18"/>
        </w:rPr>
        <w:t>.</w:t>
      </w:r>
      <w:r w:rsidR="007238F4">
        <w:rPr>
          <w:rFonts w:ascii="Verdana" w:hAnsi="Verdana"/>
          <w:sz w:val="18"/>
          <w:szCs w:val="18"/>
        </w:rPr>
        <w:t xml:space="preserve"> </w:t>
      </w:r>
    </w:p>
    <w:p w:rsidR="007238F4" w:rsidRPr="008A3B4A" w:rsidRDefault="00B31D08" w:rsidP="00E02569">
      <w:pPr>
        <w:rPr>
          <w:rFonts w:ascii="Verdana" w:hAnsi="Verdana"/>
          <w:sz w:val="18"/>
          <w:szCs w:val="18"/>
        </w:rPr>
      </w:pPr>
      <w:r>
        <w:rPr>
          <w:rFonts w:ascii="Verdana" w:hAnsi="Verdana"/>
          <w:sz w:val="18"/>
          <w:szCs w:val="18"/>
        </w:rPr>
        <w:t xml:space="preserve">6. </w:t>
      </w:r>
      <w:r w:rsidR="00120DA3">
        <w:rPr>
          <w:rFonts w:ascii="Verdana" w:hAnsi="Verdana"/>
          <w:sz w:val="18"/>
          <w:szCs w:val="18"/>
        </w:rPr>
        <w:t xml:space="preserve">Paragraph 8 of the draft text deals with ‘enforced disappearances’. </w:t>
      </w:r>
      <w:r w:rsidR="008A3B4A" w:rsidRPr="008A3B4A">
        <w:rPr>
          <w:rFonts w:ascii="Verdana" w:hAnsi="Verdana"/>
          <w:sz w:val="18"/>
          <w:szCs w:val="18"/>
        </w:rPr>
        <w:t xml:space="preserve">It seems a bit odd that </w:t>
      </w:r>
      <w:r w:rsidR="00120DA3">
        <w:rPr>
          <w:rFonts w:ascii="Verdana" w:hAnsi="Verdana"/>
          <w:sz w:val="18"/>
          <w:szCs w:val="18"/>
        </w:rPr>
        <w:t>the Committee takes up thi</w:t>
      </w:r>
      <w:r w:rsidR="00D04504">
        <w:rPr>
          <w:rFonts w:ascii="Verdana" w:hAnsi="Verdana"/>
          <w:sz w:val="18"/>
          <w:szCs w:val="18"/>
        </w:rPr>
        <w:t>s</w:t>
      </w:r>
      <w:r w:rsidR="008A3B4A" w:rsidRPr="008A3B4A">
        <w:rPr>
          <w:rFonts w:ascii="Verdana" w:hAnsi="Verdana"/>
          <w:sz w:val="18"/>
          <w:szCs w:val="18"/>
        </w:rPr>
        <w:t xml:space="preserve"> topic </w:t>
      </w:r>
      <w:r w:rsidR="00120DA3">
        <w:rPr>
          <w:rFonts w:ascii="Verdana" w:hAnsi="Verdana"/>
          <w:sz w:val="18"/>
          <w:szCs w:val="18"/>
        </w:rPr>
        <w:t>as</w:t>
      </w:r>
      <w:r w:rsidR="008A3B4A">
        <w:rPr>
          <w:rFonts w:ascii="Verdana" w:hAnsi="Verdana"/>
          <w:sz w:val="18"/>
          <w:szCs w:val="18"/>
        </w:rPr>
        <w:t xml:space="preserve"> the first substantive issue, as </w:t>
      </w:r>
      <w:r w:rsidR="00120DA3">
        <w:rPr>
          <w:rFonts w:ascii="Verdana" w:hAnsi="Verdana"/>
          <w:sz w:val="18"/>
          <w:szCs w:val="18"/>
        </w:rPr>
        <w:t>it</w:t>
      </w:r>
      <w:r w:rsidR="008A3B4A">
        <w:rPr>
          <w:rFonts w:ascii="Verdana" w:hAnsi="Verdana"/>
          <w:sz w:val="18"/>
          <w:szCs w:val="18"/>
        </w:rPr>
        <w:t xml:space="preserve"> does not belong to the core of the right to life. </w:t>
      </w:r>
      <w:r w:rsidR="00120DA3">
        <w:rPr>
          <w:rFonts w:ascii="Verdana" w:hAnsi="Verdana"/>
          <w:sz w:val="18"/>
          <w:szCs w:val="18"/>
        </w:rPr>
        <w:t>The Netherlands would</w:t>
      </w:r>
      <w:r w:rsidR="008A3B4A">
        <w:rPr>
          <w:rFonts w:ascii="Verdana" w:hAnsi="Verdana"/>
          <w:sz w:val="18"/>
          <w:szCs w:val="18"/>
        </w:rPr>
        <w:t xml:space="preserve"> </w:t>
      </w:r>
      <w:r w:rsidR="005307BE">
        <w:rPr>
          <w:rFonts w:ascii="Verdana" w:hAnsi="Verdana"/>
          <w:sz w:val="18"/>
          <w:szCs w:val="18"/>
        </w:rPr>
        <w:t>see it more fit to</w:t>
      </w:r>
      <w:r w:rsidR="008A3B4A">
        <w:rPr>
          <w:rFonts w:ascii="Verdana" w:hAnsi="Verdana"/>
          <w:sz w:val="18"/>
          <w:szCs w:val="18"/>
        </w:rPr>
        <w:t xml:space="preserve"> discuss this </w:t>
      </w:r>
      <w:r w:rsidR="00120DA3">
        <w:rPr>
          <w:rFonts w:ascii="Verdana" w:hAnsi="Verdana"/>
          <w:sz w:val="18"/>
          <w:szCs w:val="18"/>
        </w:rPr>
        <w:t>topic</w:t>
      </w:r>
      <w:r w:rsidR="005C04B4">
        <w:rPr>
          <w:rFonts w:ascii="Verdana" w:hAnsi="Verdana"/>
          <w:sz w:val="18"/>
          <w:szCs w:val="18"/>
        </w:rPr>
        <w:t xml:space="preserve"> later in the </w:t>
      </w:r>
      <w:r w:rsidR="00120DA3">
        <w:rPr>
          <w:rFonts w:ascii="Verdana" w:hAnsi="Verdana"/>
          <w:sz w:val="18"/>
          <w:szCs w:val="18"/>
        </w:rPr>
        <w:t xml:space="preserve">revised </w:t>
      </w:r>
      <w:r w:rsidR="005C04B4">
        <w:rPr>
          <w:rFonts w:ascii="Verdana" w:hAnsi="Verdana"/>
          <w:sz w:val="18"/>
          <w:szCs w:val="18"/>
        </w:rPr>
        <w:t>General Comment</w:t>
      </w:r>
      <w:r w:rsidR="00120DA3">
        <w:rPr>
          <w:rFonts w:ascii="Verdana" w:hAnsi="Verdana"/>
          <w:sz w:val="18"/>
          <w:szCs w:val="18"/>
        </w:rPr>
        <w:t>.</w:t>
      </w:r>
      <w:r w:rsidR="005C04B4">
        <w:rPr>
          <w:rFonts w:ascii="Verdana" w:hAnsi="Verdana"/>
          <w:sz w:val="18"/>
          <w:szCs w:val="18"/>
        </w:rPr>
        <w:t xml:space="preserve"> </w:t>
      </w:r>
      <w:r w:rsidR="008A3B4A">
        <w:rPr>
          <w:rFonts w:ascii="Verdana" w:hAnsi="Verdana"/>
          <w:sz w:val="18"/>
          <w:szCs w:val="18"/>
        </w:rPr>
        <w:t xml:space="preserve"> </w:t>
      </w:r>
    </w:p>
    <w:p w:rsidR="007238F4" w:rsidRDefault="00B31D08" w:rsidP="00E02569">
      <w:pPr>
        <w:rPr>
          <w:rFonts w:ascii="Verdana" w:hAnsi="Verdana"/>
          <w:sz w:val="18"/>
          <w:szCs w:val="18"/>
        </w:rPr>
      </w:pPr>
      <w:r>
        <w:rPr>
          <w:rFonts w:ascii="Verdana" w:hAnsi="Verdana"/>
          <w:sz w:val="18"/>
          <w:szCs w:val="18"/>
        </w:rPr>
        <w:t xml:space="preserve">7. </w:t>
      </w:r>
      <w:r w:rsidR="00D83F3C">
        <w:rPr>
          <w:rFonts w:ascii="Verdana" w:hAnsi="Verdana"/>
          <w:sz w:val="18"/>
          <w:szCs w:val="18"/>
        </w:rPr>
        <w:t xml:space="preserve">In </w:t>
      </w:r>
      <w:r w:rsidR="00D83F3C" w:rsidRPr="007238F4">
        <w:rPr>
          <w:rFonts w:ascii="Verdana" w:hAnsi="Verdana"/>
          <w:sz w:val="18"/>
          <w:szCs w:val="18"/>
        </w:rPr>
        <w:t>paragraph 9</w:t>
      </w:r>
      <w:r w:rsidR="00C03F8B">
        <w:rPr>
          <w:rFonts w:ascii="Verdana" w:hAnsi="Verdana"/>
          <w:sz w:val="18"/>
          <w:szCs w:val="18"/>
        </w:rPr>
        <w:t>,</w:t>
      </w:r>
      <w:r w:rsidR="00D83F3C" w:rsidRPr="007238F4">
        <w:rPr>
          <w:rFonts w:ascii="Verdana" w:hAnsi="Verdana"/>
          <w:sz w:val="18"/>
          <w:szCs w:val="18"/>
        </w:rPr>
        <w:t xml:space="preserve"> </w:t>
      </w:r>
      <w:r w:rsidR="00D83F3C">
        <w:rPr>
          <w:rFonts w:ascii="Verdana" w:hAnsi="Verdana"/>
          <w:sz w:val="18"/>
          <w:szCs w:val="18"/>
        </w:rPr>
        <w:t xml:space="preserve">the Committee sets out its views </w:t>
      </w:r>
      <w:r w:rsidR="007238F4" w:rsidRPr="007238F4">
        <w:rPr>
          <w:rFonts w:ascii="Verdana" w:hAnsi="Verdana"/>
          <w:sz w:val="18"/>
          <w:szCs w:val="18"/>
        </w:rPr>
        <w:t>on the right to life of pregnant wom</w:t>
      </w:r>
      <w:r w:rsidR="006F0A8B">
        <w:rPr>
          <w:rFonts w:ascii="Verdana" w:hAnsi="Verdana"/>
          <w:sz w:val="18"/>
          <w:szCs w:val="18"/>
        </w:rPr>
        <w:t>e</w:t>
      </w:r>
      <w:r w:rsidR="007238F4" w:rsidRPr="007238F4">
        <w:rPr>
          <w:rFonts w:ascii="Verdana" w:hAnsi="Verdana"/>
          <w:sz w:val="18"/>
          <w:szCs w:val="18"/>
        </w:rPr>
        <w:t xml:space="preserve">n. </w:t>
      </w:r>
      <w:r w:rsidR="00D83F3C">
        <w:rPr>
          <w:rFonts w:ascii="Verdana" w:hAnsi="Verdana"/>
          <w:sz w:val="18"/>
          <w:szCs w:val="18"/>
        </w:rPr>
        <w:t>The Netherlands welcomes this and</w:t>
      </w:r>
      <w:r w:rsidR="007238F4" w:rsidRPr="007238F4">
        <w:rPr>
          <w:rFonts w:ascii="Verdana" w:hAnsi="Verdana"/>
          <w:sz w:val="18"/>
          <w:szCs w:val="18"/>
        </w:rPr>
        <w:t xml:space="preserve"> support</w:t>
      </w:r>
      <w:r w:rsidR="00D83F3C">
        <w:rPr>
          <w:rFonts w:ascii="Verdana" w:hAnsi="Verdana"/>
          <w:sz w:val="18"/>
          <w:szCs w:val="18"/>
        </w:rPr>
        <w:t>s</w:t>
      </w:r>
      <w:r w:rsidR="007238F4" w:rsidRPr="007238F4">
        <w:rPr>
          <w:rFonts w:ascii="Verdana" w:hAnsi="Verdana"/>
          <w:sz w:val="18"/>
          <w:szCs w:val="18"/>
        </w:rPr>
        <w:t xml:space="preserve"> the Committee’s view that </w:t>
      </w:r>
      <w:r w:rsidR="00D83F3C">
        <w:rPr>
          <w:rFonts w:ascii="Verdana" w:hAnsi="Verdana"/>
          <w:sz w:val="18"/>
          <w:szCs w:val="18"/>
        </w:rPr>
        <w:t>S</w:t>
      </w:r>
      <w:r w:rsidR="007238F4" w:rsidRPr="007238F4">
        <w:rPr>
          <w:rFonts w:ascii="Verdana" w:hAnsi="Verdana"/>
          <w:sz w:val="18"/>
          <w:szCs w:val="18"/>
        </w:rPr>
        <w:t xml:space="preserve">tate parties should provide access to safe abortion and not criminalize girls and women who have undergone an abortion, nor the service provider. </w:t>
      </w:r>
      <w:r w:rsidR="00D83F3C">
        <w:rPr>
          <w:rFonts w:ascii="Verdana" w:hAnsi="Verdana"/>
          <w:sz w:val="18"/>
          <w:szCs w:val="18"/>
        </w:rPr>
        <w:t>The Netherlands also</w:t>
      </w:r>
      <w:r w:rsidR="006F0A8B">
        <w:rPr>
          <w:rFonts w:ascii="Verdana" w:hAnsi="Verdana"/>
          <w:sz w:val="18"/>
          <w:szCs w:val="18"/>
        </w:rPr>
        <w:t xml:space="preserve"> welcomes</w:t>
      </w:r>
      <w:r w:rsidR="007238F4" w:rsidRPr="007238F4">
        <w:rPr>
          <w:rFonts w:ascii="Verdana" w:hAnsi="Verdana"/>
          <w:sz w:val="18"/>
          <w:szCs w:val="18"/>
        </w:rPr>
        <w:t xml:space="preserve"> that </w:t>
      </w:r>
      <w:r w:rsidR="00D83F3C">
        <w:rPr>
          <w:rFonts w:ascii="Verdana" w:hAnsi="Verdana"/>
          <w:sz w:val="18"/>
          <w:szCs w:val="18"/>
        </w:rPr>
        <w:t>S</w:t>
      </w:r>
      <w:r w:rsidR="007238F4" w:rsidRPr="007238F4">
        <w:rPr>
          <w:rFonts w:ascii="Verdana" w:hAnsi="Verdana"/>
          <w:sz w:val="18"/>
          <w:szCs w:val="18"/>
        </w:rPr>
        <w:t>tate parties should take measures to prevent unplanned pregnancies through adequate information and services and the recognition of their reproductive rights.</w:t>
      </w:r>
    </w:p>
    <w:p w:rsidR="007238F4" w:rsidRDefault="00B31D08" w:rsidP="00E02569">
      <w:pPr>
        <w:rPr>
          <w:rFonts w:ascii="Verdana" w:hAnsi="Verdana"/>
          <w:sz w:val="18"/>
          <w:szCs w:val="18"/>
        </w:rPr>
      </w:pPr>
      <w:r>
        <w:rPr>
          <w:rFonts w:ascii="Verdana" w:hAnsi="Verdana"/>
          <w:sz w:val="18"/>
          <w:szCs w:val="18"/>
        </w:rPr>
        <w:t xml:space="preserve">8. </w:t>
      </w:r>
      <w:r w:rsidR="007238F4">
        <w:rPr>
          <w:rFonts w:ascii="Verdana" w:hAnsi="Verdana"/>
          <w:sz w:val="18"/>
          <w:szCs w:val="18"/>
        </w:rPr>
        <w:t>In paragraph 10</w:t>
      </w:r>
      <w:r w:rsidR="00C03F8B">
        <w:rPr>
          <w:rFonts w:ascii="Verdana" w:hAnsi="Verdana"/>
          <w:sz w:val="18"/>
          <w:szCs w:val="18"/>
        </w:rPr>
        <w:t>,</w:t>
      </w:r>
      <w:r w:rsidR="007238F4">
        <w:rPr>
          <w:rFonts w:ascii="Verdana" w:hAnsi="Verdana"/>
          <w:sz w:val="18"/>
          <w:szCs w:val="18"/>
        </w:rPr>
        <w:t xml:space="preserve"> </w:t>
      </w:r>
      <w:r w:rsidR="006F0A8B">
        <w:rPr>
          <w:rFonts w:ascii="Verdana" w:hAnsi="Verdana"/>
          <w:sz w:val="18"/>
          <w:szCs w:val="18"/>
        </w:rPr>
        <w:t xml:space="preserve">it </w:t>
      </w:r>
      <w:proofErr w:type="gramStart"/>
      <w:r w:rsidR="006F0A8B">
        <w:rPr>
          <w:rFonts w:ascii="Verdana" w:hAnsi="Verdana"/>
          <w:sz w:val="18"/>
          <w:szCs w:val="18"/>
        </w:rPr>
        <w:t xml:space="preserve">is </w:t>
      </w:r>
      <w:r w:rsidR="007238F4">
        <w:rPr>
          <w:rFonts w:ascii="Verdana" w:hAnsi="Verdana"/>
          <w:sz w:val="18"/>
          <w:szCs w:val="18"/>
        </w:rPr>
        <w:t>suggest</w:t>
      </w:r>
      <w:r w:rsidR="006F0A8B">
        <w:rPr>
          <w:rFonts w:ascii="Verdana" w:hAnsi="Verdana"/>
          <w:sz w:val="18"/>
          <w:szCs w:val="18"/>
        </w:rPr>
        <w:t>ed</w:t>
      </w:r>
      <w:proofErr w:type="gramEnd"/>
      <w:r w:rsidR="007238F4">
        <w:rPr>
          <w:rFonts w:ascii="Verdana" w:hAnsi="Verdana"/>
          <w:sz w:val="18"/>
          <w:szCs w:val="18"/>
        </w:rPr>
        <w:t xml:space="preserve"> to leave out the term ‘catastrophically’, as this would set an unduly high threshold.</w:t>
      </w:r>
    </w:p>
    <w:p w:rsidR="006F2763" w:rsidRDefault="00C03F8B" w:rsidP="00E02569">
      <w:pPr>
        <w:rPr>
          <w:rFonts w:ascii="Verdana" w:hAnsi="Verdana"/>
          <w:sz w:val="18"/>
          <w:szCs w:val="18"/>
        </w:rPr>
      </w:pPr>
      <w:r>
        <w:rPr>
          <w:rFonts w:ascii="Verdana" w:hAnsi="Verdana"/>
          <w:sz w:val="18"/>
          <w:szCs w:val="18"/>
        </w:rPr>
        <w:lastRenderedPageBreak/>
        <w:t xml:space="preserve">9. </w:t>
      </w:r>
      <w:r w:rsidR="007238F4">
        <w:rPr>
          <w:rFonts w:ascii="Verdana" w:hAnsi="Verdana"/>
          <w:sz w:val="18"/>
          <w:szCs w:val="18"/>
        </w:rPr>
        <w:t xml:space="preserve">In paragraph 11, </w:t>
      </w:r>
      <w:r w:rsidR="00177665">
        <w:rPr>
          <w:rFonts w:ascii="Verdana" w:hAnsi="Verdana"/>
          <w:sz w:val="18"/>
          <w:szCs w:val="18"/>
        </w:rPr>
        <w:t>the Netherlands</w:t>
      </w:r>
      <w:r w:rsidR="007238F4">
        <w:rPr>
          <w:rFonts w:ascii="Verdana" w:hAnsi="Verdana"/>
          <w:sz w:val="18"/>
          <w:szCs w:val="18"/>
        </w:rPr>
        <w:t xml:space="preserve"> </w:t>
      </w:r>
      <w:r w:rsidR="006519A4">
        <w:rPr>
          <w:rFonts w:ascii="Verdana" w:hAnsi="Verdana"/>
          <w:sz w:val="18"/>
          <w:szCs w:val="18"/>
        </w:rPr>
        <w:t xml:space="preserve">welcomes a revision of the </w:t>
      </w:r>
      <w:r w:rsidR="006F2763">
        <w:rPr>
          <w:rFonts w:ascii="Verdana" w:hAnsi="Verdana"/>
          <w:sz w:val="18"/>
          <w:szCs w:val="18"/>
        </w:rPr>
        <w:t>first sentence</w:t>
      </w:r>
      <w:r w:rsidR="006519A4">
        <w:rPr>
          <w:rFonts w:ascii="Verdana" w:hAnsi="Verdana"/>
          <w:sz w:val="18"/>
          <w:szCs w:val="18"/>
        </w:rPr>
        <w:t xml:space="preserve">, and suggests the following </w:t>
      </w:r>
      <w:r w:rsidR="00177665">
        <w:rPr>
          <w:rFonts w:ascii="Verdana" w:hAnsi="Verdana"/>
          <w:sz w:val="18"/>
          <w:szCs w:val="18"/>
        </w:rPr>
        <w:t>wording</w:t>
      </w:r>
      <w:r w:rsidR="006F2763">
        <w:rPr>
          <w:rFonts w:ascii="Verdana" w:hAnsi="Verdana"/>
          <w:sz w:val="18"/>
          <w:szCs w:val="18"/>
        </w:rPr>
        <w:t xml:space="preserve">: </w:t>
      </w:r>
    </w:p>
    <w:p w:rsidR="007238F4" w:rsidRDefault="006F2763" w:rsidP="00E02569">
      <w:pPr>
        <w:ind w:left="720"/>
        <w:rPr>
          <w:rFonts w:ascii="Verdana" w:hAnsi="Verdana"/>
          <w:sz w:val="18"/>
          <w:szCs w:val="18"/>
        </w:rPr>
      </w:pPr>
      <w:r w:rsidRPr="006F2763">
        <w:rPr>
          <w:rFonts w:ascii="Verdana" w:hAnsi="Verdana"/>
          <w:sz w:val="18"/>
          <w:szCs w:val="18"/>
        </w:rPr>
        <w:t xml:space="preserve">When private individuals or entities are empowered or authorized by a State party to employ force with potentially lethal consequences, the State party is under an obligation to </w:t>
      </w:r>
      <w:r w:rsidRPr="006F2763">
        <w:rPr>
          <w:rFonts w:ascii="Verdana" w:hAnsi="Verdana"/>
          <w:i/>
          <w:sz w:val="18"/>
          <w:szCs w:val="18"/>
        </w:rPr>
        <w:t>take measures to</w:t>
      </w:r>
      <w:r w:rsidRPr="006F2763">
        <w:rPr>
          <w:rFonts w:ascii="Verdana" w:hAnsi="Verdana"/>
          <w:sz w:val="18"/>
          <w:szCs w:val="18"/>
        </w:rPr>
        <w:t xml:space="preserve"> ensure their compliance with article 6 and </w:t>
      </w:r>
      <w:r w:rsidRPr="006F2763">
        <w:rPr>
          <w:rFonts w:ascii="Verdana" w:hAnsi="Verdana"/>
          <w:i/>
          <w:sz w:val="18"/>
          <w:szCs w:val="18"/>
        </w:rPr>
        <w:t>may be</w:t>
      </w:r>
      <w:r w:rsidRPr="006F2763">
        <w:rPr>
          <w:rFonts w:ascii="Verdana" w:hAnsi="Verdana"/>
          <w:sz w:val="18"/>
          <w:szCs w:val="18"/>
        </w:rPr>
        <w:t xml:space="preserve"> responsible for any failure to comply wi</w:t>
      </w:r>
      <w:r>
        <w:rPr>
          <w:rFonts w:ascii="Verdana" w:hAnsi="Verdana"/>
          <w:sz w:val="18"/>
          <w:szCs w:val="18"/>
        </w:rPr>
        <w:t>th the provisions of article 6.</w:t>
      </w:r>
    </w:p>
    <w:p w:rsidR="006F2763" w:rsidRDefault="006F2763" w:rsidP="00E02569">
      <w:pPr>
        <w:rPr>
          <w:rFonts w:ascii="Verdana" w:hAnsi="Verdana"/>
          <w:sz w:val="18"/>
          <w:szCs w:val="18"/>
        </w:rPr>
      </w:pPr>
      <w:r>
        <w:rPr>
          <w:rFonts w:ascii="Verdana" w:hAnsi="Verdana"/>
          <w:sz w:val="18"/>
          <w:szCs w:val="18"/>
        </w:rPr>
        <w:t xml:space="preserve">The rationale behind this is </w:t>
      </w:r>
      <w:proofErr w:type="gramStart"/>
      <w:r>
        <w:rPr>
          <w:rFonts w:ascii="Verdana" w:hAnsi="Verdana"/>
          <w:sz w:val="18"/>
          <w:szCs w:val="18"/>
        </w:rPr>
        <w:t>that a</w:t>
      </w:r>
      <w:r w:rsidRPr="006F2763">
        <w:rPr>
          <w:rFonts w:ascii="Verdana" w:hAnsi="Verdana"/>
          <w:sz w:val="18"/>
          <w:szCs w:val="18"/>
        </w:rPr>
        <w:t>rticle 6 cannot be interpreted in such a way that a State would auto</w:t>
      </w:r>
      <w:r>
        <w:rPr>
          <w:rFonts w:ascii="Verdana" w:hAnsi="Verdana"/>
          <w:sz w:val="18"/>
          <w:szCs w:val="18"/>
        </w:rPr>
        <w:t xml:space="preserve">matically be responsible for a </w:t>
      </w:r>
      <w:r w:rsidRPr="006F2763">
        <w:rPr>
          <w:rFonts w:ascii="Verdana" w:hAnsi="Verdana"/>
          <w:sz w:val="18"/>
          <w:szCs w:val="18"/>
        </w:rPr>
        <w:t>violation of the right to life by a private individual or entity empowered or authorized by that State party to employ force</w:t>
      </w:r>
      <w:proofErr w:type="gramEnd"/>
      <w:r w:rsidRPr="006F2763">
        <w:rPr>
          <w:rFonts w:ascii="Verdana" w:hAnsi="Verdana"/>
          <w:sz w:val="18"/>
          <w:szCs w:val="18"/>
        </w:rPr>
        <w:t xml:space="preserve">. Under the law of State responsibility, such responsibility would only result if the person or entity were acting in that capacity in the particular instance. </w:t>
      </w:r>
      <w:proofErr w:type="gramStart"/>
      <w:r w:rsidRPr="006F2763">
        <w:rPr>
          <w:rFonts w:ascii="Verdana" w:hAnsi="Verdana"/>
          <w:sz w:val="18"/>
          <w:szCs w:val="18"/>
        </w:rPr>
        <w:t xml:space="preserve">There is nothing in </w:t>
      </w:r>
      <w:r w:rsidR="00B31D08">
        <w:rPr>
          <w:rFonts w:ascii="Verdana" w:hAnsi="Verdana"/>
          <w:sz w:val="18"/>
          <w:szCs w:val="18"/>
        </w:rPr>
        <w:t>a</w:t>
      </w:r>
      <w:r w:rsidRPr="006F2763">
        <w:rPr>
          <w:rFonts w:ascii="Verdana" w:hAnsi="Verdana"/>
          <w:sz w:val="18"/>
          <w:szCs w:val="18"/>
        </w:rPr>
        <w:t>rticle 6 that suggests this would be different in the context of the right to life.</w:t>
      </w:r>
      <w:proofErr w:type="gramEnd"/>
    </w:p>
    <w:p w:rsidR="006F2763" w:rsidRDefault="00C03F8B" w:rsidP="00E02569">
      <w:pPr>
        <w:rPr>
          <w:rFonts w:ascii="Verdana" w:hAnsi="Verdana"/>
          <w:sz w:val="18"/>
          <w:szCs w:val="18"/>
        </w:rPr>
      </w:pPr>
      <w:r>
        <w:rPr>
          <w:rFonts w:ascii="Verdana" w:hAnsi="Verdana"/>
          <w:sz w:val="18"/>
          <w:szCs w:val="18"/>
        </w:rPr>
        <w:t>10</w:t>
      </w:r>
      <w:r w:rsidR="00B31D08">
        <w:rPr>
          <w:rFonts w:ascii="Verdana" w:hAnsi="Verdana"/>
          <w:sz w:val="18"/>
          <w:szCs w:val="18"/>
        </w:rPr>
        <w:t xml:space="preserve">. </w:t>
      </w:r>
      <w:r w:rsidR="00B31D08" w:rsidRPr="00B31D08">
        <w:rPr>
          <w:rFonts w:ascii="Verdana" w:hAnsi="Verdana"/>
          <w:sz w:val="18"/>
          <w:szCs w:val="18"/>
        </w:rPr>
        <w:t>I</w:t>
      </w:r>
      <w:r w:rsidR="00B31D08" w:rsidRPr="00C03F8B">
        <w:rPr>
          <w:rFonts w:ascii="Verdana" w:hAnsi="Verdana"/>
          <w:sz w:val="18"/>
          <w:szCs w:val="18"/>
        </w:rPr>
        <w:t>n paragraph 12</w:t>
      </w:r>
      <w:r>
        <w:rPr>
          <w:rFonts w:ascii="Verdana" w:hAnsi="Verdana"/>
          <w:sz w:val="18"/>
          <w:szCs w:val="18"/>
        </w:rPr>
        <w:t>,</w:t>
      </w:r>
      <w:r w:rsidR="00B31D08" w:rsidRPr="00C03F8B">
        <w:rPr>
          <w:rFonts w:ascii="Verdana" w:hAnsi="Verdana"/>
          <w:sz w:val="18"/>
          <w:szCs w:val="18"/>
        </w:rPr>
        <w:t xml:space="preserve"> the Netherlands</w:t>
      </w:r>
      <w:r w:rsidR="00B372F3">
        <w:rPr>
          <w:rFonts w:ascii="Verdana" w:hAnsi="Verdana"/>
          <w:sz w:val="18"/>
          <w:szCs w:val="18"/>
        </w:rPr>
        <w:t xml:space="preserve"> would prefer to see </w:t>
      </w:r>
      <w:r w:rsidR="00B372F3" w:rsidRPr="00C03F8B">
        <w:rPr>
          <w:rFonts w:ascii="Verdana" w:hAnsi="Verdana"/>
          <w:sz w:val="18"/>
          <w:szCs w:val="18"/>
        </w:rPr>
        <w:t>the following modifications</w:t>
      </w:r>
      <w:r w:rsidR="006F2763">
        <w:rPr>
          <w:rFonts w:ascii="Verdana" w:hAnsi="Verdana"/>
          <w:sz w:val="18"/>
          <w:szCs w:val="18"/>
        </w:rPr>
        <w:t xml:space="preserve">. </w:t>
      </w:r>
      <w:r w:rsidR="006F2763" w:rsidRPr="006F2763">
        <w:rPr>
          <w:rFonts w:ascii="Verdana" w:hAnsi="Verdana"/>
          <w:sz w:val="18"/>
          <w:szCs w:val="18"/>
        </w:rPr>
        <w:t>The use of the term ‘la</w:t>
      </w:r>
      <w:r w:rsidR="007B1C04">
        <w:rPr>
          <w:rFonts w:ascii="Verdana" w:hAnsi="Verdana"/>
          <w:sz w:val="18"/>
          <w:szCs w:val="18"/>
        </w:rPr>
        <w:t>cking in human compassion’ in</w:t>
      </w:r>
      <w:r w:rsidR="006F2763">
        <w:rPr>
          <w:rFonts w:ascii="Verdana" w:hAnsi="Verdana"/>
          <w:sz w:val="18"/>
          <w:szCs w:val="18"/>
        </w:rPr>
        <w:t xml:space="preserve"> the second</w:t>
      </w:r>
      <w:r w:rsidR="006F2763" w:rsidRPr="006F2763">
        <w:rPr>
          <w:rFonts w:ascii="Verdana" w:hAnsi="Verdana"/>
          <w:sz w:val="18"/>
          <w:szCs w:val="18"/>
        </w:rPr>
        <w:t xml:space="preserve"> sentence</w:t>
      </w:r>
      <w:r w:rsidR="006F2763">
        <w:rPr>
          <w:rFonts w:ascii="Verdana" w:hAnsi="Verdana"/>
          <w:sz w:val="18"/>
          <w:szCs w:val="18"/>
        </w:rPr>
        <w:t xml:space="preserve"> of this paragraph</w:t>
      </w:r>
      <w:r w:rsidR="006F2763" w:rsidRPr="006F2763">
        <w:rPr>
          <w:rFonts w:ascii="Verdana" w:hAnsi="Verdana"/>
          <w:sz w:val="18"/>
          <w:szCs w:val="18"/>
        </w:rPr>
        <w:t xml:space="preserve"> is too vague</w:t>
      </w:r>
      <w:r w:rsidR="001B0F31">
        <w:rPr>
          <w:rFonts w:ascii="Verdana" w:hAnsi="Verdana"/>
          <w:sz w:val="18"/>
          <w:szCs w:val="18"/>
        </w:rPr>
        <w:t xml:space="preserve">. Furthermore, </w:t>
      </w:r>
      <w:r w:rsidR="006F2763" w:rsidRPr="006F2763">
        <w:rPr>
          <w:rFonts w:ascii="Verdana" w:hAnsi="Verdana"/>
          <w:sz w:val="18"/>
          <w:szCs w:val="18"/>
        </w:rPr>
        <w:t>its meaning and scope in relation to the requirements of I</w:t>
      </w:r>
      <w:r w:rsidR="006F2763">
        <w:rPr>
          <w:rFonts w:ascii="Verdana" w:hAnsi="Verdana"/>
          <w:sz w:val="18"/>
          <w:szCs w:val="18"/>
        </w:rPr>
        <w:t xml:space="preserve">nternational </w:t>
      </w:r>
      <w:r w:rsidR="006F2763" w:rsidRPr="006F2763">
        <w:rPr>
          <w:rFonts w:ascii="Verdana" w:hAnsi="Verdana"/>
          <w:sz w:val="18"/>
          <w:szCs w:val="18"/>
        </w:rPr>
        <w:t>H</w:t>
      </w:r>
      <w:r w:rsidR="006F2763">
        <w:rPr>
          <w:rFonts w:ascii="Verdana" w:hAnsi="Verdana"/>
          <w:sz w:val="18"/>
          <w:szCs w:val="18"/>
        </w:rPr>
        <w:t xml:space="preserve">umanitarian </w:t>
      </w:r>
      <w:r w:rsidR="006F2763" w:rsidRPr="006F2763">
        <w:rPr>
          <w:rFonts w:ascii="Verdana" w:hAnsi="Verdana"/>
          <w:sz w:val="18"/>
          <w:szCs w:val="18"/>
        </w:rPr>
        <w:t>L</w:t>
      </w:r>
      <w:r w:rsidR="006F2763">
        <w:rPr>
          <w:rFonts w:ascii="Verdana" w:hAnsi="Verdana"/>
          <w:sz w:val="18"/>
          <w:szCs w:val="18"/>
        </w:rPr>
        <w:t>aw</w:t>
      </w:r>
      <w:r w:rsidR="0034508B">
        <w:rPr>
          <w:rFonts w:ascii="Verdana" w:hAnsi="Verdana"/>
          <w:sz w:val="18"/>
          <w:szCs w:val="18"/>
        </w:rPr>
        <w:t xml:space="preserve"> (IHL) </w:t>
      </w:r>
      <w:r w:rsidR="006F2763" w:rsidRPr="006F2763">
        <w:rPr>
          <w:rFonts w:ascii="Verdana" w:hAnsi="Verdana"/>
          <w:sz w:val="18"/>
          <w:szCs w:val="18"/>
        </w:rPr>
        <w:t xml:space="preserve">(including art. 36 of </w:t>
      </w:r>
      <w:r>
        <w:rPr>
          <w:rFonts w:ascii="Verdana" w:hAnsi="Verdana"/>
          <w:sz w:val="18"/>
          <w:szCs w:val="18"/>
        </w:rPr>
        <w:t xml:space="preserve">the </w:t>
      </w:r>
      <w:r w:rsidRPr="00C03F8B">
        <w:rPr>
          <w:rFonts w:ascii="Verdana" w:hAnsi="Verdana"/>
          <w:sz w:val="18"/>
          <w:szCs w:val="18"/>
        </w:rPr>
        <w:t>First Additional Protocol to the Geneva Conventions of 1977</w:t>
      </w:r>
      <w:r w:rsidR="00E02569">
        <w:rPr>
          <w:rFonts w:ascii="Verdana" w:hAnsi="Verdana"/>
          <w:sz w:val="18"/>
          <w:szCs w:val="18"/>
        </w:rPr>
        <w:t xml:space="preserve"> (AP 1)</w:t>
      </w:r>
      <w:r w:rsidR="006F2763" w:rsidRPr="006F2763">
        <w:rPr>
          <w:rFonts w:ascii="Verdana" w:hAnsi="Verdana"/>
          <w:sz w:val="18"/>
          <w:szCs w:val="18"/>
        </w:rPr>
        <w:t xml:space="preserve">) or the requirements under the ICCPR </w:t>
      </w:r>
      <w:r w:rsidR="0056729C">
        <w:rPr>
          <w:rFonts w:ascii="Verdana" w:hAnsi="Verdana"/>
          <w:sz w:val="18"/>
          <w:szCs w:val="18"/>
        </w:rPr>
        <w:t>are</w:t>
      </w:r>
      <w:r w:rsidR="006F2763" w:rsidRPr="006F2763">
        <w:rPr>
          <w:rFonts w:ascii="Verdana" w:hAnsi="Verdana"/>
          <w:sz w:val="18"/>
          <w:szCs w:val="18"/>
        </w:rPr>
        <w:t xml:space="preserve"> unclear.</w:t>
      </w:r>
      <w:r w:rsidR="006F2763">
        <w:rPr>
          <w:rFonts w:ascii="Verdana" w:hAnsi="Verdana"/>
          <w:sz w:val="18"/>
          <w:szCs w:val="18"/>
        </w:rPr>
        <w:t xml:space="preserve"> As regards th</w:t>
      </w:r>
      <w:r w:rsidR="00EE5071">
        <w:rPr>
          <w:rFonts w:ascii="Verdana" w:hAnsi="Verdana"/>
          <w:sz w:val="18"/>
          <w:szCs w:val="18"/>
        </w:rPr>
        <w:t xml:space="preserve">e suggested third sentence, </w:t>
      </w:r>
      <w:r w:rsidR="00B31D08">
        <w:rPr>
          <w:rFonts w:ascii="Verdana" w:hAnsi="Verdana"/>
          <w:sz w:val="18"/>
          <w:szCs w:val="18"/>
        </w:rPr>
        <w:t>the Netherlands is</w:t>
      </w:r>
      <w:r w:rsidR="006F2763">
        <w:rPr>
          <w:rFonts w:ascii="Verdana" w:hAnsi="Verdana"/>
          <w:sz w:val="18"/>
          <w:szCs w:val="18"/>
        </w:rPr>
        <w:t xml:space="preserve"> of the opinion that this sentence should not be included in the paragraph. </w:t>
      </w:r>
      <w:r w:rsidR="006F2763" w:rsidRPr="006F2763">
        <w:rPr>
          <w:rFonts w:ascii="Verdana" w:hAnsi="Verdana"/>
          <w:sz w:val="18"/>
          <w:szCs w:val="18"/>
        </w:rPr>
        <w:t>The references in this sentence conflate the use of autonomous technology and (the prohibition o</w:t>
      </w:r>
      <w:r w:rsidR="00B31D08">
        <w:rPr>
          <w:rFonts w:ascii="Verdana" w:hAnsi="Verdana"/>
          <w:sz w:val="18"/>
          <w:szCs w:val="18"/>
        </w:rPr>
        <w:t>f</w:t>
      </w:r>
      <w:r w:rsidR="006F2763" w:rsidRPr="006F2763">
        <w:rPr>
          <w:rFonts w:ascii="Verdana" w:hAnsi="Verdana"/>
          <w:sz w:val="18"/>
          <w:szCs w:val="18"/>
        </w:rPr>
        <w:t xml:space="preserve">) extrajudicial killings. The first is a concern in relation to the technology itself (and </w:t>
      </w:r>
      <w:proofErr w:type="gramStart"/>
      <w:r w:rsidR="006F2763" w:rsidRPr="006F2763">
        <w:rPr>
          <w:rFonts w:ascii="Verdana" w:hAnsi="Verdana"/>
          <w:sz w:val="18"/>
          <w:szCs w:val="18"/>
        </w:rPr>
        <w:t>should be addressed</w:t>
      </w:r>
      <w:proofErr w:type="gramEnd"/>
      <w:r w:rsidR="006F2763" w:rsidRPr="006F2763">
        <w:rPr>
          <w:rFonts w:ascii="Verdana" w:hAnsi="Verdana"/>
          <w:sz w:val="18"/>
          <w:szCs w:val="18"/>
        </w:rPr>
        <w:t xml:space="preserve"> </w:t>
      </w:r>
      <w:r w:rsidR="006F2763" w:rsidRPr="00FF4DD6">
        <w:rPr>
          <w:rFonts w:ascii="Verdana" w:hAnsi="Verdana"/>
          <w:i/>
          <w:sz w:val="18"/>
          <w:szCs w:val="18"/>
        </w:rPr>
        <w:t>inter alia</w:t>
      </w:r>
      <w:r w:rsidR="006F2763" w:rsidRPr="006F2763">
        <w:rPr>
          <w:rFonts w:ascii="Verdana" w:hAnsi="Verdana"/>
          <w:sz w:val="18"/>
          <w:szCs w:val="18"/>
        </w:rPr>
        <w:t xml:space="preserve"> via art. 36 of AP 1), while the second is a method of operation that is not dependent on, nor automatically derives from, the means by which those acts are carried out.</w:t>
      </w:r>
      <w:r w:rsidR="006F2763">
        <w:rPr>
          <w:rFonts w:ascii="Verdana" w:hAnsi="Verdana"/>
          <w:sz w:val="18"/>
          <w:szCs w:val="18"/>
        </w:rPr>
        <w:t xml:space="preserve"> </w:t>
      </w:r>
      <w:r w:rsidR="006F2763" w:rsidRPr="006F2763">
        <w:rPr>
          <w:rFonts w:ascii="Verdana" w:hAnsi="Verdana"/>
          <w:sz w:val="18"/>
          <w:szCs w:val="18"/>
        </w:rPr>
        <w:t xml:space="preserve">More generally, this paragraph conflates the requirements under </w:t>
      </w:r>
      <w:r w:rsidR="00CC59E1">
        <w:rPr>
          <w:rFonts w:ascii="Verdana" w:hAnsi="Verdana"/>
          <w:sz w:val="18"/>
          <w:szCs w:val="18"/>
        </w:rPr>
        <w:t>IHL</w:t>
      </w:r>
      <w:r w:rsidR="006F2763" w:rsidRPr="006F2763">
        <w:rPr>
          <w:rFonts w:ascii="Verdana" w:hAnsi="Verdana"/>
          <w:sz w:val="18"/>
          <w:szCs w:val="18"/>
        </w:rPr>
        <w:t xml:space="preserve"> and those under </w:t>
      </w:r>
      <w:r w:rsidR="00B372F3">
        <w:rPr>
          <w:rFonts w:ascii="Verdana" w:hAnsi="Verdana"/>
          <w:sz w:val="18"/>
          <w:szCs w:val="18"/>
        </w:rPr>
        <w:t>international human rights law</w:t>
      </w:r>
      <w:r w:rsidR="006F2763" w:rsidRPr="006F2763">
        <w:rPr>
          <w:rFonts w:ascii="Verdana" w:hAnsi="Verdana"/>
          <w:sz w:val="18"/>
          <w:szCs w:val="18"/>
        </w:rPr>
        <w:t>, far beyond the complementary nature of those two bodies of law.</w:t>
      </w:r>
    </w:p>
    <w:p w:rsidR="006F7CCF" w:rsidRDefault="00F873A8" w:rsidP="00E02569">
      <w:pPr>
        <w:rPr>
          <w:rFonts w:ascii="Verdana" w:hAnsi="Verdana"/>
          <w:sz w:val="18"/>
          <w:szCs w:val="18"/>
        </w:rPr>
      </w:pPr>
      <w:r>
        <w:rPr>
          <w:rFonts w:ascii="Verdana" w:hAnsi="Verdana"/>
          <w:sz w:val="18"/>
          <w:szCs w:val="18"/>
        </w:rPr>
        <w:t>1</w:t>
      </w:r>
      <w:r w:rsidR="00BC0DA2">
        <w:rPr>
          <w:rFonts w:ascii="Verdana" w:hAnsi="Verdana"/>
          <w:sz w:val="18"/>
          <w:szCs w:val="18"/>
        </w:rPr>
        <w:t>1</w:t>
      </w:r>
      <w:r>
        <w:rPr>
          <w:rFonts w:ascii="Verdana" w:hAnsi="Verdana"/>
          <w:sz w:val="18"/>
          <w:szCs w:val="18"/>
        </w:rPr>
        <w:t xml:space="preserve">. </w:t>
      </w:r>
      <w:r w:rsidR="000301A7">
        <w:rPr>
          <w:rFonts w:ascii="Verdana" w:hAnsi="Verdana"/>
          <w:sz w:val="18"/>
          <w:szCs w:val="18"/>
        </w:rPr>
        <w:t>As</w:t>
      </w:r>
      <w:r w:rsidR="000301A7" w:rsidRPr="000301A7">
        <w:rPr>
          <w:rFonts w:ascii="Verdana" w:hAnsi="Verdana"/>
          <w:sz w:val="18"/>
          <w:szCs w:val="18"/>
        </w:rPr>
        <w:t xml:space="preserve"> </w:t>
      </w:r>
      <w:r>
        <w:rPr>
          <w:rFonts w:ascii="Verdana" w:hAnsi="Verdana"/>
          <w:sz w:val="18"/>
          <w:szCs w:val="18"/>
        </w:rPr>
        <w:t xml:space="preserve">for </w:t>
      </w:r>
      <w:r w:rsidR="000301A7" w:rsidRPr="000301A7">
        <w:rPr>
          <w:rFonts w:ascii="Verdana" w:hAnsi="Verdana"/>
          <w:sz w:val="18"/>
          <w:szCs w:val="18"/>
        </w:rPr>
        <w:t>paragraph</w:t>
      </w:r>
      <w:r w:rsidR="000301A7">
        <w:rPr>
          <w:rFonts w:ascii="Verdana" w:hAnsi="Verdana"/>
          <w:sz w:val="18"/>
          <w:szCs w:val="18"/>
        </w:rPr>
        <w:t xml:space="preserve"> 13</w:t>
      </w:r>
      <w:r>
        <w:rPr>
          <w:rFonts w:ascii="Verdana" w:hAnsi="Verdana"/>
          <w:sz w:val="18"/>
          <w:szCs w:val="18"/>
        </w:rPr>
        <w:t>,</w:t>
      </w:r>
      <w:r w:rsidR="000301A7" w:rsidRPr="000301A7">
        <w:rPr>
          <w:rFonts w:ascii="Verdana" w:hAnsi="Verdana"/>
          <w:sz w:val="18"/>
          <w:szCs w:val="18"/>
        </w:rPr>
        <w:t xml:space="preserve"> </w:t>
      </w:r>
      <w:r>
        <w:rPr>
          <w:rFonts w:ascii="Verdana" w:hAnsi="Verdana"/>
          <w:sz w:val="18"/>
          <w:szCs w:val="18"/>
        </w:rPr>
        <w:t xml:space="preserve">the Netherlands would like to see this entire paragraph deleted for the following reason. The paragraph </w:t>
      </w:r>
      <w:r w:rsidR="000301A7" w:rsidRPr="000301A7">
        <w:rPr>
          <w:rFonts w:ascii="Verdana" w:hAnsi="Verdana"/>
          <w:sz w:val="18"/>
          <w:szCs w:val="18"/>
        </w:rPr>
        <w:t>greatly expands the scope and comments of G</w:t>
      </w:r>
      <w:r w:rsidR="00B372F3">
        <w:rPr>
          <w:rFonts w:ascii="Verdana" w:hAnsi="Verdana"/>
          <w:sz w:val="18"/>
          <w:szCs w:val="18"/>
        </w:rPr>
        <w:t xml:space="preserve">eneral </w:t>
      </w:r>
      <w:r w:rsidR="000301A7" w:rsidRPr="000301A7">
        <w:rPr>
          <w:rFonts w:ascii="Verdana" w:hAnsi="Verdana"/>
          <w:sz w:val="18"/>
          <w:szCs w:val="18"/>
        </w:rPr>
        <w:t>C</w:t>
      </w:r>
      <w:r w:rsidR="00B372F3">
        <w:rPr>
          <w:rFonts w:ascii="Verdana" w:hAnsi="Verdana"/>
          <w:sz w:val="18"/>
          <w:szCs w:val="18"/>
        </w:rPr>
        <w:t>omment</w:t>
      </w:r>
      <w:r w:rsidR="000301A7" w:rsidRPr="000301A7">
        <w:rPr>
          <w:rFonts w:ascii="Verdana" w:hAnsi="Verdana"/>
          <w:sz w:val="18"/>
          <w:szCs w:val="18"/>
        </w:rPr>
        <w:t xml:space="preserve"> 14 and significantly extends and expands the views expressed by the ICJ in its advisory opinion into a prohibitive approach that is incompatible with the </w:t>
      </w:r>
      <w:r w:rsidR="007B1C04">
        <w:rPr>
          <w:rFonts w:ascii="Verdana" w:hAnsi="Verdana"/>
          <w:sz w:val="18"/>
          <w:szCs w:val="18"/>
        </w:rPr>
        <w:t xml:space="preserve">state practice of a large number of States, including </w:t>
      </w:r>
      <w:r w:rsidR="00CC59E1">
        <w:rPr>
          <w:rFonts w:ascii="Verdana" w:hAnsi="Verdana"/>
          <w:sz w:val="18"/>
          <w:szCs w:val="18"/>
        </w:rPr>
        <w:t xml:space="preserve">of </w:t>
      </w:r>
      <w:r w:rsidR="007B1C04">
        <w:rPr>
          <w:rFonts w:ascii="Verdana" w:hAnsi="Verdana"/>
          <w:sz w:val="18"/>
          <w:szCs w:val="18"/>
        </w:rPr>
        <w:t>all the member States of the North Atlantic Treaty Organization</w:t>
      </w:r>
      <w:r>
        <w:rPr>
          <w:rFonts w:ascii="Verdana" w:hAnsi="Verdana"/>
          <w:sz w:val="18"/>
          <w:szCs w:val="18"/>
        </w:rPr>
        <w:t>.</w:t>
      </w:r>
    </w:p>
    <w:p w:rsidR="00FC1A08" w:rsidRDefault="00F873A8" w:rsidP="00E02569">
      <w:pPr>
        <w:rPr>
          <w:rFonts w:ascii="Verdana" w:hAnsi="Verdana"/>
          <w:sz w:val="18"/>
          <w:szCs w:val="18"/>
        </w:rPr>
      </w:pPr>
      <w:r>
        <w:rPr>
          <w:rFonts w:ascii="Verdana" w:hAnsi="Verdana"/>
          <w:sz w:val="18"/>
          <w:szCs w:val="18"/>
        </w:rPr>
        <w:t>1</w:t>
      </w:r>
      <w:r w:rsidR="00BC0DA2">
        <w:rPr>
          <w:rFonts w:ascii="Verdana" w:hAnsi="Verdana"/>
          <w:sz w:val="18"/>
          <w:szCs w:val="18"/>
        </w:rPr>
        <w:t>2</w:t>
      </w:r>
      <w:r>
        <w:rPr>
          <w:rFonts w:ascii="Verdana" w:hAnsi="Verdana"/>
          <w:sz w:val="18"/>
          <w:szCs w:val="18"/>
        </w:rPr>
        <w:t>. In paragraph 14</w:t>
      </w:r>
      <w:r w:rsidR="00BC0DA2">
        <w:rPr>
          <w:rFonts w:ascii="Verdana" w:hAnsi="Verdana"/>
          <w:sz w:val="18"/>
          <w:szCs w:val="18"/>
        </w:rPr>
        <w:t>,</w:t>
      </w:r>
      <w:r>
        <w:rPr>
          <w:rFonts w:ascii="Verdana" w:hAnsi="Verdana"/>
          <w:sz w:val="18"/>
          <w:szCs w:val="18"/>
        </w:rPr>
        <w:t xml:space="preserve"> the Netherlands </w:t>
      </w:r>
      <w:r w:rsidR="00B372F3">
        <w:rPr>
          <w:rFonts w:ascii="Verdana" w:hAnsi="Verdana"/>
          <w:sz w:val="18"/>
          <w:szCs w:val="18"/>
        </w:rPr>
        <w:t>advise</w:t>
      </w:r>
      <w:r>
        <w:rPr>
          <w:rFonts w:ascii="Verdana" w:hAnsi="Verdana"/>
          <w:sz w:val="18"/>
          <w:szCs w:val="18"/>
        </w:rPr>
        <w:t>s</w:t>
      </w:r>
      <w:r w:rsidR="00B75DE1">
        <w:rPr>
          <w:rFonts w:ascii="Verdana" w:hAnsi="Verdana"/>
          <w:sz w:val="18"/>
          <w:szCs w:val="18"/>
        </w:rPr>
        <w:t xml:space="preserve"> to expand the reference to ‘law-enforcement agents’ as those who may use less-lethal weapons to public agents in general. </w:t>
      </w:r>
      <w:r w:rsidR="00B75DE1" w:rsidRPr="00B75DE1">
        <w:rPr>
          <w:rFonts w:ascii="Verdana" w:hAnsi="Verdana"/>
          <w:sz w:val="18"/>
          <w:szCs w:val="18"/>
        </w:rPr>
        <w:t>Not all public agents authorized to use weapons (even outside the scope of an armed conflict) are necessarily law-enforcement agents but may be acting in support of (and under the direction and authority of) law-enforcement agents. Such situations include military support to civilian authorities as prescribed and governed by law in some States (including the Netherlands).</w:t>
      </w:r>
      <w:r w:rsidR="00B75DE1">
        <w:rPr>
          <w:rFonts w:ascii="Verdana" w:hAnsi="Verdana"/>
          <w:sz w:val="18"/>
          <w:szCs w:val="18"/>
        </w:rPr>
        <w:t xml:space="preserve"> </w:t>
      </w:r>
    </w:p>
    <w:p w:rsidR="008B26EA" w:rsidRDefault="00B75DE1" w:rsidP="00E02569">
      <w:pPr>
        <w:rPr>
          <w:rFonts w:ascii="Verdana" w:hAnsi="Verdana"/>
          <w:sz w:val="18"/>
          <w:szCs w:val="18"/>
        </w:rPr>
      </w:pPr>
      <w:r w:rsidRPr="00B75DE1">
        <w:rPr>
          <w:rFonts w:ascii="Verdana" w:hAnsi="Verdana"/>
          <w:sz w:val="18"/>
          <w:szCs w:val="18"/>
        </w:rPr>
        <w:t xml:space="preserve">The last sentence </w:t>
      </w:r>
      <w:r>
        <w:rPr>
          <w:rFonts w:ascii="Verdana" w:hAnsi="Verdana"/>
          <w:sz w:val="18"/>
          <w:szCs w:val="18"/>
        </w:rPr>
        <w:t xml:space="preserve">of this paragraph, </w:t>
      </w:r>
      <w:r w:rsidRPr="00B75DE1">
        <w:rPr>
          <w:rFonts w:ascii="Verdana" w:hAnsi="Verdana"/>
          <w:sz w:val="18"/>
          <w:szCs w:val="18"/>
        </w:rPr>
        <w:t>as currently formulated</w:t>
      </w:r>
      <w:r>
        <w:rPr>
          <w:rFonts w:ascii="Verdana" w:hAnsi="Verdana"/>
          <w:sz w:val="18"/>
          <w:szCs w:val="18"/>
        </w:rPr>
        <w:t>,</w:t>
      </w:r>
      <w:r w:rsidRPr="00B75DE1">
        <w:rPr>
          <w:rFonts w:ascii="Verdana" w:hAnsi="Verdana"/>
          <w:sz w:val="18"/>
          <w:szCs w:val="18"/>
        </w:rPr>
        <w:t xml:space="preserve"> </w:t>
      </w:r>
      <w:proofErr w:type="gramStart"/>
      <w:r w:rsidRPr="00B75DE1">
        <w:rPr>
          <w:rFonts w:ascii="Verdana" w:hAnsi="Verdana"/>
          <w:sz w:val="18"/>
          <w:szCs w:val="18"/>
        </w:rPr>
        <w:t>could be read</w:t>
      </w:r>
      <w:proofErr w:type="gramEnd"/>
      <w:r w:rsidRPr="00B75DE1">
        <w:rPr>
          <w:rFonts w:ascii="Verdana" w:hAnsi="Verdana"/>
          <w:sz w:val="18"/>
          <w:szCs w:val="18"/>
        </w:rPr>
        <w:t xml:space="preserve"> as suggesting that less</w:t>
      </w:r>
      <w:r w:rsidR="00BC0DA2">
        <w:rPr>
          <w:rFonts w:ascii="Verdana" w:hAnsi="Verdana"/>
          <w:sz w:val="18"/>
          <w:szCs w:val="18"/>
        </w:rPr>
        <w:t>-l</w:t>
      </w:r>
      <w:r w:rsidRPr="00B75DE1">
        <w:rPr>
          <w:rFonts w:ascii="Verdana" w:hAnsi="Verdana"/>
          <w:sz w:val="18"/>
          <w:szCs w:val="18"/>
        </w:rPr>
        <w:t xml:space="preserve">ethal </w:t>
      </w:r>
      <w:r w:rsidR="007B1C04">
        <w:rPr>
          <w:rFonts w:ascii="Verdana" w:hAnsi="Verdana"/>
          <w:sz w:val="18"/>
          <w:szCs w:val="18"/>
        </w:rPr>
        <w:t>weapons</w:t>
      </w:r>
      <w:r w:rsidRPr="00B75DE1">
        <w:rPr>
          <w:rFonts w:ascii="Verdana" w:hAnsi="Verdana"/>
          <w:sz w:val="18"/>
          <w:szCs w:val="18"/>
        </w:rPr>
        <w:t xml:space="preserve"> can never be used during demonstrations and situations of crowd control. It does not reflect the fact that such situations can deteriorate quickly</w:t>
      </w:r>
      <w:r>
        <w:rPr>
          <w:rFonts w:ascii="Verdana" w:hAnsi="Verdana"/>
          <w:sz w:val="18"/>
          <w:szCs w:val="18"/>
        </w:rPr>
        <w:t xml:space="preserve"> and that under certain circumstances the use of less-lethal weapons might be necessary</w:t>
      </w:r>
      <w:r w:rsidRPr="00B75DE1">
        <w:rPr>
          <w:rFonts w:ascii="Verdana" w:hAnsi="Verdana"/>
          <w:sz w:val="18"/>
          <w:szCs w:val="18"/>
        </w:rPr>
        <w:t xml:space="preserve">. What should be determinative is </w:t>
      </w:r>
      <w:proofErr w:type="gramStart"/>
      <w:r w:rsidRPr="00B75DE1">
        <w:rPr>
          <w:rFonts w:ascii="Verdana" w:hAnsi="Verdana"/>
          <w:sz w:val="18"/>
          <w:szCs w:val="18"/>
        </w:rPr>
        <w:t>not the type of situation, but whether the use of certain means is necessary and proportional</w:t>
      </w:r>
      <w:proofErr w:type="gramEnd"/>
      <w:r w:rsidRPr="00B75DE1">
        <w:rPr>
          <w:rFonts w:ascii="Verdana" w:hAnsi="Verdana"/>
          <w:sz w:val="18"/>
          <w:szCs w:val="18"/>
        </w:rPr>
        <w:t xml:space="preserve">. The current wording could discourage consideration of deployment and use of less lethal </w:t>
      </w:r>
      <w:r w:rsidR="00CC59E1">
        <w:rPr>
          <w:rFonts w:ascii="Verdana" w:hAnsi="Verdana"/>
          <w:sz w:val="18"/>
          <w:szCs w:val="18"/>
        </w:rPr>
        <w:t>weapons</w:t>
      </w:r>
      <w:r w:rsidRPr="00B75DE1">
        <w:rPr>
          <w:rFonts w:ascii="Verdana" w:hAnsi="Verdana"/>
          <w:sz w:val="18"/>
          <w:szCs w:val="18"/>
        </w:rPr>
        <w:t xml:space="preserve">, leading to there being no alternative for the use of lethal </w:t>
      </w:r>
      <w:r w:rsidR="00CC59E1">
        <w:rPr>
          <w:rFonts w:ascii="Verdana" w:hAnsi="Verdana"/>
          <w:sz w:val="18"/>
          <w:szCs w:val="18"/>
        </w:rPr>
        <w:t>weapons</w:t>
      </w:r>
      <w:r w:rsidRPr="00B75DE1">
        <w:rPr>
          <w:rFonts w:ascii="Verdana" w:hAnsi="Verdana"/>
          <w:sz w:val="18"/>
          <w:szCs w:val="18"/>
        </w:rPr>
        <w:t>. This</w:t>
      </w:r>
      <w:r w:rsidR="00FC1A08">
        <w:rPr>
          <w:rFonts w:ascii="Verdana" w:hAnsi="Verdana"/>
          <w:sz w:val="18"/>
          <w:szCs w:val="18"/>
        </w:rPr>
        <w:t xml:space="preserve"> </w:t>
      </w:r>
      <w:r w:rsidR="008B26EA">
        <w:rPr>
          <w:rFonts w:ascii="Verdana" w:hAnsi="Verdana"/>
          <w:sz w:val="18"/>
          <w:szCs w:val="18"/>
        </w:rPr>
        <w:t xml:space="preserve">would be inconsistent </w:t>
      </w:r>
      <w:r w:rsidRPr="00B75DE1">
        <w:rPr>
          <w:rFonts w:ascii="Verdana" w:hAnsi="Verdana"/>
          <w:sz w:val="18"/>
          <w:szCs w:val="18"/>
        </w:rPr>
        <w:t xml:space="preserve">with the </w:t>
      </w:r>
      <w:proofErr w:type="gramStart"/>
      <w:r w:rsidRPr="00B75DE1">
        <w:rPr>
          <w:rFonts w:ascii="Verdana" w:hAnsi="Verdana"/>
          <w:sz w:val="18"/>
          <w:szCs w:val="18"/>
        </w:rPr>
        <w:t>text accompanying</w:t>
      </w:r>
      <w:proofErr w:type="gramEnd"/>
      <w:r w:rsidRPr="00B75DE1">
        <w:rPr>
          <w:rFonts w:ascii="Verdana" w:hAnsi="Verdana"/>
          <w:sz w:val="18"/>
          <w:szCs w:val="18"/>
        </w:rPr>
        <w:t xml:space="preserve"> footnote 46 in the </w:t>
      </w:r>
      <w:r w:rsidR="008B26EA">
        <w:rPr>
          <w:rFonts w:ascii="Verdana" w:hAnsi="Verdana"/>
          <w:sz w:val="18"/>
          <w:szCs w:val="18"/>
        </w:rPr>
        <w:t xml:space="preserve">present </w:t>
      </w:r>
      <w:r w:rsidRPr="00B75DE1">
        <w:rPr>
          <w:rFonts w:ascii="Verdana" w:hAnsi="Verdana"/>
          <w:sz w:val="18"/>
          <w:szCs w:val="18"/>
        </w:rPr>
        <w:t xml:space="preserve">draft </w:t>
      </w:r>
      <w:r w:rsidR="008B26EA">
        <w:rPr>
          <w:rFonts w:ascii="Verdana" w:hAnsi="Verdana"/>
          <w:sz w:val="18"/>
          <w:szCs w:val="18"/>
        </w:rPr>
        <w:t>text.</w:t>
      </w:r>
      <w:r>
        <w:rPr>
          <w:rFonts w:ascii="Verdana" w:hAnsi="Verdana"/>
          <w:sz w:val="18"/>
          <w:szCs w:val="18"/>
        </w:rPr>
        <w:t xml:space="preserve"> </w:t>
      </w:r>
    </w:p>
    <w:p w:rsidR="00B75DE1" w:rsidRDefault="00B75DE1" w:rsidP="00E02569">
      <w:pPr>
        <w:rPr>
          <w:rFonts w:ascii="Verdana" w:hAnsi="Verdana"/>
          <w:sz w:val="18"/>
          <w:szCs w:val="18"/>
        </w:rPr>
      </w:pPr>
      <w:r>
        <w:rPr>
          <w:rFonts w:ascii="Verdana" w:hAnsi="Verdana"/>
          <w:sz w:val="18"/>
          <w:szCs w:val="18"/>
        </w:rPr>
        <w:t xml:space="preserve">Finally, </w:t>
      </w:r>
      <w:r w:rsidRPr="00B75DE1">
        <w:rPr>
          <w:rFonts w:ascii="Verdana" w:hAnsi="Verdana"/>
          <w:sz w:val="18"/>
          <w:szCs w:val="18"/>
        </w:rPr>
        <w:t>the r</w:t>
      </w:r>
      <w:r>
        <w:rPr>
          <w:rFonts w:ascii="Verdana" w:hAnsi="Verdana"/>
          <w:sz w:val="18"/>
          <w:szCs w:val="18"/>
        </w:rPr>
        <w:t>eference in footnote 34</w:t>
      </w:r>
      <w:r w:rsidRPr="00B75DE1">
        <w:rPr>
          <w:rFonts w:ascii="Verdana" w:hAnsi="Verdana"/>
          <w:sz w:val="18"/>
          <w:szCs w:val="18"/>
        </w:rPr>
        <w:t xml:space="preserve"> </w:t>
      </w:r>
      <w:r>
        <w:rPr>
          <w:rFonts w:ascii="Verdana" w:hAnsi="Verdana"/>
          <w:sz w:val="18"/>
          <w:szCs w:val="18"/>
        </w:rPr>
        <w:t>presumably should</w:t>
      </w:r>
      <w:r w:rsidRPr="00B75DE1">
        <w:rPr>
          <w:rFonts w:ascii="Verdana" w:hAnsi="Verdana"/>
          <w:sz w:val="18"/>
          <w:szCs w:val="18"/>
        </w:rPr>
        <w:t xml:space="preserve"> be to the Concluding Observations of 2002 (CCPR/CO/74/SWE), rather than of </w:t>
      </w:r>
      <w:r>
        <w:rPr>
          <w:rFonts w:ascii="Verdana" w:hAnsi="Verdana"/>
          <w:sz w:val="18"/>
          <w:szCs w:val="18"/>
        </w:rPr>
        <w:t xml:space="preserve">those of </w:t>
      </w:r>
      <w:r w:rsidRPr="00B75DE1">
        <w:rPr>
          <w:rFonts w:ascii="Verdana" w:hAnsi="Verdana"/>
          <w:sz w:val="18"/>
          <w:szCs w:val="18"/>
        </w:rPr>
        <w:t>2012.</w:t>
      </w:r>
    </w:p>
    <w:p w:rsidR="00B75DE1" w:rsidRDefault="008B26EA" w:rsidP="00E02569">
      <w:pPr>
        <w:rPr>
          <w:rFonts w:ascii="Verdana" w:hAnsi="Verdana"/>
          <w:sz w:val="18"/>
          <w:szCs w:val="18"/>
        </w:rPr>
      </w:pPr>
      <w:r>
        <w:rPr>
          <w:rFonts w:ascii="Verdana" w:hAnsi="Verdana"/>
          <w:sz w:val="18"/>
          <w:szCs w:val="18"/>
        </w:rPr>
        <w:t>1</w:t>
      </w:r>
      <w:r w:rsidR="00A03659">
        <w:rPr>
          <w:rFonts w:ascii="Verdana" w:hAnsi="Verdana"/>
          <w:sz w:val="18"/>
          <w:szCs w:val="18"/>
        </w:rPr>
        <w:t>3</w:t>
      </w:r>
      <w:r>
        <w:rPr>
          <w:rFonts w:ascii="Verdana" w:hAnsi="Verdana"/>
          <w:sz w:val="18"/>
          <w:szCs w:val="18"/>
        </w:rPr>
        <w:t xml:space="preserve">. </w:t>
      </w:r>
      <w:r w:rsidR="00B75DE1">
        <w:rPr>
          <w:rFonts w:ascii="Verdana" w:hAnsi="Verdana"/>
          <w:sz w:val="18"/>
          <w:szCs w:val="18"/>
        </w:rPr>
        <w:t xml:space="preserve">In paragraph 15, </w:t>
      </w:r>
      <w:r>
        <w:rPr>
          <w:rFonts w:ascii="Verdana" w:hAnsi="Verdana"/>
          <w:sz w:val="18"/>
          <w:szCs w:val="18"/>
        </w:rPr>
        <w:t>the Netherlands</w:t>
      </w:r>
      <w:r w:rsidR="00B75DE1">
        <w:rPr>
          <w:rFonts w:ascii="Verdana" w:hAnsi="Verdana"/>
          <w:sz w:val="18"/>
          <w:szCs w:val="18"/>
        </w:rPr>
        <w:t xml:space="preserve"> would like to see that the Committee clarifies that for article 6 to be applicable, the test set out in article 2 of the ICCPR </w:t>
      </w:r>
      <w:proofErr w:type="gramStart"/>
      <w:r w:rsidR="00B75DE1">
        <w:rPr>
          <w:rFonts w:ascii="Verdana" w:hAnsi="Verdana"/>
          <w:sz w:val="18"/>
          <w:szCs w:val="18"/>
        </w:rPr>
        <w:t>should also be met</w:t>
      </w:r>
      <w:proofErr w:type="gramEnd"/>
      <w:r w:rsidR="00B75DE1">
        <w:rPr>
          <w:rFonts w:ascii="Verdana" w:hAnsi="Verdana"/>
          <w:sz w:val="18"/>
          <w:szCs w:val="18"/>
        </w:rPr>
        <w:t xml:space="preserve">. </w:t>
      </w:r>
      <w:r w:rsidR="00B75DE1" w:rsidRPr="00B75DE1">
        <w:rPr>
          <w:rFonts w:ascii="Verdana" w:hAnsi="Verdana"/>
          <w:sz w:val="18"/>
          <w:szCs w:val="18"/>
        </w:rPr>
        <w:t xml:space="preserve">This paragraph rightly underlines that States are only responsible for conduct that violates the ICCPR, including Article 6, when that conduct is attributable to a State </w:t>
      </w:r>
      <w:r>
        <w:rPr>
          <w:rFonts w:ascii="Verdana" w:hAnsi="Verdana"/>
          <w:sz w:val="18"/>
          <w:szCs w:val="18"/>
        </w:rPr>
        <w:t>p</w:t>
      </w:r>
      <w:r w:rsidR="00B75DE1" w:rsidRPr="00B75DE1">
        <w:rPr>
          <w:rFonts w:ascii="Verdana" w:hAnsi="Verdana"/>
          <w:sz w:val="18"/>
          <w:szCs w:val="18"/>
        </w:rPr>
        <w:t xml:space="preserve">arty. Although this may be unintentional, this </w:t>
      </w:r>
      <w:proofErr w:type="gramStart"/>
      <w:r w:rsidR="00B75DE1" w:rsidRPr="00B75DE1">
        <w:rPr>
          <w:rFonts w:ascii="Verdana" w:hAnsi="Verdana"/>
          <w:sz w:val="18"/>
          <w:szCs w:val="18"/>
        </w:rPr>
        <w:t xml:space="preserve">could be </w:t>
      </w:r>
      <w:r w:rsidR="00B75DE1" w:rsidRPr="00B75DE1">
        <w:rPr>
          <w:rFonts w:ascii="Verdana" w:hAnsi="Verdana"/>
          <w:sz w:val="18"/>
          <w:szCs w:val="18"/>
        </w:rPr>
        <w:lastRenderedPageBreak/>
        <w:t>read</w:t>
      </w:r>
      <w:proofErr w:type="gramEnd"/>
      <w:r w:rsidR="00B75DE1" w:rsidRPr="00B75DE1">
        <w:rPr>
          <w:rFonts w:ascii="Verdana" w:hAnsi="Verdana"/>
          <w:sz w:val="18"/>
          <w:szCs w:val="18"/>
        </w:rPr>
        <w:t xml:space="preserve"> to suggest that this is necessary and sufficient for Article 6 to be applicable in a specific case. This is however not the case. For the article to be applicable to a specific individual, that individual must be within the territory and subject to the jurisdiction of a State party in accordance with article 2 of the Covenant.</w:t>
      </w:r>
    </w:p>
    <w:p w:rsidR="00B75DE1" w:rsidRDefault="003940FB" w:rsidP="00E02569">
      <w:pPr>
        <w:rPr>
          <w:rFonts w:ascii="Verdana" w:hAnsi="Verdana"/>
          <w:sz w:val="18"/>
          <w:szCs w:val="18"/>
        </w:rPr>
      </w:pPr>
      <w:r>
        <w:rPr>
          <w:rFonts w:ascii="Verdana" w:hAnsi="Verdana"/>
          <w:sz w:val="18"/>
          <w:szCs w:val="18"/>
        </w:rPr>
        <w:t>1</w:t>
      </w:r>
      <w:r w:rsidR="00A03659">
        <w:rPr>
          <w:rFonts w:ascii="Verdana" w:hAnsi="Verdana"/>
          <w:sz w:val="18"/>
          <w:szCs w:val="18"/>
        </w:rPr>
        <w:t>4</w:t>
      </w:r>
      <w:r>
        <w:rPr>
          <w:rFonts w:ascii="Verdana" w:hAnsi="Verdana"/>
          <w:sz w:val="18"/>
          <w:szCs w:val="18"/>
        </w:rPr>
        <w:t>. In paragraph 18, i</w:t>
      </w:r>
      <w:r w:rsidR="00396F43">
        <w:rPr>
          <w:rFonts w:ascii="Verdana" w:hAnsi="Verdana"/>
          <w:sz w:val="18"/>
          <w:szCs w:val="18"/>
        </w:rPr>
        <w:t xml:space="preserve">t is unclear what the </w:t>
      </w:r>
      <w:r>
        <w:rPr>
          <w:rFonts w:ascii="Verdana" w:hAnsi="Verdana"/>
          <w:sz w:val="18"/>
          <w:szCs w:val="18"/>
        </w:rPr>
        <w:t>phrase</w:t>
      </w:r>
      <w:r w:rsidR="00396F43">
        <w:rPr>
          <w:rFonts w:ascii="Verdana" w:hAnsi="Verdana"/>
          <w:sz w:val="18"/>
          <w:szCs w:val="18"/>
        </w:rPr>
        <w:t xml:space="preserve"> ‘such as protecting private property’ encompasses. </w:t>
      </w:r>
      <w:proofErr w:type="gramStart"/>
      <w:r w:rsidR="00396F43" w:rsidRPr="00396F43">
        <w:rPr>
          <w:rFonts w:ascii="Verdana" w:hAnsi="Verdana"/>
          <w:sz w:val="18"/>
          <w:szCs w:val="18"/>
        </w:rPr>
        <w:t xml:space="preserve">Does </w:t>
      </w:r>
      <w:r>
        <w:rPr>
          <w:rFonts w:ascii="Verdana" w:hAnsi="Verdana"/>
          <w:sz w:val="18"/>
          <w:szCs w:val="18"/>
        </w:rPr>
        <w:t xml:space="preserve">it </w:t>
      </w:r>
      <w:r w:rsidR="00396F43" w:rsidRPr="00396F43">
        <w:rPr>
          <w:rFonts w:ascii="Verdana" w:hAnsi="Verdana"/>
          <w:sz w:val="18"/>
          <w:szCs w:val="18"/>
        </w:rPr>
        <w:t>extend to government property representing a vital security interest (e.g. military weapons depots, critical</w:t>
      </w:r>
      <w:r w:rsidR="007B1C04">
        <w:rPr>
          <w:rFonts w:ascii="Verdana" w:hAnsi="Verdana"/>
          <w:sz w:val="18"/>
          <w:szCs w:val="18"/>
        </w:rPr>
        <w:t xml:space="preserve"> command, control, communication, computers and intelligence</w:t>
      </w:r>
      <w:r w:rsidR="00396F43" w:rsidRPr="00396F43">
        <w:rPr>
          <w:rFonts w:ascii="Verdana" w:hAnsi="Verdana"/>
          <w:sz w:val="18"/>
          <w:szCs w:val="18"/>
        </w:rPr>
        <w:t xml:space="preserve"> </w:t>
      </w:r>
      <w:r w:rsidR="007B1C04">
        <w:rPr>
          <w:rFonts w:ascii="Verdana" w:hAnsi="Verdana"/>
          <w:sz w:val="18"/>
          <w:szCs w:val="18"/>
        </w:rPr>
        <w:t>(</w:t>
      </w:r>
      <w:r w:rsidR="00396F43" w:rsidRPr="00396F43">
        <w:rPr>
          <w:rFonts w:ascii="Verdana" w:hAnsi="Verdana"/>
          <w:sz w:val="18"/>
          <w:szCs w:val="18"/>
        </w:rPr>
        <w:t>C4I</w:t>
      </w:r>
      <w:r w:rsidR="007B1C04">
        <w:rPr>
          <w:rFonts w:ascii="Verdana" w:hAnsi="Verdana"/>
          <w:sz w:val="18"/>
          <w:szCs w:val="18"/>
        </w:rPr>
        <w:t>)</w:t>
      </w:r>
      <w:r w:rsidR="00396F43" w:rsidRPr="00396F43">
        <w:rPr>
          <w:rFonts w:ascii="Verdana" w:hAnsi="Verdana"/>
          <w:sz w:val="18"/>
          <w:szCs w:val="18"/>
        </w:rPr>
        <w:t xml:space="preserve"> nodes, depots or buildings containing highly classified information representing vital security interests of the State, etc.) or would the use of force in defending such property be considered proportionate if the threat against that property is of sufficient gravity?</w:t>
      </w:r>
      <w:proofErr w:type="gramEnd"/>
      <w:r w:rsidR="00396F43">
        <w:rPr>
          <w:rFonts w:ascii="Verdana" w:hAnsi="Verdana"/>
          <w:sz w:val="18"/>
          <w:szCs w:val="18"/>
        </w:rPr>
        <w:t xml:space="preserve"> </w:t>
      </w:r>
      <w:r>
        <w:rPr>
          <w:rFonts w:ascii="Verdana" w:hAnsi="Verdana"/>
          <w:sz w:val="18"/>
          <w:szCs w:val="18"/>
        </w:rPr>
        <w:t xml:space="preserve">The </w:t>
      </w:r>
      <w:r w:rsidR="00E02569">
        <w:rPr>
          <w:rFonts w:ascii="Verdana" w:hAnsi="Verdana"/>
          <w:sz w:val="18"/>
          <w:szCs w:val="18"/>
        </w:rPr>
        <w:t>Netherlands would</w:t>
      </w:r>
      <w:r w:rsidR="00396F43">
        <w:rPr>
          <w:rFonts w:ascii="Verdana" w:hAnsi="Verdana"/>
          <w:sz w:val="18"/>
          <w:szCs w:val="18"/>
        </w:rPr>
        <w:t xml:space="preserve"> like to see a clarification on this point.</w:t>
      </w:r>
    </w:p>
    <w:p w:rsidR="00396F43" w:rsidRPr="00E95493" w:rsidRDefault="003940FB" w:rsidP="00E02569">
      <w:pPr>
        <w:rPr>
          <w:rFonts w:ascii="Verdana" w:hAnsi="Verdana"/>
          <w:sz w:val="18"/>
          <w:szCs w:val="18"/>
        </w:rPr>
      </w:pPr>
      <w:r>
        <w:rPr>
          <w:rFonts w:ascii="Verdana" w:hAnsi="Verdana"/>
          <w:sz w:val="18"/>
          <w:szCs w:val="18"/>
        </w:rPr>
        <w:t>1</w:t>
      </w:r>
      <w:r w:rsidR="005812AB">
        <w:rPr>
          <w:rFonts w:ascii="Verdana" w:hAnsi="Verdana"/>
          <w:sz w:val="18"/>
          <w:szCs w:val="18"/>
        </w:rPr>
        <w:t>5</w:t>
      </w:r>
      <w:r>
        <w:rPr>
          <w:rFonts w:ascii="Verdana" w:hAnsi="Verdana"/>
          <w:sz w:val="18"/>
          <w:szCs w:val="18"/>
        </w:rPr>
        <w:t>. P</w:t>
      </w:r>
      <w:r w:rsidR="00864E03">
        <w:rPr>
          <w:rFonts w:ascii="Verdana" w:hAnsi="Verdana"/>
          <w:sz w:val="18"/>
          <w:szCs w:val="18"/>
        </w:rPr>
        <w:t xml:space="preserve">aragraph 20 </w:t>
      </w:r>
      <w:r>
        <w:rPr>
          <w:rFonts w:ascii="Verdana" w:hAnsi="Verdana"/>
          <w:sz w:val="18"/>
          <w:szCs w:val="18"/>
        </w:rPr>
        <w:t>deals with two different procedures that</w:t>
      </w:r>
      <w:r w:rsidR="0056729C">
        <w:rPr>
          <w:rFonts w:ascii="Verdana" w:hAnsi="Verdana"/>
          <w:sz w:val="18"/>
          <w:szCs w:val="18"/>
        </w:rPr>
        <w:t>,</w:t>
      </w:r>
      <w:r>
        <w:rPr>
          <w:rFonts w:ascii="Verdana" w:hAnsi="Verdana"/>
          <w:sz w:val="18"/>
          <w:szCs w:val="18"/>
        </w:rPr>
        <w:t xml:space="preserve"> in the opinion of the Netherlands</w:t>
      </w:r>
      <w:r w:rsidR="0056729C">
        <w:rPr>
          <w:rFonts w:ascii="Verdana" w:hAnsi="Verdana"/>
          <w:sz w:val="18"/>
          <w:szCs w:val="18"/>
        </w:rPr>
        <w:t>,</w:t>
      </w:r>
      <w:r>
        <w:rPr>
          <w:rFonts w:ascii="Verdana" w:hAnsi="Verdana"/>
          <w:sz w:val="18"/>
          <w:szCs w:val="18"/>
        </w:rPr>
        <w:t xml:space="preserve"> </w:t>
      </w:r>
      <w:proofErr w:type="gramStart"/>
      <w:r>
        <w:rPr>
          <w:rFonts w:ascii="Verdana" w:hAnsi="Verdana"/>
          <w:sz w:val="18"/>
          <w:szCs w:val="18"/>
        </w:rPr>
        <w:t>should not be combined</w:t>
      </w:r>
      <w:proofErr w:type="gramEnd"/>
      <w:r>
        <w:rPr>
          <w:rFonts w:ascii="Verdana" w:hAnsi="Verdana"/>
          <w:sz w:val="18"/>
          <w:szCs w:val="18"/>
        </w:rPr>
        <w:t xml:space="preserve"> in one paragraph. It </w:t>
      </w:r>
      <w:proofErr w:type="gramStart"/>
      <w:r>
        <w:rPr>
          <w:rFonts w:ascii="Verdana" w:hAnsi="Verdana"/>
          <w:sz w:val="18"/>
          <w:szCs w:val="18"/>
        </w:rPr>
        <w:t>is suggested</w:t>
      </w:r>
      <w:proofErr w:type="gramEnd"/>
      <w:r>
        <w:rPr>
          <w:rFonts w:ascii="Verdana" w:hAnsi="Verdana"/>
          <w:sz w:val="18"/>
          <w:szCs w:val="18"/>
        </w:rPr>
        <w:t xml:space="preserve"> therefore to divide the text </w:t>
      </w:r>
      <w:r w:rsidR="00864E03">
        <w:rPr>
          <w:rFonts w:ascii="Verdana" w:hAnsi="Verdana"/>
          <w:sz w:val="18"/>
          <w:szCs w:val="18"/>
        </w:rPr>
        <w:t xml:space="preserve">into two separate paragraphs, one dealing with the death penalty and one dealing with other procedures. </w:t>
      </w:r>
    </w:p>
    <w:p w:rsidR="00864E03" w:rsidRDefault="009706C4" w:rsidP="00E02569">
      <w:pPr>
        <w:rPr>
          <w:rFonts w:ascii="Verdana" w:hAnsi="Verdana"/>
          <w:sz w:val="18"/>
          <w:szCs w:val="18"/>
        </w:rPr>
      </w:pPr>
      <w:r>
        <w:rPr>
          <w:rFonts w:ascii="Verdana" w:hAnsi="Verdana"/>
          <w:sz w:val="18"/>
          <w:szCs w:val="18"/>
        </w:rPr>
        <w:t>1</w:t>
      </w:r>
      <w:r w:rsidR="00E95493">
        <w:rPr>
          <w:rFonts w:ascii="Verdana" w:hAnsi="Verdana"/>
          <w:sz w:val="18"/>
          <w:szCs w:val="18"/>
        </w:rPr>
        <w:t>6</w:t>
      </w:r>
      <w:r>
        <w:rPr>
          <w:rFonts w:ascii="Verdana" w:hAnsi="Verdana"/>
          <w:sz w:val="18"/>
          <w:szCs w:val="18"/>
        </w:rPr>
        <w:t xml:space="preserve">. In paragraph 21, the first sentence seems to </w:t>
      </w:r>
      <w:proofErr w:type="gramStart"/>
      <w:r>
        <w:rPr>
          <w:rFonts w:ascii="Verdana" w:hAnsi="Verdana"/>
          <w:sz w:val="18"/>
          <w:szCs w:val="18"/>
        </w:rPr>
        <w:t>be formulated</w:t>
      </w:r>
      <w:proofErr w:type="gramEnd"/>
      <w:r>
        <w:rPr>
          <w:rFonts w:ascii="Verdana" w:hAnsi="Verdana"/>
          <w:sz w:val="18"/>
          <w:szCs w:val="18"/>
        </w:rPr>
        <w:t xml:space="preserve"> in </w:t>
      </w:r>
      <w:r w:rsidR="00B4092D">
        <w:rPr>
          <w:rFonts w:ascii="Verdana" w:hAnsi="Verdana"/>
          <w:sz w:val="18"/>
          <w:szCs w:val="18"/>
        </w:rPr>
        <w:t xml:space="preserve">rather </w:t>
      </w:r>
      <w:r>
        <w:rPr>
          <w:rFonts w:ascii="Verdana" w:hAnsi="Verdana"/>
          <w:sz w:val="18"/>
          <w:szCs w:val="18"/>
        </w:rPr>
        <w:t xml:space="preserve">absolute terms. In the view of the </w:t>
      </w:r>
      <w:r w:rsidR="00E02569">
        <w:rPr>
          <w:rFonts w:ascii="Verdana" w:hAnsi="Verdana"/>
          <w:sz w:val="18"/>
          <w:szCs w:val="18"/>
        </w:rPr>
        <w:t>Netherlands,</w:t>
      </w:r>
      <w:r>
        <w:rPr>
          <w:rFonts w:ascii="Verdana" w:hAnsi="Verdana"/>
          <w:sz w:val="18"/>
          <w:szCs w:val="18"/>
        </w:rPr>
        <w:t xml:space="preserve"> more </w:t>
      </w:r>
      <w:r w:rsidR="00B4092D">
        <w:rPr>
          <w:rFonts w:ascii="Verdana" w:hAnsi="Verdana"/>
          <w:sz w:val="18"/>
          <w:szCs w:val="18"/>
        </w:rPr>
        <w:t>differentiation</w:t>
      </w:r>
      <w:r>
        <w:rPr>
          <w:rFonts w:ascii="Verdana" w:hAnsi="Verdana"/>
          <w:sz w:val="18"/>
          <w:szCs w:val="18"/>
        </w:rPr>
        <w:t xml:space="preserve"> is called for</w:t>
      </w:r>
      <w:r w:rsidR="00B4092D">
        <w:rPr>
          <w:rFonts w:ascii="Verdana" w:hAnsi="Verdana"/>
          <w:sz w:val="18"/>
          <w:szCs w:val="18"/>
        </w:rPr>
        <w:t xml:space="preserve"> and the Committee </w:t>
      </w:r>
      <w:proofErr w:type="gramStart"/>
      <w:r w:rsidR="00B4092D">
        <w:rPr>
          <w:rFonts w:ascii="Verdana" w:hAnsi="Verdana"/>
          <w:sz w:val="18"/>
          <w:szCs w:val="18"/>
        </w:rPr>
        <w:t>is requested</w:t>
      </w:r>
      <w:proofErr w:type="gramEnd"/>
      <w:r w:rsidR="00B4092D">
        <w:rPr>
          <w:rFonts w:ascii="Verdana" w:hAnsi="Verdana"/>
          <w:sz w:val="18"/>
          <w:szCs w:val="18"/>
        </w:rPr>
        <w:t xml:space="preserve"> to revise the </w:t>
      </w:r>
      <w:r w:rsidR="00E02569">
        <w:rPr>
          <w:rFonts w:ascii="Verdana" w:hAnsi="Verdana"/>
          <w:sz w:val="18"/>
          <w:szCs w:val="18"/>
        </w:rPr>
        <w:t>text to</w:t>
      </w:r>
      <w:r w:rsidR="00B4092D">
        <w:rPr>
          <w:rFonts w:ascii="Verdana" w:hAnsi="Verdana"/>
          <w:sz w:val="18"/>
          <w:szCs w:val="18"/>
        </w:rPr>
        <w:t xml:space="preserve"> that effect</w:t>
      </w:r>
      <w:r>
        <w:rPr>
          <w:rFonts w:ascii="Verdana" w:hAnsi="Verdana"/>
          <w:sz w:val="18"/>
          <w:szCs w:val="18"/>
        </w:rPr>
        <w:t>. The example of</w:t>
      </w:r>
      <w:r w:rsidR="00822D65">
        <w:rPr>
          <w:rFonts w:ascii="Verdana" w:hAnsi="Verdana"/>
          <w:sz w:val="18"/>
          <w:szCs w:val="18"/>
        </w:rPr>
        <w:t xml:space="preserve"> ‘</w:t>
      </w:r>
      <w:r w:rsidR="00822D65" w:rsidRPr="00822D65">
        <w:rPr>
          <w:rFonts w:ascii="Verdana" w:hAnsi="Verdana"/>
          <w:sz w:val="18"/>
          <w:szCs w:val="18"/>
        </w:rPr>
        <w:t xml:space="preserve">the use of force resulting in the </w:t>
      </w:r>
      <w:r w:rsidR="00822D65" w:rsidRPr="00B372F3">
        <w:rPr>
          <w:rFonts w:ascii="Verdana" w:hAnsi="Verdana"/>
          <w:sz w:val="18"/>
          <w:szCs w:val="18"/>
        </w:rPr>
        <w:t xml:space="preserve">death of demonstrators exercising their right of freedom of assembly’ </w:t>
      </w:r>
      <w:r w:rsidR="0008778F">
        <w:rPr>
          <w:rFonts w:ascii="Verdana" w:hAnsi="Verdana"/>
          <w:sz w:val="18"/>
          <w:szCs w:val="18"/>
        </w:rPr>
        <w:t xml:space="preserve">already shows the need for </w:t>
      </w:r>
      <w:r w:rsidR="00B4092D">
        <w:rPr>
          <w:rFonts w:ascii="Verdana" w:hAnsi="Verdana"/>
          <w:sz w:val="18"/>
          <w:szCs w:val="18"/>
        </w:rPr>
        <w:t>more differentiation</w:t>
      </w:r>
      <w:r w:rsidR="0008778F">
        <w:rPr>
          <w:rFonts w:ascii="Verdana" w:hAnsi="Verdana"/>
          <w:sz w:val="18"/>
          <w:szCs w:val="18"/>
        </w:rPr>
        <w:t xml:space="preserve">, since </w:t>
      </w:r>
      <w:r w:rsidR="0008778F" w:rsidRPr="00B372F3">
        <w:rPr>
          <w:rFonts w:ascii="Verdana" w:hAnsi="Verdana"/>
          <w:sz w:val="18"/>
          <w:szCs w:val="18"/>
        </w:rPr>
        <w:t>incidental or accidental loss of life resulting from riot control activities cannot realistically be considered ‘arbitrary’, and is even recognized in article 2, paragraph 2 ECHR.</w:t>
      </w:r>
      <w:r w:rsidR="0008778F">
        <w:rPr>
          <w:rFonts w:ascii="Verdana" w:hAnsi="Verdana"/>
          <w:sz w:val="18"/>
          <w:szCs w:val="18"/>
        </w:rPr>
        <w:t xml:space="preserve"> </w:t>
      </w:r>
      <w:r w:rsidR="00B4092D">
        <w:rPr>
          <w:rFonts w:ascii="Verdana" w:hAnsi="Verdana"/>
          <w:sz w:val="18"/>
          <w:szCs w:val="18"/>
        </w:rPr>
        <w:t>Here i</w:t>
      </w:r>
      <w:r w:rsidR="0008778F">
        <w:rPr>
          <w:rFonts w:ascii="Verdana" w:hAnsi="Verdana"/>
          <w:sz w:val="18"/>
          <w:szCs w:val="18"/>
        </w:rPr>
        <w:t xml:space="preserve">t </w:t>
      </w:r>
      <w:proofErr w:type="gramStart"/>
      <w:r w:rsidR="0008778F">
        <w:rPr>
          <w:rFonts w:ascii="Verdana" w:hAnsi="Verdana"/>
          <w:sz w:val="18"/>
          <w:szCs w:val="18"/>
        </w:rPr>
        <w:t>is suggested</w:t>
      </w:r>
      <w:proofErr w:type="gramEnd"/>
      <w:r w:rsidR="0008778F">
        <w:rPr>
          <w:rFonts w:ascii="Verdana" w:hAnsi="Verdana"/>
          <w:sz w:val="18"/>
          <w:szCs w:val="18"/>
        </w:rPr>
        <w:t xml:space="preserve"> to </w:t>
      </w:r>
      <w:r w:rsidR="00B4092D">
        <w:rPr>
          <w:rFonts w:ascii="Verdana" w:hAnsi="Verdana"/>
          <w:sz w:val="18"/>
          <w:szCs w:val="18"/>
        </w:rPr>
        <w:t xml:space="preserve">refer </w:t>
      </w:r>
      <w:r w:rsidR="00822D65" w:rsidRPr="00B372F3">
        <w:rPr>
          <w:rFonts w:ascii="Verdana" w:hAnsi="Verdana"/>
          <w:sz w:val="18"/>
          <w:szCs w:val="18"/>
        </w:rPr>
        <w:t xml:space="preserve">to </w:t>
      </w:r>
      <w:r w:rsidR="0008778F">
        <w:rPr>
          <w:rFonts w:ascii="Verdana" w:hAnsi="Verdana"/>
          <w:sz w:val="18"/>
          <w:szCs w:val="18"/>
        </w:rPr>
        <w:t>‘</w:t>
      </w:r>
      <w:r w:rsidR="00822D65" w:rsidRPr="00B372F3">
        <w:rPr>
          <w:rFonts w:ascii="Verdana" w:hAnsi="Verdana"/>
          <w:sz w:val="18"/>
          <w:szCs w:val="18"/>
        </w:rPr>
        <w:t xml:space="preserve">the </w:t>
      </w:r>
      <w:r w:rsidR="00822D65" w:rsidRPr="00B372F3">
        <w:rPr>
          <w:rFonts w:ascii="Verdana" w:hAnsi="Verdana"/>
          <w:i/>
          <w:sz w:val="18"/>
          <w:szCs w:val="18"/>
        </w:rPr>
        <w:t>intentional</w:t>
      </w:r>
      <w:r w:rsidR="00822D65" w:rsidRPr="00B372F3">
        <w:rPr>
          <w:rFonts w:ascii="Verdana" w:hAnsi="Verdana"/>
          <w:sz w:val="18"/>
          <w:szCs w:val="18"/>
        </w:rPr>
        <w:t xml:space="preserve"> use of deadly force</w:t>
      </w:r>
      <w:r w:rsidR="0008778F">
        <w:rPr>
          <w:rFonts w:ascii="Verdana" w:hAnsi="Verdana"/>
          <w:sz w:val="18"/>
          <w:szCs w:val="18"/>
        </w:rPr>
        <w:t>’.</w:t>
      </w:r>
      <w:r w:rsidR="00B4092D">
        <w:rPr>
          <w:rFonts w:ascii="Verdana" w:hAnsi="Verdana"/>
          <w:sz w:val="18"/>
          <w:szCs w:val="18"/>
        </w:rPr>
        <w:t xml:space="preserve"> </w:t>
      </w:r>
    </w:p>
    <w:p w:rsidR="00B4092D" w:rsidRDefault="00B4092D" w:rsidP="00E02569">
      <w:pPr>
        <w:rPr>
          <w:rFonts w:ascii="Verdana" w:hAnsi="Verdana"/>
          <w:sz w:val="18"/>
          <w:szCs w:val="18"/>
        </w:rPr>
      </w:pPr>
      <w:r>
        <w:rPr>
          <w:rFonts w:ascii="Verdana" w:hAnsi="Verdana"/>
          <w:sz w:val="18"/>
          <w:szCs w:val="18"/>
        </w:rPr>
        <w:t>1</w:t>
      </w:r>
      <w:r w:rsidR="00E95493">
        <w:rPr>
          <w:rFonts w:ascii="Verdana" w:hAnsi="Verdana"/>
          <w:sz w:val="18"/>
          <w:szCs w:val="18"/>
        </w:rPr>
        <w:t>7</w:t>
      </w:r>
      <w:r>
        <w:rPr>
          <w:rFonts w:ascii="Verdana" w:hAnsi="Verdana"/>
          <w:sz w:val="18"/>
          <w:szCs w:val="18"/>
        </w:rPr>
        <w:t>. As for paragraph 22</w:t>
      </w:r>
      <w:r w:rsidR="00E95493">
        <w:rPr>
          <w:rFonts w:ascii="Verdana" w:hAnsi="Verdana"/>
          <w:sz w:val="18"/>
          <w:szCs w:val="18"/>
        </w:rPr>
        <w:t>,</w:t>
      </w:r>
      <w:r>
        <w:rPr>
          <w:rFonts w:ascii="Verdana" w:hAnsi="Verdana"/>
          <w:sz w:val="18"/>
          <w:szCs w:val="18"/>
        </w:rPr>
        <w:t xml:space="preserve"> the Netherlands wishes to refer to its comment on paragraph 7</w:t>
      </w:r>
      <w:r w:rsidR="00680DB8">
        <w:rPr>
          <w:rFonts w:ascii="Verdana" w:hAnsi="Verdana"/>
          <w:sz w:val="18"/>
          <w:szCs w:val="18"/>
        </w:rPr>
        <w:t xml:space="preserve">.  </w:t>
      </w:r>
    </w:p>
    <w:p w:rsidR="007426E5" w:rsidRDefault="00284DA0" w:rsidP="00E02569">
      <w:pPr>
        <w:rPr>
          <w:rFonts w:ascii="Verdana" w:hAnsi="Verdana"/>
          <w:sz w:val="18"/>
          <w:szCs w:val="18"/>
        </w:rPr>
      </w:pPr>
      <w:r w:rsidRPr="00F55595">
        <w:rPr>
          <w:rFonts w:ascii="Verdana" w:hAnsi="Verdana"/>
          <w:sz w:val="18"/>
          <w:szCs w:val="18"/>
        </w:rPr>
        <w:t xml:space="preserve">18. </w:t>
      </w:r>
      <w:r w:rsidR="00465C64" w:rsidRPr="00F55595">
        <w:rPr>
          <w:rFonts w:ascii="Verdana" w:hAnsi="Verdana"/>
          <w:sz w:val="18"/>
          <w:szCs w:val="18"/>
        </w:rPr>
        <w:t>As for paragraph 26,</w:t>
      </w:r>
      <w:r w:rsidR="00F55595" w:rsidRPr="00F55595">
        <w:rPr>
          <w:rFonts w:ascii="Verdana" w:hAnsi="Verdana"/>
          <w:sz w:val="18"/>
          <w:szCs w:val="18"/>
        </w:rPr>
        <w:t xml:space="preserve"> </w:t>
      </w:r>
      <w:r w:rsidR="00F55595">
        <w:rPr>
          <w:rFonts w:ascii="Verdana" w:hAnsi="Verdana"/>
          <w:sz w:val="18"/>
          <w:szCs w:val="18"/>
        </w:rPr>
        <w:t>t</w:t>
      </w:r>
      <w:r w:rsidR="00F55595" w:rsidRPr="00F55595">
        <w:rPr>
          <w:rFonts w:ascii="Verdana" w:hAnsi="Verdana"/>
          <w:sz w:val="18"/>
          <w:szCs w:val="18"/>
        </w:rPr>
        <w:t>he Netherlands suggests deleting the second sentence</w:t>
      </w:r>
      <w:r w:rsidR="008A5495">
        <w:rPr>
          <w:rFonts w:ascii="Verdana" w:hAnsi="Verdana"/>
          <w:sz w:val="18"/>
          <w:szCs w:val="18"/>
        </w:rPr>
        <w:t xml:space="preserve"> of</w:t>
      </w:r>
      <w:r w:rsidR="00F55595" w:rsidRPr="00F55595">
        <w:rPr>
          <w:rFonts w:ascii="Verdana" w:hAnsi="Verdana"/>
          <w:sz w:val="18"/>
          <w:szCs w:val="18"/>
        </w:rPr>
        <w:t xml:space="preserve"> paragraph 26 of this General</w:t>
      </w:r>
      <w:r w:rsidR="00F55595">
        <w:rPr>
          <w:rFonts w:ascii="Verdana" w:hAnsi="Verdana"/>
          <w:sz w:val="18"/>
          <w:szCs w:val="18"/>
        </w:rPr>
        <w:t xml:space="preserve"> Comment.</w:t>
      </w:r>
      <w:r w:rsidR="00465C64">
        <w:rPr>
          <w:rFonts w:ascii="Verdana" w:hAnsi="Verdana"/>
          <w:sz w:val="18"/>
          <w:szCs w:val="18"/>
        </w:rPr>
        <w:t xml:space="preserve"> </w:t>
      </w:r>
      <w:r w:rsidR="00F55595">
        <w:rPr>
          <w:rFonts w:ascii="Verdana" w:hAnsi="Verdana"/>
          <w:sz w:val="18"/>
          <w:szCs w:val="18"/>
        </w:rPr>
        <w:t>I</w:t>
      </w:r>
      <w:r w:rsidR="00465C64">
        <w:rPr>
          <w:rFonts w:ascii="Verdana" w:hAnsi="Verdana"/>
          <w:sz w:val="18"/>
          <w:szCs w:val="18"/>
        </w:rPr>
        <w:t xml:space="preserve">t is unclear which activities, besides the activities taken by corporate entities, </w:t>
      </w:r>
      <w:proofErr w:type="gramStart"/>
      <w:r w:rsidR="00465C64">
        <w:rPr>
          <w:rFonts w:ascii="Verdana" w:hAnsi="Verdana"/>
          <w:sz w:val="18"/>
          <w:szCs w:val="18"/>
        </w:rPr>
        <w:t>are referred</w:t>
      </w:r>
      <w:proofErr w:type="gramEnd"/>
      <w:r w:rsidR="00465C64">
        <w:rPr>
          <w:rFonts w:ascii="Verdana" w:hAnsi="Verdana"/>
          <w:sz w:val="18"/>
          <w:szCs w:val="18"/>
        </w:rPr>
        <w:t xml:space="preserve"> to in </w:t>
      </w:r>
      <w:r w:rsidR="008A5495">
        <w:rPr>
          <w:rFonts w:ascii="Verdana" w:hAnsi="Verdana"/>
          <w:sz w:val="18"/>
          <w:szCs w:val="18"/>
        </w:rPr>
        <w:t>this sentence</w:t>
      </w:r>
      <w:r w:rsidR="00465C64">
        <w:rPr>
          <w:rFonts w:ascii="Verdana" w:hAnsi="Verdana"/>
          <w:sz w:val="18"/>
          <w:szCs w:val="18"/>
        </w:rPr>
        <w:t xml:space="preserve">. Additionally, the </w:t>
      </w:r>
      <w:r w:rsidR="00CC59E1">
        <w:rPr>
          <w:rFonts w:ascii="Verdana" w:hAnsi="Verdana"/>
          <w:sz w:val="18"/>
          <w:szCs w:val="18"/>
        </w:rPr>
        <w:t>text of paragraph</w:t>
      </w:r>
      <w:r w:rsidR="00465C64">
        <w:rPr>
          <w:rFonts w:ascii="Verdana" w:hAnsi="Verdana"/>
          <w:sz w:val="18"/>
          <w:szCs w:val="18"/>
        </w:rPr>
        <w:t xml:space="preserve"> 26 referring to corporate entities goes beyond the </w:t>
      </w:r>
      <w:r w:rsidR="00CC59E1">
        <w:rPr>
          <w:rFonts w:ascii="Verdana" w:hAnsi="Verdana"/>
          <w:sz w:val="18"/>
          <w:szCs w:val="18"/>
        </w:rPr>
        <w:t>UN Guiding Principl</w:t>
      </w:r>
      <w:r w:rsidR="00465C64">
        <w:rPr>
          <w:rFonts w:ascii="Verdana" w:hAnsi="Verdana"/>
          <w:sz w:val="18"/>
          <w:szCs w:val="18"/>
        </w:rPr>
        <w:t>es on Human Rights and Business</w:t>
      </w:r>
      <w:r w:rsidR="00615F07">
        <w:rPr>
          <w:rFonts w:ascii="Verdana" w:hAnsi="Verdana"/>
          <w:sz w:val="18"/>
          <w:szCs w:val="18"/>
        </w:rPr>
        <w:t>,</w:t>
      </w:r>
      <w:r w:rsidR="00F55595" w:rsidRPr="00F55595">
        <w:t xml:space="preserve"> </w:t>
      </w:r>
      <w:r w:rsidR="00F55595" w:rsidRPr="00F55595">
        <w:rPr>
          <w:rFonts w:ascii="Verdana" w:hAnsi="Verdana"/>
          <w:sz w:val="18"/>
          <w:szCs w:val="18"/>
        </w:rPr>
        <w:t>which does not require States to regulate extraterritorial activities of businesses domiciled in their territory and/or jurisdiction</w:t>
      </w:r>
      <w:r w:rsidR="00465C64">
        <w:rPr>
          <w:rFonts w:ascii="Verdana" w:hAnsi="Verdana"/>
          <w:sz w:val="18"/>
          <w:szCs w:val="18"/>
        </w:rPr>
        <w:t xml:space="preserve">. </w:t>
      </w:r>
    </w:p>
    <w:p w:rsidR="00396F43" w:rsidRDefault="00680DB8" w:rsidP="00E02569">
      <w:pPr>
        <w:rPr>
          <w:rFonts w:ascii="Verdana" w:hAnsi="Verdana"/>
          <w:sz w:val="18"/>
          <w:szCs w:val="18"/>
        </w:rPr>
      </w:pPr>
      <w:r>
        <w:rPr>
          <w:rFonts w:ascii="Verdana" w:hAnsi="Verdana"/>
          <w:sz w:val="18"/>
          <w:szCs w:val="18"/>
        </w:rPr>
        <w:t>1</w:t>
      </w:r>
      <w:r w:rsidR="00284DA0">
        <w:rPr>
          <w:rFonts w:ascii="Verdana" w:hAnsi="Verdana"/>
          <w:sz w:val="18"/>
          <w:szCs w:val="18"/>
        </w:rPr>
        <w:t>9</w:t>
      </w:r>
      <w:r>
        <w:rPr>
          <w:rFonts w:ascii="Verdana" w:hAnsi="Verdana"/>
          <w:sz w:val="18"/>
          <w:szCs w:val="18"/>
        </w:rPr>
        <w:t xml:space="preserve">. </w:t>
      </w:r>
      <w:r w:rsidR="00822D65" w:rsidRPr="00822D65">
        <w:rPr>
          <w:rFonts w:ascii="Verdana" w:hAnsi="Verdana"/>
          <w:sz w:val="18"/>
          <w:szCs w:val="18"/>
        </w:rPr>
        <w:t xml:space="preserve">The current text of paragraph </w:t>
      </w:r>
      <w:r w:rsidR="00822D65">
        <w:rPr>
          <w:rFonts w:ascii="Verdana" w:hAnsi="Verdana"/>
          <w:sz w:val="18"/>
          <w:szCs w:val="18"/>
        </w:rPr>
        <w:t xml:space="preserve">27, and in particular the last sentence, </w:t>
      </w:r>
      <w:r w:rsidR="00822D65" w:rsidRPr="00822D65">
        <w:rPr>
          <w:rFonts w:ascii="Verdana" w:hAnsi="Verdana"/>
          <w:sz w:val="18"/>
          <w:szCs w:val="18"/>
        </w:rPr>
        <w:t>fails to indicate what effect the measures ought to have. Instead, the paragraph only lists measures</w:t>
      </w:r>
      <w:r w:rsidR="00822D65">
        <w:rPr>
          <w:rFonts w:ascii="Verdana" w:hAnsi="Verdana"/>
          <w:sz w:val="18"/>
          <w:szCs w:val="18"/>
        </w:rPr>
        <w:t xml:space="preserve"> to </w:t>
      </w:r>
      <w:proofErr w:type="gramStart"/>
      <w:r w:rsidR="00822D65">
        <w:rPr>
          <w:rFonts w:ascii="Verdana" w:hAnsi="Verdana"/>
          <w:sz w:val="18"/>
          <w:szCs w:val="18"/>
        </w:rPr>
        <w:t>be taken</w:t>
      </w:r>
      <w:proofErr w:type="gramEnd"/>
      <w:r w:rsidR="00822D65">
        <w:rPr>
          <w:rFonts w:ascii="Verdana" w:hAnsi="Verdana"/>
          <w:sz w:val="18"/>
          <w:szCs w:val="18"/>
        </w:rPr>
        <w:t>, which</w:t>
      </w:r>
      <w:r w:rsidR="00822D65" w:rsidRPr="00822D65">
        <w:rPr>
          <w:rFonts w:ascii="Verdana" w:hAnsi="Verdana"/>
          <w:sz w:val="18"/>
          <w:szCs w:val="18"/>
        </w:rPr>
        <w:t xml:space="preserve"> might not be realistic</w:t>
      </w:r>
      <w:r w:rsidR="00822D65">
        <w:rPr>
          <w:rFonts w:ascii="Verdana" w:hAnsi="Verdana"/>
          <w:sz w:val="18"/>
          <w:szCs w:val="18"/>
        </w:rPr>
        <w:t xml:space="preserve"> or appropriate</w:t>
      </w:r>
      <w:r w:rsidR="00822D65" w:rsidRPr="00822D65">
        <w:rPr>
          <w:rFonts w:ascii="Verdana" w:hAnsi="Verdana"/>
          <w:sz w:val="18"/>
          <w:szCs w:val="18"/>
        </w:rPr>
        <w:t xml:space="preserve"> in every situation. </w:t>
      </w:r>
      <w:r w:rsidR="00C96363">
        <w:rPr>
          <w:rFonts w:ascii="Verdana" w:hAnsi="Verdana"/>
          <w:sz w:val="18"/>
          <w:szCs w:val="18"/>
        </w:rPr>
        <w:t>The Netherlands</w:t>
      </w:r>
      <w:r w:rsidR="00822D65" w:rsidRPr="00822D65">
        <w:rPr>
          <w:rFonts w:ascii="Verdana" w:hAnsi="Verdana"/>
          <w:sz w:val="18"/>
          <w:szCs w:val="18"/>
        </w:rPr>
        <w:t xml:space="preserve"> therefore suggests describing the effect that the adopted measures should have, while leaving the choice of means at the discretion of the States in question and based on the specific circumstances of the individual cases.</w:t>
      </w:r>
    </w:p>
    <w:p w:rsidR="00822D65" w:rsidRDefault="00284DA0" w:rsidP="00E02569">
      <w:pPr>
        <w:rPr>
          <w:rFonts w:ascii="Verdana" w:hAnsi="Verdana"/>
          <w:sz w:val="18"/>
          <w:szCs w:val="18"/>
        </w:rPr>
      </w:pPr>
      <w:r>
        <w:rPr>
          <w:rFonts w:ascii="Verdana" w:hAnsi="Verdana"/>
          <w:sz w:val="18"/>
          <w:szCs w:val="18"/>
        </w:rPr>
        <w:t>20</w:t>
      </w:r>
      <w:r w:rsidR="00C96363">
        <w:rPr>
          <w:rFonts w:ascii="Verdana" w:hAnsi="Verdana"/>
          <w:sz w:val="18"/>
          <w:szCs w:val="18"/>
        </w:rPr>
        <w:t xml:space="preserve">. </w:t>
      </w:r>
      <w:proofErr w:type="gramStart"/>
      <w:r w:rsidR="00C96363">
        <w:rPr>
          <w:rFonts w:ascii="Verdana" w:hAnsi="Verdana"/>
          <w:sz w:val="18"/>
          <w:szCs w:val="18"/>
        </w:rPr>
        <w:t>In</w:t>
      </w:r>
      <w:proofErr w:type="gramEnd"/>
      <w:r w:rsidR="00C96363">
        <w:rPr>
          <w:rFonts w:ascii="Verdana" w:hAnsi="Verdana"/>
          <w:sz w:val="18"/>
          <w:szCs w:val="18"/>
        </w:rPr>
        <w:t xml:space="preserve"> paragraph 28, </w:t>
      </w:r>
      <w:r w:rsidR="00822D65">
        <w:rPr>
          <w:rFonts w:ascii="Verdana" w:hAnsi="Verdana"/>
          <w:sz w:val="18"/>
          <w:szCs w:val="18"/>
        </w:rPr>
        <w:t xml:space="preserve">the phrase ‘ensuring access of persons with disabilities to essential </w:t>
      </w:r>
      <w:r w:rsidR="00822D65" w:rsidRPr="0033576D">
        <w:rPr>
          <w:rFonts w:ascii="Verdana" w:hAnsi="Verdana"/>
          <w:sz w:val="18"/>
          <w:szCs w:val="18"/>
        </w:rPr>
        <w:t xml:space="preserve">goods and services´ is </w:t>
      </w:r>
      <w:r w:rsidR="007B1C04">
        <w:rPr>
          <w:rFonts w:ascii="Verdana" w:hAnsi="Verdana"/>
          <w:sz w:val="18"/>
          <w:szCs w:val="18"/>
        </w:rPr>
        <w:t>formulated</w:t>
      </w:r>
      <w:r w:rsidR="007B1C04" w:rsidRPr="0033576D">
        <w:rPr>
          <w:rFonts w:ascii="Verdana" w:hAnsi="Verdana"/>
          <w:sz w:val="18"/>
          <w:szCs w:val="18"/>
        </w:rPr>
        <w:t xml:space="preserve"> </w:t>
      </w:r>
      <w:r w:rsidR="00822D65" w:rsidRPr="0033576D">
        <w:rPr>
          <w:rFonts w:ascii="Verdana" w:hAnsi="Verdana"/>
          <w:sz w:val="18"/>
          <w:szCs w:val="18"/>
        </w:rPr>
        <w:t>too broad</w:t>
      </w:r>
      <w:r w:rsidR="00C96363">
        <w:rPr>
          <w:rFonts w:ascii="Verdana" w:hAnsi="Verdana"/>
          <w:sz w:val="18"/>
          <w:szCs w:val="18"/>
        </w:rPr>
        <w:t>ly. The Netherlands</w:t>
      </w:r>
      <w:r w:rsidR="00822D65" w:rsidRPr="0033576D">
        <w:rPr>
          <w:rFonts w:ascii="Verdana" w:hAnsi="Verdana"/>
          <w:sz w:val="18"/>
          <w:szCs w:val="18"/>
        </w:rPr>
        <w:t xml:space="preserve"> would like to see it limited to</w:t>
      </w:r>
      <w:r w:rsidR="000E2DD3">
        <w:rPr>
          <w:rFonts w:ascii="Verdana" w:hAnsi="Verdana"/>
          <w:sz w:val="18"/>
          <w:szCs w:val="18"/>
        </w:rPr>
        <w:t xml:space="preserve"> ‘essential</w:t>
      </w:r>
      <w:r w:rsidR="00822D65" w:rsidRPr="0033576D">
        <w:rPr>
          <w:rFonts w:ascii="Verdana" w:hAnsi="Verdana"/>
          <w:sz w:val="18"/>
          <w:szCs w:val="18"/>
        </w:rPr>
        <w:t xml:space="preserve"> </w:t>
      </w:r>
      <w:r w:rsidR="00822D65" w:rsidRPr="001F6960">
        <w:rPr>
          <w:rFonts w:ascii="Verdana" w:hAnsi="Verdana"/>
          <w:i/>
          <w:sz w:val="18"/>
          <w:szCs w:val="18"/>
        </w:rPr>
        <w:t>facilities</w:t>
      </w:r>
      <w:r w:rsidR="000E2DD3">
        <w:rPr>
          <w:rFonts w:ascii="Verdana" w:hAnsi="Verdana"/>
          <w:i/>
          <w:sz w:val="18"/>
          <w:szCs w:val="18"/>
        </w:rPr>
        <w:t xml:space="preserve"> </w:t>
      </w:r>
      <w:r w:rsidR="000E2DD3" w:rsidRPr="000E2DD3">
        <w:rPr>
          <w:rFonts w:ascii="Verdana" w:hAnsi="Verdana"/>
          <w:sz w:val="18"/>
          <w:szCs w:val="18"/>
        </w:rPr>
        <w:t>and services</w:t>
      </w:r>
      <w:r w:rsidR="000E2DD3">
        <w:rPr>
          <w:rFonts w:ascii="Verdana" w:hAnsi="Verdana"/>
          <w:sz w:val="18"/>
          <w:szCs w:val="18"/>
        </w:rPr>
        <w:t>’, which is</w:t>
      </w:r>
      <w:r w:rsidR="00822D65" w:rsidRPr="0033576D">
        <w:rPr>
          <w:rFonts w:ascii="Verdana" w:hAnsi="Verdana"/>
          <w:sz w:val="18"/>
          <w:szCs w:val="18"/>
        </w:rPr>
        <w:t xml:space="preserve"> line with article 9 of the CRPD. </w:t>
      </w:r>
      <w:r w:rsidR="00822D65" w:rsidRPr="00822D65">
        <w:rPr>
          <w:rFonts w:ascii="Verdana" w:hAnsi="Verdana"/>
          <w:sz w:val="18"/>
          <w:szCs w:val="18"/>
        </w:rPr>
        <w:t xml:space="preserve"> </w:t>
      </w:r>
    </w:p>
    <w:p w:rsidR="003F6668" w:rsidRDefault="00284DA0" w:rsidP="00E02569">
      <w:pPr>
        <w:rPr>
          <w:rFonts w:ascii="Verdana" w:hAnsi="Verdana"/>
          <w:sz w:val="18"/>
          <w:szCs w:val="18"/>
        </w:rPr>
      </w:pPr>
      <w:r>
        <w:rPr>
          <w:rFonts w:ascii="Verdana" w:hAnsi="Verdana"/>
          <w:sz w:val="18"/>
          <w:szCs w:val="18"/>
        </w:rPr>
        <w:t>21</w:t>
      </w:r>
      <w:r w:rsidR="00E95493">
        <w:rPr>
          <w:rFonts w:ascii="Verdana" w:hAnsi="Verdana"/>
          <w:sz w:val="18"/>
          <w:szCs w:val="18"/>
        </w:rPr>
        <w:t>.</w:t>
      </w:r>
      <w:r w:rsidR="00C96363">
        <w:rPr>
          <w:rFonts w:ascii="Verdana" w:hAnsi="Verdana"/>
          <w:sz w:val="18"/>
          <w:szCs w:val="18"/>
        </w:rPr>
        <w:t xml:space="preserve"> In paragraph 30, f</w:t>
      </w:r>
      <w:r w:rsidR="00E6222F">
        <w:rPr>
          <w:rFonts w:ascii="Verdana" w:hAnsi="Verdana"/>
          <w:sz w:val="18"/>
          <w:szCs w:val="18"/>
        </w:rPr>
        <w:t>oot</w:t>
      </w:r>
      <w:r w:rsidR="00E6222F" w:rsidRPr="00E6222F">
        <w:rPr>
          <w:rFonts w:ascii="Verdana" w:hAnsi="Verdana"/>
          <w:sz w:val="18"/>
          <w:szCs w:val="18"/>
        </w:rPr>
        <w:t>note</w:t>
      </w:r>
      <w:r w:rsidR="00E6222F">
        <w:rPr>
          <w:rFonts w:ascii="Verdana" w:hAnsi="Verdana"/>
          <w:sz w:val="18"/>
          <w:szCs w:val="18"/>
        </w:rPr>
        <w:t xml:space="preserve"> 97 refers to </w:t>
      </w:r>
      <w:r w:rsidR="00E6222F" w:rsidRPr="00E6222F">
        <w:rPr>
          <w:rFonts w:ascii="Verdana" w:hAnsi="Verdana"/>
          <w:sz w:val="18"/>
          <w:szCs w:val="18"/>
        </w:rPr>
        <w:t>a case of severe pollution in Nigeria</w:t>
      </w:r>
      <w:r w:rsidR="00E6222F">
        <w:rPr>
          <w:rFonts w:ascii="Verdana" w:hAnsi="Verdana"/>
          <w:sz w:val="18"/>
          <w:szCs w:val="18"/>
        </w:rPr>
        <w:t xml:space="preserve">, and simultaneously to </w:t>
      </w:r>
      <w:r w:rsidR="00C96363">
        <w:rPr>
          <w:rFonts w:ascii="Verdana" w:hAnsi="Verdana"/>
          <w:sz w:val="18"/>
          <w:szCs w:val="18"/>
        </w:rPr>
        <w:t>p</w:t>
      </w:r>
      <w:r w:rsidR="00E6222F" w:rsidRPr="00E6222F">
        <w:rPr>
          <w:rFonts w:ascii="Verdana" w:hAnsi="Verdana"/>
          <w:sz w:val="18"/>
          <w:szCs w:val="18"/>
        </w:rPr>
        <w:t xml:space="preserve">aragraph 65 </w:t>
      </w:r>
      <w:r w:rsidR="003F6668">
        <w:rPr>
          <w:rFonts w:ascii="Verdana" w:hAnsi="Verdana"/>
          <w:sz w:val="18"/>
          <w:szCs w:val="18"/>
        </w:rPr>
        <w:t>of the present draft text</w:t>
      </w:r>
      <w:r w:rsidR="00E6222F">
        <w:rPr>
          <w:rFonts w:ascii="Verdana" w:hAnsi="Verdana"/>
          <w:sz w:val="18"/>
          <w:szCs w:val="18"/>
        </w:rPr>
        <w:t>. However, paragraph 65</w:t>
      </w:r>
      <w:r w:rsidR="00E6222F" w:rsidRPr="00E6222F">
        <w:rPr>
          <w:rFonts w:ascii="Verdana" w:hAnsi="Verdana"/>
          <w:sz w:val="18"/>
          <w:szCs w:val="18"/>
        </w:rPr>
        <w:t xml:space="preserve"> has a much wider scope than such life threatening pollution of the environment, </w:t>
      </w:r>
      <w:r w:rsidR="001E70D0">
        <w:rPr>
          <w:rFonts w:ascii="Verdana" w:hAnsi="Verdana"/>
          <w:sz w:val="18"/>
          <w:szCs w:val="18"/>
        </w:rPr>
        <w:t>as it includes</w:t>
      </w:r>
      <w:r w:rsidR="00E6222F" w:rsidRPr="00E6222F">
        <w:rPr>
          <w:rFonts w:ascii="Verdana" w:hAnsi="Verdana"/>
          <w:sz w:val="18"/>
          <w:szCs w:val="18"/>
        </w:rPr>
        <w:t xml:space="preserve"> environmental degradation, climate change and non-sustainable development.</w:t>
      </w:r>
      <w:r w:rsidR="001E70D0">
        <w:rPr>
          <w:rFonts w:ascii="Verdana" w:hAnsi="Verdana"/>
          <w:sz w:val="18"/>
          <w:szCs w:val="18"/>
        </w:rPr>
        <w:t xml:space="preserve"> </w:t>
      </w:r>
    </w:p>
    <w:p w:rsidR="003F6668" w:rsidRDefault="003F6668" w:rsidP="00E02569">
      <w:pPr>
        <w:rPr>
          <w:rFonts w:ascii="Verdana" w:hAnsi="Verdana"/>
          <w:sz w:val="18"/>
          <w:szCs w:val="18"/>
        </w:rPr>
      </w:pPr>
      <w:r>
        <w:rPr>
          <w:rFonts w:ascii="Verdana" w:hAnsi="Verdana"/>
          <w:sz w:val="18"/>
          <w:szCs w:val="18"/>
        </w:rPr>
        <w:t>I</w:t>
      </w:r>
      <w:r w:rsidR="0033576D">
        <w:rPr>
          <w:rFonts w:ascii="Verdana" w:hAnsi="Verdana"/>
          <w:sz w:val="18"/>
          <w:szCs w:val="18"/>
        </w:rPr>
        <w:t xml:space="preserve">t is </w:t>
      </w:r>
      <w:r>
        <w:rPr>
          <w:rFonts w:ascii="Verdana" w:hAnsi="Verdana"/>
          <w:sz w:val="18"/>
          <w:szCs w:val="18"/>
        </w:rPr>
        <w:t xml:space="preserve">also </w:t>
      </w:r>
      <w:r w:rsidR="0033576D">
        <w:rPr>
          <w:rFonts w:ascii="Verdana" w:hAnsi="Verdana"/>
          <w:sz w:val="18"/>
          <w:szCs w:val="18"/>
        </w:rPr>
        <w:t xml:space="preserve">unclear what the phrase ‘may eventually give rise to’, and </w:t>
      </w:r>
      <w:r>
        <w:rPr>
          <w:rFonts w:ascii="Verdana" w:hAnsi="Verdana"/>
          <w:sz w:val="18"/>
          <w:szCs w:val="18"/>
        </w:rPr>
        <w:t xml:space="preserve">subsequently </w:t>
      </w:r>
      <w:r w:rsidR="0033576D">
        <w:rPr>
          <w:rFonts w:ascii="Verdana" w:hAnsi="Verdana"/>
          <w:sz w:val="18"/>
          <w:szCs w:val="18"/>
        </w:rPr>
        <w:t xml:space="preserve">paragraph 30 as a whole, </w:t>
      </w:r>
      <w:r>
        <w:rPr>
          <w:rFonts w:ascii="Verdana" w:hAnsi="Verdana"/>
          <w:sz w:val="18"/>
          <w:szCs w:val="18"/>
        </w:rPr>
        <w:t>encompass</w:t>
      </w:r>
      <w:r w:rsidR="007B1C04" w:rsidRPr="007B1C04">
        <w:rPr>
          <w:rFonts w:ascii="Verdana" w:hAnsi="Verdana"/>
          <w:sz w:val="18"/>
          <w:szCs w:val="18"/>
        </w:rPr>
        <w:t xml:space="preserve"> </w:t>
      </w:r>
      <w:r w:rsidR="007B1C04">
        <w:rPr>
          <w:rFonts w:ascii="Verdana" w:hAnsi="Verdana"/>
          <w:sz w:val="18"/>
          <w:szCs w:val="18"/>
        </w:rPr>
        <w:t>precisely</w:t>
      </w:r>
      <w:r w:rsidR="0033576D">
        <w:rPr>
          <w:rFonts w:ascii="Verdana" w:hAnsi="Verdana"/>
          <w:sz w:val="18"/>
          <w:szCs w:val="18"/>
        </w:rPr>
        <w:t xml:space="preserve">. </w:t>
      </w:r>
      <w:r w:rsidR="001F6960">
        <w:rPr>
          <w:rFonts w:ascii="Verdana" w:hAnsi="Verdana"/>
          <w:sz w:val="18"/>
          <w:szCs w:val="18"/>
        </w:rPr>
        <w:t xml:space="preserve">This paragraph refers </w:t>
      </w:r>
      <w:r w:rsidR="0033576D">
        <w:rPr>
          <w:rFonts w:ascii="Verdana" w:hAnsi="Verdana"/>
          <w:sz w:val="18"/>
          <w:szCs w:val="18"/>
        </w:rPr>
        <w:t>to</w:t>
      </w:r>
      <w:r w:rsidR="001F6960">
        <w:rPr>
          <w:rFonts w:ascii="Verdana" w:hAnsi="Verdana"/>
          <w:sz w:val="18"/>
          <w:szCs w:val="18"/>
        </w:rPr>
        <w:t xml:space="preserve"> both</w:t>
      </w:r>
      <w:r w:rsidR="0033576D">
        <w:rPr>
          <w:rFonts w:ascii="Verdana" w:hAnsi="Verdana"/>
          <w:sz w:val="18"/>
          <w:szCs w:val="18"/>
        </w:rPr>
        <w:t xml:space="preserve"> short-term </w:t>
      </w:r>
      <w:r w:rsidR="001F6960">
        <w:rPr>
          <w:rFonts w:ascii="Verdana" w:hAnsi="Verdana"/>
          <w:sz w:val="18"/>
          <w:szCs w:val="18"/>
        </w:rPr>
        <w:t xml:space="preserve">and </w:t>
      </w:r>
      <w:r w:rsidR="0033576D">
        <w:rPr>
          <w:rFonts w:ascii="Verdana" w:hAnsi="Verdana"/>
          <w:sz w:val="18"/>
          <w:szCs w:val="18"/>
        </w:rPr>
        <w:t>long-term me</w:t>
      </w:r>
      <w:r w:rsidR="00EF4DD3">
        <w:rPr>
          <w:rFonts w:ascii="Verdana" w:hAnsi="Verdana"/>
          <w:sz w:val="18"/>
          <w:szCs w:val="18"/>
        </w:rPr>
        <w:t>asures. It should be clarified when a measure</w:t>
      </w:r>
      <w:r w:rsidR="0033576D">
        <w:rPr>
          <w:rFonts w:ascii="Verdana" w:hAnsi="Verdana"/>
          <w:sz w:val="18"/>
          <w:szCs w:val="18"/>
        </w:rPr>
        <w:t xml:space="preserve"> is </w:t>
      </w:r>
      <w:r w:rsidR="00443BE2">
        <w:rPr>
          <w:rFonts w:ascii="Verdana" w:hAnsi="Verdana"/>
          <w:sz w:val="18"/>
          <w:szCs w:val="18"/>
        </w:rPr>
        <w:t xml:space="preserve">considered </w:t>
      </w:r>
      <w:r w:rsidR="0033576D">
        <w:rPr>
          <w:rFonts w:ascii="Verdana" w:hAnsi="Verdana"/>
          <w:sz w:val="18"/>
          <w:szCs w:val="18"/>
        </w:rPr>
        <w:t>short</w:t>
      </w:r>
      <w:r w:rsidR="00EF4DD3">
        <w:rPr>
          <w:rFonts w:ascii="Verdana" w:hAnsi="Verdana"/>
          <w:sz w:val="18"/>
          <w:szCs w:val="18"/>
        </w:rPr>
        <w:t xml:space="preserve">-term and when it is long-term. </w:t>
      </w:r>
    </w:p>
    <w:p w:rsidR="003F6668" w:rsidRDefault="0033576D" w:rsidP="00E02569">
      <w:pPr>
        <w:rPr>
          <w:rFonts w:ascii="Verdana" w:hAnsi="Verdana"/>
          <w:sz w:val="18"/>
          <w:szCs w:val="18"/>
        </w:rPr>
      </w:pPr>
      <w:r>
        <w:rPr>
          <w:rFonts w:ascii="Verdana" w:hAnsi="Verdana"/>
          <w:sz w:val="18"/>
          <w:szCs w:val="18"/>
        </w:rPr>
        <w:t>In addition, the reference to ‘massive cyber attacks’ needs further elucidation and substantiation, e</w:t>
      </w:r>
      <w:r w:rsidRPr="0033576D">
        <w:rPr>
          <w:rFonts w:ascii="Verdana" w:hAnsi="Verdana"/>
          <w:sz w:val="18"/>
          <w:szCs w:val="18"/>
        </w:rPr>
        <w:t xml:space="preserve">.g. by defining this term and relating it to physical effects caused by such attacks or </w:t>
      </w:r>
      <w:r w:rsidR="0056729C">
        <w:rPr>
          <w:rFonts w:ascii="Verdana" w:hAnsi="Verdana"/>
          <w:sz w:val="18"/>
          <w:szCs w:val="18"/>
        </w:rPr>
        <w:t xml:space="preserve">by clarifying </w:t>
      </w:r>
      <w:r w:rsidRPr="0033576D">
        <w:rPr>
          <w:rFonts w:ascii="Verdana" w:hAnsi="Verdana"/>
          <w:sz w:val="18"/>
          <w:szCs w:val="18"/>
        </w:rPr>
        <w:t xml:space="preserve">which elements of the (vital) infrastructure of a State must be </w:t>
      </w:r>
      <w:r w:rsidR="007B1C04">
        <w:rPr>
          <w:rFonts w:ascii="Verdana" w:hAnsi="Verdana"/>
          <w:sz w:val="18"/>
          <w:szCs w:val="18"/>
        </w:rPr>
        <w:t>affected</w:t>
      </w:r>
      <w:r w:rsidRPr="0033576D">
        <w:rPr>
          <w:rFonts w:ascii="Verdana" w:hAnsi="Verdana"/>
          <w:sz w:val="18"/>
          <w:szCs w:val="18"/>
        </w:rPr>
        <w:t xml:space="preserve"> for this to be relevant for the right to life.</w:t>
      </w:r>
      <w:r>
        <w:rPr>
          <w:rFonts w:ascii="Verdana" w:hAnsi="Verdana"/>
          <w:sz w:val="18"/>
          <w:szCs w:val="18"/>
        </w:rPr>
        <w:t xml:space="preserve"> </w:t>
      </w:r>
    </w:p>
    <w:p w:rsidR="000301A7" w:rsidRDefault="001E48EB" w:rsidP="00E02569">
      <w:pPr>
        <w:rPr>
          <w:rFonts w:ascii="Verdana" w:hAnsi="Verdana"/>
          <w:sz w:val="18"/>
          <w:szCs w:val="18"/>
        </w:rPr>
      </w:pPr>
      <w:r>
        <w:rPr>
          <w:rFonts w:ascii="Verdana" w:hAnsi="Verdana"/>
          <w:sz w:val="18"/>
          <w:szCs w:val="18"/>
        </w:rPr>
        <w:lastRenderedPageBreak/>
        <w:t>A</w:t>
      </w:r>
      <w:r w:rsidR="003F6668">
        <w:rPr>
          <w:rFonts w:ascii="Verdana" w:hAnsi="Verdana"/>
          <w:sz w:val="18"/>
          <w:szCs w:val="18"/>
        </w:rPr>
        <w:t xml:space="preserve">s regards paragraph 30, the Netherlands </w:t>
      </w:r>
      <w:r>
        <w:rPr>
          <w:rFonts w:ascii="Verdana" w:hAnsi="Verdana"/>
          <w:sz w:val="18"/>
          <w:szCs w:val="18"/>
        </w:rPr>
        <w:t xml:space="preserve">also </w:t>
      </w:r>
      <w:r w:rsidR="0033576D">
        <w:rPr>
          <w:rFonts w:ascii="Verdana" w:hAnsi="Verdana"/>
          <w:sz w:val="18"/>
          <w:szCs w:val="18"/>
        </w:rPr>
        <w:t>prefer</w:t>
      </w:r>
      <w:r w:rsidR="003F6668">
        <w:rPr>
          <w:rFonts w:ascii="Verdana" w:hAnsi="Verdana"/>
          <w:sz w:val="18"/>
          <w:szCs w:val="18"/>
        </w:rPr>
        <w:t>s</w:t>
      </w:r>
      <w:r w:rsidR="0033576D" w:rsidRPr="0033576D">
        <w:rPr>
          <w:rFonts w:ascii="Verdana" w:hAnsi="Verdana"/>
          <w:sz w:val="18"/>
          <w:szCs w:val="18"/>
        </w:rPr>
        <w:t xml:space="preserve"> deleting the</w:t>
      </w:r>
      <w:r w:rsidR="0033576D">
        <w:rPr>
          <w:rFonts w:ascii="Verdana" w:hAnsi="Verdana"/>
          <w:sz w:val="18"/>
          <w:szCs w:val="18"/>
        </w:rPr>
        <w:t xml:space="preserve"> suggested</w:t>
      </w:r>
      <w:r w:rsidR="0033576D" w:rsidRPr="0033576D">
        <w:rPr>
          <w:rFonts w:ascii="Verdana" w:hAnsi="Verdana"/>
          <w:sz w:val="18"/>
          <w:szCs w:val="18"/>
        </w:rPr>
        <w:t xml:space="preserve"> reference to progressive realization, as this fits more within the sphere of economic and social rights.</w:t>
      </w:r>
      <w:r w:rsidR="0033576D">
        <w:rPr>
          <w:rFonts w:ascii="Verdana" w:hAnsi="Verdana"/>
          <w:sz w:val="18"/>
          <w:szCs w:val="18"/>
        </w:rPr>
        <w:t xml:space="preserve"> It seems </w:t>
      </w:r>
      <w:r w:rsidR="007B1C04">
        <w:rPr>
          <w:rFonts w:ascii="Verdana" w:hAnsi="Verdana"/>
          <w:sz w:val="18"/>
          <w:szCs w:val="18"/>
        </w:rPr>
        <w:t xml:space="preserve">more </w:t>
      </w:r>
      <w:r w:rsidR="0033576D">
        <w:rPr>
          <w:rFonts w:ascii="Verdana" w:hAnsi="Verdana"/>
          <w:sz w:val="18"/>
          <w:szCs w:val="18"/>
        </w:rPr>
        <w:t>logical to approach the right to life from the perspective of positive obligations of States in this re</w:t>
      </w:r>
      <w:r w:rsidR="003F6668">
        <w:rPr>
          <w:rFonts w:ascii="Verdana" w:hAnsi="Verdana"/>
          <w:sz w:val="18"/>
          <w:szCs w:val="18"/>
        </w:rPr>
        <w:t>spect</w:t>
      </w:r>
      <w:r w:rsidR="0033576D">
        <w:rPr>
          <w:rFonts w:ascii="Verdana" w:hAnsi="Verdana"/>
          <w:sz w:val="18"/>
          <w:szCs w:val="18"/>
        </w:rPr>
        <w:t xml:space="preserve">. </w:t>
      </w:r>
      <w:r w:rsidR="0033576D" w:rsidRPr="0033576D">
        <w:rPr>
          <w:rFonts w:ascii="Verdana" w:hAnsi="Verdana"/>
          <w:sz w:val="18"/>
          <w:szCs w:val="18"/>
        </w:rPr>
        <w:t xml:space="preserve"> </w:t>
      </w:r>
    </w:p>
    <w:p w:rsidR="0033576D" w:rsidRDefault="003F6668" w:rsidP="00E02569">
      <w:pPr>
        <w:rPr>
          <w:rFonts w:ascii="Verdana" w:hAnsi="Verdana"/>
          <w:sz w:val="18"/>
          <w:szCs w:val="18"/>
        </w:rPr>
      </w:pPr>
      <w:r>
        <w:rPr>
          <w:rFonts w:ascii="Verdana" w:hAnsi="Verdana"/>
          <w:sz w:val="18"/>
          <w:szCs w:val="18"/>
        </w:rPr>
        <w:t>2</w:t>
      </w:r>
      <w:r w:rsidR="00284DA0">
        <w:rPr>
          <w:rFonts w:ascii="Verdana" w:hAnsi="Verdana"/>
          <w:sz w:val="18"/>
          <w:szCs w:val="18"/>
        </w:rPr>
        <w:t>2.</w:t>
      </w:r>
      <w:r>
        <w:rPr>
          <w:rFonts w:ascii="Verdana" w:hAnsi="Verdana"/>
          <w:sz w:val="18"/>
          <w:szCs w:val="18"/>
        </w:rPr>
        <w:t xml:space="preserve"> </w:t>
      </w:r>
      <w:r w:rsidR="009E22B8">
        <w:rPr>
          <w:rFonts w:ascii="Verdana" w:hAnsi="Verdana"/>
          <w:sz w:val="18"/>
          <w:szCs w:val="18"/>
        </w:rPr>
        <w:t xml:space="preserve">In paragraph 32, </w:t>
      </w:r>
      <w:r>
        <w:rPr>
          <w:rFonts w:ascii="Verdana" w:hAnsi="Verdana"/>
          <w:sz w:val="18"/>
          <w:szCs w:val="18"/>
        </w:rPr>
        <w:t>the Netherlands</w:t>
      </w:r>
      <w:r w:rsidR="009E22B8">
        <w:rPr>
          <w:rFonts w:ascii="Verdana" w:hAnsi="Verdana"/>
          <w:sz w:val="18"/>
          <w:szCs w:val="18"/>
        </w:rPr>
        <w:t xml:space="preserve"> suggest</w:t>
      </w:r>
      <w:r>
        <w:rPr>
          <w:rFonts w:ascii="Verdana" w:hAnsi="Verdana"/>
          <w:sz w:val="18"/>
          <w:szCs w:val="18"/>
        </w:rPr>
        <w:t>s</w:t>
      </w:r>
      <w:r w:rsidR="009E22B8">
        <w:rPr>
          <w:rFonts w:ascii="Verdana" w:hAnsi="Verdana"/>
          <w:sz w:val="18"/>
          <w:szCs w:val="18"/>
        </w:rPr>
        <w:t xml:space="preserve"> </w:t>
      </w:r>
      <w:r>
        <w:rPr>
          <w:rFonts w:ascii="Verdana" w:hAnsi="Verdana"/>
          <w:sz w:val="18"/>
          <w:szCs w:val="18"/>
        </w:rPr>
        <w:t xml:space="preserve">to </w:t>
      </w:r>
      <w:r w:rsidR="009E22B8">
        <w:rPr>
          <w:rFonts w:ascii="Verdana" w:hAnsi="Verdana"/>
          <w:sz w:val="18"/>
          <w:szCs w:val="18"/>
        </w:rPr>
        <w:t xml:space="preserve">reconsider the </w:t>
      </w:r>
      <w:r w:rsidR="0033576D">
        <w:rPr>
          <w:rFonts w:ascii="Verdana" w:hAnsi="Verdana"/>
          <w:sz w:val="18"/>
          <w:szCs w:val="18"/>
        </w:rPr>
        <w:t xml:space="preserve">reference to ‘rigorous’, </w:t>
      </w:r>
      <w:r>
        <w:rPr>
          <w:rFonts w:ascii="Verdana" w:hAnsi="Verdana"/>
          <w:sz w:val="18"/>
          <w:szCs w:val="18"/>
        </w:rPr>
        <w:t>since it</w:t>
      </w:r>
      <w:r w:rsidR="009E22B8">
        <w:rPr>
          <w:rFonts w:ascii="Verdana" w:hAnsi="Verdana"/>
          <w:sz w:val="18"/>
          <w:szCs w:val="18"/>
        </w:rPr>
        <w:t xml:space="preserve"> </w:t>
      </w:r>
      <w:r w:rsidR="0033576D">
        <w:rPr>
          <w:rFonts w:ascii="Verdana" w:hAnsi="Verdana"/>
          <w:sz w:val="18"/>
          <w:szCs w:val="18"/>
        </w:rPr>
        <w:t>seems that there should be a focus on the necessity that autopsy must be effective in terms</w:t>
      </w:r>
      <w:r w:rsidR="009E22B8">
        <w:rPr>
          <w:rFonts w:ascii="Verdana" w:hAnsi="Verdana"/>
          <w:sz w:val="18"/>
          <w:szCs w:val="18"/>
        </w:rPr>
        <w:t xml:space="preserve"> of providing evidence or proof</w:t>
      </w:r>
      <w:r w:rsidR="0033576D">
        <w:rPr>
          <w:rFonts w:ascii="Verdana" w:hAnsi="Verdana"/>
          <w:sz w:val="18"/>
          <w:szCs w:val="18"/>
        </w:rPr>
        <w:t>.</w:t>
      </w:r>
    </w:p>
    <w:p w:rsidR="0033576D" w:rsidRDefault="00284DA0" w:rsidP="00E02569">
      <w:pPr>
        <w:rPr>
          <w:rFonts w:ascii="Verdana" w:hAnsi="Verdana"/>
          <w:sz w:val="18"/>
          <w:szCs w:val="18"/>
        </w:rPr>
      </w:pPr>
      <w:r>
        <w:rPr>
          <w:rFonts w:ascii="Verdana" w:hAnsi="Verdana"/>
          <w:sz w:val="18"/>
          <w:szCs w:val="18"/>
        </w:rPr>
        <w:t>23</w:t>
      </w:r>
      <w:r w:rsidR="003F6668">
        <w:rPr>
          <w:rFonts w:ascii="Verdana" w:hAnsi="Verdana"/>
          <w:sz w:val="18"/>
          <w:szCs w:val="18"/>
        </w:rPr>
        <w:t>. In paragraph 33</w:t>
      </w:r>
      <w:r w:rsidR="00553AA7">
        <w:rPr>
          <w:rFonts w:ascii="Verdana" w:hAnsi="Verdana"/>
          <w:sz w:val="18"/>
          <w:szCs w:val="18"/>
        </w:rPr>
        <w:t>,</w:t>
      </w:r>
      <w:r w:rsidR="003F6668">
        <w:rPr>
          <w:rFonts w:ascii="Verdana" w:hAnsi="Verdana"/>
          <w:sz w:val="18"/>
          <w:szCs w:val="18"/>
        </w:rPr>
        <w:t xml:space="preserve"> it </w:t>
      </w:r>
      <w:proofErr w:type="gramStart"/>
      <w:r w:rsidR="003F6668">
        <w:rPr>
          <w:rFonts w:ascii="Verdana" w:hAnsi="Verdana"/>
          <w:sz w:val="18"/>
          <w:szCs w:val="18"/>
        </w:rPr>
        <w:t xml:space="preserve">is </w:t>
      </w:r>
      <w:r w:rsidR="0033576D">
        <w:rPr>
          <w:rFonts w:ascii="Verdana" w:hAnsi="Verdana"/>
          <w:sz w:val="18"/>
          <w:szCs w:val="18"/>
        </w:rPr>
        <w:t>suggest</w:t>
      </w:r>
      <w:r w:rsidR="003F6668">
        <w:rPr>
          <w:rFonts w:ascii="Verdana" w:hAnsi="Verdana"/>
          <w:sz w:val="18"/>
          <w:szCs w:val="18"/>
        </w:rPr>
        <w:t>ed</w:t>
      </w:r>
      <w:proofErr w:type="gramEnd"/>
      <w:r w:rsidR="003F6668">
        <w:rPr>
          <w:rFonts w:ascii="Verdana" w:hAnsi="Verdana"/>
          <w:sz w:val="18"/>
          <w:szCs w:val="18"/>
        </w:rPr>
        <w:t xml:space="preserve"> to</w:t>
      </w:r>
      <w:r w:rsidR="0033576D">
        <w:rPr>
          <w:rFonts w:ascii="Verdana" w:hAnsi="Verdana"/>
          <w:sz w:val="18"/>
          <w:szCs w:val="18"/>
        </w:rPr>
        <w:t xml:space="preserve"> </w:t>
      </w:r>
      <w:r w:rsidR="003C17A3">
        <w:rPr>
          <w:rFonts w:ascii="Verdana" w:hAnsi="Verdana"/>
          <w:sz w:val="18"/>
          <w:szCs w:val="18"/>
        </w:rPr>
        <w:t>replac</w:t>
      </w:r>
      <w:r w:rsidR="003F6668">
        <w:rPr>
          <w:rFonts w:ascii="Verdana" w:hAnsi="Verdana"/>
          <w:sz w:val="18"/>
          <w:szCs w:val="18"/>
        </w:rPr>
        <w:t xml:space="preserve">e </w:t>
      </w:r>
      <w:r w:rsidR="0033576D">
        <w:rPr>
          <w:rFonts w:ascii="Verdana" w:hAnsi="Verdana"/>
          <w:sz w:val="18"/>
          <w:szCs w:val="18"/>
        </w:rPr>
        <w:t>the first sent</w:t>
      </w:r>
      <w:r w:rsidR="00E561F0">
        <w:rPr>
          <w:rFonts w:ascii="Verdana" w:hAnsi="Verdana"/>
          <w:sz w:val="18"/>
          <w:szCs w:val="18"/>
        </w:rPr>
        <w:t xml:space="preserve">ence </w:t>
      </w:r>
      <w:r w:rsidR="003C17A3">
        <w:rPr>
          <w:rFonts w:ascii="Verdana" w:hAnsi="Verdana"/>
          <w:sz w:val="18"/>
          <w:szCs w:val="18"/>
        </w:rPr>
        <w:t>with the following text</w:t>
      </w:r>
      <w:r w:rsidR="00E561F0">
        <w:rPr>
          <w:rFonts w:ascii="Verdana" w:hAnsi="Verdana"/>
          <w:sz w:val="18"/>
          <w:szCs w:val="18"/>
        </w:rPr>
        <w:t>:</w:t>
      </w:r>
    </w:p>
    <w:p w:rsidR="0033576D" w:rsidRDefault="0033576D" w:rsidP="00E02569">
      <w:pPr>
        <w:ind w:left="720"/>
        <w:rPr>
          <w:rFonts w:ascii="Verdana" w:hAnsi="Verdana"/>
          <w:sz w:val="18"/>
          <w:szCs w:val="18"/>
        </w:rPr>
      </w:pPr>
      <w:r w:rsidRPr="0033576D">
        <w:rPr>
          <w:rFonts w:ascii="Verdana" w:hAnsi="Verdana"/>
          <w:sz w:val="18"/>
          <w:szCs w:val="18"/>
        </w:rPr>
        <w:t xml:space="preserve">The State should refrain from the intentional and unlawful taking of life. The State should also take appropriate steps to safeguard the lives of those within its jurisdiction. However, such an obligation has to </w:t>
      </w:r>
      <w:proofErr w:type="gramStart"/>
      <w:r w:rsidRPr="0033576D">
        <w:rPr>
          <w:rFonts w:ascii="Verdana" w:hAnsi="Verdana"/>
          <w:sz w:val="18"/>
          <w:szCs w:val="18"/>
        </w:rPr>
        <w:t>be interpreted</w:t>
      </w:r>
      <w:proofErr w:type="gramEnd"/>
      <w:r w:rsidRPr="0033576D">
        <w:rPr>
          <w:rFonts w:ascii="Verdana" w:hAnsi="Verdana"/>
          <w:sz w:val="18"/>
          <w:szCs w:val="18"/>
        </w:rPr>
        <w:t xml:space="preserve"> in a </w:t>
      </w:r>
      <w:r w:rsidR="00553AA7" w:rsidRPr="0033576D">
        <w:rPr>
          <w:rFonts w:ascii="Verdana" w:hAnsi="Verdana"/>
          <w:sz w:val="18"/>
          <w:szCs w:val="18"/>
        </w:rPr>
        <w:t>wa</w:t>
      </w:r>
      <w:r w:rsidR="00553AA7">
        <w:rPr>
          <w:rFonts w:ascii="Verdana" w:hAnsi="Verdana"/>
          <w:sz w:val="18"/>
          <w:szCs w:val="18"/>
        </w:rPr>
        <w:t>y that</w:t>
      </w:r>
      <w:r w:rsidRPr="0033576D">
        <w:rPr>
          <w:rFonts w:ascii="Verdana" w:hAnsi="Verdana"/>
          <w:sz w:val="18"/>
          <w:szCs w:val="18"/>
        </w:rPr>
        <w:t xml:space="preserve"> does not impose an impossible or disproportionate burden on the authorities.</w:t>
      </w:r>
    </w:p>
    <w:p w:rsidR="000E7601" w:rsidRDefault="0033576D" w:rsidP="00E02569">
      <w:pPr>
        <w:rPr>
          <w:rFonts w:ascii="Verdana" w:hAnsi="Verdana"/>
          <w:sz w:val="18"/>
          <w:szCs w:val="18"/>
        </w:rPr>
      </w:pPr>
      <w:r w:rsidRPr="0033576D">
        <w:rPr>
          <w:rFonts w:ascii="Verdana" w:hAnsi="Verdana"/>
          <w:sz w:val="18"/>
          <w:szCs w:val="18"/>
        </w:rPr>
        <w:t xml:space="preserve">The presumption and reversal of burden of proof </w:t>
      </w:r>
      <w:r>
        <w:rPr>
          <w:rFonts w:ascii="Verdana" w:hAnsi="Verdana"/>
          <w:sz w:val="18"/>
          <w:szCs w:val="18"/>
        </w:rPr>
        <w:t xml:space="preserve">in the draft text </w:t>
      </w:r>
      <w:r w:rsidRPr="0033576D">
        <w:rPr>
          <w:rFonts w:ascii="Verdana" w:hAnsi="Verdana"/>
          <w:sz w:val="18"/>
          <w:szCs w:val="18"/>
        </w:rPr>
        <w:t xml:space="preserve">does not seem reasonable. An unnatural death under these circumstances </w:t>
      </w:r>
      <w:proofErr w:type="gramStart"/>
      <w:r w:rsidRPr="0033576D">
        <w:rPr>
          <w:rFonts w:ascii="Verdana" w:hAnsi="Verdana"/>
          <w:sz w:val="18"/>
          <w:szCs w:val="18"/>
        </w:rPr>
        <w:t>i</w:t>
      </w:r>
      <w:r w:rsidR="007B1C04">
        <w:rPr>
          <w:rFonts w:ascii="Verdana" w:hAnsi="Verdana"/>
          <w:sz w:val="18"/>
          <w:szCs w:val="18"/>
        </w:rPr>
        <w:t>s</w:t>
      </w:r>
      <w:r w:rsidRPr="0033576D">
        <w:rPr>
          <w:rFonts w:ascii="Verdana" w:hAnsi="Verdana"/>
          <w:sz w:val="18"/>
          <w:szCs w:val="18"/>
        </w:rPr>
        <w:t xml:space="preserve"> often linked</w:t>
      </w:r>
      <w:proofErr w:type="gramEnd"/>
      <w:r w:rsidRPr="0033576D">
        <w:rPr>
          <w:rFonts w:ascii="Verdana" w:hAnsi="Verdana"/>
          <w:sz w:val="18"/>
          <w:szCs w:val="18"/>
        </w:rPr>
        <w:t xml:space="preserve"> to an unavoidable </w:t>
      </w:r>
      <w:r>
        <w:rPr>
          <w:rFonts w:ascii="Verdana" w:hAnsi="Verdana"/>
          <w:sz w:val="18"/>
          <w:szCs w:val="18"/>
        </w:rPr>
        <w:t xml:space="preserve">case of </w:t>
      </w:r>
      <w:r w:rsidRPr="0033576D">
        <w:rPr>
          <w:rFonts w:ascii="Verdana" w:hAnsi="Verdana"/>
          <w:sz w:val="18"/>
          <w:szCs w:val="18"/>
        </w:rPr>
        <w:t xml:space="preserve">suicide. It is odd that the consequences </w:t>
      </w:r>
      <w:proofErr w:type="gramStart"/>
      <w:r w:rsidRPr="0033576D">
        <w:rPr>
          <w:rFonts w:ascii="Verdana" w:hAnsi="Verdana"/>
          <w:sz w:val="18"/>
          <w:szCs w:val="18"/>
        </w:rPr>
        <w:t>are also linked</w:t>
      </w:r>
      <w:proofErr w:type="gramEnd"/>
      <w:r w:rsidRPr="0033576D">
        <w:rPr>
          <w:rFonts w:ascii="Verdana" w:hAnsi="Verdana"/>
          <w:sz w:val="18"/>
          <w:szCs w:val="18"/>
        </w:rPr>
        <w:t xml:space="preserve"> to this situation. The </w:t>
      </w:r>
      <w:proofErr w:type="gramStart"/>
      <w:r w:rsidR="000E7601">
        <w:rPr>
          <w:rFonts w:ascii="Verdana" w:hAnsi="Verdana"/>
          <w:sz w:val="18"/>
          <w:szCs w:val="18"/>
        </w:rPr>
        <w:t xml:space="preserve">above </w:t>
      </w:r>
      <w:r w:rsidRPr="0033576D">
        <w:rPr>
          <w:rFonts w:ascii="Verdana" w:hAnsi="Verdana"/>
          <w:sz w:val="18"/>
          <w:szCs w:val="18"/>
        </w:rPr>
        <w:t>suggest</w:t>
      </w:r>
      <w:r w:rsidR="000E7601">
        <w:rPr>
          <w:rFonts w:ascii="Verdana" w:hAnsi="Verdana"/>
          <w:sz w:val="18"/>
          <w:szCs w:val="18"/>
        </w:rPr>
        <w:t>ed</w:t>
      </w:r>
      <w:proofErr w:type="gramEnd"/>
      <w:r w:rsidR="000E7601">
        <w:rPr>
          <w:rFonts w:ascii="Verdana" w:hAnsi="Verdana"/>
          <w:sz w:val="18"/>
          <w:szCs w:val="18"/>
        </w:rPr>
        <w:t xml:space="preserve"> text</w:t>
      </w:r>
      <w:r w:rsidRPr="0033576D">
        <w:rPr>
          <w:rFonts w:ascii="Verdana" w:hAnsi="Verdana"/>
          <w:sz w:val="18"/>
          <w:szCs w:val="18"/>
        </w:rPr>
        <w:t xml:space="preserve"> is in line with the </w:t>
      </w:r>
      <w:r w:rsidR="0034508B">
        <w:rPr>
          <w:rFonts w:ascii="Verdana" w:hAnsi="Verdana"/>
          <w:sz w:val="18"/>
          <w:szCs w:val="18"/>
        </w:rPr>
        <w:t>case law</w:t>
      </w:r>
      <w:r w:rsidRPr="0033576D">
        <w:rPr>
          <w:rFonts w:ascii="Verdana" w:hAnsi="Verdana"/>
          <w:sz w:val="18"/>
          <w:szCs w:val="18"/>
        </w:rPr>
        <w:t xml:space="preserve"> of the </w:t>
      </w:r>
      <w:proofErr w:type="spellStart"/>
      <w:r w:rsidRPr="0033576D">
        <w:rPr>
          <w:rFonts w:ascii="Verdana" w:hAnsi="Verdana"/>
          <w:sz w:val="18"/>
          <w:szCs w:val="18"/>
        </w:rPr>
        <w:t>EC</w:t>
      </w:r>
      <w:r w:rsidR="000E7601">
        <w:rPr>
          <w:rFonts w:ascii="Verdana" w:hAnsi="Verdana"/>
          <w:sz w:val="18"/>
          <w:szCs w:val="18"/>
        </w:rPr>
        <w:t>t</w:t>
      </w:r>
      <w:r w:rsidRPr="0033576D">
        <w:rPr>
          <w:rFonts w:ascii="Verdana" w:hAnsi="Verdana"/>
          <w:sz w:val="18"/>
          <w:szCs w:val="18"/>
        </w:rPr>
        <w:t>HR</w:t>
      </w:r>
      <w:proofErr w:type="spellEnd"/>
      <w:r w:rsidRPr="0033576D">
        <w:rPr>
          <w:rFonts w:ascii="Verdana" w:hAnsi="Verdana"/>
          <w:sz w:val="18"/>
          <w:szCs w:val="18"/>
        </w:rPr>
        <w:t>.</w:t>
      </w:r>
      <w:r>
        <w:rPr>
          <w:rFonts w:ascii="Verdana" w:hAnsi="Verdana"/>
          <w:sz w:val="18"/>
          <w:szCs w:val="18"/>
        </w:rPr>
        <w:t xml:space="preserve"> </w:t>
      </w:r>
    </w:p>
    <w:p w:rsidR="0033576D" w:rsidRDefault="0033576D" w:rsidP="00E02569">
      <w:pPr>
        <w:rPr>
          <w:rFonts w:ascii="Verdana" w:hAnsi="Verdana"/>
          <w:sz w:val="18"/>
          <w:szCs w:val="18"/>
        </w:rPr>
      </w:pPr>
      <w:r>
        <w:rPr>
          <w:rFonts w:ascii="Verdana" w:hAnsi="Verdana"/>
          <w:sz w:val="18"/>
          <w:szCs w:val="18"/>
        </w:rPr>
        <w:t>The second sentence of this paragraph</w:t>
      </w:r>
      <w:r w:rsidR="003C17A3">
        <w:rPr>
          <w:rFonts w:ascii="Verdana" w:hAnsi="Verdana"/>
          <w:sz w:val="18"/>
          <w:szCs w:val="18"/>
        </w:rPr>
        <w:t xml:space="preserve"> (“States parties also have a heightened duty… right to life by State authorities”)</w:t>
      </w:r>
      <w:r>
        <w:rPr>
          <w:rFonts w:ascii="Verdana" w:hAnsi="Verdana"/>
          <w:sz w:val="18"/>
          <w:szCs w:val="18"/>
        </w:rPr>
        <w:t xml:space="preserve"> covers a different situation and </w:t>
      </w:r>
      <w:r w:rsidR="000E7601">
        <w:rPr>
          <w:rFonts w:ascii="Verdana" w:hAnsi="Verdana"/>
          <w:sz w:val="18"/>
          <w:szCs w:val="18"/>
        </w:rPr>
        <w:t>the Netherlands</w:t>
      </w:r>
      <w:r w:rsidR="003C17A3">
        <w:rPr>
          <w:rFonts w:ascii="Verdana" w:hAnsi="Verdana"/>
          <w:sz w:val="18"/>
          <w:szCs w:val="18"/>
        </w:rPr>
        <w:t xml:space="preserve"> would</w:t>
      </w:r>
      <w:r>
        <w:rPr>
          <w:rFonts w:ascii="Verdana" w:hAnsi="Verdana"/>
          <w:sz w:val="18"/>
          <w:szCs w:val="18"/>
        </w:rPr>
        <w:t xml:space="preserve"> therefore</w:t>
      </w:r>
      <w:r w:rsidR="003C17A3">
        <w:rPr>
          <w:rFonts w:ascii="Verdana" w:hAnsi="Verdana"/>
          <w:sz w:val="18"/>
          <w:szCs w:val="18"/>
        </w:rPr>
        <w:t xml:space="preserve"> suggest inserting this sentence</w:t>
      </w:r>
      <w:r>
        <w:rPr>
          <w:rFonts w:ascii="Verdana" w:hAnsi="Verdana"/>
          <w:sz w:val="18"/>
          <w:szCs w:val="18"/>
        </w:rPr>
        <w:t xml:space="preserve"> in a separate paragraph.</w:t>
      </w:r>
    </w:p>
    <w:p w:rsidR="0033576D" w:rsidRDefault="000E7601" w:rsidP="00E02569">
      <w:pPr>
        <w:rPr>
          <w:rFonts w:ascii="Verdana" w:hAnsi="Verdana"/>
          <w:sz w:val="18"/>
          <w:szCs w:val="18"/>
        </w:rPr>
      </w:pPr>
      <w:r>
        <w:rPr>
          <w:rFonts w:ascii="Verdana" w:hAnsi="Verdana"/>
          <w:sz w:val="18"/>
          <w:szCs w:val="18"/>
        </w:rPr>
        <w:t>2</w:t>
      </w:r>
      <w:r w:rsidR="00284DA0">
        <w:rPr>
          <w:rFonts w:ascii="Verdana" w:hAnsi="Verdana"/>
          <w:sz w:val="18"/>
          <w:szCs w:val="18"/>
        </w:rPr>
        <w:t>4</w:t>
      </w:r>
      <w:r>
        <w:rPr>
          <w:rFonts w:ascii="Verdana" w:hAnsi="Verdana"/>
          <w:sz w:val="18"/>
          <w:szCs w:val="18"/>
        </w:rPr>
        <w:t xml:space="preserve">. </w:t>
      </w:r>
      <w:r w:rsidR="0033576D">
        <w:rPr>
          <w:rFonts w:ascii="Verdana" w:hAnsi="Verdana"/>
          <w:sz w:val="18"/>
          <w:szCs w:val="18"/>
        </w:rPr>
        <w:t>In paragraph 34</w:t>
      </w:r>
      <w:r w:rsidR="00553AA7">
        <w:rPr>
          <w:rFonts w:ascii="Verdana" w:hAnsi="Verdana"/>
          <w:sz w:val="18"/>
          <w:szCs w:val="18"/>
        </w:rPr>
        <w:t>,</w:t>
      </w:r>
      <w:r w:rsidR="0033576D">
        <w:rPr>
          <w:rFonts w:ascii="Verdana" w:hAnsi="Verdana"/>
          <w:sz w:val="18"/>
          <w:szCs w:val="18"/>
        </w:rPr>
        <w:t xml:space="preserve"> </w:t>
      </w:r>
      <w:r>
        <w:rPr>
          <w:rFonts w:ascii="Verdana" w:hAnsi="Verdana"/>
          <w:sz w:val="18"/>
          <w:szCs w:val="18"/>
        </w:rPr>
        <w:t>the Netherlands</w:t>
      </w:r>
      <w:r w:rsidR="0033576D">
        <w:rPr>
          <w:rFonts w:ascii="Verdana" w:hAnsi="Verdana"/>
          <w:sz w:val="18"/>
          <w:szCs w:val="18"/>
        </w:rPr>
        <w:t xml:space="preserve"> suggest</w:t>
      </w:r>
      <w:r>
        <w:rPr>
          <w:rFonts w:ascii="Verdana" w:hAnsi="Verdana"/>
          <w:sz w:val="18"/>
          <w:szCs w:val="18"/>
        </w:rPr>
        <w:t>s</w:t>
      </w:r>
      <w:r w:rsidR="0033576D">
        <w:rPr>
          <w:rFonts w:ascii="Verdana" w:hAnsi="Verdana"/>
          <w:sz w:val="18"/>
          <w:szCs w:val="18"/>
        </w:rPr>
        <w:t xml:space="preserve"> to align the wording of the final sentence with the wording from the communication that </w:t>
      </w:r>
      <w:proofErr w:type="gramStart"/>
      <w:r w:rsidR="0033576D">
        <w:rPr>
          <w:rFonts w:ascii="Verdana" w:hAnsi="Verdana"/>
          <w:sz w:val="18"/>
          <w:szCs w:val="18"/>
        </w:rPr>
        <w:t>is referred</w:t>
      </w:r>
      <w:proofErr w:type="gramEnd"/>
      <w:r w:rsidR="0033576D">
        <w:rPr>
          <w:rFonts w:ascii="Verdana" w:hAnsi="Verdana"/>
          <w:sz w:val="18"/>
          <w:szCs w:val="18"/>
        </w:rPr>
        <w:t xml:space="preserve"> to in the footnote: </w:t>
      </w:r>
    </w:p>
    <w:p w:rsidR="0033576D" w:rsidRDefault="0033576D" w:rsidP="00E02569">
      <w:pPr>
        <w:rPr>
          <w:rFonts w:ascii="Verdana" w:hAnsi="Verdana"/>
          <w:sz w:val="18"/>
          <w:szCs w:val="18"/>
        </w:rPr>
      </w:pPr>
      <w:r>
        <w:rPr>
          <w:rFonts w:ascii="Verdana" w:hAnsi="Verdana"/>
          <w:sz w:val="18"/>
          <w:szCs w:val="18"/>
        </w:rPr>
        <w:tab/>
        <w:t>‘When relying upon the assurances of treatment contrary to article 7…’</w:t>
      </w:r>
    </w:p>
    <w:p w:rsidR="0033576D" w:rsidRDefault="0033576D" w:rsidP="00E02569">
      <w:pPr>
        <w:rPr>
          <w:rFonts w:ascii="Verdana" w:hAnsi="Verdana"/>
          <w:sz w:val="18"/>
          <w:szCs w:val="18"/>
        </w:rPr>
      </w:pPr>
      <w:r>
        <w:rPr>
          <w:rFonts w:ascii="Verdana" w:hAnsi="Verdana"/>
          <w:sz w:val="18"/>
          <w:szCs w:val="18"/>
        </w:rPr>
        <w:t xml:space="preserve">In addition, </w:t>
      </w:r>
      <w:r w:rsidRPr="003C17A3">
        <w:rPr>
          <w:rFonts w:ascii="Verdana" w:hAnsi="Verdana"/>
          <w:sz w:val="18"/>
          <w:szCs w:val="18"/>
        </w:rPr>
        <w:t xml:space="preserve">the final wording of the last sentence of paragraph 34 (‘from the moment of removal onwards’) </w:t>
      </w:r>
      <w:r w:rsidR="003C17A3" w:rsidRPr="003C17A3">
        <w:rPr>
          <w:rFonts w:ascii="Verdana" w:hAnsi="Verdana"/>
          <w:sz w:val="18"/>
          <w:szCs w:val="18"/>
        </w:rPr>
        <w:t xml:space="preserve">seems unlimited while </w:t>
      </w:r>
      <w:r w:rsidRPr="003C17A3">
        <w:rPr>
          <w:rFonts w:ascii="Verdana" w:hAnsi="Verdana"/>
          <w:sz w:val="18"/>
          <w:szCs w:val="18"/>
        </w:rPr>
        <w:t>it cannot be that a State is infinitely bound to certain commitments</w:t>
      </w:r>
      <w:r w:rsidR="003C17A3" w:rsidRPr="003C17A3">
        <w:rPr>
          <w:rFonts w:ascii="Verdana" w:hAnsi="Verdana"/>
          <w:sz w:val="18"/>
          <w:szCs w:val="18"/>
        </w:rPr>
        <w:t xml:space="preserve">. </w:t>
      </w:r>
      <w:r w:rsidR="000E7601">
        <w:rPr>
          <w:rFonts w:ascii="Verdana" w:hAnsi="Verdana"/>
          <w:sz w:val="18"/>
          <w:szCs w:val="18"/>
        </w:rPr>
        <w:t xml:space="preserve">The Netherlands would </w:t>
      </w:r>
      <w:r w:rsidR="003C17A3" w:rsidRPr="003C17A3">
        <w:rPr>
          <w:rFonts w:ascii="Verdana" w:hAnsi="Verdana"/>
          <w:sz w:val="18"/>
          <w:szCs w:val="18"/>
        </w:rPr>
        <w:t>welcome a revision of this sentence that include</w:t>
      </w:r>
      <w:r w:rsidR="000E7601">
        <w:rPr>
          <w:rFonts w:ascii="Verdana" w:hAnsi="Verdana"/>
          <w:sz w:val="18"/>
          <w:szCs w:val="18"/>
        </w:rPr>
        <w:t>s</w:t>
      </w:r>
      <w:r w:rsidR="003C17A3" w:rsidRPr="003C17A3">
        <w:rPr>
          <w:rFonts w:ascii="Verdana" w:hAnsi="Verdana"/>
          <w:sz w:val="18"/>
          <w:szCs w:val="18"/>
        </w:rPr>
        <w:t xml:space="preserve"> a limitation</w:t>
      </w:r>
      <w:r w:rsidR="003C17A3">
        <w:rPr>
          <w:rFonts w:ascii="Verdana" w:hAnsi="Verdana"/>
          <w:sz w:val="18"/>
          <w:szCs w:val="18"/>
        </w:rPr>
        <w:t xml:space="preserve"> in time</w:t>
      </w:r>
      <w:r w:rsidR="003C17A3" w:rsidRPr="003C17A3">
        <w:rPr>
          <w:rFonts w:ascii="Verdana" w:hAnsi="Verdana"/>
          <w:sz w:val="18"/>
          <w:szCs w:val="18"/>
        </w:rPr>
        <w:t>.</w:t>
      </w:r>
    </w:p>
    <w:p w:rsidR="0033576D" w:rsidRPr="002A6E16" w:rsidRDefault="000E7601" w:rsidP="00E02569">
      <w:pPr>
        <w:rPr>
          <w:rFonts w:ascii="Verdana" w:hAnsi="Verdana"/>
          <w:sz w:val="18"/>
          <w:szCs w:val="18"/>
        </w:rPr>
      </w:pPr>
      <w:r>
        <w:rPr>
          <w:rFonts w:ascii="Verdana" w:hAnsi="Verdana"/>
          <w:sz w:val="18"/>
          <w:szCs w:val="18"/>
        </w:rPr>
        <w:t>2</w:t>
      </w:r>
      <w:r w:rsidR="00284DA0">
        <w:rPr>
          <w:rFonts w:ascii="Verdana" w:hAnsi="Verdana"/>
          <w:sz w:val="18"/>
          <w:szCs w:val="18"/>
        </w:rPr>
        <w:t>5</w:t>
      </w:r>
      <w:r>
        <w:rPr>
          <w:rFonts w:ascii="Verdana" w:hAnsi="Verdana"/>
          <w:sz w:val="18"/>
          <w:szCs w:val="18"/>
        </w:rPr>
        <w:t xml:space="preserve">. </w:t>
      </w:r>
      <w:r w:rsidR="004E6CC6">
        <w:rPr>
          <w:rFonts w:ascii="Verdana" w:hAnsi="Verdana"/>
          <w:sz w:val="18"/>
          <w:szCs w:val="18"/>
        </w:rPr>
        <w:t xml:space="preserve">In paragraph 35, </w:t>
      </w:r>
      <w:r>
        <w:rPr>
          <w:rFonts w:ascii="Verdana" w:hAnsi="Verdana"/>
          <w:sz w:val="18"/>
          <w:szCs w:val="18"/>
        </w:rPr>
        <w:t xml:space="preserve">it </w:t>
      </w:r>
      <w:proofErr w:type="gramStart"/>
      <w:r>
        <w:rPr>
          <w:rFonts w:ascii="Verdana" w:hAnsi="Verdana"/>
          <w:sz w:val="18"/>
          <w:szCs w:val="18"/>
        </w:rPr>
        <w:t>is</w:t>
      </w:r>
      <w:r w:rsidR="003C17A3">
        <w:rPr>
          <w:rFonts w:ascii="Verdana" w:hAnsi="Verdana"/>
          <w:sz w:val="18"/>
          <w:szCs w:val="18"/>
        </w:rPr>
        <w:t xml:space="preserve"> suggest</w:t>
      </w:r>
      <w:r>
        <w:rPr>
          <w:rFonts w:ascii="Verdana" w:hAnsi="Verdana"/>
          <w:sz w:val="18"/>
          <w:szCs w:val="18"/>
        </w:rPr>
        <w:t>ed</w:t>
      </w:r>
      <w:proofErr w:type="gramEnd"/>
      <w:r w:rsidR="004E6CC6">
        <w:rPr>
          <w:rFonts w:ascii="Verdana" w:hAnsi="Verdana"/>
          <w:sz w:val="18"/>
          <w:szCs w:val="18"/>
        </w:rPr>
        <w:t xml:space="preserve"> to delete the phrase ‘origin access to refugee or other individualized status determination procedures’, as access to asylum procedures should not fall within article 6. </w:t>
      </w:r>
      <w:r w:rsidR="002A6E16" w:rsidRPr="000E2DD3">
        <w:rPr>
          <w:rFonts w:ascii="Verdana" w:hAnsi="Verdana"/>
          <w:sz w:val="18"/>
          <w:szCs w:val="18"/>
        </w:rPr>
        <w:t xml:space="preserve">State parties </w:t>
      </w:r>
      <w:proofErr w:type="gramStart"/>
      <w:r w:rsidR="002A6E16" w:rsidRPr="000E2DD3">
        <w:rPr>
          <w:rFonts w:ascii="Verdana" w:hAnsi="Verdana"/>
          <w:sz w:val="18"/>
          <w:szCs w:val="18"/>
        </w:rPr>
        <w:t>must, however, offer</w:t>
      </w:r>
      <w:proofErr w:type="gramEnd"/>
      <w:r w:rsidR="002A6E16" w:rsidRPr="000E2DD3">
        <w:rPr>
          <w:rFonts w:ascii="Verdana" w:hAnsi="Verdana"/>
          <w:sz w:val="18"/>
          <w:szCs w:val="18"/>
        </w:rPr>
        <w:t xml:space="preserve"> all asylum seekers </w:t>
      </w:r>
      <w:r w:rsidR="000E2DD3" w:rsidRPr="000E2DD3">
        <w:rPr>
          <w:rFonts w:ascii="Verdana" w:hAnsi="Verdana"/>
          <w:sz w:val="18"/>
          <w:szCs w:val="18"/>
        </w:rPr>
        <w:t xml:space="preserve">protection against </w:t>
      </w:r>
      <w:proofErr w:type="spellStart"/>
      <w:r w:rsidR="000E2DD3" w:rsidRPr="000E2DD3">
        <w:rPr>
          <w:rFonts w:ascii="Verdana" w:hAnsi="Verdana"/>
          <w:sz w:val="18"/>
          <w:szCs w:val="18"/>
        </w:rPr>
        <w:t>refoulement</w:t>
      </w:r>
      <w:proofErr w:type="spellEnd"/>
      <w:r w:rsidR="000E2DD3" w:rsidRPr="000E2DD3">
        <w:rPr>
          <w:rFonts w:ascii="Verdana" w:hAnsi="Verdana"/>
          <w:sz w:val="18"/>
          <w:szCs w:val="18"/>
        </w:rPr>
        <w:t xml:space="preserve"> whenever there is </w:t>
      </w:r>
      <w:r w:rsidR="002A6E16" w:rsidRPr="000E2DD3">
        <w:rPr>
          <w:rFonts w:ascii="Verdana" w:hAnsi="Verdana"/>
          <w:sz w:val="18"/>
          <w:szCs w:val="18"/>
        </w:rPr>
        <w:t xml:space="preserve">a real risk of a violation of their right to </w:t>
      </w:r>
      <w:r w:rsidR="000E2DD3" w:rsidRPr="000E2DD3">
        <w:rPr>
          <w:rFonts w:ascii="Verdana" w:hAnsi="Verdana"/>
          <w:sz w:val="18"/>
          <w:szCs w:val="18"/>
        </w:rPr>
        <w:t>life.</w:t>
      </w:r>
      <w:r w:rsidR="002A6E16" w:rsidRPr="002A6E16">
        <w:rPr>
          <w:rFonts w:ascii="Verdana" w:hAnsi="Verdana"/>
          <w:i/>
          <w:sz w:val="18"/>
          <w:szCs w:val="18"/>
        </w:rPr>
        <w:t xml:space="preserve">  </w:t>
      </w:r>
    </w:p>
    <w:p w:rsidR="001D56F1" w:rsidRDefault="00284DA0" w:rsidP="00E02569">
      <w:pPr>
        <w:rPr>
          <w:rFonts w:ascii="Verdana" w:hAnsi="Verdana"/>
          <w:sz w:val="18"/>
          <w:szCs w:val="18"/>
        </w:rPr>
      </w:pPr>
      <w:r>
        <w:rPr>
          <w:rFonts w:ascii="Verdana" w:hAnsi="Verdana"/>
          <w:sz w:val="18"/>
          <w:szCs w:val="18"/>
        </w:rPr>
        <w:t>26</w:t>
      </w:r>
      <w:r w:rsidR="001D56F1">
        <w:rPr>
          <w:rFonts w:ascii="Verdana" w:hAnsi="Verdana"/>
          <w:sz w:val="18"/>
          <w:szCs w:val="18"/>
        </w:rPr>
        <w:t xml:space="preserve">. In paragraph 38, it </w:t>
      </w:r>
      <w:proofErr w:type="gramStart"/>
      <w:r w:rsidR="001D56F1">
        <w:rPr>
          <w:rFonts w:ascii="Verdana" w:hAnsi="Verdana"/>
          <w:sz w:val="18"/>
          <w:szCs w:val="18"/>
        </w:rPr>
        <w:t>is suggested</w:t>
      </w:r>
      <w:proofErr w:type="gramEnd"/>
      <w:r w:rsidR="001D56F1">
        <w:rPr>
          <w:rFonts w:ascii="Verdana" w:hAnsi="Verdana"/>
          <w:sz w:val="18"/>
          <w:szCs w:val="18"/>
        </w:rPr>
        <w:t xml:space="preserve"> to insert ‘unilaterally’, after ‘cannot’, in the </w:t>
      </w:r>
      <w:r w:rsidR="00C5501B">
        <w:rPr>
          <w:rFonts w:ascii="Verdana" w:hAnsi="Verdana"/>
          <w:sz w:val="18"/>
          <w:szCs w:val="18"/>
        </w:rPr>
        <w:t xml:space="preserve">second sentence. </w:t>
      </w:r>
      <w:r w:rsidR="00C5501B" w:rsidRPr="00C5501B">
        <w:rPr>
          <w:rFonts w:ascii="Verdana" w:hAnsi="Verdana"/>
          <w:sz w:val="18"/>
          <w:szCs w:val="18"/>
        </w:rPr>
        <w:t>A treaty that does not contain any provision</w:t>
      </w:r>
      <w:r w:rsidR="00C5501B">
        <w:rPr>
          <w:rFonts w:ascii="Verdana" w:hAnsi="Verdana"/>
          <w:sz w:val="18"/>
          <w:szCs w:val="18"/>
        </w:rPr>
        <w:t>s</w:t>
      </w:r>
      <w:r w:rsidR="00C5501B" w:rsidRPr="00C5501B">
        <w:rPr>
          <w:rFonts w:ascii="Verdana" w:hAnsi="Verdana"/>
          <w:sz w:val="18"/>
          <w:szCs w:val="18"/>
        </w:rPr>
        <w:t xml:space="preserve"> regarding its termination </w:t>
      </w:r>
      <w:proofErr w:type="gramStart"/>
      <w:r w:rsidR="00C5501B" w:rsidRPr="00C5501B">
        <w:rPr>
          <w:rFonts w:ascii="Verdana" w:hAnsi="Verdana"/>
          <w:sz w:val="18"/>
          <w:szCs w:val="18"/>
        </w:rPr>
        <w:t>cannot be terminated</w:t>
      </w:r>
      <w:proofErr w:type="gramEnd"/>
      <w:r w:rsidR="00C5501B" w:rsidRPr="00C5501B">
        <w:rPr>
          <w:rFonts w:ascii="Verdana" w:hAnsi="Verdana"/>
          <w:sz w:val="18"/>
          <w:szCs w:val="18"/>
        </w:rPr>
        <w:t xml:space="preserve"> unilaterally, unless one of the limited grounds recognized under the law of treaties (as codified in the Vienna Convention) would apply.</w:t>
      </w:r>
      <w:r w:rsidR="00C5501B" w:rsidRPr="00C5501B" w:rsidDel="001D56F1">
        <w:rPr>
          <w:rFonts w:ascii="Verdana" w:hAnsi="Verdana"/>
          <w:sz w:val="18"/>
          <w:szCs w:val="18"/>
        </w:rPr>
        <w:t xml:space="preserve"> </w:t>
      </w:r>
    </w:p>
    <w:p w:rsidR="0033576D" w:rsidRDefault="002F1CBE" w:rsidP="00E02569">
      <w:pPr>
        <w:rPr>
          <w:rFonts w:ascii="Verdana" w:hAnsi="Verdana"/>
          <w:sz w:val="18"/>
          <w:szCs w:val="18"/>
        </w:rPr>
      </w:pPr>
      <w:proofErr w:type="gramStart"/>
      <w:r>
        <w:rPr>
          <w:rFonts w:ascii="Verdana" w:hAnsi="Verdana"/>
          <w:sz w:val="18"/>
          <w:szCs w:val="18"/>
        </w:rPr>
        <w:t>2</w:t>
      </w:r>
      <w:r w:rsidR="00284DA0">
        <w:rPr>
          <w:rFonts w:ascii="Verdana" w:hAnsi="Verdana"/>
          <w:sz w:val="18"/>
          <w:szCs w:val="18"/>
        </w:rPr>
        <w:t>7</w:t>
      </w:r>
      <w:r>
        <w:rPr>
          <w:rFonts w:ascii="Verdana" w:hAnsi="Verdana"/>
          <w:sz w:val="18"/>
          <w:szCs w:val="18"/>
        </w:rPr>
        <w:t xml:space="preserve">. </w:t>
      </w:r>
      <w:r w:rsidR="00CD722A">
        <w:rPr>
          <w:rFonts w:ascii="Verdana" w:hAnsi="Verdana"/>
          <w:sz w:val="18"/>
          <w:szCs w:val="18"/>
        </w:rPr>
        <w:t>In paragraph 45</w:t>
      </w:r>
      <w:r w:rsidR="00C5501B">
        <w:rPr>
          <w:rFonts w:ascii="Verdana" w:hAnsi="Verdana"/>
          <w:sz w:val="18"/>
          <w:szCs w:val="18"/>
        </w:rPr>
        <w:t>,</w:t>
      </w:r>
      <w:r w:rsidR="00CD722A">
        <w:rPr>
          <w:rFonts w:ascii="Verdana" w:hAnsi="Verdana"/>
          <w:sz w:val="18"/>
          <w:szCs w:val="18"/>
        </w:rPr>
        <w:t xml:space="preserve"> the Netherlands</w:t>
      </w:r>
      <w:r w:rsidR="00E77DA5">
        <w:rPr>
          <w:rFonts w:ascii="Verdana" w:hAnsi="Verdana"/>
          <w:sz w:val="18"/>
          <w:szCs w:val="18"/>
        </w:rPr>
        <w:t xml:space="preserve"> </w:t>
      </w:r>
      <w:r w:rsidR="00EF1908">
        <w:rPr>
          <w:rFonts w:ascii="Verdana" w:hAnsi="Verdana"/>
          <w:sz w:val="18"/>
          <w:szCs w:val="18"/>
        </w:rPr>
        <w:t xml:space="preserve">would like to see the </w:t>
      </w:r>
      <w:r w:rsidR="00EF1908" w:rsidRPr="00EF1908">
        <w:rPr>
          <w:rFonts w:ascii="Verdana" w:hAnsi="Verdana"/>
          <w:sz w:val="18"/>
          <w:szCs w:val="18"/>
        </w:rPr>
        <w:t>reference to ‘handcuffed during trial</w:t>
      </w:r>
      <w:r w:rsidR="00EF1908">
        <w:rPr>
          <w:rFonts w:ascii="Verdana" w:hAnsi="Verdana"/>
          <w:sz w:val="18"/>
          <w:szCs w:val="18"/>
        </w:rPr>
        <w:t xml:space="preserve">’ </w:t>
      </w:r>
      <w:r w:rsidR="007B1C04">
        <w:rPr>
          <w:rFonts w:ascii="Verdana" w:hAnsi="Verdana"/>
          <w:sz w:val="18"/>
          <w:szCs w:val="18"/>
        </w:rPr>
        <w:t>restricted or deleted</w:t>
      </w:r>
      <w:r w:rsidR="00EF1908">
        <w:rPr>
          <w:rFonts w:ascii="Verdana" w:hAnsi="Verdana"/>
          <w:sz w:val="18"/>
          <w:szCs w:val="18"/>
        </w:rPr>
        <w:t xml:space="preserve">, as it is unclear whether handcuffing a violent and (therefore) dangerous suspect during trial will constitute a failure to respect the presumption of innocence, even if </w:t>
      </w:r>
      <w:r w:rsidR="007B1C04">
        <w:rPr>
          <w:rFonts w:ascii="Verdana" w:hAnsi="Verdana"/>
          <w:sz w:val="18"/>
          <w:szCs w:val="18"/>
        </w:rPr>
        <w:t xml:space="preserve">a </w:t>
      </w:r>
      <w:r w:rsidR="00EF1908">
        <w:rPr>
          <w:rFonts w:ascii="Verdana" w:hAnsi="Verdana"/>
          <w:sz w:val="18"/>
          <w:szCs w:val="18"/>
        </w:rPr>
        <w:t>security assessment indicates a significant risk of the suspect becoming a danger to him- or herself or others in the court.</w:t>
      </w:r>
      <w:proofErr w:type="gramEnd"/>
      <w:r w:rsidR="00EF1908">
        <w:rPr>
          <w:rFonts w:ascii="Verdana" w:hAnsi="Verdana"/>
          <w:sz w:val="18"/>
          <w:szCs w:val="18"/>
        </w:rPr>
        <w:t xml:space="preserve"> </w:t>
      </w:r>
    </w:p>
    <w:p w:rsidR="00972A56" w:rsidRDefault="00284DA0" w:rsidP="00E02569">
      <w:pPr>
        <w:rPr>
          <w:rFonts w:ascii="Verdana" w:hAnsi="Verdana"/>
          <w:sz w:val="18"/>
          <w:szCs w:val="18"/>
        </w:rPr>
      </w:pPr>
      <w:r>
        <w:rPr>
          <w:rFonts w:ascii="Verdana" w:hAnsi="Verdana"/>
          <w:sz w:val="18"/>
          <w:szCs w:val="18"/>
        </w:rPr>
        <w:t>28</w:t>
      </w:r>
      <w:r w:rsidR="00C5501B">
        <w:rPr>
          <w:rFonts w:ascii="Verdana" w:hAnsi="Verdana"/>
          <w:sz w:val="18"/>
          <w:szCs w:val="18"/>
        </w:rPr>
        <w:t xml:space="preserve">. </w:t>
      </w:r>
      <w:r w:rsidR="007B1C04">
        <w:rPr>
          <w:rFonts w:ascii="Verdana" w:hAnsi="Verdana"/>
          <w:sz w:val="18"/>
          <w:szCs w:val="18"/>
        </w:rPr>
        <w:t>With</w:t>
      </w:r>
      <w:r w:rsidR="00FD217D">
        <w:rPr>
          <w:rFonts w:ascii="Verdana" w:hAnsi="Verdana"/>
          <w:sz w:val="18"/>
          <w:szCs w:val="18"/>
        </w:rPr>
        <w:t xml:space="preserve"> regards to</w:t>
      </w:r>
      <w:r w:rsidR="00972A56">
        <w:rPr>
          <w:rFonts w:ascii="Verdana" w:hAnsi="Verdana"/>
          <w:sz w:val="18"/>
          <w:szCs w:val="18"/>
        </w:rPr>
        <w:t xml:space="preserve"> paragraph 65</w:t>
      </w:r>
      <w:r w:rsidR="00C5501B">
        <w:rPr>
          <w:rFonts w:ascii="Verdana" w:hAnsi="Verdana"/>
          <w:sz w:val="18"/>
          <w:szCs w:val="18"/>
        </w:rPr>
        <w:t>,</w:t>
      </w:r>
      <w:r w:rsidR="00972A56">
        <w:rPr>
          <w:rFonts w:ascii="Verdana" w:hAnsi="Verdana"/>
          <w:sz w:val="18"/>
          <w:szCs w:val="18"/>
        </w:rPr>
        <w:t xml:space="preserve"> </w:t>
      </w:r>
      <w:r w:rsidR="00FD217D">
        <w:rPr>
          <w:rFonts w:ascii="Verdana" w:hAnsi="Verdana"/>
          <w:sz w:val="18"/>
          <w:szCs w:val="18"/>
        </w:rPr>
        <w:t xml:space="preserve">the Netherlands </w:t>
      </w:r>
      <w:r w:rsidR="00972A56">
        <w:rPr>
          <w:rFonts w:ascii="Verdana" w:hAnsi="Verdana"/>
          <w:sz w:val="18"/>
          <w:szCs w:val="18"/>
        </w:rPr>
        <w:t>would like to make the following remarks:</w:t>
      </w:r>
    </w:p>
    <w:p w:rsidR="00D7056F" w:rsidRPr="002F1CBE" w:rsidRDefault="004F5798" w:rsidP="00E02569">
      <w:pPr>
        <w:rPr>
          <w:rFonts w:ascii="Verdana" w:hAnsi="Verdana"/>
          <w:sz w:val="18"/>
          <w:szCs w:val="18"/>
        </w:rPr>
      </w:pPr>
      <w:r>
        <w:rPr>
          <w:rFonts w:ascii="Verdana" w:hAnsi="Verdana"/>
          <w:sz w:val="18"/>
          <w:szCs w:val="18"/>
        </w:rPr>
        <w:t>T</w:t>
      </w:r>
      <w:r w:rsidR="00972A56" w:rsidRPr="002F1CBE">
        <w:rPr>
          <w:rFonts w:ascii="Verdana" w:hAnsi="Verdana"/>
          <w:sz w:val="18"/>
          <w:szCs w:val="18"/>
        </w:rPr>
        <w:t xml:space="preserve">he </w:t>
      </w:r>
      <w:r>
        <w:rPr>
          <w:rFonts w:ascii="Verdana" w:hAnsi="Verdana"/>
          <w:sz w:val="18"/>
          <w:szCs w:val="18"/>
        </w:rPr>
        <w:t xml:space="preserve">Declaration from 1972 referred to in footnote 248 </w:t>
      </w:r>
      <w:r w:rsidR="007B1C04">
        <w:rPr>
          <w:rFonts w:ascii="Verdana" w:hAnsi="Verdana"/>
          <w:sz w:val="18"/>
          <w:szCs w:val="18"/>
        </w:rPr>
        <w:t>does</w:t>
      </w:r>
      <w:r w:rsidR="00972A56" w:rsidRPr="002F1CBE">
        <w:rPr>
          <w:rFonts w:ascii="Verdana" w:hAnsi="Verdana"/>
          <w:sz w:val="18"/>
          <w:szCs w:val="18"/>
        </w:rPr>
        <w:t xml:space="preserve"> not mention</w:t>
      </w:r>
      <w:r>
        <w:rPr>
          <w:rFonts w:ascii="Verdana" w:hAnsi="Verdana"/>
          <w:sz w:val="18"/>
          <w:szCs w:val="18"/>
        </w:rPr>
        <w:t xml:space="preserve"> the</w:t>
      </w:r>
      <w:r w:rsidR="00972A56" w:rsidRPr="002F1CBE">
        <w:rPr>
          <w:rFonts w:ascii="Verdana" w:hAnsi="Verdana"/>
          <w:sz w:val="18"/>
          <w:szCs w:val="18"/>
        </w:rPr>
        <w:t xml:space="preserve"> present-day terms such as climate change and non-sustainable development.</w:t>
      </w:r>
      <w:r w:rsidR="00B45A9F">
        <w:rPr>
          <w:rFonts w:ascii="Verdana" w:hAnsi="Verdana"/>
          <w:sz w:val="18"/>
          <w:szCs w:val="18"/>
        </w:rPr>
        <w:t xml:space="preserve"> The Netherlands would encourage the Committee to be more </w:t>
      </w:r>
      <w:r w:rsidR="00C5501B">
        <w:rPr>
          <w:rFonts w:ascii="Verdana" w:hAnsi="Verdana"/>
          <w:sz w:val="18"/>
          <w:szCs w:val="18"/>
        </w:rPr>
        <w:t>precise</w:t>
      </w:r>
      <w:r>
        <w:rPr>
          <w:rFonts w:ascii="Verdana" w:hAnsi="Verdana"/>
          <w:sz w:val="18"/>
          <w:szCs w:val="18"/>
        </w:rPr>
        <w:t xml:space="preserve"> in this respect.</w:t>
      </w:r>
    </w:p>
    <w:p w:rsidR="00B45A9F" w:rsidRDefault="00972A56" w:rsidP="00E02569">
      <w:pPr>
        <w:rPr>
          <w:rFonts w:ascii="Verdana" w:hAnsi="Verdana"/>
          <w:sz w:val="18"/>
          <w:szCs w:val="18"/>
        </w:rPr>
      </w:pPr>
      <w:r w:rsidRPr="002F1CBE">
        <w:rPr>
          <w:rFonts w:ascii="Verdana" w:hAnsi="Verdana"/>
          <w:sz w:val="18"/>
          <w:szCs w:val="18"/>
        </w:rPr>
        <w:t xml:space="preserve">The document referred to </w:t>
      </w:r>
      <w:r w:rsidR="00237599">
        <w:rPr>
          <w:rFonts w:ascii="Verdana" w:hAnsi="Verdana"/>
          <w:sz w:val="18"/>
          <w:szCs w:val="18"/>
        </w:rPr>
        <w:t>in</w:t>
      </w:r>
      <w:r w:rsidRPr="002F1CBE">
        <w:rPr>
          <w:rFonts w:ascii="Verdana" w:hAnsi="Verdana"/>
          <w:sz w:val="18"/>
          <w:szCs w:val="18"/>
        </w:rPr>
        <w:t xml:space="preserve"> footnote 249 does not contain the term “precautionary principle”, but rather refers to the “precautionary approach”. Whether the precautionary principle as an unwritten principle of international law exists, and if so, what it entails is a matter of debate. </w:t>
      </w:r>
      <w:r w:rsidR="00237599">
        <w:rPr>
          <w:rFonts w:ascii="Verdana" w:hAnsi="Verdana"/>
          <w:sz w:val="18"/>
          <w:szCs w:val="18"/>
        </w:rPr>
        <w:t xml:space="preserve">The Netherlands </w:t>
      </w:r>
      <w:r w:rsidR="00237599">
        <w:rPr>
          <w:rFonts w:ascii="Verdana" w:hAnsi="Verdana"/>
          <w:sz w:val="18"/>
          <w:szCs w:val="18"/>
        </w:rPr>
        <w:lastRenderedPageBreak/>
        <w:t>would</w:t>
      </w:r>
      <w:r w:rsidRPr="002F1CBE">
        <w:rPr>
          <w:rFonts w:ascii="Verdana" w:hAnsi="Verdana"/>
          <w:sz w:val="18"/>
          <w:szCs w:val="18"/>
        </w:rPr>
        <w:t xml:space="preserve"> therefore welcome a revision in line with the term used </w:t>
      </w:r>
      <w:r w:rsidR="00B45A9F">
        <w:rPr>
          <w:rFonts w:ascii="Verdana" w:hAnsi="Verdana"/>
          <w:sz w:val="18"/>
          <w:szCs w:val="18"/>
        </w:rPr>
        <w:t>in</w:t>
      </w:r>
      <w:r w:rsidRPr="002F1CBE">
        <w:rPr>
          <w:rFonts w:ascii="Verdana" w:hAnsi="Verdana"/>
          <w:sz w:val="18"/>
          <w:szCs w:val="18"/>
        </w:rPr>
        <w:t xml:space="preserve"> the document referred to in the footnote. </w:t>
      </w:r>
    </w:p>
    <w:p w:rsidR="00972A56" w:rsidRPr="002F1CBE" w:rsidRDefault="00B45A9F" w:rsidP="00E02569">
      <w:pPr>
        <w:rPr>
          <w:rFonts w:ascii="Verdana" w:hAnsi="Verdana"/>
          <w:sz w:val="18"/>
          <w:szCs w:val="18"/>
        </w:rPr>
      </w:pPr>
      <w:proofErr w:type="gramStart"/>
      <w:r>
        <w:rPr>
          <w:rFonts w:ascii="Verdana" w:hAnsi="Verdana"/>
          <w:sz w:val="18"/>
          <w:szCs w:val="18"/>
        </w:rPr>
        <w:t>Furthermore,</w:t>
      </w:r>
      <w:r w:rsidR="00972A56" w:rsidRPr="002F1CBE">
        <w:rPr>
          <w:rFonts w:ascii="Verdana" w:hAnsi="Verdana"/>
          <w:sz w:val="18"/>
          <w:szCs w:val="18"/>
        </w:rPr>
        <w:t xml:space="preserve"> </w:t>
      </w:r>
      <w:r>
        <w:rPr>
          <w:rFonts w:ascii="Verdana" w:hAnsi="Verdana"/>
          <w:sz w:val="18"/>
          <w:szCs w:val="18"/>
        </w:rPr>
        <w:t>the Netherlands</w:t>
      </w:r>
      <w:r w:rsidR="00972A56" w:rsidRPr="002F1CBE">
        <w:rPr>
          <w:rFonts w:ascii="Verdana" w:hAnsi="Verdana"/>
          <w:sz w:val="18"/>
          <w:szCs w:val="18"/>
        </w:rPr>
        <w:t xml:space="preserve"> would like to point out that these </w:t>
      </w:r>
      <w:r w:rsidR="00D8579D">
        <w:rPr>
          <w:rFonts w:ascii="Verdana" w:hAnsi="Verdana"/>
          <w:sz w:val="18"/>
          <w:szCs w:val="18"/>
        </w:rPr>
        <w:t xml:space="preserve">suggested </w:t>
      </w:r>
      <w:r w:rsidR="00972A56" w:rsidRPr="002F1CBE">
        <w:rPr>
          <w:rFonts w:ascii="Verdana" w:hAnsi="Verdana"/>
          <w:sz w:val="18"/>
          <w:szCs w:val="18"/>
        </w:rPr>
        <w:t xml:space="preserve">(very specific) obligations of States parties </w:t>
      </w:r>
      <w:r w:rsidR="0034508B">
        <w:rPr>
          <w:rFonts w:ascii="Verdana" w:hAnsi="Verdana"/>
          <w:sz w:val="18"/>
          <w:szCs w:val="18"/>
        </w:rPr>
        <w:t>broaden</w:t>
      </w:r>
      <w:r w:rsidR="00972A56" w:rsidRPr="002F1CBE">
        <w:rPr>
          <w:rFonts w:ascii="Verdana" w:hAnsi="Verdana"/>
          <w:sz w:val="18"/>
          <w:szCs w:val="18"/>
        </w:rPr>
        <w:t xml:space="preserve"> the scope of the right of life of individuals beyond the wording of article 6 and previous </w:t>
      </w:r>
      <w:r w:rsidR="0034508B">
        <w:rPr>
          <w:rFonts w:ascii="Verdana" w:hAnsi="Verdana"/>
          <w:sz w:val="18"/>
          <w:szCs w:val="18"/>
        </w:rPr>
        <w:t xml:space="preserve">general </w:t>
      </w:r>
      <w:r w:rsidR="00972A56" w:rsidRPr="002F1CBE">
        <w:rPr>
          <w:rFonts w:ascii="Verdana" w:hAnsi="Verdana"/>
          <w:sz w:val="18"/>
          <w:szCs w:val="18"/>
        </w:rPr>
        <w:t>comments nos. 6 and 14 in which there is no mention of the right to life implying the obligation of States parties to protect the environment against harm and pollution.</w:t>
      </w:r>
      <w:proofErr w:type="gramEnd"/>
      <w:r w:rsidR="00972A56" w:rsidRPr="002F1CBE">
        <w:rPr>
          <w:rFonts w:ascii="Verdana" w:hAnsi="Verdana"/>
          <w:sz w:val="18"/>
          <w:szCs w:val="18"/>
        </w:rPr>
        <w:t xml:space="preserve"> </w:t>
      </w:r>
      <w:r>
        <w:rPr>
          <w:rFonts w:ascii="Verdana" w:hAnsi="Verdana"/>
          <w:sz w:val="18"/>
          <w:szCs w:val="18"/>
        </w:rPr>
        <w:t xml:space="preserve">The Netherlands would welcome more clarification. </w:t>
      </w:r>
      <w:proofErr w:type="gramStart"/>
      <w:r w:rsidR="00972A56" w:rsidRPr="002F1CBE">
        <w:rPr>
          <w:rFonts w:ascii="Verdana" w:hAnsi="Verdana"/>
          <w:sz w:val="18"/>
          <w:szCs w:val="18"/>
        </w:rPr>
        <w:t>E.g.</w:t>
      </w:r>
      <w:proofErr w:type="gramEnd"/>
      <w:r w:rsidR="00972A56" w:rsidRPr="002F1CBE">
        <w:rPr>
          <w:rFonts w:ascii="Verdana" w:hAnsi="Verdana"/>
          <w:sz w:val="18"/>
          <w:szCs w:val="18"/>
        </w:rPr>
        <w:t xml:space="preserve"> is the failure to conduct an environmental impact assessment for an activity likely to have a significant impact on the environment </w:t>
      </w:r>
      <w:r>
        <w:rPr>
          <w:rFonts w:ascii="Verdana" w:hAnsi="Verdana"/>
          <w:sz w:val="18"/>
          <w:szCs w:val="18"/>
        </w:rPr>
        <w:t>a</w:t>
      </w:r>
      <w:r w:rsidR="00972A56" w:rsidRPr="002F1CBE">
        <w:rPr>
          <w:rFonts w:ascii="Verdana" w:hAnsi="Verdana"/>
          <w:sz w:val="18"/>
          <w:szCs w:val="18"/>
        </w:rPr>
        <w:t xml:space="preserve">n infringement of the right to life, even in the absence of a specific obligation to conduct an environmental impact assessment? </w:t>
      </w:r>
    </w:p>
    <w:p w:rsidR="0033576D" w:rsidRDefault="00284DA0" w:rsidP="00E02569">
      <w:pPr>
        <w:rPr>
          <w:rFonts w:ascii="Verdana" w:hAnsi="Verdana"/>
          <w:sz w:val="18"/>
          <w:szCs w:val="18"/>
        </w:rPr>
      </w:pPr>
      <w:r>
        <w:rPr>
          <w:rFonts w:ascii="Verdana" w:hAnsi="Verdana"/>
          <w:sz w:val="18"/>
          <w:szCs w:val="18"/>
        </w:rPr>
        <w:t>29</w:t>
      </w:r>
      <w:r w:rsidR="00C5501B">
        <w:rPr>
          <w:rFonts w:ascii="Verdana" w:hAnsi="Verdana"/>
          <w:sz w:val="18"/>
          <w:szCs w:val="18"/>
        </w:rPr>
        <w:t xml:space="preserve">. </w:t>
      </w:r>
      <w:r w:rsidR="003B2EF8">
        <w:rPr>
          <w:rFonts w:ascii="Verdana" w:hAnsi="Verdana"/>
          <w:sz w:val="18"/>
          <w:szCs w:val="18"/>
        </w:rPr>
        <w:t>In paragraph 66, t</w:t>
      </w:r>
      <w:r w:rsidR="00444C54">
        <w:rPr>
          <w:rFonts w:ascii="Verdana" w:hAnsi="Verdana"/>
          <w:sz w:val="18"/>
          <w:szCs w:val="18"/>
        </w:rPr>
        <w:t>he</w:t>
      </w:r>
      <w:r w:rsidR="00444C54" w:rsidRPr="00444C54">
        <w:rPr>
          <w:rFonts w:ascii="Verdana" w:hAnsi="Verdana"/>
          <w:sz w:val="18"/>
          <w:szCs w:val="18"/>
        </w:rPr>
        <w:t xml:space="preserve"> wording </w:t>
      </w:r>
      <w:r w:rsidR="00444C54">
        <w:rPr>
          <w:rFonts w:ascii="Verdana" w:hAnsi="Verdana"/>
          <w:sz w:val="18"/>
          <w:szCs w:val="18"/>
        </w:rPr>
        <w:t xml:space="preserve">of the sentence ‘[t]his includes persons located outside any territory effectively controlled by the State who are nonetheless impacted by its military or other activities in a [direct], significant and </w:t>
      </w:r>
      <w:proofErr w:type="spellStart"/>
      <w:r w:rsidR="00444C54">
        <w:rPr>
          <w:rFonts w:ascii="Verdana" w:hAnsi="Verdana"/>
          <w:sz w:val="18"/>
          <w:szCs w:val="18"/>
        </w:rPr>
        <w:t>forseeable</w:t>
      </w:r>
      <w:proofErr w:type="spellEnd"/>
      <w:r w:rsidR="00444C54">
        <w:rPr>
          <w:rFonts w:ascii="Verdana" w:hAnsi="Verdana"/>
          <w:sz w:val="18"/>
          <w:szCs w:val="18"/>
        </w:rPr>
        <w:t xml:space="preserve"> manner’ </w:t>
      </w:r>
      <w:r w:rsidR="00444C54" w:rsidRPr="00444C54">
        <w:rPr>
          <w:rFonts w:ascii="Verdana" w:hAnsi="Verdana"/>
          <w:sz w:val="18"/>
          <w:szCs w:val="18"/>
        </w:rPr>
        <w:t xml:space="preserve">is vague and does not provide more clarity on the meaning of Article 6 or other parts of the Covenant. On the contrary, it is likely to lead to more confusion. To the extent that a General Comment on Article 6 should go into the scope of application of the Covenant at all, it should track the language of General Comment 31 as closely as possible. </w:t>
      </w:r>
      <w:r w:rsidR="00444C54">
        <w:rPr>
          <w:rFonts w:ascii="Verdana" w:hAnsi="Verdana"/>
          <w:sz w:val="18"/>
          <w:szCs w:val="18"/>
        </w:rPr>
        <w:t xml:space="preserve">More specifically, </w:t>
      </w:r>
      <w:r w:rsidR="00444C54" w:rsidRPr="00444C54">
        <w:rPr>
          <w:rFonts w:ascii="Verdana" w:hAnsi="Verdana"/>
          <w:sz w:val="18"/>
          <w:szCs w:val="18"/>
        </w:rPr>
        <w:t>“</w:t>
      </w:r>
      <w:r w:rsidR="00444C54">
        <w:rPr>
          <w:rFonts w:ascii="Verdana" w:hAnsi="Verdana"/>
          <w:sz w:val="18"/>
          <w:szCs w:val="18"/>
        </w:rPr>
        <w:t>i</w:t>
      </w:r>
      <w:r w:rsidR="00444C54" w:rsidRPr="00444C54">
        <w:rPr>
          <w:rFonts w:ascii="Verdana" w:hAnsi="Verdana"/>
          <w:sz w:val="18"/>
          <w:szCs w:val="18"/>
        </w:rPr>
        <w:t xml:space="preserve">mpacted” potentially has a very broad meaning, covering </w:t>
      </w:r>
      <w:r w:rsidR="000E2DD3" w:rsidRPr="00444C54">
        <w:rPr>
          <w:rFonts w:ascii="Verdana" w:hAnsi="Verdana"/>
          <w:sz w:val="18"/>
          <w:szCs w:val="18"/>
        </w:rPr>
        <w:t>situations, which</w:t>
      </w:r>
      <w:r w:rsidR="00444C54" w:rsidRPr="00444C54">
        <w:rPr>
          <w:rFonts w:ascii="Verdana" w:hAnsi="Verdana"/>
          <w:sz w:val="18"/>
          <w:szCs w:val="18"/>
        </w:rPr>
        <w:t xml:space="preserve"> in </w:t>
      </w:r>
      <w:r w:rsidR="00EE5071">
        <w:rPr>
          <w:rFonts w:ascii="Verdana" w:hAnsi="Verdana"/>
          <w:sz w:val="18"/>
          <w:szCs w:val="18"/>
        </w:rPr>
        <w:t>our</w:t>
      </w:r>
      <w:r w:rsidR="00444C54" w:rsidRPr="00444C54">
        <w:rPr>
          <w:rFonts w:ascii="Verdana" w:hAnsi="Verdana"/>
          <w:sz w:val="18"/>
          <w:szCs w:val="18"/>
        </w:rPr>
        <w:t xml:space="preserve"> view do not fall within the scope of the Cove</w:t>
      </w:r>
      <w:r w:rsidR="00444C54">
        <w:rPr>
          <w:rFonts w:ascii="Verdana" w:hAnsi="Verdana"/>
          <w:sz w:val="18"/>
          <w:szCs w:val="18"/>
        </w:rPr>
        <w:t>nant, while “j</w:t>
      </w:r>
      <w:r w:rsidR="00444C54" w:rsidRPr="00444C54">
        <w:rPr>
          <w:rFonts w:ascii="Verdana" w:hAnsi="Verdana"/>
          <w:sz w:val="18"/>
          <w:szCs w:val="18"/>
        </w:rPr>
        <w:t>urisdiction” is an essentially territorial notion. Consequently, conduct performed or producing effects outside of a State party’s territory can only constitute an exercise of jurisdiction in exceptional cases. For example, the mere fact that a bullet hits an individual, missile</w:t>
      </w:r>
      <w:r w:rsidR="00444C54">
        <w:rPr>
          <w:rFonts w:ascii="Verdana" w:hAnsi="Verdana"/>
          <w:sz w:val="18"/>
          <w:szCs w:val="18"/>
        </w:rPr>
        <w:t>,</w:t>
      </w:r>
      <w:r w:rsidR="00444C54" w:rsidRPr="00444C54">
        <w:rPr>
          <w:rFonts w:ascii="Verdana" w:hAnsi="Verdana"/>
          <w:sz w:val="18"/>
          <w:szCs w:val="18"/>
        </w:rPr>
        <w:t xml:space="preserve"> or rocket fired by armed forces does not bring that individual within the power or effective control of the State party. </w:t>
      </w:r>
      <w:r w:rsidR="00EE5071">
        <w:rPr>
          <w:rFonts w:ascii="Verdana" w:hAnsi="Verdana"/>
          <w:sz w:val="18"/>
          <w:szCs w:val="18"/>
        </w:rPr>
        <w:t>We believe</w:t>
      </w:r>
      <w:r w:rsidR="00444C54">
        <w:rPr>
          <w:rFonts w:ascii="Verdana" w:hAnsi="Verdana"/>
          <w:sz w:val="18"/>
          <w:szCs w:val="18"/>
        </w:rPr>
        <w:t xml:space="preserve"> that in this regard t</w:t>
      </w:r>
      <w:r w:rsidR="00444C54" w:rsidRPr="00444C54">
        <w:rPr>
          <w:rFonts w:ascii="Verdana" w:hAnsi="Verdana"/>
          <w:sz w:val="18"/>
          <w:szCs w:val="18"/>
        </w:rPr>
        <w:t>he case law of the European Court of Human Rights,</w:t>
      </w:r>
      <w:r w:rsidR="00444C54">
        <w:rPr>
          <w:rFonts w:ascii="Verdana" w:hAnsi="Verdana"/>
          <w:sz w:val="18"/>
          <w:szCs w:val="18"/>
        </w:rPr>
        <w:t xml:space="preserve"> and</w:t>
      </w:r>
      <w:r w:rsidR="00444C54" w:rsidRPr="00444C54">
        <w:rPr>
          <w:rFonts w:ascii="Verdana" w:hAnsi="Verdana"/>
          <w:sz w:val="18"/>
          <w:szCs w:val="18"/>
        </w:rPr>
        <w:t xml:space="preserve"> in particular </w:t>
      </w:r>
      <w:proofErr w:type="spellStart"/>
      <w:r w:rsidR="00444C54" w:rsidRPr="00DD60E2">
        <w:rPr>
          <w:rFonts w:ascii="Verdana" w:hAnsi="Verdana"/>
          <w:i/>
          <w:sz w:val="18"/>
          <w:szCs w:val="18"/>
        </w:rPr>
        <w:t>Bankovic</w:t>
      </w:r>
      <w:proofErr w:type="spellEnd"/>
      <w:r w:rsidR="00444C54" w:rsidRPr="00DD60E2">
        <w:rPr>
          <w:rFonts w:ascii="Verdana" w:hAnsi="Verdana"/>
          <w:i/>
          <w:sz w:val="18"/>
          <w:szCs w:val="18"/>
        </w:rPr>
        <w:t xml:space="preserve"> and others v. Belgium and 16 other States</w:t>
      </w:r>
      <w:r w:rsidR="00444C54">
        <w:rPr>
          <w:rFonts w:ascii="Verdana" w:hAnsi="Verdana"/>
          <w:sz w:val="18"/>
          <w:szCs w:val="18"/>
        </w:rPr>
        <w:t xml:space="preserve">, </w:t>
      </w:r>
      <w:proofErr w:type="gramStart"/>
      <w:r w:rsidR="00444C54">
        <w:rPr>
          <w:rFonts w:ascii="Verdana" w:hAnsi="Verdana"/>
          <w:sz w:val="18"/>
          <w:szCs w:val="18"/>
        </w:rPr>
        <w:t>should be taken</w:t>
      </w:r>
      <w:proofErr w:type="gramEnd"/>
      <w:r w:rsidR="00444C54">
        <w:rPr>
          <w:rFonts w:ascii="Verdana" w:hAnsi="Verdana"/>
          <w:sz w:val="18"/>
          <w:szCs w:val="18"/>
        </w:rPr>
        <w:t xml:space="preserve"> into account</w:t>
      </w:r>
      <w:r w:rsidR="00444C54" w:rsidRPr="00444C54">
        <w:rPr>
          <w:rFonts w:ascii="Verdana" w:hAnsi="Verdana"/>
          <w:sz w:val="18"/>
          <w:szCs w:val="18"/>
        </w:rPr>
        <w:t xml:space="preserve">. </w:t>
      </w:r>
      <w:r w:rsidR="00BA77F7">
        <w:rPr>
          <w:rFonts w:ascii="Verdana" w:hAnsi="Verdana"/>
          <w:sz w:val="18"/>
          <w:szCs w:val="18"/>
        </w:rPr>
        <w:t>A</w:t>
      </w:r>
      <w:r w:rsidR="007016A1">
        <w:rPr>
          <w:rFonts w:ascii="Verdana" w:hAnsi="Verdana"/>
          <w:sz w:val="18"/>
          <w:szCs w:val="18"/>
        </w:rPr>
        <w:t xml:space="preserve"> </w:t>
      </w:r>
      <w:r w:rsidR="00444C54" w:rsidRPr="00444C54">
        <w:rPr>
          <w:rFonts w:ascii="Verdana" w:hAnsi="Verdana"/>
          <w:sz w:val="18"/>
          <w:szCs w:val="18"/>
        </w:rPr>
        <w:t xml:space="preserve">clear distinction must be maintained between the </w:t>
      </w:r>
      <w:proofErr w:type="gramStart"/>
      <w:r w:rsidR="00444C54" w:rsidRPr="00444C54">
        <w:rPr>
          <w:rFonts w:ascii="Verdana" w:hAnsi="Verdana"/>
          <w:sz w:val="18"/>
          <w:szCs w:val="18"/>
        </w:rPr>
        <w:t>question</w:t>
      </w:r>
      <w:proofErr w:type="gramEnd"/>
      <w:r w:rsidR="00444C54" w:rsidRPr="00444C54">
        <w:rPr>
          <w:rFonts w:ascii="Verdana" w:hAnsi="Verdana"/>
          <w:sz w:val="18"/>
          <w:szCs w:val="18"/>
        </w:rPr>
        <w:t xml:space="preserve"> of attribution of conduct to a state for the purposes of state responsibility on the one hand, and the question of whether an individual falls within the territory and jurisdiction of a State party in the sense of Article 2, paragraph 1, of the Covenant on the other. The fact that conduct that affected an individual can be attributed because that conduct was under the effective control of a State party, does not necessarily mean that the individual affected by that conduct was within the jurisdiction of that State party. </w:t>
      </w:r>
      <w:r w:rsidR="003B2EF8">
        <w:rPr>
          <w:rFonts w:ascii="Verdana" w:hAnsi="Verdana"/>
          <w:sz w:val="18"/>
          <w:szCs w:val="18"/>
        </w:rPr>
        <w:t>The Netherlands would therefore</w:t>
      </w:r>
      <w:r w:rsidR="00444C54">
        <w:rPr>
          <w:rFonts w:ascii="Verdana" w:hAnsi="Verdana"/>
          <w:sz w:val="18"/>
          <w:szCs w:val="18"/>
        </w:rPr>
        <w:t xml:space="preserve"> welcome a deletion of the second sentence of paragraph 66. </w:t>
      </w:r>
    </w:p>
    <w:p w:rsidR="003B75BB" w:rsidRDefault="00444C54" w:rsidP="00E02569">
      <w:pPr>
        <w:rPr>
          <w:rFonts w:ascii="Verdana" w:hAnsi="Verdana"/>
          <w:sz w:val="18"/>
          <w:szCs w:val="18"/>
        </w:rPr>
      </w:pPr>
      <w:r>
        <w:rPr>
          <w:rFonts w:ascii="Verdana" w:hAnsi="Verdana"/>
          <w:sz w:val="18"/>
          <w:szCs w:val="18"/>
        </w:rPr>
        <w:t xml:space="preserve">On a more editorial note, </w:t>
      </w:r>
      <w:r w:rsidR="003B75BB">
        <w:rPr>
          <w:rFonts w:ascii="Verdana" w:hAnsi="Verdana"/>
          <w:sz w:val="18"/>
          <w:szCs w:val="18"/>
        </w:rPr>
        <w:t xml:space="preserve">it </w:t>
      </w:r>
      <w:proofErr w:type="gramStart"/>
      <w:r w:rsidR="003B75BB">
        <w:rPr>
          <w:rFonts w:ascii="Verdana" w:hAnsi="Verdana"/>
          <w:sz w:val="18"/>
          <w:szCs w:val="18"/>
        </w:rPr>
        <w:t xml:space="preserve">can be </w:t>
      </w:r>
      <w:r w:rsidR="005127C6">
        <w:rPr>
          <w:rFonts w:ascii="Verdana" w:hAnsi="Verdana"/>
          <w:sz w:val="18"/>
          <w:szCs w:val="18"/>
        </w:rPr>
        <w:t>noted</w:t>
      </w:r>
      <w:proofErr w:type="gramEnd"/>
      <w:r w:rsidR="005127C6">
        <w:rPr>
          <w:rFonts w:ascii="Verdana" w:hAnsi="Verdana"/>
          <w:sz w:val="18"/>
          <w:szCs w:val="18"/>
        </w:rPr>
        <w:t xml:space="preserve"> that</w:t>
      </w:r>
      <w:r>
        <w:rPr>
          <w:rFonts w:ascii="Verdana" w:hAnsi="Verdana"/>
          <w:sz w:val="18"/>
          <w:szCs w:val="18"/>
        </w:rPr>
        <w:t xml:space="preserve"> the reference to ‘distress in sea’</w:t>
      </w:r>
      <w:r w:rsidR="00F4620A">
        <w:rPr>
          <w:rFonts w:ascii="Verdana" w:hAnsi="Verdana"/>
          <w:sz w:val="18"/>
          <w:szCs w:val="18"/>
        </w:rPr>
        <w:t xml:space="preserve"> in paragraph 66</w:t>
      </w:r>
      <w:r>
        <w:rPr>
          <w:rFonts w:ascii="Verdana" w:hAnsi="Verdana"/>
          <w:sz w:val="18"/>
          <w:szCs w:val="18"/>
        </w:rPr>
        <w:t xml:space="preserve"> should read ‘distress </w:t>
      </w:r>
      <w:r>
        <w:rPr>
          <w:rFonts w:ascii="Verdana" w:hAnsi="Verdana"/>
          <w:i/>
          <w:sz w:val="18"/>
          <w:szCs w:val="18"/>
        </w:rPr>
        <w:t>at</w:t>
      </w:r>
      <w:r>
        <w:rPr>
          <w:rFonts w:ascii="Verdana" w:hAnsi="Verdana"/>
          <w:sz w:val="18"/>
          <w:szCs w:val="18"/>
        </w:rPr>
        <w:t xml:space="preserve"> sea’. </w:t>
      </w:r>
      <w:r w:rsidR="003B75BB">
        <w:rPr>
          <w:rFonts w:ascii="Verdana" w:hAnsi="Verdana"/>
          <w:sz w:val="18"/>
          <w:szCs w:val="18"/>
        </w:rPr>
        <w:t>The Netherlands</w:t>
      </w:r>
      <w:r w:rsidR="00F4620A">
        <w:rPr>
          <w:rFonts w:ascii="Verdana" w:hAnsi="Verdana"/>
          <w:sz w:val="18"/>
          <w:szCs w:val="18"/>
        </w:rPr>
        <w:t xml:space="preserve"> would further like to mention</w:t>
      </w:r>
      <w:r w:rsidR="004530A8">
        <w:rPr>
          <w:rFonts w:ascii="Verdana" w:hAnsi="Verdana"/>
          <w:sz w:val="18"/>
          <w:szCs w:val="18"/>
        </w:rPr>
        <w:t xml:space="preserve"> that w</w:t>
      </w:r>
      <w:r w:rsidR="004530A8" w:rsidRPr="004530A8">
        <w:rPr>
          <w:rFonts w:ascii="Verdana" w:hAnsi="Verdana"/>
          <w:sz w:val="18"/>
          <w:szCs w:val="18"/>
        </w:rPr>
        <w:t xml:space="preserve">hile </w:t>
      </w:r>
      <w:r w:rsidR="004530A8">
        <w:rPr>
          <w:rFonts w:ascii="Verdana" w:hAnsi="Verdana"/>
          <w:sz w:val="18"/>
          <w:szCs w:val="18"/>
        </w:rPr>
        <w:t xml:space="preserve">the International Convention on Maritime Search and Rescue </w:t>
      </w:r>
      <w:r w:rsidR="00F4620A">
        <w:rPr>
          <w:rFonts w:ascii="Verdana" w:hAnsi="Verdana"/>
          <w:sz w:val="18"/>
          <w:szCs w:val="18"/>
        </w:rPr>
        <w:t>aims</w:t>
      </w:r>
      <w:r w:rsidR="004530A8" w:rsidRPr="004530A8">
        <w:rPr>
          <w:rFonts w:ascii="Verdana" w:hAnsi="Verdana"/>
          <w:sz w:val="18"/>
          <w:szCs w:val="18"/>
        </w:rPr>
        <w:t xml:space="preserve"> at protecting life at sea, </w:t>
      </w:r>
      <w:r w:rsidR="004530A8">
        <w:rPr>
          <w:rFonts w:ascii="Verdana" w:hAnsi="Verdana"/>
          <w:sz w:val="18"/>
          <w:szCs w:val="18"/>
        </w:rPr>
        <w:t>this</w:t>
      </w:r>
      <w:r w:rsidR="004530A8" w:rsidRPr="004530A8">
        <w:rPr>
          <w:rFonts w:ascii="Verdana" w:hAnsi="Verdana"/>
          <w:sz w:val="18"/>
          <w:szCs w:val="18"/>
        </w:rPr>
        <w:t xml:space="preserve"> is a rather different concept than the obligations derived from effective control, etc., establishing jurisdiction in the sense of art. 2(1) of the ICCPR. The provisions of UNCLOS as regards the high seas also do not readily allow application of the concept of “jurisdiction” over areas of the high seas. </w:t>
      </w:r>
      <w:r w:rsidR="0034508B">
        <w:rPr>
          <w:rFonts w:ascii="Verdana" w:hAnsi="Verdana"/>
          <w:sz w:val="18"/>
          <w:szCs w:val="18"/>
        </w:rPr>
        <w:t xml:space="preserve">Therefore, the Netherlands would welcome a deletion of </w:t>
      </w:r>
      <w:r w:rsidR="00E86C23" w:rsidRPr="00E86C23">
        <w:rPr>
          <w:rFonts w:ascii="Verdana" w:hAnsi="Verdana"/>
          <w:sz w:val="18"/>
          <w:szCs w:val="18"/>
        </w:rPr>
        <w:t>the reference to ‘an area of the high seas over which particular States parties have assumed de facto responsibility, including pursuant to the relevant international norms governing rescue at sea’</w:t>
      </w:r>
      <w:r w:rsidR="00E86C23">
        <w:rPr>
          <w:rFonts w:ascii="Verdana" w:hAnsi="Verdana"/>
          <w:sz w:val="18"/>
          <w:szCs w:val="18"/>
        </w:rPr>
        <w:t>.</w:t>
      </w:r>
    </w:p>
    <w:p w:rsidR="00255F16" w:rsidRDefault="00284DA0" w:rsidP="00E02569">
      <w:pPr>
        <w:rPr>
          <w:rFonts w:ascii="Verdana" w:hAnsi="Verdana"/>
          <w:sz w:val="18"/>
          <w:szCs w:val="18"/>
        </w:rPr>
      </w:pPr>
      <w:r>
        <w:rPr>
          <w:rFonts w:ascii="Verdana" w:hAnsi="Verdana"/>
          <w:sz w:val="18"/>
          <w:szCs w:val="18"/>
        </w:rPr>
        <w:t>30</w:t>
      </w:r>
      <w:r w:rsidR="00DD60E2">
        <w:rPr>
          <w:rFonts w:ascii="Verdana" w:hAnsi="Verdana"/>
          <w:sz w:val="18"/>
          <w:szCs w:val="18"/>
        </w:rPr>
        <w:t xml:space="preserve">. </w:t>
      </w:r>
      <w:r w:rsidR="00255F16">
        <w:rPr>
          <w:rFonts w:ascii="Verdana" w:hAnsi="Verdana"/>
          <w:sz w:val="18"/>
          <w:szCs w:val="18"/>
        </w:rPr>
        <w:t xml:space="preserve">Finally, </w:t>
      </w:r>
      <w:r w:rsidR="003B75BB">
        <w:rPr>
          <w:rFonts w:ascii="Verdana" w:hAnsi="Verdana"/>
          <w:sz w:val="18"/>
          <w:szCs w:val="18"/>
        </w:rPr>
        <w:t>the Netherlands</w:t>
      </w:r>
      <w:r w:rsidR="00255F16">
        <w:rPr>
          <w:rFonts w:ascii="Verdana" w:hAnsi="Verdana"/>
          <w:sz w:val="18"/>
          <w:szCs w:val="18"/>
        </w:rPr>
        <w:t xml:space="preserve"> would like to make the following remarks to</w:t>
      </w:r>
      <w:r w:rsidR="00676975">
        <w:rPr>
          <w:rFonts w:ascii="Verdana" w:hAnsi="Verdana"/>
          <w:sz w:val="18"/>
          <w:szCs w:val="18"/>
        </w:rPr>
        <w:t xml:space="preserve"> paragraph 67</w:t>
      </w:r>
      <w:r w:rsidR="00255F16">
        <w:rPr>
          <w:rFonts w:ascii="Verdana" w:hAnsi="Verdana"/>
          <w:sz w:val="18"/>
          <w:szCs w:val="18"/>
        </w:rPr>
        <w:t>:</w:t>
      </w:r>
    </w:p>
    <w:p w:rsidR="0033576D" w:rsidRPr="00592C50" w:rsidRDefault="001E48EB" w:rsidP="00E02569">
      <w:pPr>
        <w:rPr>
          <w:rFonts w:ascii="Verdana" w:hAnsi="Verdana"/>
          <w:sz w:val="18"/>
          <w:szCs w:val="18"/>
        </w:rPr>
      </w:pPr>
      <w:r w:rsidRPr="00592C50">
        <w:rPr>
          <w:rFonts w:ascii="Verdana" w:hAnsi="Verdana"/>
          <w:sz w:val="18"/>
          <w:szCs w:val="18"/>
        </w:rPr>
        <w:t xml:space="preserve">It </w:t>
      </w:r>
      <w:r w:rsidR="00DD60E2" w:rsidRPr="00592C50">
        <w:rPr>
          <w:rFonts w:ascii="Verdana" w:hAnsi="Verdana"/>
          <w:sz w:val="18"/>
          <w:szCs w:val="18"/>
        </w:rPr>
        <w:t>is proposed</w:t>
      </w:r>
      <w:r w:rsidR="00676975" w:rsidRPr="00592C50">
        <w:rPr>
          <w:rFonts w:ascii="Verdana" w:hAnsi="Verdana"/>
          <w:sz w:val="18"/>
          <w:szCs w:val="18"/>
        </w:rPr>
        <w:t xml:space="preserve"> t</w:t>
      </w:r>
      <w:r w:rsidRPr="00592C50">
        <w:rPr>
          <w:rFonts w:ascii="Verdana" w:hAnsi="Verdana"/>
          <w:sz w:val="18"/>
          <w:szCs w:val="18"/>
        </w:rPr>
        <w:t>o</w:t>
      </w:r>
      <w:r w:rsidR="00676975" w:rsidRPr="00592C50">
        <w:rPr>
          <w:rFonts w:ascii="Verdana" w:hAnsi="Verdana"/>
          <w:sz w:val="18"/>
          <w:szCs w:val="18"/>
        </w:rPr>
        <w:t xml:space="preserve"> delet</w:t>
      </w:r>
      <w:r w:rsidRPr="00592C50">
        <w:rPr>
          <w:rFonts w:ascii="Verdana" w:hAnsi="Verdana"/>
          <w:sz w:val="18"/>
          <w:szCs w:val="18"/>
        </w:rPr>
        <w:t>e</w:t>
      </w:r>
      <w:r w:rsidR="00676975" w:rsidRPr="00592C50">
        <w:rPr>
          <w:rFonts w:ascii="Verdana" w:hAnsi="Verdana"/>
          <w:sz w:val="18"/>
          <w:szCs w:val="18"/>
        </w:rPr>
        <w:t xml:space="preserve"> the phrase ‘authorized and regulated by and’, in the third sentence. </w:t>
      </w:r>
      <w:r w:rsidRPr="00592C50">
        <w:rPr>
          <w:rFonts w:ascii="Verdana" w:hAnsi="Verdana"/>
          <w:sz w:val="18"/>
          <w:szCs w:val="18"/>
        </w:rPr>
        <w:t>T</w:t>
      </w:r>
      <w:r w:rsidR="00676975" w:rsidRPr="00592C50">
        <w:rPr>
          <w:rFonts w:ascii="Verdana" w:hAnsi="Verdana"/>
          <w:sz w:val="18"/>
          <w:szCs w:val="18"/>
        </w:rPr>
        <w:t xml:space="preserve">hese words are redundant, as they </w:t>
      </w:r>
      <w:proofErr w:type="gramStart"/>
      <w:r w:rsidR="00676975" w:rsidRPr="00592C50">
        <w:rPr>
          <w:rFonts w:ascii="Verdana" w:hAnsi="Verdana"/>
          <w:sz w:val="18"/>
          <w:szCs w:val="18"/>
        </w:rPr>
        <w:t>are already covered</w:t>
      </w:r>
      <w:proofErr w:type="gramEnd"/>
      <w:r w:rsidR="00676975" w:rsidRPr="00592C50">
        <w:rPr>
          <w:rFonts w:ascii="Verdana" w:hAnsi="Verdana"/>
          <w:sz w:val="18"/>
          <w:szCs w:val="18"/>
        </w:rPr>
        <w:t xml:space="preserve"> by the words ‘consistent with’. Use of force consistent with </w:t>
      </w:r>
      <w:r w:rsidR="00255F16" w:rsidRPr="00592C50">
        <w:rPr>
          <w:rFonts w:ascii="Verdana" w:hAnsi="Verdana"/>
          <w:sz w:val="18"/>
          <w:szCs w:val="18"/>
        </w:rPr>
        <w:t>international h</w:t>
      </w:r>
      <w:r w:rsidR="00676975" w:rsidRPr="00592C50">
        <w:rPr>
          <w:rFonts w:ascii="Verdana" w:hAnsi="Verdana"/>
          <w:sz w:val="18"/>
          <w:szCs w:val="18"/>
        </w:rPr>
        <w:t xml:space="preserve">umanitarian </w:t>
      </w:r>
      <w:r w:rsidR="00255F16" w:rsidRPr="00592C50">
        <w:rPr>
          <w:rFonts w:ascii="Verdana" w:hAnsi="Verdana"/>
          <w:sz w:val="18"/>
          <w:szCs w:val="18"/>
        </w:rPr>
        <w:t>l</w:t>
      </w:r>
      <w:r w:rsidR="00676975" w:rsidRPr="00592C50">
        <w:rPr>
          <w:rFonts w:ascii="Verdana" w:hAnsi="Verdana"/>
          <w:sz w:val="18"/>
          <w:szCs w:val="18"/>
        </w:rPr>
        <w:t>aw is by definition also authorized and regulated by that law. Including this wording is likely to lead to confusion, because there are no IHL rules that explicitly authorize use of force against legitimate military objectives,</w:t>
      </w:r>
      <w:r w:rsidR="00255F16" w:rsidRPr="00592C50">
        <w:rPr>
          <w:rFonts w:ascii="Verdana" w:hAnsi="Verdana"/>
          <w:sz w:val="18"/>
          <w:szCs w:val="18"/>
        </w:rPr>
        <w:t xml:space="preserve"> including combatants and persons directly participating in hostilities. Such authority however is a fundamental principle underlying the whole system of IHL.</w:t>
      </w:r>
    </w:p>
    <w:p w:rsidR="00255F16" w:rsidRPr="00592C50" w:rsidRDefault="00CB26B6" w:rsidP="00E02569">
      <w:pPr>
        <w:rPr>
          <w:rFonts w:ascii="Verdana" w:hAnsi="Verdana"/>
          <w:sz w:val="18"/>
          <w:szCs w:val="18"/>
        </w:rPr>
      </w:pPr>
      <w:proofErr w:type="gramStart"/>
      <w:r>
        <w:rPr>
          <w:rFonts w:ascii="Verdana" w:hAnsi="Verdana"/>
          <w:sz w:val="18"/>
          <w:szCs w:val="18"/>
        </w:rPr>
        <w:t>The Netherlands</w:t>
      </w:r>
      <w:r w:rsidR="00255F16" w:rsidRPr="00592C50">
        <w:rPr>
          <w:rFonts w:ascii="Verdana" w:hAnsi="Verdana"/>
          <w:sz w:val="18"/>
          <w:szCs w:val="18"/>
        </w:rPr>
        <w:t xml:space="preserve"> would like to see </w:t>
      </w:r>
      <w:r>
        <w:rPr>
          <w:rFonts w:ascii="Verdana" w:hAnsi="Verdana"/>
          <w:sz w:val="18"/>
          <w:szCs w:val="18"/>
        </w:rPr>
        <w:t xml:space="preserve">deletion of </w:t>
      </w:r>
      <w:r w:rsidR="00255F16" w:rsidRPr="00592C50">
        <w:rPr>
          <w:rFonts w:ascii="Verdana" w:hAnsi="Verdana"/>
          <w:sz w:val="18"/>
          <w:szCs w:val="18"/>
        </w:rPr>
        <w:t xml:space="preserve">the statement ‘[b]y contrast, practices inconsistent with international humanitarian law, entailing a risk to the lives of civilians and persons hors de combat, including the targeting of civilians and civilian objects, indiscriminate attacks, failure to apply adequate </w:t>
      </w:r>
      <w:r w:rsidR="00255F16" w:rsidRPr="00592C50">
        <w:rPr>
          <w:rFonts w:ascii="Verdana" w:hAnsi="Verdana"/>
          <w:sz w:val="18"/>
          <w:szCs w:val="18"/>
        </w:rPr>
        <w:lastRenderedPageBreak/>
        <w:t>measures of precaution to prevent collateral death of civilians, and the use of human shields, violate article 6 of the Covenant’.</w:t>
      </w:r>
      <w:proofErr w:type="gramEnd"/>
      <w:r w:rsidR="00255F16" w:rsidRPr="00592C50">
        <w:rPr>
          <w:rFonts w:ascii="Verdana" w:hAnsi="Verdana"/>
          <w:sz w:val="18"/>
          <w:szCs w:val="18"/>
        </w:rPr>
        <w:t xml:space="preserve"> This statement is overly broad and absolute. </w:t>
      </w:r>
      <w:proofErr w:type="gramStart"/>
      <w:r w:rsidR="00255F16" w:rsidRPr="00592C50">
        <w:rPr>
          <w:rFonts w:ascii="Verdana" w:hAnsi="Verdana"/>
          <w:sz w:val="18"/>
          <w:szCs w:val="18"/>
        </w:rPr>
        <w:t>Not every practice inconsistent</w:t>
      </w:r>
      <w:proofErr w:type="gramEnd"/>
      <w:r w:rsidR="00255F16" w:rsidRPr="00592C50">
        <w:rPr>
          <w:rFonts w:ascii="Verdana" w:hAnsi="Verdana"/>
          <w:sz w:val="18"/>
          <w:szCs w:val="18"/>
        </w:rPr>
        <w:t xml:space="preserve"> with IHL and entailing a risk, however small, to the lives of civilians or persons </w:t>
      </w:r>
      <w:r w:rsidR="00255F16" w:rsidRPr="00FF4DD6">
        <w:rPr>
          <w:rFonts w:ascii="Verdana" w:hAnsi="Verdana"/>
          <w:i/>
          <w:sz w:val="18"/>
          <w:szCs w:val="18"/>
        </w:rPr>
        <w:t>hors de combat</w:t>
      </w:r>
      <w:r w:rsidR="00255F16" w:rsidRPr="00592C50">
        <w:rPr>
          <w:rFonts w:ascii="Verdana" w:hAnsi="Verdana"/>
          <w:sz w:val="18"/>
          <w:szCs w:val="18"/>
        </w:rPr>
        <w:t xml:space="preserve"> is necessarily a violation of Article 6 of the Covenant. Practices inconsistent with the specific examples of IHL principles, such as targeting civilians (</w:t>
      </w:r>
      <w:r w:rsidR="00CC59E1">
        <w:rPr>
          <w:rFonts w:ascii="Verdana" w:hAnsi="Verdana"/>
          <w:sz w:val="18"/>
          <w:szCs w:val="18"/>
        </w:rPr>
        <w:t>n</w:t>
      </w:r>
      <w:r w:rsidR="00255F16" w:rsidRPr="00592C50">
        <w:rPr>
          <w:rFonts w:ascii="Verdana" w:hAnsi="Verdana"/>
          <w:sz w:val="18"/>
          <w:szCs w:val="18"/>
        </w:rPr>
        <w:t>ote that the term of art in IHL is “attacks” on civilians) clearly would constitute a violation of Article 6, but the same is not necessarily true for all other rules and principles of IHL.</w:t>
      </w:r>
      <w:r w:rsidR="0034508B">
        <w:rPr>
          <w:rFonts w:ascii="Verdana" w:hAnsi="Verdana"/>
          <w:sz w:val="18"/>
          <w:szCs w:val="18"/>
        </w:rPr>
        <w:t xml:space="preserve"> In any event, the text should not imply that all collateral deaths would constitute a violation of art. </w:t>
      </w:r>
      <w:proofErr w:type="gramStart"/>
      <w:r w:rsidR="0034508B">
        <w:rPr>
          <w:rFonts w:ascii="Verdana" w:hAnsi="Verdana"/>
          <w:sz w:val="18"/>
          <w:szCs w:val="18"/>
        </w:rPr>
        <w:t>6</w:t>
      </w:r>
      <w:proofErr w:type="gramEnd"/>
      <w:r w:rsidR="0034508B">
        <w:rPr>
          <w:rFonts w:ascii="Verdana" w:hAnsi="Verdana"/>
          <w:sz w:val="18"/>
          <w:szCs w:val="18"/>
        </w:rPr>
        <w:t xml:space="preserve"> ICCPR, since such an interpretation would clearly be incompatible with the provisions of IHL.</w:t>
      </w:r>
    </w:p>
    <w:p w:rsidR="00255F16" w:rsidRPr="00592C50" w:rsidRDefault="00CB26B6" w:rsidP="00E02569">
      <w:pPr>
        <w:rPr>
          <w:rFonts w:ascii="Verdana" w:hAnsi="Verdana"/>
          <w:sz w:val="18"/>
          <w:szCs w:val="18"/>
        </w:rPr>
      </w:pPr>
      <w:proofErr w:type="gramStart"/>
      <w:r>
        <w:rPr>
          <w:rFonts w:ascii="Verdana" w:hAnsi="Verdana"/>
          <w:sz w:val="18"/>
          <w:szCs w:val="18"/>
        </w:rPr>
        <w:t>Lastly, the Netherlands</w:t>
      </w:r>
      <w:r w:rsidR="00255F16" w:rsidRPr="00592C50">
        <w:rPr>
          <w:rFonts w:ascii="Verdana" w:hAnsi="Verdana"/>
          <w:sz w:val="18"/>
          <w:szCs w:val="18"/>
        </w:rPr>
        <w:t xml:space="preserve"> does not share the view of the Committee that ‘[s]</w:t>
      </w:r>
      <w:proofErr w:type="spellStart"/>
      <w:r w:rsidR="00255F16" w:rsidRPr="00592C50">
        <w:rPr>
          <w:rFonts w:ascii="Verdana" w:hAnsi="Verdana"/>
          <w:sz w:val="18"/>
          <w:szCs w:val="18"/>
        </w:rPr>
        <w:t>tates</w:t>
      </w:r>
      <w:proofErr w:type="spellEnd"/>
      <w:r w:rsidR="00255F16" w:rsidRPr="00592C50">
        <w:rPr>
          <w:rFonts w:ascii="Verdana" w:hAnsi="Verdana"/>
          <w:sz w:val="18"/>
          <w:szCs w:val="18"/>
        </w:rPr>
        <w:t xml:space="preserve"> parties should [, subject to compelling security considerations,] disclose the criteria for attacking with lethal force individuals or objects whose targeting is expected to result in deprivation of life, including the legal basis for specific attacks, the process of identification of military targets and combatants or persons taking a direct part in hostilities, the circumstances in which relevant means and methods of warfare have been used,  and whether non-lethal alternatives for attaining the same military objective were considered’.</w:t>
      </w:r>
      <w:proofErr w:type="gramEnd"/>
      <w:r w:rsidR="00255F16" w:rsidRPr="00592C50">
        <w:rPr>
          <w:rFonts w:ascii="Verdana" w:hAnsi="Verdana"/>
          <w:sz w:val="18"/>
          <w:szCs w:val="18"/>
        </w:rPr>
        <w:t xml:space="preserve"> This obligation </w:t>
      </w:r>
      <w:proofErr w:type="gramStart"/>
      <w:r w:rsidR="00255F16" w:rsidRPr="00592C50">
        <w:rPr>
          <w:rFonts w:ascii="Verdana" w:hAnsi="Verdana"/>
          <w:sz w:val="18"/>
          <w:szCs w:val="18"/>
        </w:rPr>
        <w:t>cannot legally be derived</w:t>
      </w:r>
      <w:proofErr w:type="gramEnd"/>
      <w:r w:rsidR="00255F16" w:rsidRPr="00592C50">
        <w:rPr>
          <w:rFonts w:ascii="Verdana" w:hAnsi="Verdana"/>
          <w:sz w:val="18"/>
          <w:szCs w:val="18"/>
        </w:rPr>
        <w:t xml:space="preserve"> from either the ICCPR or the provisions of IHL. IHL does not require disclosing criteria for attacking with lethal force, and this </w:t>
      </w:r>
      <w:proofErr w:type="gramStart"/>
      <w:r w:rsidR="00255F16" w:rsidRPr="00592C50">
        <w:rPr>
          <w:rFonts w:ascii="Verdana" w:hAnsi="Verdana"/>
          <w:sz w:val="18"/>
          <w:szCs w:val="18"/>
        </w:rPr>
        <w:t>cannot be considered</w:t>
      </w:r>
      <w:proofErr w:type="gramEnd"/>
      <w:r w:rsidR="00255F16" w:rsidRPr="00592C50">
        <w:rPr>
          <w:rFonts w:ascii="Verdana" w:hAnsi="Verdana"/>
          <w:sz w:val="18"/>
          <w:szCs w:val="18"/>
        </w:rPr>
        <w:t xml:space="preserve"> realistic in the face of the realities of military operations (including, as one of many reasons, the large number of individual uses of force within an operation or armed conflict as a whole). On the contrary, IHL takes account of the need for operational security during armed conflicts. [Disregarding]</w:t>
      </w:r>
      <w:proofErr w:type="gramStart"/>
      <w:r w:rsidR="00255F16" w:rsidRPr="00592C50">
        <w:rPr>
          <w:rFonts w:ascii="Verdana" w:hAnsi="Verdana"/>
          <w:sz w:val="18"/>
          <w:szCs w:val="18"/>
        </w:rPr>
        <w:t>/[</w:t>
      </w:r>
      <w:proofErr w:type="gramEnd"/>
      <w:r w:rsidR="00255F16" w:rsidRPr="00592C50">
        <w:rPr>
          <w:rFonts w:ascii="Verdana" w:hAnsi="Verdana"/>
          <w:sz w:val="18"/>
          <w:szCs w:val="18"/>
        </w:rPr>
        <w:t xml:space="preserve">Not acknowledging] this would in effect make it impossible to conduct military operations during armed conflict. The widespread classification of Rules of Engagement used by armed forces, for example, is a clear reflection of this. Therefore, </w:t>
      </w:r>
      <w:r>
        <w:rPr>
          <w:rFonts w:ascii="Verdana" w:hAnsi="Verdana"/>
          <w:sz w:val="18"/>
          <w:szCs w:val="18"/>
        </w:rPr>
        <w:t>the Netherlands</w:t>
      </w:r>
      <w:r w:rsidR="00255F16" w:rsidRPr="00592C50">
        <w:rPr>
          <w:rFonts w:ascii="Verdana" w:hAnsi="Verdana"/>
          <w:sz w:val="18"/>
          <w:szCs w:val="18"/>
        </w:rPr>
        <w:t xml:space="preserve"> </w:t>
      </w:r>
      <w:r w:rsidR="00EC45D0">
        <w:rPr>
          <w:rFonts w:ascii="Verdana" w:hAnsi="Verdana"/>
          <w:sz w:val="18"/>
          <w:szCs w:val="18"/>
        </w:rPr>
        <w:t xml:space="preserve">suggests </w:t>
      </w:r>
      <w:r w:rsidR="00255F16" w:rsidRPr="00592C50">
        <w:rPr>
          <w:rFonts w:ascii="Verdana" w:hAnsi="Verdana"/>
          <w:sz w:val="18"/>
          <w:szCs w:val="18"/>
        </w:rPr>
        <w:t>the deletion of this sentence.</w:t>
      </w:r>
    </w:p>
    <w:p w:rsidR="00255F16" w:rsidRPr="00255F16" w:rsidRDefault="00255F16" w:rsidP="00E02569">
      <w:pPr>
        <w:rPr>
          <w:rFonts w:ascii="Verdana" w:hAnsi="Verdana"/>
          <w:sz w:val="18"/>
          <w:szCs w:val="18"/>
        </w:rPr>
      </w:pPr>
    </w:p>
    <w:sectPr w:rsidR="00255F16" w:rsidRPr="00255F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86DF8"/>
    <w:multiLevelType w:val="hybridMultilevel"/>
    <w:tmpl w:val="B40E19E8"/>
    <w:lvl w:ilvl="0" w:tplc="4E1C145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F24E69"/>
    <w:multiLevelType w:val="hybridMultilevel"/>
    <w:tmpl w:val="028AC828"/>
    <w:lvl w:ilvl="0" w:tplc="8084E3EA">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8F4"/>
    <w:rsid w:val="000301A7"/>
    <w:rsid w:val="0008747B"/>
    <w:rsid w:val="0008778F"/>
    <w:rsid w:val="000E2DD3"/>
    <w:rsid w:val="000E7601"/>
    <w:rsid w:val="00116E17"/>
    <w:rsid w:val="00120DA3"/>
    <w:rsid w:val="00130337"/>
    <w:rsid w:val="00152F65"/>
    <w:rsid w:val="00177665"/>
    <w:rsid w:val="001B0F31"/>
    <w:rsid w:val="001D56F1"/>
    <w:rsid w:val="001E3484"/>
    <w:rsid w:val="001E48EB"/>
    <w:rsid w:val="001E70D0"/>
    <w:rsid w:val="001F6960"/>
    <w:rsid w:val="00200390"/>
    <w:rsid w:val="00211670"/>
    <w:rsid w:val="00232007"/>
    <w:rsid w:val="00237599"/>
    <w:rsid w:val="00255F16"/>
    <w:rsid w:val="00284DA0"/>
    <w:rsid w:val="002A6E16"/>
    <w:rsid w:val="002F1CBE"/>
    <w:rsid w:val="00310B3D"/>
    <w:rsid w:val="0033576D"/>
    <w:rsid w:val="0034508B"/>
    <w:rsid w:val="003940FB"/>
    <w:rsid w:val="00394628"/>
    <w:rsid w:val="00396F43"/>
    <w:rsid w:val="003B2EF8"/>
    <w:rsid w:val="003B75BB"/>
    <w:rsid w:val="003C17A3"/>
    <w:rsid w:val="003F6668"/>
    <w:rsid w:val="00425D88"/>
    <w:rsid w:val="00434C4C"/>
    <w:rsid w:val="00443BE2"/>
    <w:rsid w:val="00444C54"/>
    <w:rsid w:val="004530A8"/>
    <w:rsid w:val="00455BC6"/>
    <w:rsid w:val="00465C64"/>
    <w:rsid w:val="004E6CC6"/>
    <w:rsid w:val="004F5798"/>
    <w:rsid w:val="005127C6"/>
    <w:rsid w:val="005307BE"/>
    <w:rsid w:val="0053134B"/>
    <w:rsid w:val="00553AA7"/>
    <w:rsid w:val="0056729C"/>
    <w:rsid w:val="005776C8"/>
    <w:rsid w:val="0058024B"/>
    <w:rsid w:val="005812AB"/>
    <w:rsid w:val="00592C50"/>
    <w:rsid w:val="005C04B4"/>
    <w:rsid w:val="005C3A67"/>
    <w:rsid w:val="00615F07"/>
    <w:rsid w:val="006519A4"/>
    <w:rsid w:val="00676975"/>
    <w:rsid w:val="00680DB8"/>
    <w:rsid w:val="006D07E8"/>
    <w:rsid w:val="006D7346"/>
    <w:rsid w:val="006F0A8B"/>
    <w:rsid w:val="006F2763"/>
    <w:rsid w:val="006F7CCF"/>
    <w:rsid w:val="007016A1"/>
    <w:rsid w:val="007238F4"/>
    <w:rsid w:val="007426E5"/>
    <w:rsid w:val="00754F6D"/>
    <w:rsid w:val="00760C20"/>
    <w:rsid w:val="007B1C04"/>
    <w:rsid w:val="007D37EC"/>
    <w:rsid w:val="00822D65"/>
    <w:rsid w:val="00864E03"/>
    <w:rsid w:val="008669B5"/>
    <w:rsid w:val="00895661"/>
    <w:rsid w:val="008A3B4A"/>
    <w:rsid w:val="008A5495"/>
    <w:rsid w:val="008B26EA"/>
    <w:rsid w:val="008C4820"/>
    <w:rsid w:val="008C5B50"/>
    <w:rsid w:val="008E43E2"/>
    <w:rsid w:val="00945A04"/>
    <w:rsid w:val="00963F40"/>
    <w:rsid w:val="009706C4"/>
    <w:rsid w:val="00972A56"/>
    <w:rsid w:val="009E22B8"/>
    <w:rsid w:val="00A03659"/>
    <w:rsid w:val="00A70292"/>
    <w:rsid w:val="00A73462"/>
    <w:rsid w:val="00AF00B7"/>
    <w:rsid w:val="00AF7BC3"/>
    <w:rsid w:val="00B31D08"/>
    <w:rsid w:val="00B37101"/>
    <w:rsid w:val="00B372F3"/>
    <w:rsid w:val="00B4092D"/>
    <w:rsid w:val="00B45A9F"/>
    <w:rsid w:val="00B75DE1"/>
    <w:rsid w:val="00B902C5"/>
    <w:rsid w:val="00BA11C3"/>
    <w:rsid w:val="00BA55FA"/>
    <w:rsid w:val="00BA77F7"/>
    <w:rsid w:val="00BC0DA2"/>
    <w:rsid w:val="00BC18E2"/>
    <w:rsid w:val="00C03F8B"/>
    <w:rsid w:val="00C329CE"/>
    <w:rsid w:val="00C46C6F"/>
    <w:rsid w:val="00C5501B"/>
    <w:rsid w:val="00C96363"/>
    <w:rsid w:val="00CA4442"/>
    <w:rsid w:val="00CB26B6"/>
    <w:rsid w:val="00CC59E1"/>
    <w:rsid w:val="00CD722A"/>
    <w:rsid w:val="00D04504"/>
    <w:rsid w:val="00D7056F"/>
    <w:rsid w:val="00D71F71"/>
    <w:rsid w:val="00D83F3C"/>
    <w:rsid w:val="00D8579D"/>
    <w:rsid w:val="00DA7C5A"/>
    <w:rsid w:val="00DB17F1"/>
    <w:rsid w:val="00DD60E2"/>
    <w:rsid w:val="00E02569"/>
    <w:rsid w:val="00E1512D"/>
    <w:rsid w:val="00E21E07"/>
    <w:rsid w:val="00E30D10"/>
    <w:rsid w:val="00E561F0"/>
    <w:rsid w:val="00E621E8"/>
    <w:rsid w:val="00E6222F"/>
    <w:rsid w:val="00E726CF"/>
    <w:rsid w:val="00E77DA5"/>
    <w:rsid w:val="00E86C23"/>
    <w:rsid w:val="00E95493"/>
    <w:rsid w:val="00EB436F"/>
    <w:rsid w:val="00EC45D0"/>
    <w:rsid w:val="00EE5071"/>
    <w:rsid w:val="00EF1908"/>
    <w:rsid w:val="00EF4DD3"/>
    <w:rsid w:val="00F01821"/>
    <w:rsid w:val="00F12BCF"/>
    <w:rsid w:val="00F154A1"/>
    <w:rsid w:val="00F41404"/>
    <w:rsid w:val="00F4620A"/>
    <w:rsid w:val="00F55595"/>
    <w:rsid w:val="00F873A8"/>
    <w:rsid w:val="00FC1A08"/>
    <w:rsid w:val="00FD217D"/>
    <w:rsid w:val="00FF4DD6"/>
    <w:rsid w:val="00FF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C1E80-4F6E-4755-B9B3-AC0DE7FA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F16"/>
    <w:pPr>
      <w:ind w:left="720"/>
      <w:contextualSpacing/>
    </w:pPr>
  </w:style>
  <w:style w:type="character" w:styleId="CommentReference">
    <w:name w:val="annotation reference"/>
    <w:basedOn w:val="DefaultParagraphFont"/>
    <w:uiPriority w:val="99"/>
    <w:semiHidden/>
    <w:unhideWhenUsed/>
    <w:rsid w:val="00255F16"/>
    <w:rPr>
      <w:sz w:val="16"/>
      <w:szCs w:val="16"/>
    </w:rPr>
  </w:style>
  <w:style w:type="paragraph" w:styleId="CommentText">
    <w:name w:val="annotation text"/>
    <w:basedOn w:val="Normal"/>
    <w:link w:val="CommentTextChar"/>
    <w:uiPriority w:val="99"/>
    <w:semiHidden/>
    <w:unhideWhenUsed/>
    <w:rsid w:val="00255F16"/>
    <w:pPr>
      <w:spacing w:line="240" w:lineRule="auto"/>
    </w:pPr>
    <w:rPr>
      <w:sz w:val="20"/>
      <w:szCs w:val="20"/>
    </w:rPr>
  </w:style>
  <w:style w:type="character" w:customStyle="1" w:styleId="CommentTextChar">
    <w:name w:val="Comment Text Char"/>
    <w:basedOn w:val="DefaultParagraphFont"/>
    <w:link w:val="CommentText"/>
    <w:uiPriority w:val="99"/>
    <w:semiHidden/>
    <w:rsid w:val="00255F16"/>
    <w:rPr>
      <w:sz w:val="20"/>
      <w:szCs w:val="20"/>
    </w:rPr>
  </w:style>
  <w:style w:type="paragraph" w:styleId="CommentSubject">
    <w:name w:val="annotation subject"/>
    <w:basedOn w:val="CommentText"/>
    <w:next w:val="CommentText"/>
    <w:link w:val="CommentSubjectChar"/>
    <w:uiPriority w:val="99"/>
    <w:semiHidden/>
    <w:unhideWhenUsed/>
    <w:rsid w:val="00255F16"/>
    <w:rPr>
      <w:b/>
      <w:bCs/>
    </w:rPr>
  </w:style>
  <w:style w:type="character" w:customStyle="1" w:styleId="CommentSubjectChar">
    <w:name w:val="Comment Subject Char"/>
    <w:basedOn w:val="CommentTextChar"/>
    <w:link w:val="CommentSubject"/>
    <w:uiPriority w:val="99"/>
    <w:semiHidden/>
    <w:rsid w:val="00255F16"/>
    <w:rPr>
      <w:b/>
      <w:bCs/>
      <w:sz w:val="20"/>
      <w:szCs w:val="20"/>
    </w:rPr>
  </w:style>
  <w:style w:type="paragraph" w:styleId="BalloonText">
    <w:name w:val="Balloon Text"/>
    <w:basedOn w:val="Normal"/>
    <w:link w:val="BalloonTextChar"/>
    <w:uiPriority w:val="99"/>
    <w:semiHidden/>
    <w:unhideWhenUsed/>
    <w:rsid w:val="00255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F16"/>
    <w:rPr>
      <w:rFonts w:ascii="Segoe UI" w:hAnsi="Segoe UI" w:cs="Segoe UI"/>
      <w:sz w:val="18"/>
      <w:szCs w:val="18"/>
    </w:rPr>
  </w:style>
  <w:style w:type="paragraph" w:styleId="Revision">
    <w:name w:val="Revision"/>
    <w:hidden/>
    <w:uiPriority w:val="99"/>
    <w:semiHidden/>
    <w:rsid w:val="00455B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18B8E-0D92-4718-84F9-20D546FB8AD1}"/>
</file>

<file path=customXml/itemProps2.xml><?xml version="1.0" encoding="utf-8"?>
<ds:datastoreItem xmlns:ds="http://schemas.openxmlformats.org/officeDocument/2006/customXml" ds:itemID="{188A2F12-6FB1-4062-AA27-F7862E618633}">
  <ds:schemaRefs>
    <ds:schemaRef ds:uri="http://schemas.microsoft.com/sharepoint/v3/contenttype/forms"/>
  </ds:schemaRefs>
</ds:datastoreItem>
</file>

<file path=customXml/itemProps3.xml><?xml version="1.0" encoding="utf-8"?>
<ds:datastoreItem xmlns:ds="http://schemas.openxmlformats.org/officeDocument/2006/customXml" ds:itemID="{93B8DDFA-50B1-4D94-8B79-AD812C7F8000}">
  <ds:schemaRefs>
    <ds:schemaRef ds:uri="746e2a3c-fe49-4e79-9841-4c663b98eed3"/>
    <ds:schemaRef ds:uri="http://purl.org/dc/dcmitype/"/>
    <ds:schemaRef ds:uri="http://purl.org/dc/elements/1.1/"/>
    <ds:schemaRef ds:uri="http://schemas.microsoft.com/office/2006/metadata/properties"/>
    <ds:schemaRef ds:uri="f877b762-30f0-4cce-a504-9c8e3f00b0f4"/>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AD0DF0C-A1FD-4A51-9861-07546A06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3485</Words>
  <Characters>19865</Characters>
  <Application>Microsoft Office Word</Application>
  <DocSecurity>0</DocSecurity>
  <Lines>165</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Buitenlandse Zaken</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of Netherlands</dc:title>
  <dc:subject/>
  <dc:creator>Ruiter, Robin de</dc:creator>
  <cp:keywords/>
  <dc:description/>
  <cp:lastModifiedBy>Durnescu Lilian</cp:lastModifiedBy>
  <cp:revision>2</cp:revision>
  <dcterms:created xsi:type="dcterms:W3CDTF">2017-10-06T09:32:00Z</dcterms:created>
  <dcterms:modified xsi:type="dcterms:W3CDTF">2017-10-06T09:32:00Z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BZ_Forum">
    <vt:lpwstr>512;#N.v.t.|0049e722-bfb1-4a3f-9d08-af7366a9af40</vt:lpwstr>
  </property>
  <property fmtid="{D5CDD505-2E9C-101B-9397-08002B2CF9AE}" pid="4" name="BZ_Country">
    <vt:lpwstr>511;#N.v.t.|ec01d90b-9d0f-4785-8785-e1ea615196bf</vt:lpwstr>
  </property>
  <property fmtid="{D5CDD505-2E9C-101B-9397-08002B2CF9AE}" pid="5" name="BZ_Theme">
    <vt:lpwstr>595;#Internationaal recht|c3ccc6b0-9272-4627-b7a1-3f29178c4f7c;#761;#Mensenrechten algemeen|61ad0123-6614-4c7e-b339-269c7b35cf20</vt:lpwstr>
  </property>
  <property fmtid="{D5CDD505-2E9C-101B-9397-08002B2CF9AE}" pid="6" name="BZ_Classification">
    <vt:lpwstr>510;#Niet-gerubriceerd|d92c6340-bc14-4cb2-a9a6-6deda93c493b</vt:lpwstr>
  </property>
  <property fmtid="{D5CDD505-2E9C-101B-9397-08002B2CF9AE}" pid="7" name="TaxKeyword">
    <vt:lpwstr/>
  </property>
  <property fmtid="{D5CDD505-2E9C-101B-9397-08002B2CF9AE}" pid="8" name="TaxKeywordTaxHTField">
    <vt:lpwstr/>
  </property>
</Properties>
</file>