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B0" w:rsidRPr="00AB3DB0" w:rsidRDefault="00AA0ABB" w:rsidP="00FD6B5B">
      <w:pPr>
        <w:pStyle w:val="pismamz"/>
        <w:tabs>
          <w:tab w:val="left" w:pos="5400"/>
        </w:tabs>
        <w:spacing w:after="120" w:line="240" w:lineRule="auto"/>
        <w:contextualSpacing w:val="0"/>
        <w:jc w:val="center"/>
        <w:rPr>
          <w:b/>
          <w:lang w:val="en-US"/>
        </w:rPr>
      </w:pPr>
      <w:bookmarkStart w:id="0" w:name="_GoBack"/>
      <w:bookmarkEnd w:id="0"/>
      <w:r>
        <w:rPr>
          <w:b/>
          <w:lang w:val="en-US"/>
        </w:rPr>
        <w:t>R</w:t>
      </w:r>
      <w:r w:rsidR="00AB3DB0" w:rsidRPr="00AB3DB0">
        <w:rPr>
          <w:b/>
          <w:lang w:val="en-US"/>
        </w:rPr>
        <w:t xml:space="preserve">emarks </w:t>
      </w:r>
      <w:r>
        <w:rPr>
          <w:b/>
          <w:lang w:val="en-US"/>
        </w:rPr>
        <w:t xml:space="preserve">of Poland </w:t>
      </w:r>
      <w:r w:rsidR="00AB3DB0" w:rsidRPr="00AB3DB0">
        <w:rPr>
          <w:b/>
          <w:lang w:val="en-US"/>
        </w:rPr>
        <w:t xml:space="preserve">to the General Comment No 36 on article </w:t>
      </w:r>
      <w:proofErr w:type="gramStart"/>
      <w:r w:rsidR="00AB3DB0" w:rsidRPr="00AB3DB0">
        <w:rPr>
          <w:b/>
          <w:lang w:val="en-US"/>
        </w:rPr>
        <w:t>6</w:t>
      </w:r>
      <w:proofErr w:type="gramEnd"/>
      <w:r w:rsidR="00AB3DB0" w:rsidRPr="00AB3DB0">
        <w:rPr>
          <w:b/>
          <w:lang w:val="en-US"/>
        </w:rPr>
        <w:t xml:space="preserve"> of the International Covenant on Civil and Political Rights, on the right to life.</w:t>
      </w:r>
    </w:p>
    <w:p w:rsidR="00AB2C87" w:rsidRPr="00DD31FD" w:rsidRDefault="00AB2C87" w:rsidP="00FD6B5B">
      <w:pPr>
        <w:pStyle w:val="pismamz"/>
        <w:tabs>
          <w:tab w:val="left" w:pos="5400"/>
        </w:tabs>
        <w:spacing w:after="120" w:line="240" w:lineRule="auto"/>
        <w:contextualSpacing w:val="0"/>
        <w:rPr>
          <w:b/>
          <w:lang w:val="en-US"/>
        </w:rPr>
      </w:pPr>
    </w:p>
    <w:p w:rsidR="00AB2C87" w:rsidRPr="00DD31FD" w:rsidRDefault="00AB2C87" w:rsidP="00FD6B5B">
      <w:pPr>
        <w:pStyle w:val="pismamz"/>
        <w:tabs>
          <w:tab w:val="left" w:pos="5400"/>
        </w:tabs>
        <w:spacing w:after="120" w:line="240" w:lineRule="auto"/>
        <w:contextualSpacing w:val="0"/>
        <w:rPr>
          <w:b/>
          <w:lang w:val="en-US"/>
        </w:rPr>
      </w:pPr>
    </w:p>
    <w:p w:rsidR="00136C5A" w:rsidRPr="00136C5A" w:rsidRDefault="00AA0ABB" w:rsidP="00FD6B5B">
      <w:pPr>
        <w:spacing w:after="120" w:line="240" w:lineRule="auto"/>
        <w:rPr>
          <w:rFonts w:asciiTheme="minorHAnsi" w:eastAsiaTheme="minorHAnsi" w:hAnsiTheme="minorHAnsi" w:cs="Didot"/>
          <w:b/>
          <w:lang w:val="en-GB"/>
        </w:rPr>
      </w:pPr>
      <w:r>
        <w:rPr>
          <w:rFonts w:asciiTheme="minorHAnsi" w:eastAsiaTheme="minorHAnsi" w:hAnsiTheme="minorHAnsi" w:cs="Didot"/>
          <w:b/>
          <w:lang w:val="en-GB"/>
        </w:rPr>
        <w:t>INTRODUCTORY REMARKS</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According to art. 31 (1) of the Vienna Convention on the Law of Treaties (VCLT),</w:t>
      </w:r>
      <w:r w:rsidRPr="00AA0ABB">
        <w:rPr>
          <w:rFonts w:asciiTheme="minorHAnsi" w:eastAsiaTheme="minorHAnsi" w:hAnsiTheme="minorHAnsi" w:cs="Didot"/>
          <w:lang w:val="en-GB"/>
        </w:rPr>
        <w:t xml:space="preserve"> “A treaty shall be interpreted in good faith in accordance with the </w:t>
      </w:r>
      <w:r w:rsidRPr="00AA0ABB">
        <w:rPr>
          <w:rFonts w:asciiTheme="minorHAnsi" w:eastAsiaTheme="minorHAnsi" w:hAnsiTheme="minorHAnsi" w:cs="Didot"/>
          <w:iCs/>
          <w:lang w:val="en-GB"/>
        </w:rPr>
        <w:t>ordinary meaning</w:t>
      </w:r>
      <w:r w:rsidRPr="00AA0ABB">
        <w:rPr>
          <w:rFonts w:asciiTheme="minorHAnsi" w:eastAsiaTheme="minorHAnsi" w:hAnsiTheme="minorHAnsi" w:cs="Didot"/>
          <w:i/>
          <w:iCs/>
          <w:lang w:val="en-GB"/>
        </w:rPr>
        <w:t xml:space="preserve"> </w:t>
      </w:r>
      <w:r w:rsidRPr="00AA0ABB">
        <w:rPr>
          <w:rFonts w:asciiTheme="minorHAnsi" w:eastAsiaTheme="minorHAnsi" w:hAnsiTheme="minorHAnsi" w:cs="Didot"/>
          <w:lang w:val="en-GB"/>
        </w:rPr>
        <w:t xml:space="preserve">to be given to the terms of the treaty </w:t>
      </w:r>
      <w:r w:rsidRPr="00AA0ABB">
        <w:rPr>
          <w:rFonts w:asciiTheme="minorHAnsi" w:eastAsiaTheme="minorHAnsi" w:hAnsiTheme="minorHAnsi" w:cs="Didot"/>
          <w:iCs/>
          <w:lang w:val="en-GB"/>
        </w:rPr>
        <w:t>in their context</w:t>
      </w:r>
      <w:r w:rsidRPr="00AA0ABB">
        <w:rPr>
          <w:rFonts w:asciiTheme="minorHAnsi" w:eastAsiaTheme="minorHAnsi" w:hAnsiTheme="minorHAnsi" w:cs="Didot"/>
          <w:i/>
          <w:iCs/>
          <w:lang w:val="en-GB"/>
        </w:rPr>
        <w:t xml:space="preserve"> </w:t>
      </w:r>
      <w:r w:rsidRPr="00AA0ABB">
        <w:rPr>
          <w:rFonts w:asciiTheme="minorHAnsi" w:eastAsiaTheme="minorHAnsi" w:hAnsiTheme="minorHAnsi" w:cs="Didot"/>
          <w:lang w:val="en-GB"/>
        </w:rPr>
        <w:t>and in the light of its object and purpose”.</w:t>
      </w:r>
      <w:r w:rsidRPr="00AA0ABB">
        <w:rPr>
          <w:rFonts w:asciiTheme="minorHAnsi" w:eastAsiaTheme="minorHAnsi" w:hAnsiTheme="minorHAnsi" w:cs="Didot"/>
          <w:vertAlign w:val="superscript"/>
          <w:lang w:val="en-GB"/>
        </w:rPr>
        <w:footnoteReference w:id="1"/>
      </w:r>
      <w:r w:rsidRPr="00AA0ABB">
        <w:rPr>
          <w:rFonts w:asciiTheme="minorHAnsi" w:eastAsiaTheme="minorHAnsi" w:hAnsiTheme="minorHAnsi" w:cs="Didot"/>
          <w:lang w:val="en-GB"/>
        </w:rPr>
        <w:t xml:space="preserve"> </w:t>
      </w:r>
      <w:r w:rsidRPr="00136C5A">
        <w:rPr>
          <w:rFonts w:asciiTheme="minorHAnsi" w:eastAsiaTheme="minorHAnsi" w:hAnsiTheme="minorHAnsi" w:cs="Didot"/>
          <w:lang w:val="en-GB"/>
        </w:rPr>
        <w:t xml:space="preserve">Thus, the Covenant should be interpreted in the light of its aim, namely to provide further protection of human rights, especially to the vulnerable. Article 6 is an expression of the right to life, which, according to the Preamble to the Covenant, </w:t>
      </w:r>
      <w:proofErr w:type="gramStart"/>
      <w:r w:rsidRPr="00136C5A">
        <w:rPr>
          <w:rFonts w:asciiTheme="minorHAnsi" w:eastAsiaTheme="minorHAnsi" w:hAnsiTheme="minorHAnsi" w:cs="Didot"/>
          <w:lang w:val="en-GB"/>
        </w:rPr>
        <w:t xml:space="preserve">is </w:t>
      </w:r>
      <w:r w:rsidRPr="00136C5A">
        <w:rPr>
          <w:rFonts w:asciiTheme="minorHAnsi" w:eastAsiaTheme="minorHAnsi" w:hAnsiTheme="minorHAnsi" w:cs="Didot"/>
          <w:b/>
          <w:lang w:val="en-GB"/>
        </w:rPr>
        <w:t>derived</w:t>
      </w:r>
      <w:proofErr w:type="gramEnd"/>
      <w:r w:rsidRPr="00136C5A">
        <w:rPr>
          <w:rFonts w:asciiTheme="minorHAnsi" w:eastAsiaTheme="minorHAnsi" w:hAnsiTheme="minorHAnsi" w:cs="Didot"/>
          <w:b/>
          <w:lang w:val="en-GB"/>
        </w:rPr>
        <w:t xml:space="preserve"> from the inherent dignity of the human person</w:t>
      </w:r>
      <w:r w:rsidRPr="00136C5A">
        <w:rPr>
          <w:rFonts w:asciiTheme="minorHAnsi" w:eastAsiaTheme="minorHAnsi" w:hAnsiTheme="minorHAnsi" w:cs="Didot"/>
          <w:lang w:val="en-GB"/>
        </w:rPr>
        <w:t xml:space="preserve">. The Article 6 (1) describes the right to life as “inherent” and belonging to “[e]very human being”. </w:t>
      </w:r>
    </w:p>
    <w:p w:rsidR="00136C5A" w:rsidRPr="00AA0ABB" w:rsidRDefault="00136C5A" w:rsidP="00FD6B5B">
      <w:pPr>
        <w:spacing w:after="120" w:line="240" w:lineRule="auto"/>
        <w:jc w:val="both"/>
        <w:rPr>
          <w:rFonts w:asciiTheme="minorHAnsi" w:eastAsiaTheme="minorHAnsi" w:hAnsiTheme="minorHAnsi" w:cs="Didot"/>
          <w:b/>
          <w:lang w:val="en-GB"/>
        </w:rPr>
      </w:pPr>
      <w:r w:rsidRPr="00AA0ABB">
        <w:rPr>
          <w:rFonts w:asciiTheme="minorHAnsi" w:eastAsiaTheme="minorHAnsi" w:hAnsiTheme="minorHAnsi" w:cs="Didot"/>
          <w:b/>
          <w:lang w:val="en-GB"/>
        </w:rPr>
        <w:t>Inherent human right</w:t>
      </w:r>
    </w:p>
    <w:p w:rsidR="00136C5A" w:rsidRPr="00136C5A" w:rsidRDefault="00136C5A" w:rsidP="00FD6B5B">
      <w:pPr>
        <w:spacing w:after="120" w:line="240" w:lineRule="auto"/>
        <w:jc w:val="both"/>
        <w:rPr>
          <w:rFonts w:asciiTheme="minorHAnsi" w:eastAsiaTheme="minorHAnsi" w:hAnsiTheme="minorHAnsi" w:cs="Didot"/>
          <w:lang w:val="en-GB"/>
        </w:rPr>
      </w:pPr>
      <w:r w:rsidRPr="00AA0ABB">
        <w:rPr>
          <w:rFonts w:asciiTheme="minorHAnsi" w:eastAsiaTheme="minorHAnsi" w:hAnsiTheme="minorHAnsi" w:cs="Didot"/>
          <w:lang w:val="en-GB"/>
        </w:rPr>
        <w:t xml:space="preserve">Accordingly, the term “inherent” means an inseparable and permanent quality of a specific reality, which </w:t>
      </w:r>
      <w:proofErr w:type="gramStart"/>
      <w:r w:rsidRPr="00AA0ABB">
        <w:rPr>
          <w:rFonts w:asciiTheme="minorHAnsi" w:eastAsiaTheme="minorHAnsi" w:hAnsiTheme="minorHAnsi" w:cs="Didot"/>
          <w:lang w:val="en-GB"/>
        </w:rPr>
        <w:t>is neither acquired nor lost in course of its development,</w:t>
      </w:r>
      <w:proofErr w:type="gramEnd"/>
      <w:r w:rsidRPr="00AA0ABB">
        <w:rPr>
          <w:rFonts w:asciiTheme="minorHAnsi" w:eastAsiaTheme="minorHAnsi" w:hAnsiTheme="minorHAnsi" w:cs="Didot"/>
          <w:lang w:val="en-GB"/>
        </w:rPr>
        <w:t xml:space="preserve"> but is present in every case in which the reality is so qualified. Saying that a right to life is inherent to every human being is to say that it belongs to all human beings, as long as they are human beings – regardless of the duration of time they are human beings.</w:t>
      </w:r>
    </w:p>
    <w:p w:rsidR="00136C5A" w:rsidRPr="00AA0ABB"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The inherent and inalienable right to life is an attribute of every human being and international human rights instruments properly recognize it as a primary right,</w:t>
      </w:r>
      <w:r w:rsidRPr="00AA0ABB">
        <w:rPr>
          <w:rFonts w:asciiTheme="minorHAnsi" w:eastAsiaTheme="minorHAnsi" w:hAnsiTheme="minorHAnsi" w:cs="Didot"/>
          <w:vertAlign w:val="superscript"/>
          <w:lang w:val="en-GB"/>
        </w:rPr>
        <w:footnoteReference w:id="2"/>
      </w:r>
      <w:r w:rsidRPr="00136C5A">
        <w:rPr>
          <w:rFonts w:asciiTheme="minorHAnsi" w:eastAsiaTheme="minorHAnsi" w:hAnsiTheme="minorHAnsi" w:cs="Didot"/>
          <w:lang w:val="en-GB"/>
        </w:rPr>
        <w:t xml:space="preserve"> being a precondition for the enjoyment of any other human right. </w:t>
      </w:r>
      <w:r w:rsidRPr="00AA0ABB">
        <w:rPr>
          <w:rFonts w:asciiTheme="minorHAnsi" w:eastAsiaTheme="minorHAnsi" w:hAnsiTheme="minorHAnsi" w:cs="Didot"/>
          <w:lang w:val="en-GB"/>
        </w:rPr>
        <w:t>This means Article 6 (1) protects the life of every human being in every stage of its development, as the inherent dignity of a human person starts with the very first moment of its existence.</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As to the beginning of the existence and further development of the human being, it is undisputable that, from the point of view of science, human life begins at conception. It is then that every uniquely defined individual member of humanity </w:t>
      </w:r>
      <w:proofErr w:type="gramStart"/>
      <w:r w:rsidRPr="00136C5A">
        <w:rPr>
          <w:rFonts w:asciiTheme="minorHAnsi" w:eastAsiaTheme="minorHAnsi" w:hAnsiTheme="minorHAnsi" w:cs="Didot"/>
          <w:lang w:val="en-GB"/>
        </w:rPr>
        <w:t>is formed</w:t>
      </w:r>
      <w:proofErr w:type="gramEnd"/>
      <w:r w:rsidRPr="00136C5A">
        <w:rPr>
          <w:rFonts w:asciiTheme="minorHAnsi" w:eastAsiaTheme="minorHAnsi" w:hAnsiTheme="minorHAnsi" w:cs="Didot"/>
          <w:lang w:val="en-GB"/>
        </w:rPr>
        <w:t xml:space="preserve"> and begins to exist.</w:t>
      </w:r>
      <w:r w:rsidRPr="00AA0ABB">
        <w:rPr>
          <w:rFonts w:asciiTheme="minorHAnsi" w:eastAsiaTheme="minorHAnsi" w:hAnsiTheme="minorHAnsi" w:cs="Didot"/>
          <w:vertAlign w:val="superscript"/>
          <w:lang w:val="en-GB"/>
        </w:rPr>
        <w:footnoteReference w:id="3"/>
      </w:r>
      <w:r w:rsidRPr="00136C5A">
        <w:rPr>
          <w:rFonts w:asciiTheme="minorHAnsi" w:eastAsiaTheme="minorHAnsi" w:hAnsiTheme="minorHAnsi" w:cs="Didot"/>
          <w:lang w:val="en-GB"/>
        </w:rPr>
        <w:t xml:space="preserve"> This was also confirmed in the ruling by the Grand Chamber of the Court of Justice of the European Union in Oliver </w:t>
      </w:r>
      <w:proofErr w:type="spellStart"/>
      <w:r w:rsidRPr="00136C5A">
        <w:rPr>
          <w:rFonts w:asciiTheme="minorHAnsi" w:eastAsiaTheme="minorHAnsi" w:hAnsiTheme="minorHAnsi" w:cs="Didot"/>
          <w:lang w:val="en-GB"/>
        </w:rPr>
        <w:t>Brüstle</w:t>
      </w:r>
      <w:proofErr w:type="spellEnd"/>
      <w:r w:rsidRPr="00136C5A">
        <w:rPr>
          <w:rFonts w:asciiTheme="minorHAnsi" w:eastAsiaTheme="minorHAnsi" w:hAnsiTheme="minorHAnsi" w:cs="Didot"/>
          <w:lang w:val="en-GB"/>
        </w:rPr>
        <w:t xml:space="preserve"> v. Greenpeace </w:t>
      </w:r>
      <w:proofErr w:type="spellStart"/>
      <w:r w:rsidRPr="00136C5A">
        <w:rPr>
          <w:rFonts w:asciiTheme="minorHAnsi" w:eastAsiaTheme="minorHAnsi" w:hAnsiTheme="minorHAnsi" w:cs="Didot"/>
          <w:lang w:val="en-GB"/>
        </w:rPr>
        <w:t>e.V</w:t>
      </w:r>
      <w:proofErr w:type="spellEnd"/>
      <w:r w:rsidRPr="00136C5A">
        <w:rPr>
          <w:rFonts w:asciiTheme="minorHAnsi" w:eastAsiaTheme="minorHAnsi" w:hAnsiTheme="minorHAnsi" w:cs="Didot"/>
          <w:lang w:val="en-GB"/>
        </w:rPr>
        <w:t>.</w:t>
      </w:r>
      <w:r w:rsidRPr="00AA0ABB">
        <w:rPr>
          <w:rFonts w:asciiTheme="minorHAnsi" w:eastAsiaTheme="minorHAnsi" w:hAnsiTheme="minorHAnsi" w:cs="Didot"/>
          <w:vertAlign w:val="superscript"/>
          <w:lang w:val="en-GB"/>
        </w:rPr>
        <w:t xml:space="preserve"> </w:t>
      </w:r>
      <w:r w:rsidRPr="00136C5A">
        <w:rPr>
          <w:rFonts w:asciiTheme="minorHAnsi" w:eastAsiaTheme="minorHAnsi" w:hAnsiTheme="minorHAnsi" w:cs="Didot"/>
          <w:lang w:val="en-GB"/>
        </w:rPr>
        <w:t>(2011)</w:t>
      </w:r>
      <w:r w:rsidRPr="00AA0ABB">
        <w:rPr>
          <w:rFonts w:asciiTheme="minorHAnsi" w:eastAsiaTheme="minorHAnsi" w:hAnsiTheme="minorHAnsi" w:cs="Didot"/>
          <w:vertAlign w:val="superscript"/>
          <w:lang w:val="en-GB"/>
        </w:rPr>
        <w:footnoteReference w:id="4"/>
      </w:r>
      <w:r w:rsidRPr="00136C5A">
        <w:rPr>
          <w:rFonts w:asciiTheme="minorHAnsi" w:eastAsiaTheme="minorHAnsi" w:hAnsiTheme="minorHAnsi" w:cs="Didot"/>
          <w:lang w:val="en-GB"/>
        </w:rPr>
        <w:t>, where it was clearly stated</w:t>
      </w:r>
      <w:proofErr w:type="gramStart"/>
      <w:r w:rsidRPr="00136C5A">
        <w:rPr>
          <w:rFonts w:asciiTheme="minorHAnsi" w:eastAsiaTheme="minorHAnsi" w:hAnsiTheme="minorHAnsi" w:cs="Didot"/>
          <w:lang w:val="en-GB"/>
        </w:rPr>
        <w:t>, that</w:t>
      </w:r>
      <w:proofErr w:type="gramEnd"/>
      <w:r w:rsidRPr="00136C5A">
        <w:rPr>
          <w:rFonts w:asciiTheme="minorHAnsi" w:eastAsiaTheme="minorHAnsi" w:hAnsiTheme="minorHAnsi" w:cs="Didot"/>
          <w:lang w:val="en-GB"/>
        </w:rPr>
        <w:t xml:space="preserve"> “</w:t>
      </w:r>
      <w:r w:rsidRPr="00136C5A">
        <w:rPr>
          <w:rFonts w:asciiTheme="minorHAnsi" w:eastAsiaTheme="minorHAnsi" w:hAnsiTheme="minorHAnsi" w:cs="Didot"/>
          <w:bCs/>
          <w:lang w:val="en-GB"/>
        </w:rPr>
        <w:t>fertilisation is such as to commence the process of development of a human being</w:t>
      </w:r>
      <w:r w:rsidRPr="00136C5A">
        <w:rPr>
          <w:rFonts w:asciiTheme="minorHAnsi" w:eastAsiaTheme="minorHAnsi" w:hAnsiTheme="minorHAnsi" w:cs="Didot"/>
          <w:lang w:val="en-GB"/>
        </w:rPr>
        <w:t>”.</w:t>
      </w:r>
      <w:r w:rsidRPr="00AA0ABB">
        <w:rPr>
          <w:rFonts w:asciiTheme="minorHAnsi" w:eastAsiaTheme="minorHAnsi" w:hAnsiTheme="minorHAnsi" w:cs="Didot"/>
          <w:vertAlign w:val="superscript"/>
          <w:lang w:val="en-GB"/>
        </w:rPr>
        <w:footnoteReference w:id="5"/>
      </w:r>
      <w:r w:rsidRPr="00136C5A">
        <w:rPr>
          <w:rFonts w:asciiTheme="minorHAnsi" w:eastAsiaTheme="minorHAnsi" w:hAnsiTheme="minorHAnsi" w:cs="Didot"/>
          <w:lang w:val="en-GB"/>
        </w:rPr>
        <w:t xml:space="preserve"> From this moment, legal protection derived from inherent human dignity, begins. </w:t>
      </w:r>
    </w:p>
    <w:p w:rsidR="00136C5A" w:rsidRPr="00136C5A" w:rsidRDefault="00136C5A" w:rsidP="00FD6B5B">
      <w:pPr>
        <w:spacing w:after="120" w:line="240" w:lineRule="auto"/>
        <w:jc w:val="both"/>
        <w:rPr>
          <w:rFonts w:asciiTheme="minorHAnsi" w:eastAsiaTheme="minorHAnsi" w:hAnsiTheme="minorHAnsi" w:cs="Didot"/>
          <w:b/>
          <w:lang w:val="en-GB"/>
        </w:rPr>
      </w:pPr>
      <w:r w:rsidRPr="00136C5A">
        <w:rPr>
          <w:rFonts w:asciiTheme="minorHAnsi" w:eastAsiaTheme="minorHAnsi" w:hAnsiTheme="minorHAnsi" w:cs="Didot"/>
          <w:b/>
          <w:lang w:val="en-GB"/>
        </w:rPr>
        <w:t>Every human being</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Despite the different words used to describe the various stages of the development of a human being (zygote, blastocyst, embryo, foetus, infant, child, adolescent, adult, and elderly), </w:t>
      </w:r>
      <w:proofErr w:type="gramStart"/>
      <w:r w:rsidRPr="00136C5A">
        <w:rPr>
          <w:rFonts w:asciiTheme="minorHAnsi" w:eastAsiaTheme="minorHAnsi" w:hAnsiTheme="minorHAnsi" w:cs="Didot"/>
          <w:lang w:val="en-GB"/>
        </w:rPr>
        <w:t xml:space="preserve">it is not a </w:t>
      </w:r>
      <w:r w:rsidRPr="00136C5A">
        <w:rPr>
          <w:rFonts w:asciiTheme="minorHAnsi" w:eastAsiaTheme="minorHAnsi" w:hAnsiTheme="minorHAnsi" w:cs="Didot"/>
          <w:lang w:val="en-GB"/>
        </w:rPr>
        <w:lastRenderedPageBreak/>
        <w:t>specific stage of life that is subject to legal protection as provided by the Art</w:t>
      </w:r>
      <w:proofErr w:type="gramEnd"/>
      <w:r w:rsidRPr="00136C5A">
        <w:rPr>
          <w:rFonts w:asciiTheme="minorHAnsi" w:eastAsiaTheme="minorHAnsi" w:hAnsiTheme="minorHAnsi" w:cs="Didot"/>
          <w:lang w:val="en-GB"/>
        </w:rPr>
        <w:t xml:space="preserve">. </w:t>
      </w:r>
      <w:proofErr w:type="gramStart"/>
      <w:r w:rsidRPr="00136C5A">
        <w:rPr>
          <w:rFonts w:asciiTheme="minorHAnsi" w:eastAsiaTheme="minorHAnsi" w:hAnsiTheme="minorHAnsi" w:cs="Didot"/>
          <w:lang w:val="en-GB"/>
        </w:rPr>
        <w:t>6</w:t>
      </w:r>
      <w:proofErr w:type="gramEnd"/>
      <w:r w:rsidRPr="00136C5A">
        <w:rPr>
          <w:rFonts w:asciiTheme="minorHAnsi" w:eastAsiaTheme="minorHAnsi" w:hAnsiTheme="minorHAnsi" w:cs="Didot"/>
          <w:lang w:val="en-GB"/>
        </w:rPr>
        <w:t xml:space="preserve"> (1), but the life </w:t>
      </w:r>
      <w:r w:rsidRPr="00136C5A">
        <w:rPr>
          <w:rFonts w:asciiTheme="minorHAnsi" w:eastAsiaTheme="minorHAnsi" w:hAnsiTheme="minorHAnsi" w:cs="Didot"/>
          <w:b/>
          <w:lang w:val="en-GB"/>
        </w:rPr>
        <w:t>itself</w:t>
      </w:r>
      <w:r w:rsidRPr="00136C5A">
        <w:rPr>
          <w:rFonts w:asciiTheme="minorHAnsi" w:eastAsiaTheme="minorHAnsi" w:hAnsiTheme="minorHAnsi" w:cs="Didot"/>
          <w:lang w:val="en-GB"/>
        </w:rPr>
        <w:t xml:space="preserve"> of each human being. Different stages of the development of human life does not confer to a human being any new </w:t>
      </w:r>
      <w:proofErr w:type="gramStart"/>
      <w:r w:rsidRPr="00136C5A">
        <w:rPr>
          <w:rFonts w:asciiTheme="minorHAnsi" w:eastAsiaTheme="minorHAnsi" w:hAnsiTheme="minorHAnsi" w:cs="Didot"/>
          <w:lang w:val="en-GB"/>
        </w:rPr>
        <w:t>quality which</w:t>
      </w:r>
      <w:proofErr w:type="gramEnd"/>
      <w:r w:rsidRPr="00136C5A">
        <w:rPr>
          <w:rFonts w:asciiTheme="minorHAnsi" w:eastAsiaTheme="minorHAnsi" w:hAnsiTheme="minorHAnsi" w:cs="Didot"/>
          <w:lang w:val="en-GB"/>
        </w:rPr>
        <w:t xml:space="preserve"> might be described as inherent to human being. For this reason, protection of human life as a fundamental human right </w:t>
      </w:r>
      <w:proofErr w:type="gramStart"/>
      <w:r w:rsidRPr="00136C5A">
        <w:rPr>
          <w:rFonts w:asciiTheme="minorHAnsi" w:eastAsiaTheme="minorHAnsi" w:hAnsiTheme="minorHAnsi" w:cs="Didot"/>
          <w:lang w:val="en-GB"/>
        </w:rPr>
        <w:t>must be granted</w:t>
      </w:r>
      <w:proofErr w:type="gramEnd"/>
      <w:r w:rsidRPr="00136C5A">
        <w:rPr>
          <w:rFonts w:asciiTheme="minorHAnsi" w:eastAsiaTheme="minorHAnsi" w:hAnsiTheme="minorHAnsi" w:cs="Didot"/>
          <w:lang w:val="en-GB"/>
        </w:rPr>
        <w:t xml:space="preserve"> irrespective of a particular developmental stage of the human being. Any other interpretation would be inconsistent with the Covenant’s prohibition on discrimination based on birth or status.</w:t>
      </w:r>
      <w:r w:rsidRPr="00AA0ABB">
        <w:rPr>
          <w:rFonts w:asciiTheme="minorHAnsi" w:eastAsiaTheme="minorHAnsi" w:hAnsiTheme="minorHAnsi" w:cs="Didot"/>
          <w:vertAlign w:val="superscript"/>
          <w:lang w:val="en-GB"/>
        </w:rPr>
        <w:footnoteReference w:id="6"/>
      </w:r>
      <w:r w:rsidRPr="00136C5A">
        <w:rPr>
          <w:rFonts w:asciiTheme="minorHAnsi" w:eastAsiaTheme="minorHAnsi" w:hAnsiTheme="minorHAnsi" w:cs="Didot"/>
          <w:lang w:val="en-GB"/>
        </w:rPr>
        <w:t xml:space="preserve"> Protection of every child </w:t>
      </w:r>
      <w:proofErr w:type="gramStart"/>
      <w:r w:rsidRPr="00136C5A">
        <w:rPr>
          <w:rFonts w:asciiTheme="minorHAnsi" w:eastAsiaTheme="minorHAnsi" w:hAnsiTheme="minorHAnsi" w:cs="Didot"/>
          <w:lang w:val="en-GB"/>
        </w:rPr>
        <w:t>must be recognized</w:t>
      </w:r>
      <w:proofErr w:type="gramEnd"/>
      <w:r w:rsidRPr="00136C5A">
        <w:rPr>
          <w:rFonts w:asciiTheme="minorHAnsi" w:eastAsiaTheme="minorHAnsi" w:hAnsiTheme="minorHAnsi" w:cs="Didot"/>
          <w:lang w:val="en-GB"/>
        </w:rPr>
        <w:t xml:space="preserve"> regardless of age, including gestational age.  </w:t>
      </w:r>
    </w:p>
    <w:p w:rsidR="00136C5A" w:rsidRPr="00136C5A" w:rsidRDefault="00136C5A" w:rsidP="00FD6B5B">
      <w:pPr>
        <w:spacing w:after="120" w:line="240" w:lineRule="auto"/>
        <w:jc w:val="both"/>
        <w:rPr>
          <w:rFonts w:asciiTheme="minorHAnsi" w:eastAsiaTheme="minorHAnsi" w:hAnsiTheme="minorHAnsi" w:cs="Didot"/>
          <w:b/>
          <w:lang w:val="en-GB"/>
        </w:rPr>
      </w:pPr>
      <w:r w:rsidRPr="00136C5A">
        <w:rPr>
          <w:rFonts w:asciiTheme="minorHAnsi" w:eastAsiaTheme="minorHAnsi" w:hAnsiTheme="minorHAnsi" w:cs="Didot"/>
          <w:b/>
          <w:lang w:val="en-GB"/>
        </w:rPr>
        <w:t>The only legitimate derogation to the protection of the right to life</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The only non-discriminatory exception limiting protection of human life as provided by ICCPR Article 6 (1), is related NOT to a particular stage of the human life but to the imposition of the death penalty in situations emerging from a voluntarily committed, “serious crime”. </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According to the Article 6 (</w:t>
      </w:r>
      <w:proofErr w:type="gramStart"/>
      <w:r w:rsidRPr="00136C5A">
        <w:rPr>
          <w:rFonts w:asciiTheme="minorHAnsi" w:eastAsiaTheme="minorHAnsi" w:hAnsiTheme="minorHAnsi" w:cs="Didot"/>
          <w:lang w:val="en-GB"/>
        </w:rPr>
        <w:t>2)</w:t>
      </w:r>
      <w:proofErr w:type="gramEnd"/>
      <w:r w:rsidRPr="00136C5A">
        <w:rPr>
          <w:rFonts w:asciiTheme="minorHAnsi" w:eastAsiaTheme="minorHAnsi" w:hAnsiTheme="minorHAnsi" w:cs="Didot"/>
          <w:lang w:val="en-GB"/>
        </w:rPr>
        <w:t xml:space="preserve"> the death penalty shall only be tolerated “for the most serious crimes in accordance with the law in force at the time of the commission of the crime”. This provision, especially if read together with the provisions of art. </w:t>
      </w:r>
      <w:proofErr w:type="gramStart"/>
      <w:r w:rsidRPr="00136C5A">
        <w:rPr>
          <w:rFonts w:asciiTheme="minorHAnsi" w:eastAsiaTheme="minorHAnsi" w:hAnsiTheme="minorHAnsi" w:cs="Didot"/>
          <w:lang w:val="en-GB"/>
        </w:rPr>
        <w:t>6</w:t>
      </w:r>
      <w:proofErr w:type="gramEnd"/>
      <w:r w:rsidRPr="00136C5A">
        <w:rPr>
          <w:rFonts w:asciiTheme="minorHAnsi" w:eastAsiaTheme="minorHAnsi" w:hAnsiTheme="minorHAnsi" w:cs="Didot"/>
          <w:lang w:val="en-GB"/>
        </w:rPr>
        <w:t xml:space="preserve"> (4)—(6), shows that this unique derogation from the protection of human life (a restrictively enacted and restrictively applied death penalty), is to be construed in a way narrowing the scope of this derogation. This amounts to the </w:t>
      </w:r>
      <w:r w:rsidRPr="00136C5A">
        <w:rPr>
          <w:rFonts w:asciiTheme="minorHAnsi" w:eastAsiaTheme="minorHAnsi" w:hAnsiTheme="minorHAnsi" w:cs="Didot"/>
          <w:i/>
          <w:lang w:val="en-GB"/>
        </w:rPr>
        <w:t xml:space="preserve">a </w:t>
      </w:r>
      <w:proofErr w:type="spellStart"/>
      <w:r w:rsidRPr="00136C5A">
        <w:rPr>
          <w:rFonts w:asciiTheme="minorHAnsi" w:eastAsiaTheme="minorHAnsi" w:hAnsiTheme="minorHAnsi" w:cs="Didot"/>
          <w:i/>
          <w:lang w:val="en-GB"/>
        </w:rPr>
        <w:t>contrario</w:t>
      </w:r>
      <w:proofErr w:type="spellEnd"/>
      <w:r w:rsidRPr="00136C5A">
        <w:rPr>
          <w:rFonts w:asciiTheme="minorHAnsi" w:eastAsiaTheme="minorHAnsi" w:hAnsiTheme="minorHAnsi" w:cs="Didot"/>
          <w:lang w:val="en-GB"/>
        </w:rPr>
        <w:t xml:space="preserve"> conclusion, that protection of the right of every human being to continue her/his life is to be construed in a widest possible manner and this is applicable to every stage of human life.</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The death penalty was authorised as a legitimate derogation from the protection of the human right to life (subject to many restrictions), only because an individual had committed a “most serious crime” which endangers society and its members. Otherwise, article </w:t>
      </w:r>
      <w:proofErr w:type="gramStart"/>
      <w:r w:rsidRPr="00136C5A">
        <w:rPr>
          <w:rFonts w:asciiTheme="minorHAnsi" w:eastAsiaTheme="minorHAnsi" w:hAnsiTheme="minorHAnsi" w:cs="Didot"/>
          <w:lang w:val="en-GB"/>
        </w:rPr>
        <w:t>6</w:t>
      </w:r>
      <w:proofErr w:type="gramEnd"/>
      <w:r w:rsidRPr="00136C5A">
        <w:rPr>
          <w:rFonts w:asciiTheme="minorHAnsi" w:eastAsiaTheme="minorHAnsi" w:hAnsiTheme="minorHAnsi" w:cs="Didot"/>
          <w:lang w:val="en-GB"/>
        </w:rPr>
        <w:t xml:space="preserve"> (1) must be construed as </w:t>
      </w:r>
      <w:r w:rsidRPr="00136C5A">
        <w:rPr>
          <w:rFonts w:asciiTheme="minorHAnsi" w:eastAsiaTheme="minorHAnsi" w:hAnsiTheme="minorHAnsi" w:cs="Didot"/>
          <w:b/>
          <w:lang w:val="en-GB"/>
        </w:rPr>
        <w:t>protecting</w:t>
      </w:r>
      <w:r w:rsidRPr="00136C5A">
        <w:rPr>
          <w:rFonts w:asciiTheme="minorHAnsi" w:eastAsiaTheme="minorHAnsi" w:hAnsiTheme="minorHAnsi" w:cs="Didot"/>
          <w:lang w:val="en-GB"/>
        </w:rPr>
        <w:t xml:space="preserve"> </w:t>
      </w:r>
      <w:r w:rsidRPr="00136C5A">
        <w:rPr>
          <w:rFonts w:asciiTheme="minorHAnsi" w:eastAsiaTheme="minorHAnsi" w:hAnsiTheme="minorHAnsi" w:cs="Didot"/>
          <w:b/>
          <w:lang w:val="en-GB"/>
        </w:rPr>
        <w:t>every innocent human being regardless its stage of development</w:t>
      </w:r>
      <w:r w:rsidRPr="00136C5A">
        <w:rPr>
          <w:rFonts w:asciiTheme="minorHAnsi" w:eastAsiaTheme="minorHAnsi" w:hAnsiTheme="minorHAnsi" w:cs="Didot"/>
          <w:lang w:val="en-GB"/>
        </w:rPr>
        <w:t xml:space="preserve">. Additionally, it also protects those who have committed crimes, which are </w:t>
      </w:r>
      <w:proofErr w:type="gramStart"/>
      <w:r w:rsidRPr="00136C5A">
        <w:rPr>
          <w:rFonts w:asciiTheme="minorHAnsi" w:eastAsiaTheme="minorHAnsi" w:hAnsiTheme="minorHAnsi" w:cs="Didot"/>
          <w:lang w:val="en-GB"/>
        </w:rPr>
        <w:t>not</w:t>
      </w:r>
      <w:proofErr w:type="gramEnd"/>
      <w:r w:rsidRPr="00136C5A">
        <w:rPr>
          <w:rFonts w:asciiTheme="minorHAnsi" w:eastAsiaTheme="minorHAnsi" w:hAnsiTheme="minorHAnsi" w:cs="Didot"/>
          <w:lang w:val="en-GB"/>
        </w:rPr>
        <w:t xml:space="preserve"> “</w:t>
      </w:r>
      <w:proofErr w:type="gramStart"/>
      <w:r w:rsidRPr="00136C5A">
        <w:rPr>
          <w:rFonts w:asciiTheme="minorHAnsi" w:eastAsiaTheme="minorHAnsi" w:hAnsiTheme="minorHAnsi" w:cs="Didot"/>
          <w:lang w:val="en-GB"/>
        </w:rPr>
        <w:t>most serious</w:t>
      </w:r>
      <w:proofErr w:type="gramEnd"/>
      <w:r w:rsidRPr="00136C5A">
        <w:rPr>
          <w:rFonts w:asciiTheme="minorHAnsi" w:eastAsiaTheme="minorHAnsi" w:hAnsiTheme="minorHAnsi" w:cs="Didot"/>
          <w:lang w:val="en-GB"/>
        </w:rPr>
        <w:t xml:space="preserve">”. It is unequivocally clear that no derogation from the right to life </w:t>
      </w:r>
      <w:proofErr w:type="gramStart"/>
      <w:r w:rsidRPr="00136C5A">
        <w:rPr>
          <w:rFonts w:asciiTheme="minorHAnsi" w:eastAsiaTheme="minorHAnsi" w:hAnsiTheme="minorHAnsi" w:cs="Didot"/>
          <w:lang w:val="en-GB"/>
        </w:rPr>
        <w:t>can be considered</w:t>
      </w:r>
      <w:proofErr w:type="gramEnd"/>
      <w:r w:rsidRPr="00136C5A">
        <w:rPr>
          <w:rFonts w:asciiTheme="minorHAnsi" w:eastAsiaTheme="minorHAnsi" w:hAnsiTheme="minorHAnsi" w:cs="Didot"/>
          <w:lang w:val="en-GB"/>
        </w:rPr>
        <w:t xml:space="preserve"> acceptable with respect to an innocent human being. </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As the Article 6 of the ICCPR contains only one exception – capital punishment – there is no legitimate interpretation to find new exceptions not present in the text itself. The ICCPR read as a whole, cannot on the one hand protect the inherent right to life and at the same time provide a license to deprive an innocent human being of life. To the contrary, numerous instruments of international law provide for special protection of vulnerable persons such as children, the sick, disabled, and elderly people.</w:t>
      </w:r>
      <w:r w:rsidRPr="00AA0ABB">
        <w:rPr>
          <w:rFonts w:asciiTheme="minorHAnsi" w:eastAsiaTheme="minorHAnsi" w:hAnsiTheme="minorHAnsi" w:cs="Didot"/>
          <w:vertAlign w:val="superscript"/>
          <w:lang w:val="en-GB"/>
        </w:rPr>
        <w:footnoteReference w:id="7"/>
      </w:r>
      <w:r w:rsidRPr="00136C5A">
        <w:rPr>
          <w:rFonts w:asciiTheme="minorHAnsi" w:eastAsiaTheme="minorHAnsi" w:hAnsiTheme="minorHAnsi" w:cs="Didot"/>
          <w:lang w:val="en-GB"/>
        </w:rPr>
        <w:t xml:space="preserve"> In this context, Resolution </w:t>
      </w:r>
      <w:r w:rsidRPr="00136C5A">
        <w:rPr>
          <w:rFonts w:asciiTheme="minorHAnsi" w:eastAsia="Times New Roman" w:hAnsiTheme="minorHAnsi" w:cs="Didot"/>
          <w:lang w:val="en-GB"/>
        </w:rPr>
        <w:t xml:space="preserve">n°1859/2012 </w:t>
      </w:r>
      <w:r w:rsidRPr="00136C5A">
        <w:rPr>
          <w:rFonts w:asciiTheme="minorHAnsi" w:eastAsiaTheme="minorHAnsi" w:hAnsiTheme="minorHAnsi" w:cs="Didot"/>
          <w:lang w:val="en-GB"/>
        </w:rPr>
        <w:t xml:space="preserve">of the Parliamentary Assembly of the Council of Europe (PACE) </w:t>
      </w:r>
      <w:proofErr w:type="gramStart"/>
      <w:r w:rsidRPr="00136C5A">
        <w:rPr>
          <w:rFonts w:asciiTheme="minorHAnsi" w:eastAsiaTheme="minorHAnsi" w:hAnsiTheme="minorHAnsi" w:cs="Didot"/>
          <w:lang w:val="en-GB"/>
        </w:rPr>
        <w:t>must be mentioned</w:t>
      </w:r>
      <w:proofErr w:type="gramEnd"/>
      <w:r w:rsidRPr="00136C5A">
        <w:rPr>
          <w:rFonts w:asciiTheme="minorHAnsi" w:eastAsiaTheme="minorHAnsi" w:hAnsiTheme="minorHAnsi" w:cs="Didot"/>
          <w:lang w:val="en-GB"/>
        </w:rPr>
        <w:t xml:space="preserve">. It clearly </w:t>
      </w:r>
      <w:proofErr w:type="gramStart"/>
      <w:r w:rsidRPr="00136C5A">
        <w:rPr>
          <w:rFonts w:asciiTheme="minorHAnsi" w:eastAsiaTheme="minorHAnsi" w:hAnsiTheme="minorHAnsi" w:cs="Didot"/>
          <w:lang w:val="en-GB"/>
        </w:rPr>
        <w:t>states:</w:t>
      </w:r>
      <w:proofErr w:type="gramEnd"/>
      <w:r w:rsidRPr="00136C5A">
        <w:rPr>
          <w:rFonts w:asciiTheme="minorHAnsi" w:eastAsiaTheme="minorHAnsi" w:hAnsiTheme="minorHAnsi" w:cs="Didot"/>
          <w:lang w:val="en-GB"/>
        </w:rPr>
        <w:t xml:space="preserve"> “Euthanasia, in the sense of the intentional killing by act or omission of a dependent human being for his or her alleged benefit, must always be prohibited.”</w:t>
      </w:r>
    </w:p>
    <w:p w:rsidR="00136C5A" w:rsidRPr="00136C5A" w:rsidRDefault="00AA0ABB" w:rsidP="00FD6B5B">
      <w:pPr>
        <w:spacing w:after="120" w:line="240" w:lineRule="auto"/>
        <w:jc w:val="center"/>
        <w:rPr>
          <w:rFonts w:asciiTheme="minorHAnsi" w:eastAsiaTheme="minorHAnsi" w:hAnsiTheme="minorHAnsi" w:cs="Didot"/>
          <w:b/>
          <w:lang w:val="en-GB"/>
        </w:rPr>
      </w:pPr>
      <w:r>
        <w:rPr>
          <w:rFonts w:asciiTheme="minorHAnsi" w:eastAsiaTheme="minorHAnsi" w:hAnsiTheme="minorHAnsi" w:cs="Didot"/>
          <w:b/>
          <w:lang w:val="en-GB"/>
        </w:rPr>
        <w:t>P</w:t>
      </w:r>
      <w:r w:rsidR="00136C5A" w:rsidRPr="00136C5A">
        <w:rPr>
          <w:rFonts w:asciiTheme="minorHAnsi" w:eastAsiaTheme="minorHAnsi" w:hAnsiTheme="minorHAnsi" w:cs="Didot"/>
          <w:b/>
          <w:lang w:val="en-GB"/>
        </w:rPr>
        <w:t>rotection of the human life in its early stage</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The most challenging aspect of the international protection of human life concerns the early, i.e., prenatal stage of its development. </w:t>
      </w:r>
      <w:proofErr w:type="gramStart"/>
      <w:r w:rsidRPr="00136C5A">
        <w:rPr>
          <w:rFonts w:asciiTheme="minorHAnsi" w:eastAsiaTheme="minorHAnsi" w:hAnsiTheme="minorHAnsi" w:cs="Didot"/>
          <w:lang w:val="en-GB"/>
        </w:rPr>
        <w:t>Therefore</w:t>
      </w:r>
      <w:proofErr w:type="gramEnd"/>
      <w:r w:rsidRPr="00136C5A">
        <w:rPr>
          <w:rFonts w:asciiTheme="minorHAnsi" w:eastAsiaTheme="minorHAnsi" w:hAnsiTheme="minorHAnsi" w:cs="Didot"/>
          <w:lang w:val="en-GB"/>
        </w:rPr>
        <w:t xml:space="preserve"> it is worth some special attention</w:t>
      </w:r>
      <w:r w:rsidRPr="00AA0ABB">
        <w:rPr>
          <w:rFonts w:asciiTheme="minorHAnsi" w:eastAsiaTheme="minorHAnsi" w:hAnsiTheme="minorHAnsi" w:cs="Didot"/>
          <w:vertAlign w:val="superscript"/>
          <w:lang w:val="en-GB"/>
        </w:rPr>
        <w:footnoteReference w:id="8"/>
      </w:r>
      <w:r w:rsidRPr="00136C5A">
        <w:rPr>
          <w:rFonts w:asciiTheme="minorHAnsi" w:eastAsiaTheme="minorHAnsi" w:hAnsiTheme="minorHAnsi" w:cs="Didot"/>
          <w:lang w:val="en-GB"/>
        </w:rPr>
        <w:t xml:space="preserve">. </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b/>
          <w:lang w:val="en-GB"/>
        </w:rPr>
        <w:t>Prenatal protection of human life in Article 6 (5) ICCPR</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lastRenderedPageBreak/>
        <w:t xml:space="preserve">The interpretation of Article 6 (1) ICCPR as covering all stages of human development also conforms to the content of Article 6 (5) which states: “Sentence of death shall not be carried out on pregnant women.” Whereas a woman might be eligible for a sentence of death after committing the “most serious crime”, her life </w:t>
      </w:r>
      <w:proofErr w:type="gramStart"/>
      <w:r w:rsidRPr="00136C5A">
        <w:rPr>
          <w:rFonts w:asciiTheme="minorHAnsi" w:eastAsiaTheme="minorHAnsi" w:hAnsiTheme="minorHAnsi" w:cs="Didot"/>
          <w:lang w:val="en-GB"/>
        </w:rPr>
        <w:t>is still protected</w:t>
      </w:r>
      <w:proofErr w:type="gramEnd"/>
      <w:r w:rsidRPr="00136C5A">
        <w:rPr>
          <w:rFonts w:asciiTheme="minorHAnsi" w:eastAsiaTheme="minorHAnsi" w:hAnsiTheme="minorHAnsi" w:cs="Didot"/>
          <w:lang w:val="en-GB"/>
        </w:rPr>
        <w:t xml:space="preserve"> as a means of protecting the life of her innocent baby. This distinct protection of the life of the unborn baby is effective even if the protection of life of its mother </w:t>
      </w:r>
      <w:proofErr w:type="gramStart"/>
      <w:r w:rsidRPr="00136C5A">
        <w:rPr>
          <w:rFonts w:asciiTheme="minorHAnsi" w:eastAsiaTheme="minorHAnsi" w:hAnsiTheme="minorHAnsi" w:cs="Didot"/>
          <w:lang w:val="en-GB"/>
        </w:rPr>
        <w:t>might otherwise be derogated</w:t>
      </w:r>
      <w:proofErr w:type="gramEnd"/>
      <w:r w:rsidRPr="00136C5A">
        <w:rPr>
          <w:rFonts w:asciiTheme="minorHAnsi" w:eastAsiaTheme="minorHAnsi" w:hAnsiTheme="minorHAnsi" w:cs="Didot"/>
          <w:lang w:val="en-GB"/>
        </w:rPr>
        <w:t xml:space="preserve"> in conformity with art. </w:t>
      </w:r>
      <w:proofErr w:type="gramStart"/>
      <w:r w:rsidRPr="00136C5A">
        <w:rPr>
          <w:rFonts w:asciiTheme="minorHAnsi" w:eastAsiaTheme="minorHAnsi" w:hAnsiTheme="minorHAnsi" w:cs="Didot"/>
          <w:lang w:val="en-GB"/>
        </w:rPr>
        <w:t>6</w:t>
      </w:r>
      <w:proofErr w:type="gramEnd"/>
      <w:r w:rsidRPr="00136C5A">
        <w:rPr>
          <w:rFonts w:asciiTheme="minorHAnsi" w:eastAsiaTheme="minorHAnsi" w:hAnsiTheme="minorHAnsi" w:cs="Didot"/>
          <w:lang w:val="en-GB"/>
        </w:rPr>
        <w:t xml:space="preserve"> (2). This is acknowledged in the Preparatory works for the </w:t>
      </w:r>
      <w:proofErr w:type="gramStart"/>
      <w:r w:rsidRPr="00136C5A">
        <w:rPr>
          <w:rFonts w:asciiTheme="minorHAnsi" w:eastAsiaTheme="minorHAnsi" w:hAnsiTheme="minorHAnsi" w:cs="Didot"/>
          <w:lang w:val="en-GB"/>
        </w:rPr>
        <w:t>ICCPR which</w:t>
      </w:r>
      <w:proofErr w:type="gramEnd"/>
      <w:r w:rsidRPr="00136C5A">
        <w:rPr>
          <w:rFonts w:asciiTheme="minorHAnsi" w:eastAsiaTheme="minorHAnsi" w:hAnsiTheme="minorHAnsi" w:cs="Didot"/>
          <w:lang w:val="en-GB"/>
        </w:rPr>
        <w:t xml:space="preserve"> are, in accordance with the Article 32 of the </w:t>
      </w:r>
      <w:r w:rsidRPr="00136C5A">
        <w:rPr>
          <w:rFonts w:asciiTheme="minorHAnsi" w:eastAsiaTheme="minorHAnsi" w:hAnsiTheme="minorHAnsi" w:cs="Didot"/>
          <w:i/>
          <w:lang w:val="en-GB"/>
        </w:rPr>
        <w:t>Vienna Convention on the Law of Treatie</w:t>
      </w:r>
      <w:r w:rsidRPr="00136C5A">
        <w:rPr>
          <w:rFonts w:asciiTheme="minorHAnsi" w:eastAsiaTheme="minorHAnsi" w:hAnsiTheme="minorHAnsi" w:cs="Didot"/>
          <w:lang w:val="en-GB"/>
        </w:rPr>
        <w:t>s, “supplementary means of interpretation”</w:t>
      </w:r>
      <w:r w:rsidRPr="00AA0ABB">
        <w:rPr>
          <w:rFonts w:asciiTheme="minorHAnsi" w:eastAsiaTheme="minorHAnsi" w:hAnsiTheme="minorHAnsi" w:cs="Didot"/>
          <w:vertAlign w:val="superscript"/>
          <w:lang w:val="en-GB"/>
        </w:rPr>
        <w:footnoteReference w:id="9"/>
      </w:r>
      <w:r w:rsidRPr="00136C5A">
        <w:rPr>
          <w:rFonts w:asciiTheme="minorHAnsi" w:eastAsiaTheme="minorHAnsi" w:hAnsiTheme="minorHAnsi" w:cs="Didot"/>
          <w:lang w:val="en-GB"/>
        </w:rPr>
        <w:t xml:space="preserve">. The UN reports from preparatory works clarify the rationale for the provision of art. </w:t>
      </w:r>
      <w:proofErr w:type="gramStart"/>
      <w:r w:rsidRPr="00136C5A">
        <w:rPr>
          <w:rFonts w:asciiTheme="minorHAnsi" w:eastAsiaTheme="minorHAnsi" w:hAnsiTheme="minorHAnsi" w:cs="Didot"/>
          <w:lang w:val="en-GB"/>
        </w:rPr>
        <w:t>6</w:t>
      </w:r>
      <w:proofErr w:type="gramEnd"/>
      <w:r w:rsidRPr="00136C5A">
        <w:rPr>
          <w:rFonts w:asciiTheme="minorHAnsi" w:eastAsiaTheme="minorHAnsi" w:hAnsiTheme="minorHAnsi" w:cs="Didot"/>
          <w:lang w:val="en-GB"/>
        </w:rPr>
        <w:t xml:space="preserve"> (5): enacted in “consideration for the interests of the unborn child”</w:t>
      </w:r>
      <w:r w:rsidRPr="00AA0ABB">
        <w:rPr>
          <w:rFonts w:asciiTheme="minorHAnsi" w:eastAsiaTheme="minorHAnsi" w:hAnsiTheme="minorHAnsi" w:cs="Didot"/>
          <w:vertAlign w:val="superscript"/>
          <w:lang w:val="en-GB"/>
        </w:rPr>
        <w:footnoteReference w:id="10"/>
      </w:r>
      <w:r w:rsidRPr="00136C5A">
        <w:rPr>
          <w:rFonts w:asciiTheme="minorHAnsi" w:eastAsiaTheme="minorHAnsi" w:hAnsiTheme="minorHAnsi" w:cs="Didot"/>
          <w:lang w:val="en-GB"/>
        </w:rPr>
        <w:t xml:space="preserve"> and in order to “save the life of an innocent the unborn child”</w:t>
      </w:r>
      <w:r w:rsidRPr="00AA0ABB">
        <w:rPr>
          <w:rFonts w:asciiTheme="minorHAnsi" w:eastAsiaTheme="minorHAnsi" w:hAnsiTheme="minorHAnsi" w:cs="Didot"/>
          <w:vertAlign w:val="superscript"/>
          <w:lang w:val="en-GB"/>
        </w:rPr>
        <w:footnoteReference w:id="11"/>
      </w:r>
      <w:r w:rsidRPr="00136C5A">
        <w:rPr>
          <w:rFonts w:asciiTheme="minorHAnsi" w:eastAsiaTheme="minorHAnsi" w:hAnsiTheme="minorHAnsi" w:cs="Didot"/>
          <w:lang w:val="en-GB"/>
        </w:rPr>
        <w:t xml:space="preserve">. </w:t>
      </w:r>
    </w:p>
    <w:p w:rsidR="00136C5A" w:rsidRPr="00136C5A" w:rsidRDefault="00136C5A" w:rsidP="00FD6B5B">
      <w:pPr>
        <w:spacing w:after="120" w:line="240" w:lineRule="auto"/>
        <w:jc w:val="both"/>
        <w:rPr>
          <w:rFonts w:asciiTheme="minorHAnsi" w:eastAsiaTheme="minorHAnsi" w:hAnsiTheme="minorHAnsi" w:cs="Didot"/>
          <w:b/>
          <w:lang w:val="en-GB"/>
        </w:rPr>
      </w:pPr>
      <w:r w:rsidRPr="00136C5A">
        <w:rPr>
          <w:rFonts w:asciiTheme="minorHAnsi" w:eastAsiaTheme="minorHAnsi" w:hAnsiTheme="minorHAnsi" w:cs="Didot"/>
          <w:b/>
          <w:lang w:val="en-GB"/>
        </w:rPr>
        <w:t>Similar protection in other UN treaties</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Article 6 of the Second Additional Protocol to the Geneva Conventions</w:t>
      </w:r>
      <w:r w:rsidRPr="00AA0ABB">
        <w:rPr>
          <w:rFonts w:asciiTheme="minorHAnsi" w:eastAsiaTheme="minorHAnsi" w:hAnsiTheme="minorHAnsi" w:cs="Didot"/>
          <w:vertAlign w:val="superscript"/>
          <w:lang w:val="en-GB"/>
        </w:rPr>
        <w:footnoteReference w:id="12"/>
      </w:r>
      <w:r w:rsidRPr="00136C5A">
        <w:rPr>
          <w:rFonts w:asciiTheme="minorHAnsi" w:eastAsiaTheme="minorHAnsi" w:hAnsiTheme="minorHAnsi" w:cs="Didot"/>
          <w:lang w:val="en-GB"/>
        </w:rPr>
        <w:t xml:space="preserve"> contains a similar objective, calling for avoidance of “the pronouncement of the death penalty on pregnant women”. For the same reason, an expectant mother </w:t>
      </w:r>
      <w:proofErr w:type="gramStart"/>
      <w:r w:rsidRPr="00136C5A">
        <w:rPr>
          <w:rFonts w:asciiTheme="minorHAnsi" w:eastAsiaTheme="minorHAnsi" w:hAnsiTheme="minorHAnsi" w:cs="Didot"/>
          <w:lang w:val="en-GB"/>
        </w:rPr>
        <w:t>is also protected</w:t>
      </w:r>
      <w:proofErr w:type="gramEnd"/>
      <w:r w:rsidRPr="00136C5A">
        <w:rPr>
          <w:rFonts w:asciiTheme="minorHAnsi" w:eastAsiaTheme="minorHAnsi" w:hAnsiTheme="minorHAnsi" w:cs="Didot"/>
          <w:lang w:val="en-GB"/>
        </w:rPr>
        <w:t xml:space="preserve"> by the Article 16 of the Geneva Convention relating to the Protection of Civilian Persons in Time of War</w:t>
      </w:r>
      <w:r w:rsidRPr="00AA0ABB">
        <w:rPr>
          <w:rFonts w:asciiTheme="minorHAnsi" w:eastAsiaTheme="minorHAnsi" w:hAnsiTheme="minorHAnsi" w:cs="Didot"/>
          <w:vertAlign w:val="superscript"/>
          <w:lang w:val="en-GB"/>
        </w:rPr>
        <w:footnoteReference w:id="13"/>
      </w:r>
      <w:r w:rsidRPr="00136C5A">
        <w:rPr>
          <w:rFonts w:asciiTheme="minorHAnsi" w:eastAsiaTheme="minorHAnsi" w:hAnsiTheme="minorHAnsi" w:cs="Didot"/>
          <w:lang w:val="en-GB"/>
        </w:rPr>
        <w:t>.</w:t>
      </w:r>
    </w:p>
    <w:p w:rsidR="00136C5A" w:rsidRPr="00136C5A" w:rsidRDefault="00136C5A" w:rsidP="00FD6B5B">
      <w:pPr>
        <w:spacing w:after="120" w:line="240" w:lineRule="auto"/>
        <w:jc w:val="both"/>
        <w:rPr>
          <w:rFonts w:asciiTheme="minorHAnsi" w:eastAsiaTheme="minorHAnsi" w:hAnsiTheme="minorHAnsi" w:cs="Didot"/>
          <w:b/>
          <w:lang w:val="en-GB"/>
        </w:rPr>
      </w:pPr>
      <w:r w:rsidRPr="00136C5A">
        <w:rPr>
          <w:rFonts w:asciiTheme="minorHAnsi" w:eastAsiaTheme="minorHAnsi" w:hAnsiTheme="minorHAnsi" w:cs="Didot"/>
          <w:b/>
          <w:lang w:val="en-GB"/>
        </w:rPr>
        <w:t>Rights of the child as applied to prenatal stage of its development in the UN Convention on the Rights of the Child</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The preamble of the Convention on the Rights of the Child (CRC)</w:t>
      </w:r>
      <w:r w:rsidRPr="00AA0ABB">
        <w:rPr>
          <w:rFonts w:asciiTheme="minorHAnsi" w:eastAsiaTheme="minorHAnsi" w:hAnsiTheme="minorHAnsi" w:cs="Didot"/>
          <w:vertAlign w:val="superscript"/>
          <w:lang w:val="en-GB"/>
        </w:rPr>
        <w:footnoteReference w:id="14"/>
      </w:r>
      <w:r w:rsidRPr="00136C5A">
        <w:rPr>
          <w:rFonts w:asciiTheme="minorHAnsi" w:eastAsiaTheme="minorHAnsi" w:hAnsiTheme="minorHAnsi" w:cs="Didot"/>
          <w:lang w:val="en-GB"/>
        </w:rPr>
        <w:t>, which provides necessary interpretive context for this treaty</w:t>
      </w:r>
      <w:r w:rsidRPr="00AA0ABB">
        <w:rPr>
          <w:rFonts w:asciiTheme="minorHAnsi" w:eastAsiaTheme="minorHAnsi" w:hAnsiTheme="minorHAnsi" w:cs="Didot"/>
          <w:vertAlign w:val="superscript"/>
          <w:lang w:val="en-GB"/>
        </w:rPr>
        <w:footnoteReference w:id="15"/>
      </w:r>
      <w:r w:rsidRPr="00136C5A">
        <w:rPr>
          <w:rFonts w:asciiTheme="minorHAnsi" w:eastAsiaTheme="minorHAnsi" w:hAnsiTheme="minorHAnsi" w:cs="Didot"/>
          <w:lang w:val="en-GB"/>
        </w:rPr>
        <w:t xml:space="preserve">, explicitly recognizes that a “child, by reason of his physical and mental immaturity, need special safeguards and care, including appropriate legal protection, before as well as after birth.” This interpretative context requires that the definition of a “child” as provided in Article 1 of the CRC must include children at the prenatal stage of their development. Those conclusions are particularly important in the context of the CRC Article </w:t>
      </w:r>
      <w:proofErr w:type="gramStart"/>
      <w:r w:rsidRPr="00136C5A">
        <w:rPr>
          <w:rFonts w:asciiTheme="minorHAnsi" w:eastAsiaTheme="minorHAnsi" w:hAnsiTheme="minorHAnsi" w:cs="Didot"/>
          <w:lang w:val="en-GB"/>
        </w:rPr>
        <w:t>6 which</w:t>
      </w:r>
      <w:proofErr w:type="gramEnd"/>
      <w:r w:rsidRPr="00136C5A">
        <w:rPr>
          <w:rFonts w:asciiTheme="minorHAnsi" w:eastAsiaTheme="minorHAnsi" w:hAnsiTheme="minorHAnsi" w:cs="Didot"/>
          <w:lang w:val="en-GB"/>
        </w:rPr>
        <w:t xml:space="preserve"> declares: “States Parties recognize that every child has the inherent right to life” and calling upon the States Parties to “ensure to the maximum extent possible the survival and development of the child.” </w:t>
      </w:r>
    </w:p>
    <w:p w:rsidR="00136C5A" w:rsidRPr="00136C5A" w:rsidRDefault="00136C5A" w:rsidP="00FD6B5B">
      <w:pPr>
        <w:spacing w:after="120" w:line="240" w:lineRule="auto"/>
        <w:jc w:val="both"/>
        <w:rPr>
          <w:rFonts w:asciiTheme="minorHAnsi" w:eastAsiaTheme="minorHAnsi" w:hAnsiTheme="minorHAnsi" w:cs="Didot"/>
          <w:b/>
          <w:lang w:val="en-GB"/>
        </w:rPr>
      </w:pPr>
      <w:r w:rsidRPr="00136C5A">
        <w:rPr>
          <w:rFonts w:asciiTheme="minorHAnsi" w:eastAsiaTheme="minorHAnsi" w:hAnsiTheme="minorHAnsi" w:cs="Didot"/>
          <w:b/>
          <w:lang w:val="en-GB"/>
        </w:rPr>
        <w:t>Other corresponding provisions from regional human rights systems</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Protection of the life of the unborn child </w:t>
      </w:r>
      <w:proofErr w:type="gramStart"/>
      <w:r w:rsidRPr="00136C5A">
        <w:rPr>
          <w:rFonts w:asciiTheme="minorHAnsi" w:eastAsiaTheme="minorHAnsi" w:hAnsiTheme="minorHAnsi" w:cs="Didot"/>
          <w:lang w:val="en-GB"/>
        </w:rPr>
        <w:t>is also envisaged</w:t>
      </w:r>
      <w:proofErr w:type="gramEnd"/>
      <w:r w:rsidRPr="00136C5A">
        <w:rPr>
          <w:rFonts w:asciiTheme="minorHAnsi" w:eastAsiaTheme="minorHAnsi" w:hAnsiTheme="minorHAnsi" w:cs="Didot"/>
          <w:lang w:val="en-GB"/>
        </w:rPr>
        <w:t xml:space="preserve"> in regional human rights treaties. The American Convention on Human Rights stipulates in Article 4 (</w:t>
      </w:r>
      <w:proofErr w:type="gramStart"/>
      <w:r w:rsidRPr="00136C5A">
        <w:rPr>
          <w:rFonts w:asciiTheme="minorHAnsi" w:eastAsiaTheme="minorHAnsi" w:hAnsiTheme="minorHAnsi" w:cs="Didot"/>
          <w:lang w:val="en-GB"/>
        </w:rPr>
        <w:t>1)</w:t>
      </w:r>
      <w:proofErr w:type="gramEnd"/>
      <w:r w:rsidRPr="00136C5A">
        <w:rPr>
          <w:rFonts w:asciiTheme="minorHAnsi" w:eastAsiaTheme="minorHAnsi" w:hAnsiTheme="minorHAnsi" w:cs="Didot"/>
          <w:lang w:val="en-GB"/>
        </w:rPr>
        <w:t xml:space="preserve"> “Every person has the right to have his life respected.  This right </w:t>
      </w:r>
      <w:proofErr w:type="gramStart"/>
      <w:r w:rsidRPr="00136C5A">
        <w:rPr>
          <w:rFonts w:asciiTheme="minorHAnsi" w:eastAsiaTheme="minorHAnsi" w:hAnsiTheme="minorHAnsi" w:cs="Didot"/>
          <w:lang w:val="en-GB"/>
        </w:rPr>
        <w:t>shall be protected</w:t>
      </w:r>
      <w:proofErr w:type="gramEnd"/>
      <w:r w:rsidRPr="00136C5A">
        <w:rPr>
          <w:rFonts w:asciiTheme="minorHAnsi" w:eastAsiaTheme="minorHAnsi" w:hAnsiTheme="minorHAnsi" w:cs="Didot"/>
          <w:lang w:val="en-GB"/>
        </w:rPr>
        <w:t xml:space="preserve"> by law and, in general, from the moment of conception.  No one shall be arbitrarily deprived of his life.” </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The Article 2 of the </w:t>
      </w:r>
      <w:r w:rsidRPr="00136C5A">
        <w:rPr>
          <w:rFonts w:asciiTheme="minorHAnsi" w:eastAsiaTheme="minorHAnsi" w:hAnsiTheme="minorHAnsi" w:cs="Didot"/>
          <w:iCs/>
          <w:lang w:val="en-GB"/>
        </w:rPr>
        <w:t>European Convention for the Protection of Human Rights and Fundamental Freedoms</w:t>
      </w:r>
      <w:r w:rsidRPr="00136C5A">
        <w:rPr>
          <w:rFonts w:asciiTheme="minorHAnsi" w:eastAsiaTheme="minorHAnsi" w:hAnsiTheme="minorHAnsi" w:cs="Didot"/>
          <w:lang w:val="en-GB"/>
        </w:rPr>
        <w:t xml:space="preserve"> </w:t>
      </w:r>
      <w:proofErr w:type="gramStart"/>
      <w:r w:rsidRPr="00136C5A">
        <w:rPr>
          <w:rFonts w:asciiTheme="minorHAnsi" w:eastAsiaTheme="minorHAnsi" w:hAnsiTheme="minorHAnsi" w:cs="Didot"/>
          <w:lang w:val="en-GB"/>
        </w:rPr>
        <w:t>states</w:t>
      </w:r>
      <w:proofErr w:type="gramEnd"/>
      <w:r w:rsidRPr="00136C5A">
        <w:rPr>
          <w:rFonts w:asciiTheme="minorHAnsi" w:eastAsiaTheme="minorHAnsi" w:hAnsiTheme="minorHAnsi" w:cs="Didot"/>
          <w:lang w:val="en-GB"/>
        </w:rPr>
        <w:t xml:space="preserve"> “Everyone’s right to life shall be protected by law”. </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Protection of the unborn child, irrespective of the stage of development (e.g. embryo, foetus), is also present in other European legal instruments such as the Convention on Human Rights and Biomedicine (“Oviedo Convention”) with its Additional Protocol on the Prohibition of Cloning Human Beings and the Additional Protocol on Biomedical Research.</w:t>
      </w:r>
      <w:r w:rsidRPr="00AA0ABB">
        <w:rPr>
          <w:rFonts w:asciiTheme="minorHAnsi" w:eastAsiaTheme="minorHAnsi" w:hAnsiTheme="minorHAnsi" w:cs="Didot"/>
          <w:vertAlign w:val="superscript"/>
          <w:lang w:val="en-GB"/>
        </w:rPr>
        <w:footnoteReference w:id="16"/>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lastRenderedPageBreak/>
        <w:t xml:space="preserve">The proper meaning of </w:t>
      </w:r>
      <w:r w:rsidRPr="00136C5A">
        <w:rPr>
          <w:rFonts w:asciiTheme="minorHAnsi" w:eastAsiaTheme="minorHAnsi" w:hAnsiTheme="minorHAnsi" w:cs="Didot"/>
          <w:b/>
          <w:lang w:val="en-GB"/>
        </w:rPr>
        <w:t>Article 6 ICCPR must protect the life of every innocent human being regardless her/his stage of development</w:t>
      </w:r>
      <w:r w:rsidRPr="00136C5A">
        <w:rPr>
          <w:rFonts w:asciiTheme="minorHAnsi" w:eastAsiaTheme="minorHAnsi" w:hAnsiTheme="minorHAnsi" w:cs="Didot"/>
          <w:lang w:val="en-GB"/>
        </w:rPr>
        <w:t>. This is the only reasonable and coherent way of protecting human life as an “inherent” and “inalienable” human right. It is an urgent need to emphasize that the right to life is an attribute of every human being, and as such deserves especially intensive protection as a pre-condition of the enjoyment of any other human right.</w:t>
      </w:r>
    </w:p>
    <w:p w:rsidR="00136C5A" w:rsidRPr="00136C5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Protection of the human right to life might be limited only in case of a person, endangered with a death penalty, who has voluntarily committed a “most serious crime”. In all other cases, the life of every innocent human being deserves the strongest possible protection.</w:t>
      </w:r>
    </w:p>
    <w:p w:rsidR="00CD457A" w:rsidRDefault="00136C5A" w:rsidP="00FD6B5B">
      <w:pPr>
        <w:spacing w:after="120" w:line="240" w:lineRule="auto"/>
        <w:jc w:val="both"/>
        <w:rPr>
          <w:rFonts w:asciiTheme="minorHAnsi" w:eastAsiaTheme="minorHAnsi" w:hAnsiTheme="minorHAnsi" w:cs="Didot"/>
          <w:lang w:val="en-GB"/>
        </w:rPr>
      </w:pPr>
      <w:r w:rsidRPr="00136C5A">
        <w:rPr>
          <w:rFonts w:asciiTheme="minorHAnsi" w:eastAsiaTheme="minorHAnsi" w:hAnsiTheme="minorHAnsi" w:cs="Didot"/>
          <w:lang w:val="en-GB"/>
        </w:rPr>
        <w:t xml:space="preserve">Peculiarities of different stages of development of a human being, especially these stages in which she or he is particularly weak, vulnerable or otherwise less autonomous, must not be considered as an excuse to limit or diminish the protection of the human right to life. To the </w:t>
      </w:r>
      <w:proofErr w:type="gramStart"/>
      <w:r w:rsidRPr="00136C5A">
        <w:rPr>
          <w:rFonts w:asciiTheme="minorHAnsi" w:eastAsiaTheme="minorHAnsi" w:hAnsiTheme="minorHAnsi" w:cs="Didot"/>
          <w:lang w:val="en-GB"/>
        </w:rPr>
        <w:t>contrary:</w:t>
      </w:r>
      <w:proofErr w:type="gramEnd"/>
      <w:r w:rsidRPr="00136C5A">
        <w:rPr>
          <w:rFonts w:asciiTheme="minorHAnsi" w:eastAsiaTheme="minorHAnsi" w:hAnsiTheme="minorHAnsi" w:cs="Didot"/>
          <w:lang w:val="en-GB"/>
        </w:rPr>
        <w:t xml:space="preserve"> vulnerable, weak, or less autonomous human beings, whether in the early (prenatal) or late (terminal) stages should be considered as deserving stronger, and not weaker, protection of their rights, with particular emphasis on their right to life. </w:t>
      </w:r>
    </w:p>
    <w:p w:rsidR="00AF7885" w:rsidRDefault="00AF7885" w:rsidP="00FD6B5B">
      <w:pPr>
        <w:pStyle w:val="pismamz"/>
        <w:tabs>
          <w:tab w:val="left" w:pos="5400"/>
        </w:tabs>
        <w:spacing w:after="120" w:line="240" w:lineRule="auto"/>
        <w:contextualSpacing w:val="0"/>
        <w:rPr>
          <w:rFonts w:asciiTheme="minorHAnsi" w:hAnsiTheme="minorHAnsi"/>
          <w:b/>
          <w:lang w:val="en-US"/>
        </w:rPr>
      </w:pPr>
    </w:p>
    <w:p w:rsidR="00AF7885" w:rsidRDefault="00AF7885" w:rsidP="00FD6B5B">
      <w:pPr>
        <w:pStyle w:val="pismamz"/>
        <w:tabs>
          <w:tab w:val="left" w:pos="5400"/>
        </w:tabs>
        <w:spacing w:after="120" w:line="240" w:lineRule="auto"/>
        <w:contextualSpacing w:val="0"/>
        <w:rPr>
          <w:rFonts w:asciiTheme="minorHAnsi" w:hAnsiTheme="minorHAnsi"/>
          <w:b/>
          <w:lang w:val="en-US"/>
        </w:rPr>
      </w:pPr>
    </w:p>
    <w:p w:rsidR="00AA0ABB" w:rsidRDefault="005224C1" w:rsidP="00FD6B5B">
      <w:pPr>
        <w:pStyle w:val="pismamz"/>
        <w:tabs>
          <w:tab w:val="left" w:pos="5400"/>
        </w:tabs>
        <w:spacing w:after="120" w:line="240" w:lineRule="auto"/>
        <w:contextualSpacing w:val="0"/>
        <w:rPr>
          <w:rFonts w:asciiTheme="minorHAnsi" w:hAnsiTheme="minorHAnsi"/>
          <w:b/>
          <w:lang w:val="en-US"/>
        </w:rPr>
      </w:pPr>
      <w:r>
        <w:rPr>
          <w:rFonts w:asciiTheme="minorHAnsi" w:hAnsiTheme="minorHAnsi"/>
          <w:b/>
          <w:lang w:val="en-US"/>
        </w:rPr>
        <w:t>DETAILED</w:t>
      </w:r>
      <w:r w:rsidR="00AA0ABB">
        <w:rPr>
          <w:rFonts w:asciiTheme="minorHAnsi" w:hAnsiTheme="minorHAnsi"/>
          <w:b/>
          <w:lang w:val="en-US"/>
        </w:rPr>
        <w:t xml:space="preserve"> AMENDMENTS TO THE TEXT OF THE GENERAL COMMENT No 36 ON ARTICLE</w:t>
      </w:r>
      <w:r w:rsidR="00AA0ABB" w:rsidRPr="00AA0ABB">
        <w:rPr>
          <w:rFonts w:asciiTheme="minorHAnsi" w:hAnsiTheme="minorHAnsi"/>
          <w:b/>
          <w:lang w:val="en-US"/>
        </w:rPr>
        <w:t xml:space="preserve"> 6 </w:t>
      </w:r>
      <w:r w:rsidR="00AA0ABB">
        <w:rPr>
          <w:rFonts w:asciiTheme="minorHAnsi" w:hAnsiTheme="minorHAnsi"/>
          <w:b/>
          <w:lang w:val="en-US"/>
        </w:rPr>
        <w:br/>
        <w:t>OF THE ICCPR</w:t>
      </w:r>
      <w:r w:rsidR="00AA0ABB" w:rsidRPr="00AA0ABB">
        <w:rPr>
          <w:rFonts w:asciiTheme="minorHAnsi" w:hAnsiTheme="minorHAnsi"/>
          <w:b/>
          <w:lang w:val="en-US"/>
        </w:rPr>
        <w:t xml:space="preserve"> </w:t>
      </w:r>
    </w:p>
    <w:p w:rsidR="00CD457A" w:rsidRPr="00DE1E59" w:rsidRDefault="00EB3E4D" w:rsidP="00FD6B5B">
      <w:pPr>
        <w:pStyle w:val="pismamz"/>
        <w:tabs>
          <w:tab w:val="left" w:pos="5400"/>
        </w:tabs>
        <w:spacing w:after="120" w:line="240" w:lineRule="auto"/>
        <w:contextualSpacing w:val="0"/>
        <w:rPr>
          <w:rFonts w:asciiTheme="minorHAnsi" w:hAnsiTheme="minorHAnsi"/>
          <w:b/>
          <w:lang w:val="en-US"/>
        </w:rPr>
      </w:pPr>
      <w:r w:rsidRPr="00DE1E59">
        <w:rPr>
          <w:rFonts w:asciiTheme="minorHAnsi" w:hAnsiTheme="minorHAnsi"/>
          <w:b/>
          <w:lang w:val="en-US"/>
        </w:rPr>
        <w:t>Ad. I. 3.</w:t>
      </w:r>
    </w:p>
    <w:p w:rsidR="009E7D8A" w:rsidRPr="00647761" w:rsidRDefault="009E7D8A" w:rsidP="00FD6B5B">
      <w:pPr>
        <w:spacing w:after="120" w:line="240" w:lineRule="auto"/>
        <w:jc w:val="both"/>
        <w:rPr>
          <w:rFonts w:asciiTheme="minorHAnsi" w:hAnsiTheme="minorHAnsi"/>
          <w:b/>
          <w:lang w:val="en-US"/>
        </w:rPr>
      </w:pPr>
      <w:r w:rsidRPr="00647761">
        <w:rPr>
          <w:rFonts w:asciiTheme="minorHAnsi" w:hAnsiTheme="minorHAnsi"/>
          <w:b/>
          <w:lang w:val="en-US"/>
        </w:rPr>
        <w:t xml:space="preserve">Proposed </w:t>
      </w:r>
      <w:r w:rsidR="00DD31FD" w:rsidRPr="00647761">
        <w:rPr>
          <w:rFonts w:asciiTheme="minorHAnsi" w:hAnsiTheme="minorHAnsi"/>
          <w:b/>
          <w:lang w:val="en-US"/>
        </w:rPr>
        <w:t>amendment</w:t>
      </w:r>
      <w:r w:rsidRPr="00647761">
        <w:rPr>
          <w:rFonts w:asciiTheme="minorHAnsi" w:hAnsiTheme="minorHAnsi"/>
          <w:b/>
          <w:lang w:val="en-US"/>
        </w:rPr>
        <w:t xml:space="preserve">: </w:t>
      </w:r>
    </w:p>
    <w:p w:rsidR="00DD31FD" w:rsidRPr="00DE1E59" w:rsidRDefault="00DD31FD" w:rsidP="00FD6B5B">
      <w:pPr>
        <w:pStyle w:val="ListParagraph"/>
        <w:spacing w:after="120" w:line="240" w:lineRule="auto"/>
        <w:ind w:left="0"/>
        <w:contextualSpacing w:val="0"/>
        <w:jc w:val="both"/>
        <w:rPr>
          <w:rFonts w:asciiTheme="minorHAnsi" w:hAnsiTheme="minorHAnsi"/>
          <w:color w:val="FF0000"/>
          <w:lang w:val="en-US"/>
        </w:rPr>
      </w:pPr>
      <w:r w:rsidRPr="00DE1E59">
        <w:rPr>
          <w:rFonts w:asciiTheme="minorHAnsi" w:hAnsiTheme="minorHAnsi"/>
          <w:lang w:val="en-US"/>
        </w:rPr>
        <w:t xml:space="preserve">The right to life is a </w:t>
      </w:r>
      <w:proofErr w:type="gramStart"/>
      <w:r w:rsidRPr="00DE1E59">
        <w:rPr>
          <w:rFonts w:asciiTheme="minorHAnsi" w:hAnsiTheme="minorHAnsi"/>
          <w:lang w:val="en-US"/>
        </w:rPr>
        <w:t>right which</w:t>
      </w:r>
      <w:proofErr w:type="gramEnd"/>
      <w:r w:rsidRPr="00DE1E59">
        <w:rPr>
          <w:rFonts w:asciiTheme="minorHAnsi" w:hAnsiTheme="minorHAnsi"/>
          <w:lang w:val="en-US"/>
        </w:rPr>
        <w:t xml:space="preserve"> should not be interpreted narrowly. It concerns the entitlement of individuals to be free from acts and omissions intended or expected to cause their unnatural or premature death, as well as to enjoy a life with dignity</w:t>
      </w:r>
      <w:r w:rsidR="00640BF4" w:rsidRPr="00DE1E59">
        <w:rPr>
          <w:rFonts w:asciiTheme="minorHAnsi" w:hAnsiTheme="minorHAnsi"/>
          <w:lang w:val="en-US"/>
        </w:rPr>
        <w:t xml:space="preserve">. </w:t>
      </w:r>
      <w:r w:rsidR="00AF7885" w:rsidRPr="00AF7885">
        <w:rPr>
          <w:rFonts w:asciiTheme="minorHAnsi" w:hAnsiTheme="minorHAnsi"/>
          <w:color w:val="FF0000"/>
          <w:lang w:val="en-US"/>
        </w:rPr>
        <w:t xml:space="preserve">The Committee emphasizes that every child has the inherent right to life. </w:t>
      </w:r>
      <w:r w:rsidR="00640BF4" w:rsidRPr="00DE1E59">
        <w:rPr>
          <w:rFonts w:asciiTheme="minorHAnsi" w:hAnsiTheme="minorHAnsi"/>
          <w:color w:val="FF0000"/>
          <w:lang w:val="en-US"/>
        </w:rPr>
        <w:t xml:space="preserve">The child, </w:t>
      </w:r>
      <w:proofErr w:type="gramStart"/>
      <w:r w:rsidR="00640BF4" w:rsidRPr="00DE1E59">
        <w:rPr>
          <w:rFonts w:asciiTheme="minorHAnsi" w:hAnsiTheme="minorHAnsi"/>
          <w:color w:val="FF0000"/>
          <w:lang w:val="en-US"/>
        </w:rPr>
        <w:t>by reason of</w:t>
      </w:r>
      <w:proofErr w:type="gramEnd"/>
      <w:r w:rsidR="00640BF4" w:rsidRPr="00DE1E59">
        <w:rPr>
          <w:rFonts w:asciiTheme="minorHAnsi" w:hAnsiTheme="minorHAnsi"/>
          <w:color w:val="FF0000"/>
          <w:lang w:val="en-US"/>
        </w:rPr>
        <w:t xml:space="preserve"> his physical and mental immaturity, needs special safeguards and care, including appropriate legal protection, before as well as after birth.</w:t>
      </w:r>
      <w:r w:rsidRPr="00DE1E59">
        <w:rPr>
          <w:rFonts w:asciiTheme="minorHAnsi" w:eastAsiaTheme="minorHAnsi" w:hAnsiTheme="minorHAnsi"/>
          <w:lang w:val="en-US"/>
        </w:rPr>
        <w:t xml:space="preserve"> </w:t>
      </w:r>
      <w:r w:rsidRPr="00DE1E59">
        <w:rPr>
          <w:rFonts w:asciiTheme="minorHAnsi" w:hAnsiTheme="minorHAnsi"/>
          <w:lang w:val="en-US"/>
        </w:rPr>
        <w:t xml:space="preserve">Article </w:t>
      </w:r>
      <w:proofErr w:type="gramStart"/>
      <w:r w:rsidRPr="00DE1E59">
        <w:rPr>
          <w:rFonts w:asciiTheme="minorHAnsi" w:hAnsiTheme="minorHAnsi"/>
          <w:lang w:val="en-US"/>
        </w:rPr>
        <w:t>6</w:t>
      </w:r>
      <w:proofErr w:type="gramEnd"/>
      <w:r w:rsidRPr="00DE1E59">
        <w:rPr>
          <w:rFonts w:asciiTheme="minorHAnsi" w:hAnsiTheme="minorHAnsi"/>
          <w:lang w:val="en-US"/>
        </w:rPr>
        <w:t xml:space="preserve"> guarantees this right for all human beings, without distinction of any kind, including for persons suspected or convicted of even the most serious crimes.</w:t>
      </w:r>
    </w:p>
    <w:p w:rsidR="00DD31FD" w:rsidRPr="00DE1E59" w:rsidRDefault="00DD31FD" w:rsidP="00FD6B5B">
      <w:pPr>
        <w:pStyle w:val="ListParagraph"/>
        <w:spacing w:after="120" w:line="240" w:lineRule="auto"/>
        <w:contextualSpacing w:val="0"/>
        <w:jc w:val="both"/>
        <w:rPr>
          <w:rFonts w:asciiTheme="minorHAnsi" w:hAnsiTheme="minorHAnsi"/>
          <w:b/>
          <w:lang w:val="en-US"/>
        </w:rPr>
      </w:pPr>
    </w:p>
    <w:p w:rsidR="00640BF4" w:rsidRPr="00DE1E59" w:rsidRDefault="00640BF4" w:rsidP="00FD6B5B">
      <w:pPr>
        <w:pStyle w:val="ListParagraph"/>
        <w:spacing w:after="120" w:line="240" w:lineRule="auto"/>
        <w:ind w:left="0"/>
        <w:contextualSpacing w:val="0"/>
        <w:jc w:val="both"/>
        <w:rPr>
          <w:rFonts w:asciiTheme="minorHAnsi" w:hAnsiTheme="minorHAnsi"/>
          <w:lang w:val="en-US"/>
        </w:rPr>
      </w:pPr>
      <w:r w:rsidRPr="00DE1E59">
        <w:rPr>
          <w:rFonts w:asciiTheme="minorHAnsi" w:hAnsiTheme="minorHAnsi"/>
          <w:b/>
          <w:lang w:val="en-US"/>
        </w:rPr>
        <w:t>Explanation of position</w:t>
      </w:r>
      <w:r w:rsidRPr="00DE1E59">
        <w:rPr>
          <w:rFonts w:asciiTheme="minorHAnsi" w:hAnsiTheme="minorHAnsi" w:cstheme="minorHAnsi"/>
          <w:b/>
          <w:lang w:val="en-US"/>
        </w:rPr>
        <w:t>:</w:t>
      </w:r>
    </w:p>
    <w:p w:rsidR="00DD31FD" w:rsidRPr="00DE1E59" w:rsidRDefault="00640BF4" w:rsidP="00FD6B5B">
      <w:pPr>
        <w:pStyle w:val="ListParagraph"/>
        <w:spacing w:after="120" w:line="240" w:lineRule="auto"/>
        <w:ind w:left="0"/>
        <w:contextualSpacing w:val="0"/>
        <w:jc w:val="both"/>
        <w:rPr>
          <w:rFonts w:asciiTheme="minorHAnsi" w:hAnsiTheme="minorHAnsi"/>
          <w:lang w:val="en-US"/>
        </w:rPr>
      </w:pPr>
      <w:r w:rsidRPr="00DE1E59">
        <w:rPr>
          <w:rFonts w:asciiTheme="minorHAnsi" w:hAnsiTheme="minorHAnsi"/>
          <w:lang w:val="en-US"/>
        </w:rPr>
        <w:t xml:space="preserve">This proposed </w:t>
      </w:r>
      <w:r w:rsidR="00DE1E59" w:rsidRPr="00DE1E59">
        <w:rPr>
          <w:rFonts w:asciiTheme="minorHAnsi" w:hAnsiTheme="minorHAnsi"/>
          <w:lang w:val="en-US"/>
        </w:rPr>
        <w:t xml:space="preserve">addition to the text is in line </w:t>
      </w:r>
      <w:r w:rsidRPr="00DE1E59">
        <w:rPr>
          <w:rFonts w:asciiTheme="minorHAnsi" w:hAnsiTheme="minorHAnsi"/>
          <w:lang w:val="en-US"/>
        </w:rPr>
        <w:t xml:space="preserve">with Convention on the Rights of the Child. </w:t>
      </w:r>
    </w:p>
    <w:p w:rsidR="00AF7885" w:rsidRDefault="00AF7885" w:rsidP="00FD6B5B">
      <w:pPr>
        <w:pStyle w:val="ListParagraph"/>
        <w:spacing w:after="120" w:line="240" w:lineRule="auto"/>
        <w:ind w:left="0"/>
        <w:contextualSpacing w:val="0"/>
        <w:jc w:val="both"/>
        <w:rPr>
          <w:rFonts w:asciiTheme="minorHAnsi" w:hAnsiTheme="minorHAnsi"/>
          <w:b/>
          <w:lang w:val="en-US"/>
        </w:rPr>
      </w:pPr>
    </w:p>
    <w:p w:rsidR="00486DF3" w:rsidRPr="00DE1E59" w:rsidRDefault="00CD457A" w:rsidP="00FD6B5B">
      <w:pPr>
        <w:pStyle w:val="pismamz"/>
        <w:tabs>
          <w:tab w:val="left" w:pos="5400"/>
        </w:tabs>
        <w:spacing w:after="120" w:line="240" w:lineRule="auto"/>
        <w:contextualSpacing w:val="0"/>
        <w:rPr>
          <w:rFonts w:asciiTheme="minorHAnsi" w:hAnsiTheme="minorHAnsi"/>
          <w:b/>
          <w:lang w:val="en-US"/>
        </w:rPr>
      </w:pPr>
      <w:r w:rsidRPr="00DE1E59">
        <w:rPr>
          <w:rFonts w:asciiTheme="minorHAnsi" w:hAnsiTheme="minorHAnsi"/>
          <w:b/>
          <w:lang w:val="en-US"/>
        </w:rPr>
        <w:t xml:space="preserve">Ad. </w:t>
      </w:r>
      <w:proofErr w:type="gramStart"/>
      <w:r w:rsidRPr="00DE1E59">
        <w:rPr>
          <w:rFonts w:asciiTheme="minorHAnsi" w:hAnsiTheme="minorHAnsi"/>
          <w:b/>
          <w:lang w:val="en-US"/>
        </w:rPr>
        <w:t>par</w:t>
      </w:r>
      <w:proofErr w:type="gramEnd"/>
      <w:r w:rsidRPr="00DE1E59">
        <w:rPr>
          <w:rFonts w:asciiTheme="minorHAnsi" w:hAnsiTheme="minorHAnsi"/>
          <w:b/>
          <w:lang w:val="en-US"/>
        </w:rPr>
        <w:t xml:space="preserve">. </w:t>
      </w:r>
      <w:r w:rsidR="00662169" w:rsidRPr="00DE1E59">
        <w:rPr>
          <w:rFonts w:asciiTheme="minorHAnsi" w:hAnsiTheme="minorHAnsi"/>
          <w:b/>
          <w:lang w:val="en-US"/>
        </w:rPr>
        <w:t xml:space="preserve">I. </w:t>
      </w:r>
      <w:r w:rsidRPr="00DE1E59">
        <w:rPr>
          <w:rFonts w:asciiTheme="minorHAnsi" w:hAnsiTheme="minorHAnsi"/>
          <w:b/>
          <w:lang w:val="en-US"/>
        </w:rPr>
        <w:t>9</w:t>
      </w:r>
    </w:p>
    <w:p w:rsidR="00CA0485" w:rsidRDefault="00CA0485" w:rsidP="00FD6B5B">
      <w:pPr>
        <w:pStyle w:val="pismamz"/>
        <w:tabs>
          <w:tab w:val="left" w:pos="5400"/>
        </w:tabs>
        <w:spacing w:after="120" w:line="240" w:lineRule="auto"/>
        <w:contextualSpacing w:val="0"/>
        <w:rPr>
          <w:rFonts w:asciiTheme="minorHAnsi" w:hAnsiTheme="minorHAnsi" w:cstheme="minorHAnsi"/>
          <w:b/>
          <w:lang w:val="en-US"/>
        </w:rPr>
      </w:pPr>
    </w:p>
    <w:p w:rsidR="00486DF3" w:rsidRPr="00DE1E59" w:rsidRDefault="00486DF3" w:rsidP="00FD6B5B">
      <w:pPr>
        <w:pStyle w:val="pismamz"/>
        <w:tabs>
          <w:tab w:val="left" w:pos="5400"/>
        </w:tabs>
        <w:spacing w:after="120" w:line="240" w:lineRule="auto"/>
        <w:contextualSpacing w:val="0"/>
        <w:rPr>
          <w:rFonts w:asciiTheme="minorHAnsi" w:hAnsiTheme="minorHAnsi" w:cstheme="minorHAnsi"/>
          <w:b/>
          <w:lang w:val="en-US"/>
        </w:rPr>
      </w:pPr>
      <w:r w:rsidRPr="00DE1E59">
        <w:rPr>
          <w:rFonts w:asciiTheme="minorHAnsi" w:hAnsiTheme="minorHAnsi" w:cstheme="minorHAnsi"/>
          <w:b/>
          <w:lang w:val="en-US"/>
        </w:rPr>
        <w:t>Comment to par. I. 9:</w:t>
      </w:r>
    </w:p>
    <w:p w:rsidR="00486DF3" w:rsidRPr="00DE1E59" w:rsidRDefault="00486DF3" w:rsidP="00FD6B5B">
      <w:pPr>
        <w:pStyle w:val="ListParagraph"/>
        <w:spacing w:after="120" w:line="240" w:lineRule="auto"/>
        <w:ind w:left="0"/>
        <w:contextualSpacing w:val="0"/>
        <w:jc w:val="both"/>
        <w:rPr>
          <w:rFonts w:asciiTheme="minorHAnsi" w:hAnsiTheme="minorHAnsi"/>
          <w:lang w:val="en-US"/>
        </w:rPr>
      </w:pPr>
      <w:r w:rsidRPr="00FD6B5B">
        <w:rPr>
          <w:rFonts w:asciiTheme="minorHAnsi" w:hAnsiTheme="minorHAnsi"/>
          <w:u w:val="single"/>
          <w:lang w:val="en-US"/>
        </w:rPr>
        <w:t xml:space="preserve">Our </w:t>
      </w:r>
      <w:r w:rsidR="005224C1">
        <w:rPr>
          <w:rFonts w:asciiTheme="minorHAnsi" w:hAnsiTheme="minorHAnsi"/>
          <w:u w:val="single"/>
          <w:lang w:val="en-US"/>
        </w:rPr>
        <w:t>proposal</w:t>
      </w:r>
      <w:r w:rsidRPr="00FD6B5B">
        <w:rPr>
          <w:rFonts w:asciiTheme="minorHAnsi" w:hAnsiTheme="minorHAnsi"/>
          <w:u w:val="single"/>
          <w:lang w:val="en-US"/>
        </w:rPr>
        <w:t xml:space="preserve"> would be to delete the wording of this paragraph</w:t>
      </w:r>
      <w:r w:rsidRPr="00DE1E59">
        <w:rPr>
          <w:rFonts w:asciiTheme="minorHAnsi" w:hAnsiTheme="minorHAnsi"/>
          <w:lang w:val="en-US"/>
        </w:rPr>
        <w:t xml:space="preserve">, </w:t>
      </w:r>
      <w:proofErr w:type="gramStart"/>
      <w:r w:rsidRPr="00DE1E59">
        <w:rPr>
          <w:rFonts w:asciiTheme="minorHAnsi" w:hAnsiTheme="minorHAnsi"/>
          <w:lang w:val="en-US"/>
        </w:rPr>
        <w:t>due to the fact that</w:t>
      </w:r>
      <w:proofErr w:type="gramEnd"/>
      <w:r w:rsidRPr="00DE1E59">
        <w:rPr>
          <w:rFonts w:asciiTheme="minorHAnsi" w:hAnsiTheme="minorHAnsi"/>
          <w:lang w:val="en-US"/>
        </w:rPr>
        <w:t xml:space="preserve"> it provides an interpretation of the right to life for pregnant women, however, only in the context of access to abortion.</w:t>
      </w:r>
    </w:p>
    <w:p w:rsidR="00486DF3" w:rsidRPr="00DE1E59" w:rsidRDefault="00486DF3" w:rsidP="00FD6B5B">
      <w:pPr>
        <w:pStyle w:val="ListParagraph"/>
        <w:spacing w:after="120" w:line="240" w:lineRule="auto"/>
        <w:ind w:left="0"/>
        <w:contextualSpacing w:val="0"/>
        <w:jc w:val="both"/>
        <w:rPr>
          <w:rFonts w:asciiTheme="minorHAnsi" w:hAnsiTheme="minorHAnsi"/>
          <w:lang w:val="en-US"/>
        </w:rPr>
      </w:pPr>
      <w:r w:rsidRPr="00DE1E59">
        <w:rPr>
          <w:rFonts w:asciiTheme="minorHAnsi" w:hAnsiTheme="minorHAnsi"/>
          <w:lang w:val="en-US"/>
        </w:rPr>
        <w:t xml:space="preserve">It seems that the reference in the considered document, which should be of a general nature, to such a detailed issue is a manifestation of an overly casuistic approach. Consequently, and in the view of the fact that the right to life in the context of abortion is interpreted exclusively from the point of view of the right to life </w:t>
      </w:r>
      <w:proofErr w:type="gramStart"/>
      <w:r w:rsidRPr="00DE1E59">
        <w:rPr>
          <w:rFonts w:asciiTheme="minorHAnsi" w:hAnsiTheme="minorHAnsi"/>
          <w:lang w:val="en-US"/>
        </w:rPr>
        <w:t>of a pregnant women</w:t>
      </w:r>
      <w:proofErr w:type="gramEnd"/>
      <w:r w:rsidRPr="00DE1E59">
        <w:rPr>
          <w:rFonts w:asciiTheme="minorHAnsi" w:hAnsiTheme="minorHAnsi"/>
          <w:lang w:val="en-US"/>
        </w:rPr>
        <w:t>, we would like to propose deletion of this text.</w:t>
      </w:r>
    </w:p>
    <w:p w:rsidR="00486DF3" w:rsidRDefault="00486DF3" w:rsidP="00FD6B5B">
      <w:pPr>
        <w:pStyle w:val="ListParagraph"/>
        <w:spacing w:after="120" w:line="240" w:lineRule="auto"/>
        <w:contextualSpacing w:val="0"/>
        <w:jc w:val="both"/>
        <w:rPr>
          <w:rFonts w:asciiTheme="minorHAnsi" w:hAnsiTheme="minorHAnsi"/>
          <w:lang w:val="en-US"/>
        </w:rPr>
      </w:pPr>
    </w:p>
    <w:p w:rsidR="00CA0485" w:rsidRPr="00DE1E59" w:rsidRDefault="00CA0485" w:rsidP="00FD6B5B">
      <w:pPr>
        <w:pStyle w:val="ListParagraph"/>
        <w:spacing w:after="120" w:line="240" w:lineRule="auto"/>
        <w:contextualSpacing w:val="0"/>
        <w:jc w:val="both"/>
        <w:rPr>
          <w:rFonts w:asciiTheme="minorHAnsi" w:hAnsiTheme="minorHAnsi"/>
          <w:lang w:val="en-US"/>
        </w:rPr>
      </w:pPr>
    </w:p>
    <w:p w:rsidR="00486DF3" w:rsidRPr="00DE1E59" w:rsidRDefault="005224C1" w:rsidP="00FD6B5B">
      <w:pPr>
        <w:pStyle w:val="ListParagraph"/>
        <w:spacing w:after="120" w:line="240" w:lineRule="auto"/>
        <w:ind w:left="0"/>
        <w:contextualSpacing w:val="0"/>
        <w:jc w:val="both"/>
        <w:rPr>
          <w:rFonts w:asciiTheme="minorHAnsi" w:hAnsiTheme="minorHAnsi"/>
          <w:b/>
          <w:lang w:val="en-US"/>
        </w:rPr>
      </w:pPr>
      <w:proofErr w:type="gramStart"/>
      <w:r>
        <w:rPr>
          <w:rFonts w:asciiTheme="minorHAnsi" w:hAnsiTheme="minorHAnsi"/>
          <w:b/>
          <w:lang w:val="en-US"/>
        </w:rPr>
        <w:lastRenderedPageBreak/>
        <w:t>Alternatively</w:t>
      </w:r>
      <w:proofErr w:type="gramEnd"/>
      <w:r>
        <w:rPr>
          <w:rFonts w:asciiTheme="minorHAnsi" w:hAnsiTheme="minorHAnsi"/>
          <w:b/>
          <w:lang w:val="en-US"/>
        </w:rPr>
        <w:t xml:space="preserve"> </w:t>
      </w:r>
      <w:r w:rsidR="00486DF3" w:rsidRPr="00DE1E59">
        <w:rPr>
          <w:rFonts w:asciiTheme="minorHAnsi" w:hAnsiTheme="minorHAnsi"/>
          <w:b/>
          <w:lang w:val="en-US"/>
        </w:rPr>
        <w:t>we</w:t>
      </w:r>
      <w:r>
        <w:rPr>
          <w:rFonts w:asciiTheme="minorHAnsi" w:hAnsiTheme="minorHAnsi"/>
          <w:b/>
          <w:lang w:val="en-US"/>
        </w:rPr>
        <w:t xml:space="preserve"> could also accept </w:t>
      </w:r>
      <w:r w:rsidR="00486DF3" w:rsidRPr="00DE1E59">
        <w:rPr>
          <w:rFonts w:asciiTheme="minorHAnsi" w:hAnsiTheme="minorHAnsi"/>
          <w:b/>
          <w:lang w:val="en-US"/>
        </w:rPr>
        <w:t xml:space="preserve">the following </w:t>
      </w:r>
      <w:r>
        <w:rPr>
          <w:rFonts w:asciiTheme="minorHAnsi" w:hAnsiTheme="minorHAnsi"/>
          <w:b/>
          <w:lang w:val="en-US"/>
        </w:rPr>
        <w:t>amendments</w:t>
      </w:r>
      <w:r w:rsidR="00486DF3" w:rsidRPr="00DE1E59">
        <w:rPr>
          <w:rFonts w:asciiTheme="minorHAnsi" w:hAnsiTheme="minorHAnsi"/>
          <w:b/>
          <w:lang w:val="en-US"/>
        </w:rPr>
        <w:t>:</w:t>
      </w:r>
    </w:p>
    <w:p w:rsidR="00486DF3" w:rsidRPr="00DE1E59" w:rsidRDefault="00486DF3" w:rsidP="00FD6B5B">
      <w:pPr>
        <w:pStyle w:val="ListParagraph"/>
        <w:spacing w:after="120" w:line="240" w:lineRule="auto"/>
        <w:contextualSpacing w:val="0"/>
        <w:jc w:val="both"/>
        <w:rPr>
          <w:rFonts w:asciiTheme="minorHAnsi" w:hAnsiTheme="minorHAnsi"/>
          <w:lang w:val="en-US"/>
        </w:rPr>
      </w:pPr>
    </w:p>
    <w:p w:rsidR="003C2CF2" w:rsidRPr="00A826FE" w:rsidRDefault="00CD457A" w:rsidP="00FD6B5B">
      <w:pPr>
        <w:pStyle w:val="ListParagraph"/>
        <w:numPr>
          <w:ilvl w:val="0"/>
          <w:numId w:val="4"/>
        </w:numPr>
        <w:spacing w:after="120" w:line="240" w:lineRule="auto"/>
        <w:contextualSpacing w:val="0"/>
        <w:jc w:val="both"/>
        <w:rPr>
          <w:rFonts w:asciiTheme="minorHAnsi" w:hAnsiTheme="minorHAnsi"/>
          <w:lang w:val="en-US"/>
        </w:rPr>
      </w:pPr>
      <w:r w:rsidRPr="00DE1E59">
        <w:rPr>
          <w:rFonts w:asciiTheme="minorHAnsi" w:hAnsiTheme="minorHAnsi"/>
          <w:lang w:val="en-US"/>
        </w:rPr>
        <w:t xml:space="preserve"> (…) </w:t>
      </w:r>
      <w:r w:rsidR="00662169" w:rsidRPr="00DE1E59">
        <w:rPr>
          <w:rFonts w:asciiTheme="minorHAnsi" w:hAnsiTheme="minorHAnsi"/>
          <w:i/>
          <w:lang w:val="en-US"/>
        </w:rPr>
        <w:t>to ensure access for women and men and in particular, adolescents, to information and education about reproductive options and to a wide range of contraceptive methods</w:t>
      </w:r>
      <w:r w:rsidR="00A826FE">
        <w:rPr>
          <w:rFonts w:asciiTheme="minorHAnsi" w:hAnsiTheme="minorHAnsi"/>
          <w:lang w:val="en-US"/>
        </w:rPr>
        <w:t xml:space="preserve">. </w:t>
      </w:r>
      <w:r w:rsidR="00CA0485" w:rsidRPr="00CA0485">
        <w:rPr>
          <w:rFonts w:asciiTheme="minorHAnsi" w:hAnsiTheme="minorHAnsi"/>
          <w:b/>
          <w:bCs/>
          <w:i/>
          <w:color w:val="FF0000"/>
          <w:lang w:val="en-US"/>
        </w:rPr>
        <w:t>At the same time, States Parties should have respect for the liberty of parents and, when applicable, legal guardians to ensure the religious and moral education of their children in conformity with their own convictions.</w:t>
      </w:r>
    </w:p>
    <w:p w:rsidR="006F07A9" w:rsidRPr="00DE1E59" w:rsidRDefault="006F07A9" w:rsidP="00FD6B5B">
      <w:pPr>
        <w:spacing w:after="120" w:line="240" w:lineRule="auto"/>
        <w:ind w:firstLine="708"/>
        <w:jc w:val="both"/>
        <w:rPr>
          <w:rFonts w:asciiTheme="minorHAnsi" w:hAnsiTheme="minorHAnsi"/>
          <w:i/>
          <w:lang w:val="en-US"/>
        </w:rPr>
      </w:pPr>
    </w:p>
    <w:p w:rsidR="005318E0" w:rsidRPr="00DE1E59" w:rsidRDefault="006F07A9" w:rsidP="00FD6B5B">
      <w:pPr>
        <w:pStyle w:val="ListParagraph"/>
        <w:numPr>
          <w:ilvl w:val="0"/>
          <w:numId w:val="4"/>
        </w:numPr>
        <w:spacing w:after="120" w:line="240" w:lineRule="auto"/>
        <w:contextualSpacing w:val="0"/>
        <w:jc w:val="both"/>
        <w:rPr>
          <w:rFonts w:asciiTheme="minorHAnsi" w:hAnsiTheme="minorHAnsi"/>
          <w:i/>
          <w:color w:val="FF0000"/>
          <w:lang w:val="en-US"/>
        </w:rPr>
      </w:pPr>
      <w:r w:rsidRPr="00DE1E59">
        <w:rPr>
          <w:rFonts w:asciiTheme="minorHAnsi" w:hAnsiTheme="minorHAnsi"/>
          <w:i/>
          <w:lang w:val="en-US"/>
        </w:rPr>
        <w:t xml:space="preserve"> </w:t>
      </w:r>
      <w:r w:rsidR="00A12122" w:rsidRPr="00DE1E59">
        <w:rPr>
          <w:rFonts w:asciiTheme="minorHAnsi" w:hAnsiTheme="minorHAnsi"/>
          <w:i/>
          <w:lang w:val="en-US"/>
        </w:rPr>
        <w:t xml:space="preserve">Thus, any legal restriction on the ability of women to seek abortion must not, inter alia, jeopardize their life or </w:t>
      </w:r>
      <w:r w:rsidR="00C51E0E" w:rsidRPr="00DE1E59">
        <w:rPr>
          <w:rFonts w:asciiTheme="minorHAnsi" w:hAnsiTheme="minorHAnsi"/>
          <w:i/>
          <w:strike/>
          <w:lang w:val="en-US"/>
        </w:rPr>
        <w:t xml:space="preserve">subject them to physical or mental pain or suffering which violates article 7 </w:t>
      </w:r>
      <w:r w:rsidR="00A12122" w:rsidRPr="00DE1E59">
        <w:rPr>
          <w:rFonts w:asciiTheme="minorHAnsi" w:hAnsiTheme="minorHAnsi"/>
          <w:i/>
          <w:color w:val="FF0000"/>
          <w:lang w:val="en-US"/>
        </w:rPr>
        <w:t>health</w:t>
      </w:r>
      <w:r w:rsidR="00C51E0E" w:rsidRPr="00DE1E59">
        <w:rPr>
          <w:rFonts w:asciiTheme="minorHAnsi" w:hAnsiTheme="minorHAnsi"/>
          <w:i/>
          <w:color w:val="FF0000"/>
          <w:lang w:val="en-US"/>
        </w:rPr>
        <w:t>.</w:t>
      </w:r>
    </w:p>
    <w:p w:rsidR="00FB043B" w:rsidRPr="00DE1E59" w:rsidRDefault="00FB043B" w:rsidP="00FD6B5B">
      <w:pPr>
        <w:pStyle w:val="ListParagraph"/>
        <w:spacing w:after="120" w:line="240" w:lineRule="auto"/>
        <w:contextualSpacing w:val="0"/>
        <w:rPr>
          <w:rFonts w:asciiTheme="minorHAnsi" w:hAnsiTheme="minorHAnsi"/>
          <w:i/>
          <w:lang w:val="en-US"/>
        </w:rPr>
      </w:pPr>
    </w:p>
    <w:p w:rsidR="00FB043B" w:rsidRPr="00DE1E59" w:rsidRDefault="00486DF3" w:rsidP="00FD6B5B">
      <w:pPr>
        <w:pStyle w:val="ListParagraph"/>
        <w:spacing w:after="120" w:line="240" w:lineRule="auto"/>
        <w:contextualSpacing w:val="0"/>
        <w:rPr>
          <w:rFonts w:asciiTheme="minorHAnsi" w:hAnsiTheme="minorHAnsi"/>
          <w:lang w:val="en-US"/>
        </w:rPr>
      </w:pPr>
      <w:r w:rsidRPr="00DE1E59">
        <w:rPr>
          <w:rFonts w:asciiTheme="minorHAnsi" w:hAnsiTheme="minorHAnsi"/>
          <w:b/>
          <w:lang w:val="en-US"/>
        </w:rPr>
        <w:t>Explanation of position</w:t>
      </w:r>
      <w:r w:rsidR="00FB043B" w:rsidRPr="00DE1E59">
        <w:rPr>
          <w:rFonts w:asciiTheme="minorHAnsi" w:hAnsiTheme="minorHAnsi"/>
          <w:b/>
          <w:lang w:val="en-US"/>
        </w:rPr>
        <w:t>:</w:t>
      </w:r>
      <w:r w:rsidR="00FB043B" w:rsidRPr="00DE1E59">
        <w:rPr>
          <w:rFonts w:asciiTheme="minorHAnsi" w:hAnsiTheme="minorHAnsi"/>
          <w:lang w:val="en-US"/>
        </w:rPr>
        <w:t xml:space="preserve"> </w:t>
      </w:r>
      <w:proofErr w:type="gramStart"/>
      <w:r w:rsidR="00FB043B" w:rsidRPr="00DE1E59">
        <w:rPr>
          <w:rFonts w:asciiTheme="minorHAnsi" w:hAnsiTheme="minorHAnsi"/>
          <w:lang w:val="en-US"/>
        </w:rPr>
        <w:t>More general reference</w:t>
      </w:r>
      <w:proofErr w:type="gramEnd"/>
      <w:r w:rsidR="00FB043B" w:rsidRPr="00DE1E59">
        <w:rPr>
          <w:rFonts w:asciiTheme="minorHAnsi" w:hAnsiTheme="minorHAnsi"/>
          <w:lang w:val="en-US"/>
        </w:rPr>
        <w:t xml:space="preserve"> seems more appropriate in this context.</w:t>
      </w:r>
    </w:p>
    <w:p w:rsidR="00A826FE" w:rsidRDefault="00A826FE" w:rsidP="00FD6B5B">
      <w:pPr>
        <w:spacing w:after="120" w:line="240" w:lineRule="auto"/>
        <w:ind w:firstLine="708"/>
        <w:jc w:val="both"/>
        <w:rPr>
          <w:rFonts w:asciiTheme="minorHAnsi" w:hAnsiTheme="minorHAnsi"/>
          <w:u w:val="single"/>
          <w:lang w:val="en-US"/>
        </w:rPr>
      </w:pPr>
    </w:p>
    <w:p w:rsidR="005318E0" w:rsidRPr="00DE1E59" w:rsidRDefault="00486DF3" w:rsidP="00FD6B5B">
      <w:pPr>
        <w:spacing w:after="120" w:line="240" w:lineRule="auto"/>
        <w:ind w:firstLine="708"/>
        <w:jc w:val="both"/>
        <w:rPr>
          <w:rFonts w:asciiTheme="minorHAnsi" w:hAnsiTheme="minorHAnsi"/>
          <w:u w:val="single"/>
          <w:lang w:val="en-US"/>
        </w:rPr>
      </w:pPr>
      <w:r w:rsidRPr="00DE1E59">
        <w:rPr>
          <w:rFonts w:asciiTheme="minorHAnsi" w:hAnsiTheme="minorHAnsi"/>
          <w:u w:val="single"/>
          <w:lang w:val="en-US"/>
        </w:rPr>
        <w:t>Proposed deletion of the paragraph</w:t>
      </w:r>
      <w:r w:rsidR="005318E0" w:rsidRPr="00DE1E59">
        <w:rPr>
          <w:rFonts w:asciiTheme="minorHAnsi" w:hAnsiTheme="minorHAnsi"/>
          <w:u w:val="single"/>
          <w:lang w:val="en-US"/>
        </w:rPr>
        <w:t xml:space="preserve">: </w:t>
      </w:r>
    </w:p>
    <w:p w:rsidR="003C2CF2" w:rsidRPr="00DE1E59" w:rsidRDefault="003C2CF2" w:rsidP="00FD6B5B">
      <w:pPr>
        <w:pStyle w:val="ListParagraph"/>
        <w:numPr>
          <w:ilvl w:val="0"/>
          <w:numId w:val="4"/>
        </w:numPr>
        <w:spacing w:after="120" w:line="240" w:lineRule="auto"/>
        <w:contextualSpacing w:val="0"/>
        <w:jc w:val="both"/>
        <w:rPr>
          <w:rFonts w:asciiTheme="minorHAnsi" w:hAnsiTheme="minorHAnsi"/>
          <w:i/>
          <w:strike/>
          <w:lang w:val="en-US"/>
        </w:rPr>
      </w:pPr>
      <w:r w:rsidRPr="00DE1E59">
        <w:rPr>
          <w:rFonts w:asciiTheme="minorHAnsi" w:hAnsiTheme="minorHAnsi"/>
          <w:i/>
          <w:strike/>
          <w:lang w:val="en-US"/>
        </w:rPr>
        <w:t xml:space="preserve">In situations in which carrying pregnancy to term would cause the women substantial pain or suffering, most notably when the pregnancy is the result of rape or incest or when the </w:t>
      </w:r>
      <w:proofErr w:type="spellStart"/>
      <w:r w:rsidRPr="00DE1E59">
        <w:rPr>
          <w:rFonts w:asciiTheme="minorHAnsi" w:hAnsiTheme="minorHAnsi"/>
          <w:i/>
          <w:strike/>
          <w:lang w:val="en-US"/>
        </w:rPr>
        <w:t>foetus</w:t>
      </w:r>
      <w:proofErr w:type="spellEnd"/>
      <w:r w:rsidRPr="00DE1E59">
        <w:rPr>
          <w:rFonts w:asciiTheme="minorHAnsi" w:hAnsiTheme="minorHAnsi"/>
          <w:i/>
          <w:strike/>
          <w:lang w:val="en-US"/>
        </w:rPr>
        <w:t xml:space="preserve"> suffers from fatal impairment</w:t>
      </w:r>
    </w:p>
    <w:p w:rsidR="003C2CF2" w:rsidRPr="00DE1E59" w:rsidRDefault="003C2CF2" w:rsidP="00FD6B5B">
      <w:pPr>
        <w:pStyle w:val="ListParagraph"/>
        <w:spacing w:after="120" w:line="240" w:lineRule="auto"/>
        <w:contextualSpacing w:val="0"/>
        <w:jc w:val="both"/>
        <w:rPr>
          <w:rFonts w:asciiTheme="minorHAnsi" w:hAnsiTheme="minorHAnsi"/>
          <w:i/>
          <w:lang w:val="en-US"/>
        </w:rPr>
      </w:pPr>
    </w:p>
    <w:p w:rsidR="00FB043B" w:rsidRPr="00DE1E59" w:rsidRDefault="00486DF3" w:rsidP="00FD6B5B">
      <w:pPr>
        <w:pStyle w:val="ListParagraph"/>
        <w:spacing w:after="120" w:line="240" w:lineRule="auto"/>
        <w:contextualSpacing w:val="0"/>
        <w:jc w:val="both"/>
        <w:rPr>
          <w:rFonts w:asciiTheme="minorHAnsi" w:hAnsiTheme="minorHAnsi"/>
          <w:i/>
          <w:lang w:val="en-US"/>
        </w:rPr>
      </w:pPr>
      <w:r w:rsidRPr="00DE1E59">
        <w:rPr>
          <w:rFonts w:asciiTheme="minorHAnsi" w:hAnsiTheme="minorHAnsi"/>
          <w:b/>
          <w:lang w:val="en-US"/>
        </w:rPr>
        <w:t>Explanation of position</w:t>
      </w:r>
      <w:r w:rsidR="00FB043B" w:rsidRPr="00DE1E59">
        <w:rPr>
          <w:rFonts w:asciiTheme="minorHAnsi" w:hAnsiTheme="minorHAnsi"/>
          <w:b/>
          <w:lang w:val="en-US"/>
        </w:rPr>
        <w:t>:</w:t>
      </w:r>
      <w:r w:rsidR="00FB043B" w:rsidRPr="00DE1E59">
        <w:rPr>
          <w:rFonts w:asciiTheme="minorHAnsi" w:hAnsiTheme="minorHAnsi"/>
          <w:i/>
          <w:lang w:val="en-US"/>
        </w:rPr>
        <w:t xml:space="preserve"> </w:t>
      </w:r>
      <w:r w:rsidR="00FB043B" w:rsidRPr="00DE1E59">
        <w:rPr>
          <w:rFonts w:asciiTheme="minorHAnsi" w:hAnsiTheme="minorHAnsi"/>
          <w:lang w:val="en-US"/>
        </w:rPr>
        <w:t xml:space="preserve">The issue of conditions/circumstances for the termination of </w:t>
      </w:r>
      <w:proofErr w:type="gramStart"/>
      <w:r w:rsidR="00FB043B" w:rsidRPr="00DE1E59">
        <w:rPr>
          <w:rFonts w:asciiTheme="minorHAnsi" w:hAnsiTheme="minorHAnsi"/>
          <w:lang w:val="en-US"/>
        </w:rPr>
        <w:t>pregnancy  should</w:t>
      </w:r>
      <w:proofErr w:type="gramEnd"/>
      <w:r w:rsidR="00FB043B" w:rsidRPr="00DE1E59">
        <w:rPr>
          <w:rFonts w:asciiTheme="minorHAnsi" w:hAnsiTheme="minorHAnsi"/>
          <w:lang w:val="en-US"/>
        </w:rPr>
        <w:t xml:space="preserve"> be specified within domestic legislation.</w:t>
      </w:r>
    </w:p>
    <w:p w:rsidR="005318E0" w:rsidRPr="00DE1E59" w:rsidRDefault="005318E0" w:rsidP="00FD6B5B">
      <w:pPr>
        <w:pStyle w:val="ListParagraph"/>
        <w:spacing w:after="120" w:line="240" w:lineRule="auto"/>
        <w:contextualSpacing w:val="0"/>
        <w:jc w:val="both"/>
        <w:rPr>
          <w:rFonts w:asciiTheme="minorHAnsi" w:hAnsiTheme="minorHAnsi"/>
          <w:i/>
          <w:lang w:val="en-US"/>
        </w:rPr>
      </w:pPr>
    </w:p>
    <w:p w:rsidR="005318E0" w:rsidRPr="00647761" w:rsidRDefault="00486DF3" w:rsidP="00FD6B5B">
      <w:pPr>
        <w:pStyle w:val="ListParagraph"/>
        <w:spacing w:after="120" w:line="240" w:lineRule="auto"/>
        <w:contextualSpacing w:val="0"/>
        <w:jc w:val="both"/>
        <w:rPr>
          <w:rFonts w:asciiTheme="minorHAnsi" w:hAnsiTheme="minorHAnsi"/>
          <w:u w:val="single"/>
          <w:lang w:val="en-US"/>
        </w:rPr>
      </w:pPr>
      <w:r w:rsidRPr="00647761">
        <w:rPr>
          <w:rFonts w:asciiTheme="minorHAnsi" w:hAnsiTheme="minorHAnsi"/>
          <w:u w:val="single"/>
          <w:lang w:val="en-US"/>
        </w:rPr>
        <w:t>Proposed deletion of the following wording:</w:t>
      </w:r>
    </w:p>
    <w:p w:rsidR="005318E0" w:rsidRPr="00DE1E59" w:rsidRDefault="005318E0" w:rsidP="00FD6B5B">
      <w:pPr>
        <w:pStyle w:val="ListParagraph"/>
        <w:spacing w:after="120" w:line="240" w:lineRule="auto"/>
        <w:contextualSpacing w:val="0"/>
        <w:jc w:val="both"/>
        <w:rPr>
          <w:rFonts w:asciiTheme="minorHAnsi" w:hAnsiTheme="minorHAnsi"/>
          <w:i/>
          <w:lang w:val="en-US"/>
        </w:rPr>
      </w:pPr>
    </w:p>
    <w:p w:rsidR="0022404A" w:rsidRPr="00A826FE" w:rsidRDefault="0019051E" w:rsidP="00FD6B5B">
      <w:pPr>
        <w:pStyle w:val="ListParagraph"/>
        <w:numPr>
          <w:ilvl w:val="0"/>
          <w:numId w:val="4"/>
        </w:numPr>
        <w:spacing w:after="120" w:line="240" w:lineRule="auto"/>
        <w:contextualSpacing w:val="0"/>
        <w:jc w:val="both"/>
        <w:rPr>
          <w:rFonts w:asciiTheme="minorHAnsi" w:hAnsiTheme="minorHAnsi"/>
          <w:i/>
          <w:strike/>
          <w:lang w:val="en-US"/>
        </w:rPr>
      </w:pPr>
      <w:r w:rsidRPr="00DE1E59">
        <w:rPr>
          <w:rFonts w:asciiTheme="minorHAnsi" w:hAnsiTheme="minorHAnsi"/>
          <w:i/>
          <w:lang w:val="en-US"/>
        </w:rPr>
        <w:t>[</w:t>
      </w:r>
      <w:r w:rsidR="0022404A" w:rsidRPr="00DE1E59">
        <w:rPr>
          <w:rFonts w:asciiTheme="minorHAnsi" w:hAnsiTheme="minorHAnsi"/>
          <w:i/>
          <w:lang w:val="en-US"/>
        </w:rPr>
        <w:t xml:space="preserve">For example, they should not take measures such as criminalizing pregnancies by unmarried women </w:t>
      </w:r>
      <w:r w:rsidR="0022404A" w:rsidRPr="00DE1E59">
        <w:rPr>
          <w:rFonts w:asciiTheme="minorHAnsi" w:hAnsiTheme="minorHAnsi"/>
          <w:i/>
          <w:strike/>
          <w:lang w:val="en-US"/>
        </w:rPr>
        <w:t xml:space="preserve">or applying criminal sanctions against women undergoing abortion or against physicians assisting them in doing so, when taking such measures </w:t>
      </w:r>
      <w:proofErr w:type="gramStart"/>
      <w:r w:rsidR="0022404A" w:rsidRPr="00DE1E59">
        <w:rPr>
          <w:rFonts w:asciiTheme="minorHAnsi" w:hAnsiTheme="minorHAnsi"/>
          <w:i/>
          <w:strike/>
          <w:lang w:val="en-US"/>
        </w:rPr>
        <w:t>is expected</w:t>
      </w:r>
      <w:proofErr w:type="gramEnd"/>
      <w:r w:rsidR="0022404A" w:rsidRPr="00DE1E59">
        <w:rPr>
          <w:rFonts w:asciiTheme="minorHAnsi" w:hAnsiTheme="minorHAnsi"/>
          <w:i/>
          <w:strike/>
          <w:lang w:val="en-US"/>
        </w:rPr>
        <w:t xml:space="preserve"> to significantly increase resort to unsafe abortions].</w:t>
      </w:r>
    </w:p>
    <w:p w:rsidR="00D273DA" w:rsidRPr="00DE1E59" w:rsidRDefault="00486DF3" w:rsidP="00FD6B5B">
      <w:pPr>
        <w:pStyle w:val="ListParagraph"/>
        <w:spacing w:after="120" w:line="240" w:lineRule="auto"/>
        <w:contextualSpacing w:val="0"/>
        <w:jc w:val="both"/>
        <w:rPr>
          <w:rFonts w:asciiTheme="minorHAnsi" w:hAnsiTheme="minorHAnsi"/>
          <w:lang w:val="en"/>
        </w:rPr>
      </w:pPr>
      <w:r w:rsidRPr="00DE1E59">
        <w:rPr>
          <w:rFonts w:asciiTheme="minorHAnsi" w:hAnsiTheme="minorHAnsi"/>
          <w:b/>
          <w:lang w:val="en-US"/>
        </w:rPr>
        <w:t>Explanation of position</w:t>
      </w:r>
      <w:r w:rsidR="005938B6" w:rsidRPr="00DE1E59">
        <w:rPr>
          <w:rFonts w:asciiTheme="minorHAnsi" w:hAnsiTheme="minorHAnsi"/>
          <w:b/>
          <w:lang w:val="en-US"/>
        </w:rPr>
        <w:t>:</w:t>
      </w:r>
      <w:r w:rsidR="005938B6" w:rsidRPr="00DE1E59">
        <w:rPr>
          <w:rFonts w:asciiTheme="minorHAnsi" w:hAnsiTheme="minorHAnsi"/>
          <w:i/>
          <w:lang w:val="en-US"/>
        </w:rPr>
        <w:t xml:space="preserve"> </w:t>
      </w:r>
      <w:r w:rsidR="0022404A" w:rsidRPr="00DE1E59">
        <w:rPr>
          <w:rFonts w:asciiTheme="minorHAnsi" w:hAnsiTheme="minorHAnsi"/>
          <w:lang w:val="en"/>
        </w:rPr>
        <w:t xml:space="preserve">According to Art. </w:t>
      </w:r>
      <w:proofErr w:type="gramStart"/>
      <w:r w:rsidR="0022404A" w:rsidRPr="00DE1E59">
        <w:rPr>
          <w:rFonts w:asciiTheme="minorHAnsi" w:hAnsiTheme="minorHAnsi"/>
          <w:lang w:val="en"/>
        </w:rPr>
        <w:t>152</w:t>
      </w:r>
      <w:proofErr w:type="gramEnd"/>
      <w:r w:rsidR="0022404A" w:rsidRPr="00DE1E59">
        <w:rPr>
          <w:rFonts w:asciiTheme="minorHAnsi" w:hAnsiTheme="minorHAnsi"/>
          <w:lang w:val="en"/>
        </w:rPr>
        <w:t xml:space="preserve"> of the</w:t>
      </w:r>
      <w:r w:rsidR="005938B6" w:rsidRPr="00DE1E59">
        <w:rPr>
          <w:rFonts w:asciiTheme="minorHAnsi" w:hAnsiTheme="minorHAnsi"/>
          <w:lang w:val="en"/>
        </w:rPr>
        <w:t xml:space="preserve"> Polish</w:t>
      </w:r>
      <w:r w:rsidR="0022404A" w:rsidRPr="00DE1E59">
        <w:rPr>
          <w:rFonts w:asciiTheme="minorHAnsi" w:hAnsiTheme="minorHAnsi"/>
          <w:lang w:val="en"/>
        </w:rPr>
        <w:t xml:space="preserve"> Criminal Code: the one who</w:t>
      </w:r>
      <w:r w:rsidR="00321893" w:rsidRPr="00DE1E59">
        <w:rPr>
          <w:rFonts w:asciiTheme="minorHAnsi" w:hAnsiTheme="minorHAnsi"/>
          <w:lang w:val="en"/>
        </w:rPr>
        <w:t xml:space="preserve"> performs an abortion</w:t>
      </w:r>
      <w:r w:rsidR="0022404A" w:rsidRPr="00DE1E59">
        <w:rPr>
          <w:rFonts w:asciiTheme="minorHAnsi" w:hAnsiTheme="minorHAnsi"/>
          <w:lang w:val="en"/>
        </w:rPr>
        <w:t xml:space="preserve">, with the consent of a woman, </w:t>
      </w:r>
      <w:r w:rsidR="00321893" w:rsidRPr="00DE1E59">
        <w:rPr>
          <w:rFonts w:asciiTheme="minorHAnsi" w:hAnsiTheme="minorHAnsi"/>
          <w:lang w:val="en"/>
        </w:rPr>
        <w:t xml:space="preserve">with </w:t>
      </w:r>
      <w:r w:rsidR="0022404A" w:rsidRPr="00DE1E59">
        <w:rPr>
          <w:rFonts w:asciiTheme="minorHAnsi" w:hAnsiTheme="minorHAnsi"/>
          <w:lang w:val="en"/>
        </w:rPr>
        <w:t xml:space="preserve">violation of the provisions of the law, is subject to the penalty of imprisonment for up to 3 years. The same </w:t>
      </w:r>
      <w:r w:rsidR="00321893" w:rsidRPr="00DE1E59">
        <w:rPr>
          <w:rFonts w:asciiTheme="minorHAnsi" w:hAnsiTheme="minorHAnsi"/>
          <w:lang w:val="en"/>
        </w:rPr>
        <w:t xml:space="preserve">sentence </w:t>
      </w:r>
      <w:proofErr w:type="gramStart"/>
      <w:r w:rsidR="00321893" w:rsidRPr="00DE1E59">
        <w:rPr>
          <w:rFonts w:asciiTheme="minorHAnsi" w:hAnsiTheme="minorHAnsi"/>
          <w:lang w:val="en"/>
        </w:rPr>
        <w:t>is imposed</w:t>
      </w:r>
      <w:proofErr w:type="gramEnd"/>
      <w:r w:rsidR="00321893" w:rsidRPr="00DE1E59">
        <w:rPr>
          <w:rFonts w:asciiTheme="minorHAnsi" w:hAnsiTheme="minorHAnsi"/>
          <w:lang w:val="en"/>
        </w:rPr>
        <w:t xml:space="preserve"> on the one</w:t>
      </w:r>
      <w:r w:rsidR="0022404A" w:rsidRPr="00DE1E59">
        <w:rPr>
          <w:rFonts w:asciiTheme="minorHAnsi" w:hAnsiTheme="minorHAnsi"/>
          <w:lang w:val="en"/>
        </w:rPr>
        <w:t xml:space="preserve"> who </w:t>
      </w:r>
      <w:r w:rsidR="00321893" w:rsidRPr="00DE1E59">
        <w:rPr>
          <w:rFonts w:asciiTheme="minorHAnsi" w:hAnsiTheme="minorHAnsi"/>
          <w:lang w:val="en"/>
        </w:rPr>
        <w:t>assists</w:t>
      </w:r>
      <w:r w:rsidR="0022404A" w:rsidRPr="00DE1E59">
        <w:rPr>
          <w:rFonts w:asciiTheme="minorHAnsi" w:hAnsiTheme="minorHAnsi"/>
          <w:lang w:val="en"/>
        </w:rPr>
        <w:t xml:space="preserve"> </w:t>
      </w:r>
      <w:r w:rsidR="00321893" w:rsidRPr="00DE1E59">
        <w:rPr>
          <w:rFonts w:asciiTheme="minorHAnsi" w:hAnsiTheme="minorHAnsi"/>
          <w:lang w:val="en"/>
        </w:rPr>
        <w:t xml:space="preserve">a </w:t>
      </w:r>
      <w:r w:rsidR="0022404A" w:rsidRPr="00DE1E59">
        <w:rPr>
          <w:rFonts w:asciiTheme="minorHAnsi" w:hAnsiTheme="minorHAnsi"/>
          <w:lang w:val="en"/>
        </w:rPr>
        <w:t xml:space="preserve">pregnant woman in termination of </w:t>
      </w:r>
      <w:r w:rsidR="005938B6" w:rsidRPr="00DE1E59">
        <w:rPr>
          <w:rFonts w:asciiTheme="minorHAnsi" w:hAnsiTheme="minorHAnsi"/>
          <w:lang w:val="en"/>
        </w:rPr>
        <w:t xml:space="preserve">her </w:t>
      </w:r>
      <w:r w:rsidR="0022404A" w:rsidRPr="00DE1E59">
        <w:rPr>
          <w:rFonts w:asciiTheme="minorHAnsi" w:hAnsiTheme="minorHAnsi"/>
          <w:lang w:val="en"/>
        </w:rPr>
        <w:t xml:space="preserve">pregnancy </w:t>
      </w:r>
      <w:r w:rsidR="00321893" w:rsidRPr="00DE1E59">
        <w:rPr>
          <w:rFonts w:asciiTheme="minorHAnsi" w:hAnsiTheme="minorHAnsi"/>
          <w:lang w:val="en"/>
        </w:rPr>
        <w:t>with</w:t>
      </w:r>
      <w:r w:rsidR="0022404A" w:rsidRPr="00DE1E59">
        <w:rPr>
          <w:rFonts w:asciiTheme="minorHAnsi" w:hAnsiTheme="minorHAnsi"/>
          <w:lang w:val="en"/>
        </w:rPr>
        <w:t xml:space="preserve"> violation of the provisions of the law or </w:t>
      </w:r>
      <w:r w:rsidR="00321893" w:rsidRPr="00DE1E59">
        <w:rPr>
          <w:rFonts w:asciiTheme="minorHAnsi" w:hAnsiTheme="minorHAnsi"/>
          <w:lang w:val="en"/>
        </w:rPr>
        <w:t>persuades her into termination of pregnancy</w:t>
      </w:r>
      <w:r w:rsidR="0022404A" w:rsidRPr="00DE1E59">
        <w:rPr>
          <w:rFonts w:asciiTheme="minorHAnsi" w:hAnsiTheme="minorHAnsi"/>
          <w:lang w:val="en"/>
        </w:rPr>
        <w:t xml:space="preserve">. </w:t>
      </w:r>
      <w:r w:rsidR="00321893" w:rsidRPr="00DE1E59">
        <w:rPr>
          <w:rFonts w:asciiTheme="minorHAnsi" w:hAnsiTheme="minorHAnsi"/>
          <w:lang w:val="en"/>
        </w:rPr>
        <w:t>What is more, the one who performs the above-mentioned</w:t>
      </w:r>
      <w:r w:rsidR="0022404A" w:rsidRPr="00DE1E59">
        <w:rPr>
          <w:rFonts w:asciiTheme="minorHAnsi" w:hAnsiTheme="minorHAnsi"/>
          <w:lang w:val="en"/>
        </w:rPr>
        <w:t xml:space="preserve"> </w:t>
      </w:r>
      <w:r w:rsidR="00321893" w:rsidRPr="00DE1E59">
        <w:rPr>
          <w:rFonts w:asciiTheme="minorHAnsi" w:hAnsiTheme="minorHAnsi"/>
          <w:lang w:val="en"/>
        </w:rPr>
        <w:t>a</w:t>
      </w:r>
      <w:r w:rsidR="0022404A" w:rsidRPr="00DE1E59">
        <w:rPr>
          <w:rFonts w:asciiTheme="minorHAnsi" w:hAnsiTheme="minorHAnsi"/>
          <w:lang w:val="en"/>
        </w:rPr>
        <w:t xml:space="preserve">ctions when </w:t>
      </w:r>
      <w:r w:rsidR="00D273DA" w:rsidRPr="00DE1E59">
        <w:rPr>
          <w:rFonts w:asciiTheme="minorHAnsi" w:hAnsiTheme="minorHAnsi"/>
          <w:lang w:val="en"/>
        </w:rPr>
        <w:t>unborn</w:t>
      </w:r>
      <w:r w:rsidR="0022404A" w:rsidRPr="00DE1E59">
        <w:rPr>
          <w:rFonts w:asciiTheme="minorHAnsi" w:hAnsiTheme="minorHAnsi"/>
          <w:lang w:val="en"/>
        </w:rPr>
        <w:t xml:space="preserve"> child </w:t>
      </w:r>
      <w:r w:rsidR="00D273DA" w:rsidRPr="00DE1E59">
        <w:rPr>
          <w:rFonts w:asciiTheme="minorHAnsi" w:hAnsiTheme="minorHAnsi"/>
          <w:lang w:val="en-US"/>
        </w:rPr>
        <w:t xml:space="preserve">is potentially capable of </w:t>
      </w:r>
      <w:r w:rsidR="00D273DA" w:rsidRPr="00DE1E59">
        <w:rPr>
          <w:rFonts w:asciiTheme="minorHAnsi" w:hAnsiTheme="minorHAnsi"/>
          <w:bCs/>
          <w:lang w:val="en-US"/>
        </w:rPr>
        <w:t>living outside</w:t>
      </w:r>
      <w:r w:rsidR="00D273DA" w:rsidRPr="00DE1E59">
        <w:rPr>
          <w:rFonts w:asciiTheme="minorHAnsi" w:hAnsiTheme="minorHAnsi"/>
          <w:lang w:val="en-US"/>
        </w:rPr>
        <w:t xml:space="preserve"> the woman's body </w:t>
      </w:r>
      <w:proofErr w:type="gramStart"/>
      <w:r w:rsidR="0022404A" w:rsidRPr="00DE1E59">
        <w:rPr>
          <w:rFonts w:asciiTheme="minorHAnsi" w:hAnsiTheme="minorHAnsi"/>
          <w:lang w:val="en"/>
        </w:rPr>
        <w:t xml:space="preserve">is </w:t>
      </w:r>
      <w:r w:rsidR="00321893" w:rsidRPr="00DE1E59">
        <w:rPr>
          <w:rFonts w:asciiTheme="minorHAnsi" w:hAnsiTheme="minorHAnsi"/>
          <w:lang w:val="en"/>
        </w:rPr>
        <w:t>sentenced</w:t>
      </w:r>
      <w:proofErr w:type="gramEnd"/>
      <w:r w:rsidR="0022404A" w:rsidRPr="00DE1E59">
        <w:rPr>
          <w:rFonts w:asciiTheme="minorHAnsi" w:hAnsiTheme="minorHAnsi"/>
          <w:lang w:val="en"/>
        </w:rPr>
        <w:t xml:space="preserve"> </w:t>
      </w:r>
      <w:r w:rsidR="005938B6" w:rsidRPr="00DE1E59">
        <w:rPr>
          <w:rFonts w:asciiTheme="minorHAnsi" w:hAnsiTheme="minorHAnsi"/>
          <w:lang w:val="en"/>
        </w:rPr>
        <w:t xml:space="preserve">to prison </w:t>
      </w:r>
      <w:r w:rsidR="0022404A" w:rsidRPr="00DE1E59">
        <w:rPr>
          <w:rFonts w:asciiTheme="minorHAnsi" w:hAnsiTheme="minorHAnsi"/>
          <w:lang w:val="en"/>
        </w:rPr>
        <w:t>from 6 months to 8 years.</w:t>
      </w:r>
    </w:p>
    <w:p w:rsidR="00A826FE" w:rsidRDefault="00A826FE" w:rsidP="00FD6B5B">
      <w:pPr>
        <w:pStyle w:val="ListParagraph"/>
        <w:spacing w:after="120" w:line="240" w:lineRule="auto"/>
        <w:ind w:left="0"/>
        <w:contextualSpacing w:val="0"/>
        <w:jc w:val="both"/>
        <w:rPr>
          <w:rFonts w:asciiTheme="minorHAnsi" w:hAnsiTheme="minorHAnsi"/>
          <w:b/>
          <w:lang w:val="en-US"/>
        </w:rPr>
      </w:pPr>
    </w:p>
    <w:p w:rsidR="00DE1E59" w:rsidRDefault="00DE1E59" w:rsidP="00FD6B5B">
      <w:pPr>
        <w:pStyle w:val="ListParagraph"/>
        <w:spacing w:after="120" w:line="240" w:lineRule="auto"/>
        <w:ind w:left="0"/>
        <w:contextualSpacing w:val="0"/>
        <w:jc w:val="both"/>
        <w:rPr>
          <w:rFonts w:asciiTheme="minorHAnsi" w:hAnsiTheme="minorHAnsi"/>
          <w:b/>
          <w:lang w:val="en-US"/>
        </w:rPr>
      </w:pPr>
      <w:r>
        <w:rPr>
          <w:rFonts w:asciiTheme="minorHAnsi" w:hAnsiTheme="minorHAnsi"/>
          <w:b/>
          <w:lang w:val="en-US"/>
        </w:rPr>
        <w:t xml:space="preserve">Taking into </w:t>
      </w:r>
      <w:r w:rsidR="00A826FE">
        <w:rPr>
          <w:rFonts w:asciiTheme="minorHAnsi" w:hAnsiTheme="minorHAnsi"/>
          <w:b/>
          <w:lang w:val="en-US"/>
        </w:rPr>
        <w:t>consideration</w:t>
      </w:r>
      <w:r>
        <w:rPr>
          <w:rFonts w:asciiTheme="minorHAnsi" w:hAnsiTheme="minorHAnsi"/>
          <w:b/>
          <w:lang w:val="en-US"/>
        </w:rPr>
        <w:t xml:space="preserve"> the above-mentioned amendments, the text of</w:t>
      </w:r>
      <w:r w:rsidR="00A826FE">
        <w:rPr>
          <w:rFonts w:asciiTheme="minorHAnsi" w:hAnsiTheme="minorHAnsi"/>
          <w:b/>
          <w:lang w:val="en-US"/>
        </w:rPr>
        <w:t xml:space="preserve"> paragraph I.9 would read:</w:t>
      </w:r>
      <w:r>
        <w:rPr>
          <w:rFonts w:asciiTheme="minorHAnsi" w:hAnsiTheme="minorHAnsi"/>
          <w:b/>
          <w:lang w:val="en-US"/>
        </w:rPr>
        <w:t xml:space="preserve"> </w:t>
      </w:r>
    </w:p>
    <w:p w:rsidR="00DE1E59" w:rsidRPr="00A826FE" w:rsidRDefault="00A826FE" w:rsidP="00FD6B5B">
      <w:pPr>
        <w:autoSpaceDE w:val="0"/>
        <w:autoSpaceDN w:val="0"/>
        <w:adjustRightInd w:val="0"/>
        <w:spacing w:after="120" w:line="240" w:lineRule="auto"/>
        <w:jc w:val="both"/>
        <w:rPr>
          <w:rFonts w:asciiTheme="minorHAnsi" w:eastAsiaTheme="minorHAnsi" w:hAnsiTheme="minorHAnsi"/>
          <w:lang w:val="en-US"/>
        </w:rPr>
      </w:pPr>
      <w:r w:rsidRPr="00A826FE">
        <w:rPr>
          <w:rFonts w:asciiTheme="minorHAnsi" w:eastAsiaTheme="minorHAnsi" w:hAnsiTheme="minorHAnsi"/>
          <w:lang w:val="en-US"/>
        </w:rPr>
        <w:t xml:space="preserve">Although States parties may adopt measures designed to regulate terminations of pregnancy, such measures must not result in violation of the right to life of a pregnant woman or her other rights under the Covenant, including the prohibition against cruel, inhuman and degrading treatment or punishment. Thus, any legal restrictions on the ability of women to seek abortion </w:t>
      </w:r>
      <w:proofErr w:type="gramStart"/>
      <w:r w:rsidRPr="00A826FE">
        <w:rPr>
          <w:rFonts w:asciiTheme="minorHAnsi" w:eastAsiaTheme="minorHAnsi" w:hAnsiTheme="minorHAnsi"/>
          <w:lang w:val="en-US"/>
        </w:rPr>
        <w:t>must not, inter alia, jeopardize</w:t>
      </w:r>
      <w:proofErr w:type="gramEnd"/>
      <w:r w:rsidRPr="00A826FE">
        <w:rPr>
          <w:rFonts w:asciiTheme="minorHAnsi" w:eastAsiaTheme="minorHAnsi" w:hAnsiTheme="minorHAnsi"/>
          <w:lang w:val="en-US"/>
        </w:rPr>
        <w:t xml:space="preserve"> their lives or </w:t>
      </w:r>
      <w:r>
        <w:rPr>
          <w:rFonts w:asciiTheme="minorHAnsi" w:eastAsiaTheme="minorHAnsi" w:hAnsiTheme="minorHAnsi"/>
          <w:b/>
          <w:color w:val="FF0000"/>
          <w:lang w:val="en-US"/>
        </w:rPr>
        <w:t xml:space="preserve">health </w:t>
      </w:r>
      <w:r w:rsidRPr="00A826FE">
        <w:rPr>
          <w:rFonts w:asciiTheme="minorHAnsi" w:eastAsiaTheme="minorHAnsi" w:hAnsiTheme="minorHAnsi"/>
          <w:b/>
          <w:strike/>
          <w:lang w:val="en-US"/>
        </w:rPr>
        <w:t xml:space="preserve">subject them to physical or mental pain or suffering which violates </w:t>
      </w:r>
      <w:r w:rsidRPr="00A826FE">
        <w:rPr>
          <w:rFonts w:asciiTheme="minorHAnsi" w:eastAsiaTheme="minorHAnsi" w:hAnsiTheme="minorHAnsi"/>
          <w:b/>
          <w:strike/>
          <w:lang w:val="en-US"/>
        </w:rPr>
        <w:lastRenderedPageBreak/>
        <w:t>article 7</w:t>
      </w:r>
      <w:r w:rsidRPr="00A826FE">
        <w:rPr>
          <w:rFonts w:asciiTheme="minorHAnsi" w:eastAsiaTheme="minorHAnsi" w:hAnsiTheme="minorHAnsi"/>
          <w:lang w:val="en-US"/>
        </w:rPr>
        <w:t xml:space="preserve">. States parties must provide safe access to abortion to protect the life and health of pregnant women, </w:t>
      </w:r>
      <w:r w:rsidRPr="00647761">
        <w:rPr>
          <w:rFonts w:asciiTheme="minorHAnsi" w:eastAsiaTheme="minorHAnsi" w:hAnsiTheme="minorHAnsi"/>
          <w:b/>
          <w:strike/>
          <w:lang w:val="en-US"/>
        </w:rPr>
        <w:t xml:space="preserve">and in situations in which carrying a pregnancy to term would cause the woman substantial pain or suffering, most notably where the pregnancy is the result of rape or incest or when the </w:t>
      </w:r>
      <w:proofErr w:type="spellStart"/>
      <w:r w:rsidRPr="00647761">
        <w:rPr>
          <w:rFonts w:asciiTheme="minorHAnsi" w:eastAsiaTheme="minorHAnsi" w:hAnsiTheme="minorHAnsi"/>
          <w:b/>
          <w:strike/>
          <w:lang w:val="en-US"/>
        </w:rPr>
        <w:t>foetus</w:t>
      </w:r>
      <w:proofErr w:type="spellEnd"/>
      <w:r w:rsidRPr="00647761">
        <w:rPr>
          <w:rFonts w:asciiTheme="minorHAnsi" w:eastAsiaTheme="minorHAnsi" w:hAnsiTheme="minorHAnsi"/>
          <w:b/>
          <w:strike/>
          <w:lang w:val="en-US"/>
        </w:rPr>
        <w:t xml:space="preserve"> suffers from fatal impairment</w:t>
      </w:r>
      <w:r w:rsidRPr="00647761">
        <w:rPr>
          <w:rFonts w:asciiTheme="minorHAnsi" w:eastAsiaTheme="minorHAnsi" w:hAnsiTheme="minorHAnsi"/>
          <w:b/>
          <w:lang w:val="en-US"/>
        </w:rPr>
        <w:t>.</w:t>
      </w:r>
      <w:r w:rsidRPr="00A826FE">
        <w:rPr>
          <w:rFonts w:asciiTheme="minorHAnsi" w:eastAsiaTheme="minorHAnsi" w:hAnsiTheme="minorHAnsi"/>
          <w:lang w:val="en-US"/>
        </w:rPr>
        <w:t xml:space="preserve"> States parties may not regulate pregnancy or abortion in a manner that runs contrary to their duty to ensure that women do not have to undertake unsafe abortions. [For example, they should not take measures such as criminalizing pregnancies by unmarried women </w:t>
      </w:r>
      <w:r w:rsidRPr="00647761">
        <w:rPr>
          <w:rFonts w:asciiTheme="minorHAnsi" w:eastAsiaTheme="minorHAnsi" w:hAnsiTheme="minorHAnsi"/>
          <w:b/>
          <w:strike/>
          <w:lang w:val="en-US"/>
        </w:rPr>
        <w:t xml:space="preserve">or applying criminal sanctions against women undergoing abortion or against physicians assisting them in doing so, when taking such measures </w:t>
      </w:r>
      <w:proofErr w:type="gramStart"/>
      <w:r w:rsidRPr="00647761">
        <w:rPr>
          <w:rFonts w:asciiTheme="minorHAnsi" w:eastAsiaTheme="minorHAnsi" w:hAnsiTheme="minorHAnsi"/>
          <w:b/>
          <w:strike/>
          <w:lang w:val="en-US"/>
        </w:rPr>
        <w:t>is expected</w:t>
      </w:r>
      <w:proofErr w:type="gramEnd"/>
      <w:r w:rsidRPr="00647761">
        <w:rPr>
          <w:rFonts w:asciiTheme="minorHAnsi" w:eastAsiaTheme="minorHAnsi" w:hAnsiTheme="minorHAnsi"/>
          <w:b/>
          <w:strike/>
          <w:lang w:val="en-US"/>
        </w:rPr>
        <w:t xml:space="preserve"> to significantly increase resort to unsafe abortions</w:t>
      </w:r>
      <w:r w:rsidRPr="00A826FE">
        <w:rPr>
          <w:rFonts w:asciiTheme="minorHAnsi" w:eastAsiaTheme="minorHAnsi" w:hAnsiTheme="minorHAnsi"/>
          <w:lang w:val="en-US"/>
        </w:rPr>
        <w:t xml:space="preserve">]. Nor should States parties introduce humiliating or unreasonably burdensome requirements on women seeking to undergo abortion. The duty to protect the lives of women against the health risks associated with unsafe abortions requires States parties to ensure access for women and men, and, in particular, adolescents, to information and education about reproductive options, and to a wide range of contraceptive methods. </w:t>
      </w:r>
      <w:r w:rsidR="00CA0485">
        <w:rPr>
          <w:b/>
          <w:bCs/>
          <w:color w:val="FF0000"/>
          <w:lang w:val="en-US"/>
        </w:rPr>
        <w:t>At the same time, States Parties should have respect for the liberty of parents and, when applicable, legal guardians to ensure the religious and moral education of their children in conformity with their own convictions.</w:t>
      </w:r>
      <w:r w:rsidR="00CA0485">
        <w:rPr>
          <w:color w:val="1F497D"/>
          <w:lang w:val="en-US"/>
        </w:rPr>
        <w:t xml:space="preserve"> </w:t>
      </w:r>
      <w:r w:rsidRPr="00A826FE">
        <w:rPr>
          <w:rFonts w:asciiTheme="minorHAnsi" w:eastAsiaTheme="minorHAnsi" w:hAnsiTheme="minorHAnsi"/>
          <w:lang w:val="en-US"/>
        </w:rPr>
        <w:t>States parties must also ensure the availability of adequate prenatal and post-abortion health care for pregnant women.</w:t>
      </w:r>
    </w:p>
    <w:p w:rsidR="00A826FE" w:rsidRPr="00A826FE" w:rsidRDefault="00A826FE" w:rsidP="00FD6B5B">
      <w:pPr>
        <w:autoSpaceDE w:val="0"/>
        <w:autoSpaceDN w:val="0"/>
        <w:adjustRightInd w:val="0"/>
        <w:spacing w:after="120" w:line="240" w:lineRule="auto"/>
        <w:rPr>
          <w:rFonts w:ascii="Times New Roman" w:eastAsiaTheme="minorHAnsi" w:hAnsi="Times New Roman"/>
          <w:sz w:val="20"/>
          <w:szCs w:val="20"/>
          <w:lang w:val="en-US"/>
        </w:rPr>
      </w:pPr>
    </w:p>
    <w:p w:rsidR="00D24FFB" w:rsidRPr="00DE1E59" w:rsidRDefault="00D24FFB" w:rsidP="00FD6B5B">
      <w:pPr>
        <w:pStyle w:val="ListParagraph"/>
        <w:spacing w:after="120" w:line="240" w:lineRule="auto"/>
        <w:ind w:left="0"/>
        <w:contextualSpacing w:val="0"/>
        <w:jc w:val="both"/>
        <w:rPr>
          <w:rFonts w:asciiTheme="minorHAnsi" w:hAnsiTheme="minorHAnsi"/>
          <w:lang w:val="en-US"/>
        </w:rPr>
      </w:pPr>
      <w:r w:rsidRPr="00DE1E59">
        <w:rPr>
          <w:rFonts w:asciiTheme="minorHAnsi" w:hAnsiTheme="minorHAnsi"/>
          <w:b/>
          <w:lang w:val="en-US"/>
        </w:rPr>
        <w:t xml:space="preserve">Ad. </w:t>
      </w:r>
      <w:proofErr w:type="gramStart"/>
      <w:r w:rsidRPr="00DE1E59">
        <w:rPr>
          <w:rFonts w:asciiTheme="minorHAnsi" w:hAnsiTheme="minorHAnsi"/>
          <w:b/>
          <w:lang w:val="en-US"/>
        </w:rPr>
        <w:t>par</w:t>
      </w:r>
      <w:proofErr w:type="gramEnd"/>
      <w:r w:rsidRPr="00DE1E59">
        <w:rPr>
          <w:rFonts w:asciiTheme="minorHAnsi" w:hAnsiTheme="minorHAnsi"/>
          <w:b/>
          <w:lang w:val="en-US"/>
        </w:rPr>
        <w:t>. I. 10</w:t>
      </w:r>
    </w:p>
    <w:p w:rsidR="00647761" w:rsidRPr="00647761" w:rsidRDefault="00647761" w:rsidP="00FD6B5B">
      <w:pPr>
        <w:spacing w:after="120" w:line="240" w:lineRule="auto"/>
        <w:jc w:val="both"/>
        <w:rPr>
          <w:rFonts w:asciiTheme="minorHAnsi" w:hAnsiTheme="minorHAnsi"/>
          <w:b/>
          <w:lang w:val="en-US"/>
        </w:rPr>
      </w:pPr>
      <w:r w:rsidRPr="00647761">
        <w:rPr>
          <w:rFonts w:asciiTheme="minorHAnsi" w:hAnsiTheme="minorHAnsi"/>
          <w:b/>
          <w:lang w:val="en-US"/>
        </w:rPr>
        <w:t xml:space="preserve">Proposed amendment: </w:t>
      </w:r>
    </w:p>
    <w:p w:rsidR="00647761" w:rsidRDefault="00647761" w:rsidP="00FD6B5B">
      <w:pPr>
        <w:spacing w:after="120" w:line="240" w:lineRule="auto"/>
        <w:jc w:val="both"/>
        <w:rPr>
          <w:rFonts w:asciiTheme="minorHAnsi" w:hAnsiTheme="minorHAnsi"/>
          <w:strike/>
          <w:lang w:val="en-US"/>
        </w:rPr>
      </w:pPr>
      <w:r w:rsidRPr="00647761">
        <w:rPr>
          <w:rFonts w:asciiTheme="minorHAnsi" w:hAnsiTheme="minorHAnsi"/>
          <w:strike/>
          <w:lang w:val="en-US"/>
        </w:rPr>
        <w:t xml:space="preserve"> [While acknowledging the central importance to human dignity of personal autonomy, the Committee considers that States parties should recognize that individuals planning or attempting to commit suicide </w:t>
      </w:r>
      <w:proofErr w:type="gramStart"/>
      <w:r w:rsidRPr="00647761">
        <w:rPr>
          <w:rFonts w:asciiTheme="minorHAnsi" w:hAnsiTheme="minorHAnsi"/>
          <w:strike/>
          <w:lang w:val="en-US"/>
        </w:rPr>
        <w:t>may</w:t>
      </w:r>
      <w:proofErr w:type="gramEnd"/>
      <w:r w:rsidRPr="00647761">
        <w:rPr>
          <w:rFonts w:asciiTheme="minorHAnsi" w:hAnsiTheme="minorHAnsi"/>
          <w:strike/>
          <w:lang w:val="en-US"/>
        </w:rPr>
        <w:t xml:space="preserve"> be doing so because they are undergoing a momentary crisis which may affect their ability to make irreversible decisions, such as to terminate their life. Therefore,] </w:t>
      </w:r>
      <w:r w:rsidRPr="00647761">
        <w:rPr>
          <w:rFonts w:asciiTheme="minorHAnsi" w:hAnsiTheme="minorHAnsi"/>
          <w:lang w:val="en-US"/>
        </w:rPr>
        <w:t>States should take adequate measures, without violating their other Covenant obligations, to prevent suicides, especially among individuals in particularly vulnerable situations.</w:t>
      </w:r>
      <w:r w:rsidRPr="00647761">
        <w:rPr>
          <w:rFonts w:asciiTheme="minorHAnsi" w:hAnsiTheme="minorHAnsi"/>
          <w:strike/>
          <w:lang w:val="en-US"/>
        </w:rPr>
        <w:t xml:space="preserve"> 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rsidR="00E740C3" w:rsidRDefault="00486DF3" w:rsidP="00FD6B5B">
      <w:pPr>
        <w:spacing w:after="120" w:line="240" w:lineRule="auto"/>
        <w:jc w:val="both"/>
        <w:rPr>
          <w:rFonts w:asciiTheme="minorHAnsi" w:hAnsiTheme="minorHAnsi"/>
          <w:lang w:val="en"/>
        </w:rPr>
      </w:pPr>
      <w:r w:rsidRPr="00DE1E59">
        <w:rPr>
          <w:rFonts w:asciiTheme="minorHAnsi" w:hAnsiTheme="minorHAnsi"/>
          <w:b/>
          <w:lang w:val="en-US"/>
        </w:rPr>
        <w:t>Explanation of position</w:t>
      </w:r>
      <w:r w:rsidR="00D273DA" w:rsidRPr="00DE1E59">
        <w:rPr>
          <w:rFonts w:asciiTheme="minorHAnsi" w:hAnsiTheme="minorHAnsi"/>
          <w:b/>
          <w:lang w:val="en"/>
        </w:rPr>
        <w:t>:</w:t>
      </w:r>
      <w:r w:rsidR="00D273DA" w:rsidRPr="00DE1E59">
        <w:rPr>
          <w:rFonts w:asciiTheme="minorHAnsi" w:hAnsiTheme="minorHAnsi"/>
          <w:lang w:val="en"/>
        </w:rPr>
        <w:t xml:space="preserve"> </w:t>
      </w:r>
    </w:p>
    <w:p w:rsidR="007500C7" w:rsidRPr="00DE1E59" w:rsidRDefault="00647761" w:rsidP="00FD6B5B">
      <w:pPr>
        <w:spacing w:after="120" w:line="240" w:lineRule="auto"/>
        <w:jc w:val="both"/>
        <w:rPr>
          <w:rFonts w:asciiTheme="minorHAnsi" w:hAnsiTheme="minorHAnsi"/>
          <w:lang w:val="en"/>
        </w:rPr>
      </w:pPr>
      <w:r w:rsidRPr="00647761">
        <w:rPr>
          <w:rFonts w:asciiTheme="minorHAnsi" w:hAnsiTheme="minorHAnsi"/>
          <w:lang w:val="en"/>
        </w:rPr>
        <w:t>P</w:t>
      </w:r>
      <w:r>
        <w:rPr>
          <w:rFonts w:asciiTheme="minorHAnsi" w:hAnsiTheme="minorHAnsi"/>
          <w:lang w:val="en"/>
        </w:rPr>
        <w:t>aragraph</w:t>
      </w:r>
      <w:r w:rsidRPr="00647761">
        <w:rPr>
          <w:rFonts w:asciiTheme="minorHAnsi" w:hAnsiTheme="minorHAnsi"/>
          <w:lang w:val="en"/>
        </w:rPr>
        <w:t xml:space="preserve"> 10</w:t>
      </w:r>
      <w:r>
        <w:rPr>
          <w:rFonts w:asciiTheme="minorHAnsi" w:hAnsiTheme="minorHAnsi"/>
          <w:lang w:val="en"/>
        </w:rPr>
        <w:t>, amended as suggested above,</w:t>
      </w:r>
      <w:r w:rsidRPr="00647761">
        <w:rPr>
          <w:rFonts w:asciiTheme="minorHAnsi" w:hAnsiTheme="minorHAnsi"/>
          <w:lang w:val="en"/>
        </w:rPr>
        <w:t xml:space="preserve"> </w:t>
      </w:r>
      <w:r>
        <w:rPr>
          <w:rFonts w:asciiTheme="minorHAnsi" w:hAnsiTheme="minorHAnsi"/>
          <w:lang w:val="en"/>
        </w:rPr>
        <w:t>focuses on</w:t>
      </w:r>
      <w:r w:rsidRPr="00647761">
        <w:rPr>
          <w:rFonts w:asciiTheme="minorHAnsi" w:hAnsiTheme="minorHAnsi"/>
          <w:lang w:val="en"/>
        </w:rPr>
        <w:t xml:space="preserve"> the substance of the problem discussed. The </w:t>
      </w:r>
      <w:r w:rsidR="00E740C3">
        <w:rPr>
          <w:rFonts w:asciiTheme="minorHAnsi" w:hAnsiTheme="minorHAnsi"/>
          <w:lang w:val="en"/>
        </w:rPr>
        <w:t>issue</w:t>
      </w:r>
      <w:r w:rsidRPr="00647761">
        <w:rPr>
          <w:rFonts w:asciiTheme="minorHAnsi" w:hAnsiTheme="minorHAnsi"/>
          <w:lang w:val="en"/>
        </w:rPr>
        <w:t xml:space="preserve"> described </w:t>
      </w:r>
      <w:r w:rsidR="00E740C3">
        <w:rPr>
          <w:rFonts w:asciiTheme="minorHAnsi" w:hAnsiTheme="minorHAnsi"/>
          <w:lang w:val="en"/>
        </w:rPr>
        <w:t xml:space="preserve">in this paragraph </w:t>
      </w:r>
      <w:r w:rsidRPr="00647761">
        <w:rPr>
          <w:rFonts w:asciiTheme="minorHAnsi" w:hAnsiTheme="minorHAnsi"/>
          <w:lang w:val="en"/>
        </w:rPr>
        <w:t xml:space="preserve">is a problem that </w:t>
      </w:r>
      <w:r w:rsidR="00E740C3">
        <w:rPr>
          <w:rFonts w:asciiTheme="minorHAnsi" w:hAnsiTheme="minorHAnsi"/>
          <w:lang w:val="en"/>
        </w:rPr>
        <w:t>has</w:t>
      </w:r>
      <w:r w:rsidRPr="00647761">
        <w:rPr>
          <w:rFonts w:asciiTheme="minorHAnsi" w:hAnsiTheme="minorHAnsi"/>
          <w:lang w:val="en"/>
        </w:rPr>
        <w:t xml:space="preserve"> to be analyzed individually </w:t>
      </w:r>
      <w:r w:rsidR="00E740C3">
        <w:rPr>
          <w:rFonts w:asciiTheme="minorHAnsi" w:hAnsiTheme="minorHAnsi"/>
          <w:lang w:val="en"/>
        </w:rPr>
        <w:t>using</w:t>
      </w:r>
      <w:r w:rsidRPr="00647761">
        <w:rPr>
          <w:rFonts w:asciiTheme="minorHAnsi" w:hAnsiTheme="minorHAnsi"/>
          <w:lang w:val="en"/>
        </w:rPr>
        <w:t xml:space="preserve"> mea</w:t>
      </w:r>
      <w:r w:rsidR="00E740C3">
        <w:rPr>
          <w:rFonts w:asciiTheme="minorHAnsi" w:hAnsiTheme="minorHAnsi"/>
          <w:lang w:val="en"/>
        </w:rPr>
        <w:t>sures</w:t>
      </w:r>
      <w:r w:rsidRPr="00647761">
        <w:rPr>
          <w:rFonts w:asciiTheme="minorHAnsi" w:hAnsiTheme="minorHAnsi"/>
          <w:lang w:val="en"/>
        </w:rPr>
        <w:t xml:space="preserve"> </w:t>
      </w:r>
      <w:r w:rsidR="00E740C3">
        <w:rPr>
          <w:rFonts w:asciiTheme="minorHAnsi" w:hAnsiTheme="minorHAnsi"/>
          <w:lang w:val="en"/>
        </w:rPr>
        <w:t xml:space="preserve">regulated by </w:t>
      </w:r>
      <w:r w:rsidRPr="00647761">
        <w:rPr>
          <w:rFonts w:asciiTheme="minorHAnsi" w:hAnsiTheme="minorHAnsi"/>
          <w:lang w:val="en"/>
        </w:rPr>
        <w:t>internal law measures.</w:t>
      </w:r>
    </w:p>
    <w:p w:rsidR="008A7F32" w:rsidRPr="00DE1E59" w:rsidRDefault="008A7F32" w:rsidP="00FD6B5B">
      <w:pPr>
        <w:spacing w:after="120" w:line="240" w:lineRule="auto"/>
        <w:jc w:val="both"/>
        <w:rPr>
          <w:rFonts w:asciiTheme="minorHAnsi" w:hAnsiTheme="minorHAnsi"/>
          <w:b/>
          <w:lang w:val="en-US"/>
        </w:rPr>
      </w:pPr>
      <w:r w:rsidRPr="00DE1E59">
        <w:rPr>
          <w:rFonts w:asciiTheme="minorHAnsi" w:hAnsiTheme="minorHAnsi"/>
          <w:b/>
          <w:lang w:val="en-US"/>
        </w:rPr>
        <w:t>Ad. Par. II. 18</w:t>
      </w:r>
    </w:p>
    <w:p w:rsidR="005A6B79" w:rsidRDefault="00486DF3" w:rsidP="00FD6B5B">
      <w:pPr>
        <w:spacing w:after="120" w:line="240" w:lineRule="auto"/>
        <w:jc w:val="both"/>
        <w:rPr>
          <w:rFonts w:asciiTheme="minorHAnsi" w:hAnsiTheme="minorHAnsi"/>
          <w:b/>
          <w:lang w:val="en"/>
        </w:rPr>
      </w:pPr>
      <w:r w:rsidRPr="00DE1E59">
        <w:rPr>
          <w:rFonts w:asciiTheme="minorHAnsi" w:hAnsiTheme="minorHAnsi"/>
          <w:b/>
          <w:lang w:val="en"/>
        </w:rPr>
        <w:t>Comment</w:t>
      </w:r>
      <w:r w:rsidR="008A7F32" w:rsidRPr="00DE1E59">
        <w:rPr>
          <w:rFonts w:asciiTheme="minorHAnsi" w:hAnsiTheme="minorHAnsi"/>
          <w:b/>
          <w:lang w:val="en"/>
        </w:rPr>
        <w:t xml:space="preserve">: </w:t>
      </w:r>
    </w:p>
    <w:p w:rsidR="008A7F32" w:rsidRPr="00DE1E59" w:rsidRDefault="0099646F" w:rsidP="00FD6B5B">
      <w:pPr>
        <w:spacing w:after="120" w:line="240" w:lineRule="auto"/>
        <w:jc w:val="both"/>
        <w:rPr>
          <w:rFonts w:asciiTheme="minorHAnsi" w:hAnsiTheme="minorHAnsi"/>
          <w:b/>
          <w:lang w:val="en"/>
        </w:rPr>
      </w:pPr>
      <w:r w:rsidRPr="00DE1E59">
        <w:rPr>
          <w:rFonts w:asciiTheme="minorHAnsi" w:hAnsiTheme="minorHAnsi"/>
          <w:lang w:val="en"/>
        </w:rPr>
        <w:t>This paragraph seems not to include the case when a victim acts under a very stressful situation what in some cases may exclude the possibility of a warning. The condition that the application of lethal force by a person acting in self-defense must be reasonable and necessary in view of the threat posed by the attacker can be difficult especially in the situation of disproportionate capabilities betwee</w:t>
      </w:r>
      <w:r w:rsidR="00AF2EB3" w:rsidRPr="00DE1E59">
        <w:rPr>
          <w:rFonts w:asciiTheme="minorHAnsi" w:hAnsiTheme="minorHAnsi"/>
          <w:lang w:val="en"/>
        </w:rPr>
        <w:t>n a victim and an attacker (differences because of age, physical strength etc.).</w:t>
      </w:r>
      <w:r w:rsidR="00AF2EB3" w:rsidRPr="00DE1E59">
        <w:rPr>
          <w:rFonts w:asciiTheme="minorHAnsi" w:hAnsiTheme="minorHAnsi"/>
          <w:b/>
          <w:lang w:val="en"/>
        </w:rPr>
        <w:t xml:space="preserve"> </w:t>
      </w:r>
      <w:r w:rsidRPr="00DE1E59">
        <w:rPr>
          <w:rFonts w:asciiTheme="minorHAnsi" w:hAnsiTheme="minorHAnsi"/>
          <w:b/>
          <w:lang w:val="en"/>
        </w:rPr>
        <w:t xml:space="preserve"> </w:t>
      </w:r>
    </w:p>
    <w:p w:rsidR="00AF7885" w:rsidRDefault="00AF7885" w:rsidP="00FD6B5B">
      <w:pPr>
        <w:spacing w:after="120" w:line="240" w:lineRule="auto"/>
        <w:jc w:val="both"/>
        <w:rPr>
          <w:rFonts w:asciiTheme="minorHAnsi" w:hAnsiTheme="minorHAnsi"/>
          <w:b/>
          <w:lang w:val="en-US"/>
        </w:rPr>
      </w:pPr>
    </w:p>
    <w:p w:rsidR="0067452E" w:rsidRDefault="0067452E" w:rsidP="00FD6B5B">
      <w:pPr>
        <w:spacing w:after="120" w:line="240" w:lineRule="auto"/>
        <w:jc w:val="both"/>
        <w:rPr>
          <w:rFonts w:asciiTheme="minorHAnsi" w:hAnsiTheme="minorHAnsi"/>
          <w:b/>
          <w:lang w:val="en-US"/>
        </w:rPr>
      </w:pPr>
    </w:p>
    <w:p w:rsidR="00CD680B" w:rsidRPr="00DE1E59" w:rsidRDefault="00CD680B" w:rsidP="00FD6B5B">
      <w:pPr>
        <w:spacing w:after="120" w:line="240" w:lineRule="auto"/>
        <w:jc w:val="both"/>
        <w:rPr>
          <w:rFonts w:asciiTheme="minorHAnsi" w:hAnsiTheme="minorHAnsi"/>
          <w:lang w:val="en-US"/>
        </w:rPr>
      </w:pPr>
      <w:r w:rsidRPr="00DE1E59">
        <w:rPr>
          <w:rFonts w:asciiTheme="minorHAnsi" w:hAnsiTheme="minorHAnsi"/>
          <w:b/>
          <w:lang w:val="en-US"/>
        </w:rPr>
        <w:lastRenderedPageBreak/>
        <w:t xml:space="preserve">Ad. </w:t>
      </w:r>
      <w:proofErr w:type="gramStart"/>
      <w:r w:rsidRPr="00DE1E59">
        <w:rPr>
          <w:rFonts w:asciiTheme="minorHAnsi" w:hAnsiTheme="minorHAnsi"/>
          <w:b/>
          <w:lang w:val="en-US"/>
        </w:rPr>
        <w:t>par</w:t>
      </w:r>
      <w:proofErr w:type="gramEnd"/>
      <w:r w:rsidRPr="00DE1E59">
        <w:rPr>
          <w:rFonts w:asciiTheme="minorHAnsi" w:hAnsiTheme="minorHAnsi"/>
          <w:b/>
          <w:lang w:val="en-US"/>
        </w:rPr>
        <w:t>. III. 27</w:t>
      </w:r>
    </w:p>
    <w:p w:rsidR="007500C7" w:rsidRPr="00E740C3" w:rsidRDefault="00D14A9F" w:rsidP="00FD6B5B">
      <w:pPr>
        <w:spacing w:after="120" w:line="240" w:lineRule="auto"/>
        <w:jc w:val="both"/>
        <w:rPr>
          <w:rFonts w:asciiTheme="minorHAnsi" w:hAnsiTheme="minorHAnsi"/>
          <w:b/>
          <w:lang w:val="en-US"/>
        </w:rPr>
      </w:pPr>
      <w:r w:rsidRPr="00E740C3">
        <w:rPr>
          <w:rFonts w:asciiTheme="minorHAnsi" w:hAnsiTheme="minorHAnsi"/>
          <w:b/>
          <w:lang w:val="en-US"/>
        </w:rPr>
        <w:t>Proposed deletion of the paragraph</w:t>
      </w:r>
      <w:r w:rsidR="007500C7" w:rsidRPr="00E740C3">
        <w:rPr>
          <w:rFonts w:asciiTheme="minorHAnsi" w:hAnsiTheme="minorHAnsi"/>
          <w:b/>
          <w:lang w:val="en-US"/>
        </w:rPr>
        <w:t>:</w:t>
      </w:r>
    </w:p>
    <w:p w:rsidR="008A7F32" w:rsidRPr="00DE1E59" w:rsidRDefault="008A7F32" w:rsidP="00FD6B5B">
      <w:pPr>
        <w:spacing w:after="120" w:line="240" w:lineRule="auto"/>
        <w:jc w:val="both"/>
        <w:rPr>
          <w:rFonts w:asciiTheme="minorHAnsi" w:hAnsiTheme="minorHAnsi"/>
          <w:strike/>
          <w:lang w:val="en-US"/>
        </w:rPr>
      </w:pPr>
      <w:r w:rsidRPr="00DE1E59">
        <w:rPr>
          <w:rFonts w:asciiTheme="minorHAnsi" w:hAnsiTheme="minorHAnsi"/>
          <w:strike/>
          <w:lang w:val="en-US"/>
        </w:rPr>
        <w:t xml:space="preserve">27. The duty to protect the right to life requires States parties to take special measures of protection towards persons in situation of vulnerability whose lives </w:t>
      </w:r>
      <w:proofErr w:type="gramStart"/>
      <w:r w:rsidRPr="00DE1E59">
        <w:rPr>
          <w:rFonts w:asciiTheme="minorHAnsi" w:hAnsiTheme="minorHAnsi"/>
          <w:strike/>
          <w:lang w:val="en-US"/>
        </w:rPr>
        <w:t>have been placed</w:t>
      </w:r>
      <w:proofErr w:type="gramEnd"/>
      <w:r w:rsidRPr="00DE1E59">
        <w:rPr>
          <w:rFonts w:asciiTheme="minorHAnsi" w:hAnsiTheme="minorHAnsi"/>
          <w:strike/>
          <w:lang w:val="en-US"/>
        </w:rPr>
        <w:t xml:space="preserve"> at particular risk because of specific threats or pre-existing patterns of violence. These include human rights defenders, journalists, prominent public figures, witnesses to crime and victims of domestic violence. They may also include street children, members of ethnic and religious minorities and indigenous peoples, displaced persons, lesbian, gay, bisexual, transgender and inter-sex (LGBTI) persons, persons with albinism, alleged witches, asylum seekers, refugees and stateless persons and, in certain situations, women and children. States parties must respond urgently and effectively in order to protect individuals who find themselves under a specific threat, including by adopting special measures such as the assignment of around-the-clock police protection, the issuance of protection and restraining orders against potential aggressors and, in exceptional cases, and only with the free and informed consent of the threatened individual, protective custody. </w:t>
      </w:r>
    </w:p>
    <w:p w:rsidR="00D14A9F" w:rsidRPr="00E740C3" w:rsidRDefault="00D14A9F" w:rsidP="00FD6B5B">
      <w:pPr>
        <w:spacing w:after="120" w:line="240" w:lineRule="auto"/>
        <w:jc w:val="both"/>
        <w:rPr>
          <w:rFonts w:asciiTheme="minorHAnsi" w:hAnsiTheme="minorHAnsi"/>
          <w:b/>
          <w:lang w:val="en-US"/>
        </w:rPr>
      </w:pPr>
      <w:r w:rsidRPr="00E740C3">
        <w:rPr>
          <w:rFonts w:asciiTheme="minorHAnsi" w:hAnsiTheme="minorHAnsi"/>
          <w:b/>
          <w:lang w:val="en-US"/>
        </w:rPr>
        <w:t xml:space="preserve">Proposed </w:t>
      </w:r>
      <w:r w:rsidR="00932954" w:rsidRPr="00E740C3">
        <w:rPr>
          <w:rFonts w:asciiTheme="minorHAnsi" w:hAnsiTheme="minorHAnsi"/>
          <w:b/>
          <w:lang w:val="en-US"/>
        </w:rPr>
        <w:t>replacement</w:t>
      </w:r>
      <w:r w:rsidRPr="00E740C3">
        <w:rPr>
          <w:rFonts w:asciiTheme="minorHAnsi" w:hAnsiTheme="minorHAnsi"/>
          <w:b/>
          <w:lang w:val="en-US"/>
        </w:rPr>
        <w:t xml:space="preserve"> of the deleted paragraph:</w:t>
      </w:r>
    </w:p>
    <w:p w:rsidR="00D14A9F" w:rsidRPr="00E740C3" w:rsidRDefault="00E740C3" w:rsidP="00FD6B5B">
      <w:pPr>
        <w:spacing w:after="120" w:line="240" w:lineRule="auto"/>
        <w:jc w:val="both"/>
        <w:rPr>
          <w:rFonts w:asciiTheme="minorHAnsi" w:hAnsiTheme="minorHAnsi"/>
          <w:b/>
          <w:color w:val="FF0000"/>
          <w:lang w:val="en-US"/>
        </w:rPr>
      </w:pPr>
      <w:r w:rsidRPr="00E740C3">
        <w:rPr>
          <w:rFonts w:asciiTheme="minorHAnsi" w:hAnsiTheme="minorHAnsi"/>
          <w:b/>
          <w:color w:val="FF0000"/>
          <w:lang w:val="en-US"/>
        </w:rPr>
        <w:t xml:space="preserve">27. </w:t>
      </w:r>
      <w:r w:rsidR="00D14A9F" w:rsidRPr="00E740C3">
        <w:rPr>
          <w:rFonts w:asciiTheme="minorHAnsi" w:hAnsiTheme="minorHAnsi"/>
          <w:b/>
          <w:color w:val="FF0000"/>
          <w:lang w:val="en-US"/>
        </w:rPr>
        <w:t xml:space="preserve">The state is obliged to protect the right to life of all persons under their </w:t>
      </w:r>
      <w:proofErr w:type="gramStart"/>
      <w:r w:rsidR="00D14A9F" w:rsidRPr="00E740C3">
        <w:rPr>
          <w:rFonts w:asciiTheme="minorHAnsi" w:hAnsiTheme="minorHAnsi"/>
          <w:b/>
          <w:color w:val="FF0000"/>
          <w:lang w:val="en-US"/>
        </w:rPr>
        <w:t xml:space="preserve">jurisdiction </w:t>
      </w:r>
      <w:r w:rsidR="00932954" w:rsidRPr="00E740C3">
        <w:rPr>
          <w:rFonts w:asciiTheme="minorHAnsi" w:hAnsiTheme="minorHAnsi"/>
          <w:b/>
          <w:color w:val="FF0000"/>
          <w:lang w:val="en-US"/>
        </w:rPr>
        <w:t xml:space="preserve"> without</w:t>
      </w:r>
      <w:proofErr w:type="gramEnd"/>
      <w:r w:rsidR="00932954" w:rsidRPr="00E740C3">
        <w:rPr>
          <w:rFonts w:asciiTheme="minorHAnsi" w:hAnsiTheme="minorHAnsi"/>
          <w:b/>
          <w:color w:val="FF0000"/>
          <w:lang w:val="en-US"/>
        </w:rPr>
        <w:t xml:space="preserve"> discrimination on any ground.</w:t>
      </w:r>
      <w:r w:rsidR="00D14A9F" w:rsidRPr="00E740C3">
        <w:rPr>
          <w:rFonts w:asciiTheme="minorHAnsi" w:hAnsiTheme="minorHAnsi"/>
          <w:b/>
          <w:color w:val="FF0000"/>
          <w:lang w:val="en-US"/>
        </w:rPr>
        <w:t xml:space="preserve"> </w:t>
      </w:r>
    </w:p>
    <w:p w:rsidR="00E740C3" w:rsidRDefault="00486DF3" w:rsidP="00FD6B5B">
      <w:pPr>
        <w:spacing w:after="120" w:line="240" w:lineRule="auto"/>
        <w:jc w:val="both"/>
        <w:rPr>
          <w:rFonts w:asciiTheme="minorHAnsi" w:hAnsiTheme="minorHAnsi"/>
          <w:i/>
          <w:lang w:val="en-US"/>
        </w:rPr>
      </w:pPr>
      <w:r w:rsidRPr="00DE1E59">
        <w:rPr>
          <w:rFonts w:asciiTheme="minorHAnsi" w:hAnsiTheme="minorHAnsi"/>
          <w:b/>
          <w:lang w:val="en-US"/>
        </w:rPr>
        <w:t>Explanation of position</w:t>
      </w:r>
      <w:r w:rsidR="008A7F32" w:rsidRPr="00DE1E59">
        <w:rPr>
          <w:rFonts w:asciiTheme="minorHAnsi" w:hAnsiTheme="minorHAnsi"/>
          <w:b/>
          <w:lang w:val="en-US"/>
        </w:rPr>
        <w:t>:</w:t>
      </w:r>
      <w:r w:rsidR="008A7F32" w:rsidRPr="00DE1E59">
        <w:rPr>
          <w:rFonts w:asciiTheme="minorHAnsi" w:hAnsiTheme="minorHAnsi"/>
          <w:i/>
          <w:lang w:val="en-US"/>
        </w:rPr>
        <w:t xml:space="preserve"> </w:t>
      </w:r>
    </w:p>
    <w:p w:rsidR="00CD680B" w:rsidRPr="00DE1E59" w:rsidRDefault="008A7F32" w:rsidP="00FD6B5B">
      <w:pPr>
        <w:spacing w:after="120" w:line="240" w:lineRule="auto"/>
        <w:jc w:val="both"/>
        <w:rPr>
          <w:rFonts w:asciiTheme="minorHAnsi" w:hAnsiTheme="minorHAnsi"/>
          <w:i/>
          <w:lang w:val="en-US"/>
        </w:rPr>
      </w:pPr>
      <w:r w:rsidRPr="00DE1E59">
        <w:rPr>
          <w:rFonts w:asciiTheme="minorHAnsi" w:hAnsiTheme="minorHAnsi"/>
          <w:lang w:val="en"/>
        </w:rPr>
        <w:t xml:space="preserve">The State should protect the right to life of all its citizens to the same extent, regardless of their age, health status, wealth status, race, beliefs, etc. Creating a list of separate categories of persons who deserve </w:t>
      </w:r>
      <w:r w:rsidRPr="00DE1E59">
        <w:rPr>
          <w:rFonts w:asciiTheme="minorHAnsi" w:hAnsiTheme="minorHAnsi"/>
          <w:lang w:val="en-US"/>
        </w:rPr>
        <w:t xml:space="preserve">special measures of protection </w:t>
      </w:r>
      <w:r w:rsidRPr="00DE1E59">
        <w:rPr>
          <w:rFonts w:asciiTheme="minorHAnsi" w:hAnsiTheme="minorHAnsi"/>
          <w:lang w:val="en"/>
        </w:rPr>
        <w:t xml:space="preserve">may lead to the conclusion that persons outside these categories </w:t>
      </w:r>
      <w:proofErr w:type="gramStart"/>
      <w:r w:rsidRPr="00DE1E59">
        <w:rPr>
          <w:rFonts w:asciiTheme="minorHAnsi" w:hAnsiTheme="minorHAnsi"/>
          <w:lang w:val="en"/>
        </w:rPr>
        <w:t>are less protected</w:t>
      </w:r>
      <w:proofErr w:type="gramEnd"/>
      <w:r w:rsidRPr="00DE1E59">
        <w:rPr>
          <w:rFonts w:asciiTheme="minorHAnsi" w:hAnsiTheme="minorHAnsi"/>
          <w:lang w:val="en"/>
        </w:rPr>
        <w:t>.</w:t>
      </w:r>
    </w:p>
    <w:p w:rsidR="00AF7885" w:rsidRDefault="00AF7885" w:rsidP="00FD6B5B">
      <w:pPr>
        <w:spacing w:after="120" w:line="240" w:lineRule="auto"/>
        <w:jc w:val="both"/>
        <w:rPr>
          <w:rFonts w:asciiTheme="minorHAnsi" w:hAnsiTheme="minorHAnsi"/>
          <w:b/>
          <w:lang w:val="en-US"/>
        </w:rPr>
      </w:pPr>
    </w:p>
    <w:p w:rsidR="00AF7885" w:rsidRPr="00DE1E59" w:rsidRDefault="00AF7885" w:rsidP="00AF7885">
      <w:pPr>
        <w:spacing w:after="120" w:line="240" w:lineRule="auto"/>
        <w:jc w:val="both"/>
        <w:rPr>
          <w:rFonts w:asciiTheme="minorHAnsi" w:hAnsiTheme="minorHAnsi"/>
          <w:strike/>
          <w:lang w:val="en-US"/>
        </w:rPr>
      </w:pPr>
      <w:r w:rsidRPr="00DE1E59">
        <w:rPr>
          <w:rFonts w:asciiTheme="minorHAnsi" w:hAnsiTheme="minorHAnsi"/>
          <w:b/>
          <w:lang w:val="en-US"/>
        </w:rPr>
        <w:t xml:space="preserve">Ad. </w:t>
      </w:r>
      <w:proofErr w:type="gramStart"/>
      <w:r w:rsidRPr="00DE1E59">
        <w:rPr>
          <w:rFonts w:asciiTheme="minorHAnsi" w:hAnsiTheme="minorHAnsi"/>
          <w:b/>
          <w:lang w:val="en-US"/>
        </w:rPr>
        <w:t>par</w:t>
      </w:r>
      <w:proofErr w:type="gramEnd"/>
      <w:r w:rsidRPr="00DE1E59">
        <w:rPr>
          <w:rFonts w:asciiTheme="minorHAnsi" w:hAnsiTheme="minorHAnsi"/>
          <w:b/>
          <w:lang w:val="en-US"/>
        </w:rPr>
        <w:t>. III. 32</w:t>
      </w:r>
    </w:p>
    <w:p w:rsidR="00AF7885" w:rsidRPr="005A6B79" w:rsidRDefault="00AF7885" w:rsidP="00AF7885">
      <w:pPr>
        <w:spacing w:after="120" w:line="240" w:lineRule="auto"/>
        <w:jc w:val="both"/>
        <w:rPr>
          <w:rFonts w:asciiTheme="minorHAnsi" w:hAnsiTheme="minorHAnsi"/>
          <w:b/>
          <w:lang w:val="en-US"/>
        </w:rPr>
      </w:pPr>
      <w:r w:rsidRPr="005A6B79">
        <w:rPr>
          <w:rFonts w:asciiTheme="minorHAnsi" w:hAnsiTheme="minorHAnsi"/>
          <w:b/>
          <w:lang w:val="en-US"/>
        </w:rPr>
        <w:t>Proposed amendment:</w:t>
      </w:r>
    </w:p>
    <w:p w:rsidR="00AF7885" w:rsidRPr="005A6B79" w:rsidRDefault="00AF7885" w:rsidP="00AF7885">
      <w:pPr>
        <w:spacing w:after="120" w:line="240" w:lineRule="auto"/>
        <w:jc w:val="both"/>
        <w:rPr>
          <w:rFonts w:asciiTheme="minorHAnsi" w:hAnsiTheme="minorHAnsi"/>
          <w:iCs/>
          <w:lang w:val="en-US"/>
        </w:rPr>
      </w:pPr>
      <w:r w:rsidRPr="005A6B79">
        <w:rPr>
          <w:rFonts w:asciiTheme="minorHAnsi" w:hAnsiTheme="minorHAnsi"/>
          <w:iCs/>
          <w:lang w:val="en-US"/>
        </w:rPr>
        <w:t xml:space="preserve">Where relevant, the investigation should include a rigorous </w:t>
      </w:r>
      <w:proofErr w:type="spellStart"/>
      <w:r w:rsidRPr="005A6B79">
        <w:rPr>
          <w:rFonts w:asciiTheme="minorHAnsi" w:hAnsiTheme="minorHAnsi"/>
          <w:iCs/>
          <w:lang w:val="en-US"/>
        </w:rPr>
        <w:t>authopsy</w:t>
      </w:r>
      <w:proofErr w:type="spellEnd"/>
      <w:r w:rsidRPr="005A6B79">
        <w:rPr>
          <w:rFonts w:asciiTheme="minorHAnsi" w:hAnsiTheme="minorHAnsi"/>
          <w:iCs/>
          <w:lang w:val="en-US"/>
        </w:rPr>
        <w:t xml:space="preserve"> of the victim’s body, </w:t>
      </w:r>
      <w:r w:rsidRPr="005A6B79">
        <w:rPr>
          <w:rFonts w:asciiTheme="minorHAnsi" w:hAnsiTheme="minorHAnsi"/>
          <w:b/>
          <w:iCs/>
          <w:strike/>
          <w:lang w:val="en-US"/>
        </w:rPr>
        <w:t>whenever possible, in the presence of a pathologists</w:t>
      </w:r>
      <w:proofErr w:type="gramStart"/>
      <w:r w:rsidRPr="005A6B79">
        <w:rPr>
          <w:rFonts w:asciiTheme="minorHAnsi" w:hAnsiTheme="minorHAnsi"/>
          <w:b/>
          <w:iCs/>
          <w:strike/>
          <w:lang w:val="en-US"/>
        </w:rPr>
        <w:t>  representing</w:t>
      </w:r>
      <w:proofErr w:type="gramEnd"/>
      <w:r w:rsidRPr="005A6B79">
        <w:rPr>
          <w:rFonts w:asciiTheme="minorHAnsi" w:hAnsiTheme="minorHAnsi"/>
          <w:b/>
          <w:iCs/>
          <w:strike/>
          <w:lang w:val="en-US"/>
        </w:rPr>
        <w:t xml:space="preserve"> the victim’s family.</w:t>
      </w:r>
      <w:r w:rsidRPr="005A6B79">
        <w:rPr>
          <w:rFonts w:asciiTheme="minorHAnsi" w:hAnsiTheme="minorHAnsi" w:cs="Arial"/>
          <w:b/>
          <w:lang w:val="en-US" w:eastAsia="pl-PL"/>
        </w:rPr>
        <w:t xml:space="preserve"> </w:t>
      </w:r>
      <w:proofErr w:type="gramStart"/>
      <w:r w:rsidRPr="005A6B79">
        <w:rPr>
          <w:rFonts w:asciiTheme="minorHAnsi" w:hAnsiTheme="minorHAnsi" w:cs="Arial"/>
          <w:b/>
          <w:color w:val="FF0000"/>
          <w:lang w:val="en-US" w:eastAsia="pl-PL"/>
        </w:rPr>
        <w:t>conducted</w:t>
      </w:r>
      <w:proofErr w:type="gramEnd"/>
      <w:r w:rsidRPr="005A6B79">
        <w:rPr>
          <w:rFonts w:asciiTheme="minorHAnsi" w:hAnsiTheme="minorHAnsi" w:cs="Arial"/>
          <w:b/>
          <w:color w:val="FF0000"/>
          <w:lang w:val="en-US" w:eastAsia="pl-PL"/>
        </w:rPr>
        <w:t xml:space="preserve"> by relevant experts/institutions in effective, independent, impartial and transparent manner.</w:t>
      </w:r>
      <w:r w:rsidRPr="005A6B79">
        <w:rPr>
          <w:rFonts w:asciiTheme="minorHAnsi" w:hAnsiTheme="minorHAnsi" w:cs="Arial"/>
          <w:color w:val="FF0000"/>
          <w:lang w:val="en-US" w:eastAsia="pl-PL"/>
        </w:rPr>
        <w:t xml:space="preserve">  </w:t>
      </w:r>
    </w:p>
    <w:p w:rsidR="00AF7885" w:rsidRDefault="00AF7885" w:rsidP="00AF7885">
      <w:pPr>
        <w:spacing w:after="120" w:line="240" w:lineRule="auto"/>
        <w:jc w:val="both"/>
        <w:rPr>
          <w:rFonts w:asciiTheme="minorHAnsi" w:hAnsiTheme="minorHAnsi"/>
          <w:lang w:val="en-US"/>
        </w:rPr>
      </w:pPr>
      <w:r w:rsidRPr="00DE1E59">
        <w:rPr>
          <w:rFonts w:asciiTheme="minorHAnsi" w:hAnsiTheme="minorHAnsi"/>
          <w:b/>
          <w:lang w:val="en-US"/>
        </w:rPr>
        <w:t>Explanation of position:</w:t>
      </w:r>
      <w:r w:rsidRPr="00DE1E59">
        <w:rPr>
          <w:rFonts w:asciiTheme="minorHAnsi" w:hAnsiTheme="minorHAnsi"/>
          <w:lang w:val="en-US"/>
        </w:rPr>
        <w:t xml:space="preserve"> </w:t>
      </w:r>
    </w:p>
    <w:p w:rsidR="00AF7885" w:rsidRPr="00DE1E59" w:rsidRDefault="00AF7885" w:rsidP="00AF7885">
      <w:pPr>
        <w:spacing w:after="120" w:line="240" w:lineRule="auto"/>
        <w:jc w:val="both"/>
        <w:rPr>
          <w:rFonts w:asciiTheme="minorHAnsi" w:hAnsiTheme="minorHAnsi"/>
          <w:lang w:val="en"/>
        </w:rPr>
      </w:pPr>
      <w:r w:rsidRPr="00DE1E59">
        <w:rPr>
          <w:rFonts w:asciiTheme="minorHAnsi" w:hAnsiTheme="minorHAnsi"/>
          <w:lang w:val="en"/>
        </w:rPr>
        <w:t xml:space="preserve">In the Polish legal </w:t>
      </w:r>
      <w:proofErr w:type="gramStart"/>
      <w:r w:rsidRPr="00DE1E59">
        <w:rPr>
          <w:rFonts w:asciiTheme="minorHAnsi" w:hAnsiTheme="minorHAnsi"/>
          <w:lang w:val="en"/>
        </w:rPr>
        <w:t>system  an</w:t>
      </w:r>
      <w:proofErr w:type="gramEnd"/>
      <w:r w:rsidRPr="00DE1E59">
        <w:rPr>
          <w:rFonts w:asciiTheme="minorHAnsi" w:hAnsiTheme="minorHAnsi"/>
          <w:lang w:val="en"/>
        </w:rPr>
        <w:t xml:space="preserve"> expert physician, in the field of forensic medicine, performs autopsies in the presence of a public prosecutor or court. This </w:t>
      </w:r>
      <w:proofErr w:type="gramStart"/>
      <w:r w:rsidRPr="00DE1E59">
        <w:rPr>
          <w:rFonts w:asciiTheme="minorHAnsi" w:hAnsiTheme="minorHAnsi"/>
          <w:lang w:val="en"/>
        </w:rPr>
        <w:t>questions</w:t>
      </w:r>
      <w:proofErr w:type="gramEnd"/>
      <w:r w:rsidRPr="00DE1E59">
        <w:rPr>
          <w:rFonts w:asciiTheme="minorHAnsi" w:hAnsiTheme="minorHAnsi"/>
          <w:lang w:val="en"/>
        </w:rPr>
        <w:t xml:space="preserve"> </w:t>
      </w:r>
      <w:r>
        <w:rPr>
          <w:rFonts w:asciiTheme="minorHAnsi" w:hAnsiTheme="minorHAnsi"/>
          <w:lang w:val="en"/>
        </w:rPr>
        <w:t xml:space="preserve">is </w:t>
      </w:r>
      <w:r w:rsidRPr="00DE1E59">
        <w:rPr>
          <w:rFonts w:asciiTheme="minorHAnsi" w:hAnsiTheme="minorHAnsi"/>
          <w:lang w:val="en"/>
        </w:rPr>
        <w:t>regulated by the Article 209 of the Polish Code of the Criminal Procedure.</w:t>
      </w:r>
      <w:r>
        <w:rPr>
          <w:rFonts w:asciiTheme="minorHAnsi" w:hAnsiTheme="minorHAnsi"/>
          <w:lang w:val="en"/>
        </w:rPr>
        <w:t xml:space="preserve"> The regulations in Poland safeguard full level of </w:t>
      </w:r>
      <w:proofErr w:type="gramStart"/>
      <w:r>
        <w:rPr>
          <w:rFonts w:asciiTheme="minorHAnsi" w:hAnsiTheme="minorHAnsi"/>
          <w:lang w:val="en"/>
        </w:rPr>
        <w:t>protection  because</w:t>
      </w:r>
      <w:proofErr w:type="gramEnd"/>
      <w:r>
        <w:rPr>
          <w:rFonts w:asciiTheme="minorHAnsi" w:hAnsiTheme="minorHAnsi"/>
          <w:lang w:val="en"/>
        </w:rPr>
        <w:t xml:space="preserve"> p</w:t>
      </w:r>
      <w:r w:rsidRPr="00136C5A">
        <w:rPr>
          <w:rFonts w:asciiTheme="minorHAnsi" w:hAnsiTheme="minorHAnsi"/>
          <w:lang w:val="en"/>
        </w:rPr>
        <w:t xml:space="preserve">ersons or institutions with </w:t>
      </w:r>
      <w:r>
        <w:rPr>
          <w:rFonts w:asciiTheme="minorHAnsi" w:hAnsiTheme="minorHAnsi"/>
          <w:lang w:val="en"/>
        </w:rPr>
        <w:t>specialist</w:t>
      </w:r>
      <w:r w:rsidRPr="00136C5A">
        <w:rPr>
          <w:rFonts w:asciiTheme="minorHAnsi" w:hAnsiTheme="minorHAnsi"/>
          <w:lang w:val="en"/>
        </w:rPr>
        <w:t xml:space="preserve"> knowledge</w:t>
      </w:r>
      <w:r>
        <w:rPr>
          <w:rFonts w:asciiTheme="minorHAnsi" w:hAnsiTheme="minorHAnsi"/>
          <w:lang w:val="en"/>
        </w:rPr>
        <w:t>,</w:t>
      </w:r>
      <w:r w:rsidRPr="00136C5A">
        <w:rPr>
          <w:rFonts w:asciiTheme="minorHAnsi" w:hAnsiTheme="minorHAnsi"/>
          <w:lang w:val="en"/>
        </w:rPr>
        <w:t xml:space="preserve"> appointed in criminal proceedings</w:t>
      </w:r>
      <w:r>
        <w:rPr>
          <w:rFonts w:asciiTheme="minorHAnsi" w:hAnsiTheme="minorHAnsi"/>
          <w:lang w:val="en"/>
        </w:rPr>
        <w:t>,</w:t>
      </w:r>
      <w:r w:rsidRPr="00136C5A">
        <w:rPr>
          <w:rFonts w:asciiTheme="minorHAnsi" w:hAnsiTheme="minorHAnsi"/>
          <w:lang w:val="en"/>
        </w:rPr>
        <w:t xml:space="preserve"> </w:t>
      </w:r>
      <w:r>
        <w:rPr>
          <w:rFonts w:asciiTheme="minorHAnsi" w:hAnsiTheme="minorHAnsi"/>
          <w:lang w:val="en"/>
        </w:rPr>
        <w:t>are guarantees of</w:t>
      </w:r>
      <w:r w:rsidRPr="00136C5A">
        <w:rPr>
          <w:rFonts w:asciiTheme="minorHAnsi" w:hAnsiTheme="minorHAnsi"/>
          <w:lang w:val="en"/>
        </w:rPr>
        <w:t xml:space="preserve"> an objective opinion independent </w:t>
      </w:r>
      <w:r>
        <w:rPr>
          <w:rFonts w:asciiTheme="minorHAnsi" w:hAnsiTheme="minorHAnsi"/>
          <w:lang w:val="en"/>
        </w:rPr>
        <w:t>from</w:t>
      </w:r>
      <w:r w:rsidRPr="00136C5A">
        <w:rPr>
          <w:rFonts w:asciiTheme="minorHAnsi" w:hAnsiTheme="minorHAnsi"/>
          <w:lang w:val="en"/>
        </w:rPr>
        <w:t xml:space="preserve"> any of the parties to the proceedings.</w:t>
      </w:r>
      <w:r>
        <w:rPr>
          <w:rFonts w:asciiTheme="minorHAnsi" w:hAnsiTheme="minorHAnsi"/>
          <w:lang w:val="en"/>
        </w:rPr>
        <w:t xml:space="preserve"> </w:t>
      </w:r>
      <w:r w:rsidRPr="00DE1E59">
        <w:rPr>
          <w:rFonts w:asciiTheme="minorHAnsi" w:hAnsiTheme="minorHAnsi"/>
          <w:lang w:val="en"/>
        </w:rPr>
        <w:t xml:space="preserve">The opinion of the pathologist representing victim’s family can be dubious in the </w:t>
      </w:r>
      <w:r>
        <w:rPr>
          <w:rFonts w:asciiTheme="minorHAnsi" w:hAnsiTheme="minorHAnsi"/>
          <w:lang w:val="en"/>
        </w:rPr>
        <w:t>context</w:t>
      </w:r>
      <w:r w:rsidRPr="00DE1E59">
        <w:rPr>
          <w:rFonts w:asciiTheme="minorHAnsi" w:hAnsiTheme="minorHAnsi"/>
          <w:lang w:val="en"/>
        </w:rPr>
        <w:t xml:space="preserve"> of reliability and impartiality.</w:t>
      </w:r>
    </w:p>
    <w:p w:rsidR="0067452E" w:rsidRDefault="0067452E" w:rsidP="00FD6B5B">
      <w:pPr>
        <w:spacing w:after="120" w:line="240" w:lineRule="auto"/>
        <w:jc w:val="both"/>
        <w:rPr>
          <w:rFonts w:asciiTheme="minorHAnsi" w:hAnsiTheme="minorHAnsi"/>
          <w:b/>
          <w:lang w:val="en-US"/>
        </w:rPr>
      </w:pPr>
    </w:p>
    <w:p w:rsidR="00932954" w:rsidRPr="00DE1E59" w:rsidRDefault="00932954" w:rsidP="00FD6B5B">
      <w:pPr>
        <w:spacing w:after="120" w:line="240" w:lineRule="auto"/>
        <w:jc w:val="both"/>
        <w:rPr>
          <w:rFonts w:asciiTheme="minorHAnsi" w:hAnsiTheme="minorHAnsi"/>
          <w:b/>
          <w:lang w:val="en-US"/>
        </w:rPr>
      </w:pPr>
      <w:r w:rsidRPr="00DE1E59">
        <w:rPr>
          <w:rFonts w:asciiTheme="minorHAnsi" w:hAnsiTheme="minorHAnsi"/>
          <w:b/>
          <w:lang w:val="en-US"/>
        </w:rPr>
        <w:t xml:space="preserve">Ad. </w:t>
      </w:r>
      <w:proofErr w:type="gramStart"/>
      <w:r w:rsidRPr="00DE1E59">
        <w:rPr>
          <w:rFonts w:asciiTheme="minorHAnsi" w:hAnsiTheme="minorHAnsi"/>
          <w:b/>
          <w:lang w:val="en-US"/>
        </w:rPr>
        <w:t>par</w:t>
      </w:r>
      <w:proofErr w:type="gramEnd"/>
      <w:r w:rsidRPr="00DE1E59">
        <w:rPr>
          <w:rFonts w:asciiTheme="minorHAnsi" w:hAnsiTheme="minorHAnsi"/>
          <w:b/>
          <w:lang w:val="en-US"/>
        </w:rPr>
        <w:t>. IV. 38</w:t>
      </w:r>
    </w:p>
    <w:p w:rsidR="00932954" w:rsidRPr="00DE1E59" w:rsidRDefault="00932954" w:rsidP="00FD6B5B">
      <w:pPr>
        <w:spacing w:after="120" w:line="240" w:lineRule="auto"/>
        <w:jc w:val="both"/>
        <w:rPr>
          <w:rFonts w:asciiTheme="minorHAnsi" w:hAnsiTheme="minorHAnsi"/>
          <w:b/>
          <w:lang w:val="en-US"/>
        </w:rPr>
      </w:pPr>
      <w:r w:rsidRPr="00DE1E59">
        <w:rPr>
          <w:rFonts w:asciiTheme="minorHAnsi" w:hAnsiTheme="minorHAnsi"/>
          <w:b/>
          <w:lang w:val="en-US"/>
        </w:rPr>
        <w:t>Proposed amendment to the paragraph:</w:t>
      </w:r>
    </w:p>
    <w:p w:rsidR="00932954" w:rsidRPr="00DE1E59" w:rsidRDefault="00932954" w:rsidP="00FD6B5B">
      <w:pPr>
        <w:spacing w:after="120" w:line="240" w:lineRule="auto"/>
        <w:jc w:val="both"/>
        <w:rPr>
          <w:rFonts w:asciiTheme="minorHAnsi" w:hAnsiTheme="minorHAnsi"/>
          <w:lang w:val="en-US"/>
        </w:rPr>
      </w:pPr>
      <w:r w:rsidRPr="00DE1E59">
        <w:rPr>
          <w:rFonts w:asciiTheme="minorHAnsi" w:hAnsiTheme="minorHAnsi"/>
          <w:lang w:val="en-US"/>
        </w:rPr>
        <w:t xml:space="preserve">States parties that have abolished the death penalty, through amending their domestic laws, acceding to the Second Optional Protocol to the Covenant or adopting another international instrument obligating them to abolish the death penalty, </w:t>
      </w:r>
      <w:proofErr w:type="gramStart"/>
      <w:r w:rsidRPr="00DE1E59">
        <w:rPr>
          <w:rFonts w:asciiTheme="minorHAnsi" w:hAnsiTheme="minorHAnsi"/>
          <w:lang w:val="en-US"/>
        </w:rPr>
        <w:t>are barred</w:t>
      </w:r>
      <w:proofErr w:type="gramEnd"/>
      <w:r w:rsidRPr="00DE1E59">
        <w:rPr>
          <w:rFonts w:asciiTheme="minorHAnsi" w:hAnsiTheme="minorHAnsi"/>
          <w:lang w:val="en-US"/>
        </w:rPr>
        <w:t xml:space="preserve"> from reintroducing it. </w:t>
      </w:r>
      <w:r w:rsidRPr="00E740C3">
        <w:rPr>
          <w:rFonts w:asciiTheme="minorHAnsi" w:hAnsiTheme="minorHAnsi"/>
          <w:strike/>
          <w:lang w:val="en-US"/>
        </w:rPr>
        <w:t xml:space="preserve">Like the Covenant, the Second Optional Protocol does not contain termination provisions and States parties cannot denounce it. Abolition of the death penalty is therefore legally irrevocable. Furthermore, </w:t>
      </w:r>
      <w:r w:rsidRPr="00E740C3">
        <w:rPr>
          <w:rFonts w:asciiTheme="minorHAnsi" w:hAnsiTheme="minorHAnsi"/>
          <w:strike/>
          <w:lang w:val="en-US"/>
        </w:rPr>
        <w:lastRenderedPageBreak/>
        <w:t>States parties may not transform an offence, which upon ratification of the Covenant, or at any time thereafter, did not entail the death penalty, into a capital offence. Nor can they remove legal conditions from an existing offence with the result of permitting the imposition of the death penalty in circumstances in which it was not possible to impose it before.</w:t>
      </w:r>
      <w:r w:rsidRPr="00DE1E59">
        <w:rPr>
          <w:rFonts w:asciiTheme="minorHAnsi" w:hAnsiTheme="minorHAnsi"/>
          <w:lang w:val="en-US"/>
        </w:rPr>
        <w:t xml:space="preserve"> States parties that abolished the death penalty cannot deport or extradite persons to a country in which they are facing criminal charges that carry the death penalty, unless credible and effective assurances against the imposition of the death penalty </w:t>
      </w:r>
      <w:proofErr w:type="gramStart"/>
      <w:r w:rsidRPr="00DE1E59">
        <w:rPr>
          <w:rFonts w:asciiTheme="minorHAnsi" w:hAnsiTheme="minorHAnsi"/>
          <w:lang w:val="en-US"/>
        </w:rPr>
        <w:t>have been obtained</w:t>
      </w:r>
      <w:proofErr w:type="gramEnd"/>
      <w:r w:rsidRPr="00DE1E59">
        <w:rPr>
          <w:rFonts w:asciiTheme="minorHAnsi" w:hAnsiTheme="minorHAnsi"/>
          <w:lang w:val="en-US"/>
        </w:rPr>
        <w:t xml:space="preserve">. </w:t>
      </w:r>
      <w:proofErr w:type="gramStart"/>
      <w:r w:rsidRPr="00DE1E59">
        <w:rPr>
          <w:rFonts w:asciiTheme="minorHAnsi" w:hAnsiTheme="minorHAnsi"/>
          <w:lang w:val="en-US"/>
        </w:rPr>
        <w:t>In the same vein, the obligation not to reintroduce the death penalty for any specific crime requires States parties not to extradite or deport an individual to a country in which he or she is expected to stand trial for a capital offence, if the same offence does not carry the death penalty in the removing State, unless credible and effective assurances against exposing the individual to the death penalty have been obtained</w:t>
      </w:r>
      <w:r w:rsidR="005A6B79">
        <w:rPr>
          <w:rFonts w:asciiTheme="minorHAnsi" w:hAnsiTheme="minorHAnsi"/>
          <w:lang w:val="en-US"/>
        </w:rPr>
        <w:t>.</w:t>
      </w:r>
      <w:proofErr w:type="gramEnd"/>
    </w:p>
    <w:p w:rsidR="00932954" w:rsidRPr="00DE1E59" w:rsidRDefault="00932954" w:rsidP="00FD6B5B">
      <w:pPr>
        <w:spacing w:after="120" w:line="240" w:lineRule="auto"/>
        <w:jc w:val="both"/>
        <w:rPr>
          <w:rFonts w:asciiTheme="minorHAnsi" w:hAnsiTheme="minorHAnsi"/>
          <w:b/>
          <w:lang w:val="en-US"/>
        </w:rPr>
      </w:pPr>
      <w:r w:rsidRPr="00DE1E59">
        <w:rPr>
          <w:rFonts w:asciiTheme="minorHAnsi" w:hAnsiTheme="minorHAnsi"/>
          <w:b/>
          <w:lang w:val="en-US"/>
        </w:rPr>
        <w:t>Explanation of position:</w:t>
      </w:r>
    </w:p>
    <w:p w:rsidR="00932954" w:rsidRPr="00DE1E59" w:rsidRDefault="00932954" w:rsidP="00FD6B5B">
      <w:pPr>
        <w:spacing w:after="120" w:line="240" w:lineRule="auto"/>
        <w:jc w:val="both"/>
        <w:rPr>
          <w:rFonts w:asciiTheme="minorHAnsi" w:hAnsiTheme="minorHAnsi"/>
          <w:lang w:val="en-US"/>
        </w:rPr>
      </w:pPr>
      <w:r w:rsidRPr="00DE1E59">
        <w:rPr>
          <w:rFonts w:asciiTheme="minorHAnsi" w:hAnsiTheme="minorHAnsi"/>
          <w:lang w:val="en-US"/>
        </w:rPr>
        <w:t xml:space="preserve">The deleted </w:t>
      </w:r>
      <w:r w:rsidR="005A6B79">
        <w:rPr>
          <w:rFonts w:asciiTheme="minorHAnsi" w:hAnsiTheme="minorHAnsi"/>
          <w:lang w:val="en-US"/>
        </w:rPr>
        <w:t>text in this paragraph</w:t>
      </w:r>
      <w:r w:rsidRPr="00DE1E59">
        <w:rPr>
          <w:rFonts w:asciiTheme="minorHAnsi" w:hAnsiTheme="minorHAnsi"/>
          <w:lang w:val="en-US"/>
        </w:rPr>
        <w:t xml:space="preserve"> suggests that the </w:t>
      </w:r>
      <w:proofErr w:type="gramStart"/>
      <w:r w:rsidRPr="00DE1E59">
        <w:rPr>
          <w:rFonts w:asciiTheme="minorHAnsi" w:hAnsiTheme="minorHAnsi"/>
          <w:lang w:val="en-US"/>
        </w:rPr>
        <w:t xml:space="preserve">state which is a party to the </w:t>
      </w:r>
      <w:r w:rsidR="00D054F4" w:rsidRPr="00DE1E59">
        <w:rPr>
          <w:rFonts w:asciiTheme="minorHAnsi" w:hAnsiTheme="minorHAnsi"/>
          <w:lang w:val="en-US"/>
        </w:rPr>
        <w:t>Covenant</w:t>
      </w:r>
      <w:r w:rsidR="005A6B79">
        <w:rPr>
          <w:rFonts w:asciiTheme="minorHAnsi" w:hAnsiTheme="minorHAnsi"/>
          <w:lang w:val="en-US"/>
        </w:rPr>
        <w:t xml:space="preserve"> or its protocols</w:t>
      </w:r>
      <w:proofErr w:type="gramEnd"/>
      <w:r w:rsidR="005A6B79">
        <w:rPr>
          <w:rFonts w:asciiTheme="minorHAnsi" w:hAnsiTheme="minorHAnsi"/>
          <w:lang w:val="en-US"/>
        </w:rPr>
        <w:t xml:space="preserve"> cannot renounce it</w:t>
      </w:r>
      <w:r w:rsidR="00D054F4" w:rsidRPr="00DE1E59">
        <w:rPr>
          <w:rFonts w:asciiTheme="minorHAnsi" w:hAnsiTheme="minorHAnsi"/>
          <w:lang w:val="en-US"/>
        </w:rPr>
        <w:t>.</w:t>
      </w:r>
    </w:p>
    <w:p w:rsidR="00AF7885" w:rsidRDefault="00AF7885" w:rsidP="00FD6B5B">
      <w:pPr>
        <w:spacing w:after="120" w:line="240" w:lineRule="auto"/>
        <w:jc w:val="both"/>
        <w:rPr>
          <w:rFonts w:asciiTheme="minorHAnsi" w:hAnsiTheme="minorHAnsi"/>
          <w:b/>
          <w:lang w:val="en-US"/>
        </w:rPr>
      </w:pPr>
    </w:p>
    <w:p w:rsidR="006C4E39" w:rsidRPr="00FD6B5B" w:rsidRDefault="006C4E39" w:rsidP="00FD6B5B">
      <w:pPr>
        <w:spacing w:after="120" w:line="240" w:lineRule="auto"/>
        <w:jc w:val="both"/>
        <w:rPr>
          <w:rFonts w:asciiTheme="minorHAnsi" w:hAnsiTheme="minorHAnsi"/>
          <w:b/>
          <w:lang w:val="en-US"/>
        </w:rPr>
      </w:pPr>
      <w:r w:rsidRPr="00FD6B5B">
        <w:rPr>
          <w:rFonts w:asciiTheme="minorHAnsi" w:hAnsiTheme="minorHAnsi"/>
          <w:b/>
          <w:lang w:val="en-US"/>
        </w:rPr>
        <w:t xml:space="preserve">Ad. </w:t>
      </w:r>
      <w:proofErr w:type="gramStart"/>
      <w:r w:rsidRPr="00FD6B5B">
        <w:rPr>
          <w:rFonts w:asciiTheme="minorHAnsi" w:hAnsiTheme="minorHAnsi"/>
          <w:b/>
          <w:lang w:val="en-US"/>
        </w:rPr>
        <w:t>par</w:t>
      </w:r>
      <w:proofErr w:type="gramEnd"/>
      <w:r w:rsidRPr="00FD6B5B">
        <w:rPr>
          <w:rFonts w:asciiTheme="minorHAnsi" w:hAnsiTheme="minorHAnsi"/>
          <w:b/>
          <w:lang w:val="en-US"/>
        </w:rPr>
        <w:t>. IV. 64</w:t>
      </w:r>
    </w:p>
    <w:p w:rsidR="00FD6B5B" w:rsidRPr="00FD6B5B" w:rsidRDefault="00FD6B5B" w:rsidP="00FD6B5B">
      <w:pPr>
        <w:spacing w:after="120" w:line="240" w:lineRule="auto"/>
        <w:jc w:val="both"/>
        <w:rPr>
          <w:rFonts w:asciiTheme="minorHAnsi" w:hAnsiTheme="minorHAnsi"/>
          <w:b/>
          <w:lang w:val="en-US"/>
        </w:rPr>
      </w:pPr>
      <w:r w:rsidRPr="00FD6B5B">
        <w:rPr>
          <w:rFonts w:asciiTheme="minorHAnsi" w:hAnsiTheme="minorHAnsi"/>
          <w:b/>
          <w:lang w:val="en-US"/>
        </w:rPr>
        <w:t>Comment</w:t>
      </w:r>
      <w:r w:rsidR="004E597A" w:rsidRPr="00FD6B5B">
        <w:rPr>
          <w:rFonts w:asciiTheme="minorHAnsi" w:hAnsiTheme="minorHAnsi"/>
          <w:b/>
          <w:lang w:val="en-US"/>
        </w:rPr>
        <w:t>:</w:t>
      </w:r>
    </w:p>
    <w:p w:rsidR="004E597A" w:rsidRPr="00FD6B5B" w:rsidRDefault="004E597A" w:rsidP="00FD6B5B">
      <w:pPr>
        <w:spacing w:after="120" w:line="240" w:lineRule="auto"/>
        <w:jc w:val="both"/>
        <w:rPr>
          <w:rFonts w:asciiTheme="minorHAnsi" w:hAnsiTheme="minorHAnsi"/>
          <w:lang w:val="en-US"/>
        </w:rPr>
      </w:pPr>
      <w:r w:rsidRPr="00FD6B5B">
        <w:rPr>
          <w:rFonts w:asciiTheme="minorHAnsi" w:hAnsiTheme="minorHAnsi"/>
          <w:lang w:val="en-US"/>
        </w:rPr>
        <w:t xml:space="preserve">The </w:t>
      </w:r>
      <w:r w:rsidR="00FD6B5B">
        <w:rPr>
          <w:rFonts w:asciiTheme="minorHAnsi" w:hAnsiTheme="minorHAnsi"/>
          <w:lang w:val="en-US"/>
        </w:rPr>
        <w:t xml:space="preserve">list in this paragraph is not exhaustive, e.g. such issues as </w:t>
      </w:r>
      <w:r w:rsidR="00FD6B5B" w:rsidRPr="00FD6B5B">
        <w:rPr>
          <w:rFonts w:asciiTheme="minorHAnsi" w:hAnsiTheme="minorHAnsi"/>
          <w:lang w:val="en-GB"/>
        </w:rPr>
        <w:t>stages of development of a human being</w:t>
      </w:r>
      <w:r w:rsidR="00FD6B5B">
        <w:rPr>
          <w:rFonts w:asciiTheme="minorHAnsi" w:hAnsiTheme="minorHAnsi"/>
          <w:lang w:val="en-GB"/>
        </w:rPr>
        <w:t xml:space="preserve"> or </w:t>
      </w:r>
      <w:r w:rsidR="00FD6B5B">
        <w:rPr>
          <w:rFonts w:asciiTheme="minorHAnsi" w:hAnsiTheme="minorHAnsi"/>
          <w:lang w:val="en-US"/>
        </w:rPr>
        <w:t xml:space="preserve">genetic </w:t>
      </w:r>
      <w:r w:rsidR="00FD6B5B" w:rsidRPr="00FD6B5B">
        <w:rPr>
          <w:rFonts w:asciiTheme="minorHAnsi" w:hAnsiTheme="minorHAnsi"/>
          <w:lang w:val="en-US"/>
        </w:rPr>
        <w:t>features</w:t>
      </w:r>
      <w:r w:rsidR="00FD6B5B">
        <w:rPr>
          <w:rFonts w:asciiTheme="minorHAnsi" w:hAnsiTheme="minorHAnsi"/>
          <w:lang w:val="en-US"/>
        </w:rPr>
        <w:t xml:space="preserve"> </w:t>
      </w:r>
      <w:proofErr w:type="gramStart"/>
      <w:r w:rsidR="00FD6B5B">
        <w:rPr>
          <w:rFonts w:asciiTheme="minorHAnsi" w:hAnsiTheme="minorHAnsi"/>
          <w:lang w:val="en-US"/>
        </w:rPr>
        <w:t>could be added</w:t>
      </w:r>
      <w:proofErr w:type="gramEnd"/>
      <w:r w:rsidR="00FD6B5B">
        <w:rPr>
          <w:rFonts w:asciiTheme="minorHAnsi" w:hAnsiTheme="minorHAnsi"/>
          <w:lang w:val="en-US"/>
        </w:rPr>
        <w:t>.</w:t>
      </w:r>
    </w:p>
    <w:p w:rsidR="00F75F43" w:rsidRPr="00DE1E59" w:rsidRDefault="00F75F43" w:rsidP="00DE1E59">
      <w:pPr>
        <w:spacing w:after="120" w:line="240" w:lineRule="auto"/>
        <w:rPr>
          <w:rFonts w:asciiTheme="minorHAnsi" w:hAnsiTheme="minorHAnsi" w:cs="Calibri"/>
          <w:lang w:val="en-US"/>
        </w:rPr>
      </w:pPr>
    </w:p>
    <w:sectPr w:rsidR="00F75F43" w:rsidRPr="00DE1E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A4" w:rsidRDefault="00826EA4" w:rsidP="00136C5A">
      <w:pPr>
        <w:spacing w:after="0" w:line="240" w:lineRule="auto"/>
      </w:pPr>
      <w:r>
        <w:separator/>
      </w:r>
    </w:p>
  </w:endnote>
  <w:endnote w:type="continuationSeparator" w:id="0">
    <w:p w:rsidR="00826EA4" w:rsidRDefault="00826EA4" w:rsidP="0013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Didot">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A4" w:rsidRDefault="00826EA4" w:rsidP="00136C5A">
      <w:pPr>
        <w:spacing w:after="0" w:line="240" w:lineRule="auto"/>
      </w:pPr>
      <w:r>
        <w:separator/>
      </w:r>
    </w:p>
  </w:footnote>
  <w:footnote w:type="continuationSeparator" w:id="0">
    <w:p w:rsidR="00826EA4" w:rsidRDefault="00826EA4" w:rsidP="00136C5A">
      <w:pPr>
        <w:spacing w:after="0" w:line="240" w:lineRule="auto"/>
      </w:pPr>
      <w:r>
        <w:continuationSeparator/>
      </w:r>
    </w:p>
  </w:footnote>
  <w:footnote w:id="1">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The VCLT, art. </w:t>
      </w:r>
      <w:proofErr w:type="gramStart"/>
      <w:r w:rsidRPr="00AA0ABB">
        <w:rPr>
          <w:rFonts w:cs="Didot"/>
          <w:sz w:val="18"/>
          <w:szCs w:val="18"/>
          <w:lang w:val="en-GB"/>
        </w:rPr>
        <w:t>31</w:t>
      </w:r>
      <w:proofErr w:type="gramEnd"/>
      <w:r w:rsidRPr="00AA0ABB">
        <w:rPr>
          <w:rFonts w:cs="Didot"/>
          <w:sz w:val="18"/>
          <w:szCs w:val="18"/>
          <w:lang w:val="en-GB"/>
        </w:rPr>
        <w:t xml:space="preserve"> (1).</w:t>
      </w:r>
    </w:p>
  </w:footnote>
  <w:footnote w:id="2">
    <w:p w:rsidR="00136C5A" w:rsidRPr="00AA0ABB" w:rsidRDefault="00136C5A" w:rsidP="00AA0ABB">
      <w:pPr>
        <w:pStyle w:val="Default"/>
        <w:jc w:val="both"/>
        <w:rPr>
          <w:rFonts w:asciiTheme="minorHAnsi" w:hAnsiTheme="minorHAnsi" w:cs="Didot"/>
          <w:sz w:val="18"/>
          <w:szCs w:val="18"/>
          <w:lang w:val="en-GB"/>
        </w:rPr>
      </w:pPr>
      <w:r w:rsidRPr="00AA0ABB">
        <w:rPr>
          <w:rStyle w:val="FootnoteReference"/>
          <w:rFonts w:asciiTheme="minorHAnsi" w:hAnsiTheme="minorHAnsi" w:cs="Didot"/>
          <w:sz w:val="18"/>
          <w:szCs w:val="18"/>
          <w:lang w:val="en-GB"/>
        </w:rPr>
        <w:footnoteRef/>
      </w:r>
      <w:r w:rsidRPr="00AA0ABB">
        <w:rPr>
          <w:rFonts w:asciiTheme="minorHAnsi" w:hAnsiTheme="minorHAnsi" w:cs="Didot"/>
          <w:sz w:val="18"/>
          <w:szCs w:val="18"/>
          <w:lang w:val="en-GB"/>
        </w:rPr>
        <w:t xml:space="preserve"> </w:t>
      </w:r>
      <w:proofErr w:type="gramStart"/>
      <w:r w:rsidRPr="00AA0ABB">
        <w:rPr>
          <w:rFonts w:asciiTheme="minorHAnsi" w:hAnsiTheme="minorHAnsi" w:cs="Didot"/>
          <w:sz w:val="18"/>
          <w:szCs w:val="18"/>
          <w:lang w:val="en-GB"/>
        </w:rPr>
        <w:t xml:space="preserve">Inter alia: </w:t>
      </w:r>
      <w:r w:rsidRPr="00AA0ABB">
        <w:rPr>
          <w:rFonts w:asciiTheme="minorHAnsi" w:hAnsiTheme="minorHAnsi" w:cs="Didot"/>
          <w:i/>
          <w:iCs/>
          <w:sz w:val="18"/>
          <w:szCs w:val="18"/>
          <w:lang w:val="en-GB"/>
        </w:rPr>
        <w:t xml:space="preserve">Universal Declaration of Human Rights, </w:t>
      </w:r>
      <w:r w:rsidRPr="00AA0ABB">
        <w:rPr>
          <w:rFonts w:asciiTheme="minorHAnsi" w:hAnsiTheme="minorHAnsi" w:cs="Didot"/>
          <w:sz w:val="18"/>
          <w:szCs w:val="18"/>
          <w:lang w:val="en-GB"/>
        </w:rPr>
        <w:t xml:space="preserve">G.A. Res. 217 (III) A. U.N. Doc A/RES/17 (III) (10 December 1948); the ICCPR; </w:t>
      </w:r>
      <w:r w:rsidRPr="00AA0ABB">
        <w:rPr>
          <w:rFonts w:asciiTheme="minorHAnsi" w:hAnsiTheme="minorHAnsi" w:cs="Didot"/>
          <w:i/>
          <w:sz w:val="18"/>
          <w:szCs w:val="18"/>
          <w:lang w:val="en-GB"/>
        </w:rPr>
        <w:t>United Nations Declaration of the Rights of the Child</w:t>
      </w:r>
      <w:r w:rsidRPr="00AA0ABB">
        <w:rPr>
          <w:rFonts w:asciiTheme="minorHAnsi" w:hAnsiTheme="minorHAnsi" w:cs="Didot"/>
          <w:sz w:val="18"/>
          <w:szCs w:val="18"/>
          <w:lang w:val="en-GB"/>
        </w:rPr>
        <w:t xml:space="preserve">, G.A. Res. 1386 (XIV)( 10 December 1959); </w:t>
      </w:r>
      <w:r w:rsidRPr="00AA0ABB">
        <w:rPr>
          <w:rFonts w:asciiTheme="minorHAnsi" w:hAnsiTheme="minorHAnsi" w:cs="Didot"/>
          <w:i/>
          <w:iCs/>
          <w:sz w:val="18"/>
          <w:szCs w:val="18"/>
          <w:lang w:val="en-GB"/>
        </w:rPr>
        <w:t>Convention on the Rights of the Child</w:t>
      </w:r>
      <w:r w:rsidRPr="00AA0ABB">
        <w:rPr>
          <w:rFonts w:asciiTheme="minorHAnsi" w:hAnsiTheme="minorHAnsi" w:cs="Didot"/>
          <w:sz w:val="18"/>
          <w:szCs w:val="18"/>
          <w:lang w:val="en-GB"/>
        </w:rPr>
        <w:t xml:space="preserve">, G.A. Res. 44/25 (20 November 1989) [hereinafter: “the CRC”]; Declaration of the Rights and Duties of Man, 9th International Conference of American States, Bogota, Colombia, 1948; Council of Europe, </w:t>
      </w:r>
      <w:r w:rsidRPr="00AA0ABB">
        <w:rPr>
          <w:rFonts w:asciiTheme="minorHAnsi" w:hAnsiTheme="minorHAnsi" w:cs="Didot"/>
          <w:i/>
          <w:iCs/>
          <w:sz w:val="18"/>
          <w:szCs w:val="18"/>
          <w:lang w:val="en-GB"/>
        </w:rPr>
        <w:t>European Convention for the Protection of Human Rights and Fundamental Freedoms, as amended by Protocols No. 11 and 14</w:t>
      </w:r>
      <w:r w:rsidRPr="00AA0ABB">
        <w:rPr>
          <w:rFonts w:asciiTheme="minorHAnsi" w:hAnsiTheme="minorHAnsi" w:cs="Didot"/>
          <w:sz w:val="18"/>
          <w:szCs w:val="18"/>
          <w:lang w:val="en-GB"/>
        </w:rPr>
        <w:t xml:space="preserve"> (4 November 1950) [hereinafter: “European Convention on Human Rights”]; Organization of American States, </w:t>
      </w:r>
      <w:r w:rsidRPr="00AA0ABB">
        <w:rPr>
          <w:rFonts w:asciiTheme="minorHAnsi" w:hAnsiTheme="minorHAnsi" w:cs="Didot"/>
          <w:i/>
          <w:iCs/>
          <w:sz w:val="18"/>
          <w:szCs w:val="18"/>
          <w:lang w:val="en-GB"/>
        </w:rPr>
        <w:t xml:space="preserve">American Convention on Human Rights, </w:t>
      </w:r>
      <w:r w:rsidRPr="00AA0ABB">
        <w:rPr>
          <w:rFonts w:asciiTheme="minorHAnsi" w:hAnsiTheme="minorHAnsi" w:cs="Didot"/>
          <w:sz w:val="18"/>
          <w:szCs w:val="18"/>
          <w:lang w:val="en-GB"/>
        </w:rPr>
        <w:t>“</w:t>
      </w:r>
      <w:r w:rsidRPr="00AA0ABB">
        <w:rPr>
          <w:rFonts w:asciiTheme="minorHAnsi" w:hAnsiTheme="minorHAnsi" w:cs="Didot"/>
          <w:i/>
          <w:iCs/>
          <w:sz w:val="18"/>
          <w:szCs w:val="18"/>
          <w:lang w:val="en-GB"/>
        </w:rPr>
        <w:t>Pact of San Jose</w:t>
      </w:r>
      <w:r w:rsidRPr="00AA0ABB">
        <w:rPr>
          <w:rFonts w:asciiTheme="minorHAnsi" w:hAnsiTheme="minorHAnsi" w:cs="Didot"/>
          <w:sz w:val="18"/>
          <w:szCs w:val="18"/>
          <w:lang w:val="en-GB"/>
        </w:rPr>
        <w:t>”</w:t>
      </w:r>
      <w:r w:rsidRPr="00AA0ABB">
        <w:rPr>
          <w:rFonts w:asciiTheme="minorHAnsi" w:hAnsiTheme="minorHAnsi" w:cs="Didot"/>
          <w:i/>
          <w:iCs/>
          <w:sz w:val="18"/>
          <w:szCs w:val="18"/>
          <w:lang w:val="en-GB"/>
        </w:rPr>
        <w:t>, Costa Rica</w:t>
      </w:r>
      <w:r w:rsidRPr="00AA0ABB">
        <w:rPr>
          <w:rFonts w:asciiTheme="minorHAnsi" w:hAnsiTheme="minorHAnsi" w:cs="Didot"/>
          <w:sz w:val="18"/>
          <w:szCs w:val="18"/>
          <w:lang w:val="en-GB"/>
        </w:rPr>
        <w:t xml:space="preserve"> (22 November 1969); Organization of African Unity, </w:t>
      </w:r>
      <w:r w:rsidRPr="00AA0ABB">
        <w:rPr>
          <w:rFonts w:asciiTheme="minorHAnsi" w:hAnsiTheme="minorHAnsi" w:cs="Didot"/>
          <w:i/>
          <w:iCs/>
          <w:sz w:val="18"/>
          <w:szCs w:val="18"/>
          <w:lang w:val="en-GB"/>
        </w:rPr>
        <w:t>African Charter on Human and Peoples' Rights (Banjul Charter) as amended by Protocol adopted in 1998</w:t>
      </w:r>
      <w:r w:rsidRPr="00AA0ABB">
        <w:rPr>
          <w:rFonts w:asciiTheme="minorHAnsi" w:hAnsiTheme="minorHAnsi" w:cs="Didot"/>
          <w:sz w:val="18"/>
          <w:szCs w:val="18"/>
          <w:lang w:val="en-GB"/>
        </w:rPr>
        <w:t xml:space="preserve"> (27 June 1981); Cairo Declaration on Human Rights in Islam (5 August 1990).</w:t>
      </w:r>
      <w:proofErr w:type="gramEnd"/>
    </w:p>
  </w:footnote>
  <w:footnote w:id="3">
    <w:p w:rsidR="00136C5A" w:rsidRPr="00977A04" w:rsidRDefault="00136C5A" w:rsidP="00AA0ABB">
      <w:pPr>
        <w:pStyle w:val="FootnoteText"/>
        <w:jc w:val="both"/>
        <w:rPr>
          <w:rFonts w:ascii="Didot" w:hAnsi="Didot"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w:t>
      </w:r>
      <w:r w:rsidRPr="00AA0ABB">
        <w:rPr>
          <w:rFonts w:cs="Didot"/>
          <w:i/>
          <w:sz w:val="18"/>
          <w:szCs w:val="18"/>
          <w:lang w:val="en-GB"/>
        </w:rPr>
        <w:t>See</w:t>
      </w:r>
      <w:r w:rsidRPr="00AA0ABB">
        <w:rPr>
          <w:rFonts w:cs="Didot"/>
          <w:sz w:val="18"/>
          <w:szCs w:val="18"/>
          <w:lang w:val="en-GB"/>
        </w:rPr>
        <w:t xml:space="preserve"> e.g., Sadler, T.W. </w:t>
      </w:r>
      <w:proofErr w:type="spellStart"/>
      <w:r w:rsidRPr="00AA0ABB">
        <w:rPr>
          <w:rFonts w:cs="Didot"/>
          <w:i/>
          <w:sz w:val="18"/>
          <w:szCs w:val="18"/>
          <w:lang w:val="en-GB"/>
        </w:rPr>
        <w:t>Langman’s</w:t>
      </w:r>
      <w:proofErr w:type="spellEnd"/>
      <w:r w:rsidRPr="00AA0ABB">
        <w:rPr>
          <w:rFonts w:cs="Didot"/>
          <w:i/>
          <w:sz w:val="18"/>
          <w:szCs w:val="18"/>
          <w:lang w:val="en-GB"/>
        </w:rPr>
        <w:t xml:space="preserve"> Medical Embryology</w:t>
      </w:r>
      <w:r w:rsidRPr="00AA0ABB">
        <w:rPr>
          <w:rFonts w:cs="Didot"/>
          <w:sz w:val="18"/>
          <w:szCs w:val="18"/>
          <w:lang w:val="en-GB"/>
        </w:rPr>
        <w:t>, 7th edition. Baltimore: Williams &amp; Wilkins 1995, p. 3 (</w:t>
      </w:r>
      <w:proofErr w:type="gramStart"/>
      <w:r w:rsidRPr="00AA0ABB">
        <w:rPr>
          <w:rFonts w:cs="Didot"/>
          <w:sz w:val="18"/>
          <w:szCs w:val="18"/>
          <w:lang w:val="en-GB"/>
        </w:rPr>
        <w:t>noting that</w:t>
      </w:r>
      <w:proofErr w:type="gramEnd"/>
      <w:r w:rsidRPr="00AA0ABB">
        <w:rPr>
          <w:rFonts w:cs="Didot"/>
          <w:sz w:val="18"/>
          <w:szCs w:val="18"/>
          <w:lang w:val="en-GB"/>
        </w:rPr>
        <w:t xml:space="preserve"> “the development of a human begins with fertilization, a process by which the spermatozoon from the male and the oocyte from the female unite to give rise to a new organism…”); Moore, Keith L. and </w:t>
      </w:r>
      <w:proofErr w:type="spellStart"/>
      <w:r w:rsidRPr="00AA0ABB">
        <w:rPr>
          <w:rFonts w:cs="Didot"/>
          <w:sz w:val="18"/>
          <w:szCs w:val="18"/>
          <w:lang w:val="en-GB"/>
        </w:rPr>
        <w:t>Persaud</w:t>
      </w:r>
      <w:proofErr w:type="spellEnd"/>
      <w:r w:rsidRPr="00AA0ABB">
        <w:rPr>
          <w:rFonts w:cs="Didot"/>
          <w:sz w:val="18"/>
          <w:szCs w:val="18"/>
          <w:lang w:val="en-GB"/>
        </w:rPr>
        <w:t xml:space="preserve">, T.V.N. </w:t>
      </w:r>
      <w:r w:rsidRPr="00AA0ABB">
        <w:rPr>
          <w:rFonts w:cs="Didot"/>
          <w:i/>
          <w:sz w:val="18"/>
          <w:szCs w:val="18"/>
          <w:lang w:val="en-GB"/>
        </w:rPr>
        <w:t>The Developing Human: Clinically Oriented Embryology</w:t>
      </w:r>
      <w:r w:rsidRPr="00AA0ABB">
        <w:rPr>
          <w:rFonts w:cs="Didot"/>
          <w:sz w:val="18"/>
          <w:szCs w:val="18"/>
          <w:lang w:val="en-GB"/>
        </w:rPr>
        <w:t>, 7th edition. Philadelphia: Saunders 2003, p. 2 (</w:t>
      </w:r>
      <w:proofErr w:type="gramStart"/>
      <w:r w:rsidRPr="00AA0ABB">
        <w:rPr>
          <w:rFonts w:cs="Didot"/>
          <w:sz w:val="18"/>
          <w:szCs w:val="18"/>
          <w:lang w:val="en-GB"/>
        </w:rPr>
        <w:t>noting that</w:t>
      </w:r>
      <w:proofErr w:type="gramEnd"/>
      <w:r w:rsidRPr="00AA0ABB">
        <w:rPr>
          <w:rFonts w:cs="Didot"/>
          <w:sz w:val="18"/>
          <w:szCs w:val="18"/>
          <w:lang w:val="en-GB"/>
        </w:rPr>
        <w:t xml:space="preserve"> “the union of an oocyte and a sperm during fertilization” marks “the beginning of the new human being.”).</w:t>
      </w:r>
    </w:p>
  </w:footnote>
  <w:footnote w:id="4">
    <w:p w:rsidR="00136C5A" w:rsidRPr="00AA0ABB" w:rsidRDefault="00136C5A" w:rsidP="00136C5A">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Oliver </w:t>
      </w:r>
      <w:proofErr w:type="spellStart"/>
      <w:r w:rsidRPr="00AA0ABB">
        <w:rPr>
          <w:rFonts w:cs="Didot"/>
          <w:sz w:val="18"/>
          <w:szCs w:val="18"/>
          <w:lang w:val="en-GB"/>
        </w:rPr>
        <w:t>Brüstle</w:t>
      </w:r>
      <w:proofErr w:type="spellEnd"/>
      <w:r w:rsidRPr="00AA0ABB">
        <w:rPr>
          <w:rFonts w:cs="Didot"/>
          <w:sz w:val="18"/>
          <w:szCs w:val="18"/>
          <w:lang w:val="en-GB"/>
        </w:rPr>
        <w:t xml:space="preserve"> v. Greenpeace </w:t>
      </w:r>
      <w:proofErr w:type="spellStart"/>
      <w:r w:rsidRPr="00AA0ABB">
        <w:rPr>
          <w:rFonts w:cs="Didot"/>
          <w:sz w:val="18"/>
          <w:szCs w:val="18"/>
          <w:lang w:val="en-GB"/>
        </w:rPr>
        <w:t>e.V</w:t>
      </w:r>
      <w:proofErr w:type="spellEnd"/>
      <w:r w:rsidRPr="00AA0ABB">
        <w:rPr>
          <w:rFonts w:cs="Didot"/>
          <w:sz w:val="18"/>
          <w:szCs w:val="18"/>
          <w:lang w:val="en-GB"/>
        </w:rPr>
        <w:t xml:space="preserve">., C-34/10, decided on 18 October 2011 (hereinafter: Oliver </w:t>
      </w:r>
      <w:proofErr w:type="spellStart"/>
      <w:r w:rsidRPr="00AA0ABB">
        <w:rPr>
          <w:rFonts w:cs="Didot"/>
          <w:sz w:val="18"/>
          <w:szCs w:val="18"/>
          <w:lang w:val="en-GB"/>
        </w:rPr>
        <w:t>Brüstle</w:t>
      </w:r>
      <w:proofErr w:type="spellEnd"/>
      <w:r w:rsidRPr="00AA0ABB">
        <w:rPr>
          <w:rFonts w:cs="Didot"/>
          <w:sz w:val="18"/>
          <w:szCs w:val="18"/>
          <w:lang w:val="en-GB"/>
        </w:rPr>
        <w:t xml:space="preserve"> v. Greenpeace </w:t>
      </w:r>
      <w:proofErr w:type="spellStart"/>
      <w:r w:rsidRPr="00AA0ABB">
        <w:rPr>
          <w:rFonts w:cs="Didot"/>
          <w:sz w:val="18"/>
          <w:szCs w:val="18"/>
          <w:lang w:val="en-GB"/>
        </w:rPr>
        <w:t>e.V</w:t>
      </w:r>
      <w:proofErr w:type="spellEnd"/>
      <w:r w:rsidRPr="00AA0ABB">
        <w:rPr>
          <w:rFonts w:cs="Didot"/>
          <w:sz w:val="18"/>
          <w:szCs w:val="18"/>
          <w:lang w:val="en-GB"/>
        </w:rPr>
        <w:t>.).</w:t>
      </w:r>
    </w:p>
  </w:footnote>
  <w:footnote w:id="5">
    <w:p w:rsidR="00136C5A" w:rsidRPr="00AA0ABB" w:rsidRDefault="00136C5A" w:rsidP="00136C5A">
      <w:pPr>
        <w:pStyle w:val="FootnoteText"/>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Oliver </w:t>
      </w:r>
      <w:proofErr w:type="spellStart"/>
      <w:r w:rsidRPr="00AA0ABB">
        <w:rPr>
          <w:rFonts w:cs="Didot"/>
          <w:sz w:val="18"/>
          <w:szCs w:val="18"/>
          <w:lang w:val="en-GB"/>
        </w:rPr>
        <w:t>Brüstle</w:t>
      </w:r>
      <w:proofErr w:type="spellEnd"/>
      <w:r w:rsidRPr="00AA0ABB">
        <w:rPr>
          <w:rFonts w:cs="Didot"/>
          <w:sz w:val="18"/>
          <w:szCs w:val="18"/>
          <w:lang w:val="en-GB"/>
        </w:rPr>
        <w:t xml:space="preserve"> v. Greenpeace </w:t>
      </w:r>
      <w:proofErr w:type="spellStart"/>
      <w:r w:rsidRPr="00AA0ABB">
        <w:rPr>
          <w:rFonts w:cs="Didot"/>
          <w:sz w:val="18"/>
          <w:szCs w:val="18"/>
          <w:lang w:val="en-GB"/>
        </w:rPr>
        <w:t>e.V</w:t>
      </w:r>
      <w:proofErr w:type="spellEnd"/>
      <w:r w:rsidRPr="00AA0ABB">
        <w:rPr>
          <w:rFonts w:cs="Didot"/>
          <w:sz w:val="18"/>
          <w:szCs w:val="18"/>
          <w:lang w:val="en-GB"/>
        </w:rPr>
        <w:t>., para. 35.</w:t>
      </w:r>
    </w:p>
  </w:footnote>
  <w:footnote w:id="6">
    <w:p w:rsidR="00136C5A" w:rsidRPr="00977A04" w:rsidRDefault="00136C5A" w:rsidP="00136C5A">
      <w:pPr>
        <w:pStyle w:val="FootnoteText"/>
        <w:jc w:val="both"/>
        <w:rPr>
          <w:rFonts w:ascii="Didot" w:hAnsi="Didot"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The ICCPR, art. 24 and 26.</w:t>
      </w:r>
      <w:r w:rsidRPr="00977A04">
        <w:rPr>
          <w:rFonts w:ascii="Didot" w:hAnsi="Didot" w:cs="Didot"/>
          <w:sz w:val="18"/>
          <w:szCs w:val="18"/>
          <w:lang w:val="en-GB"/>
        </w:rPr>
        <w:t xml:space="preserve"> </w:t>
      </w:r>
    </w:p>
  </w:footnote>
  <w:footnote w:id="7">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Inter alia: the CRC, art. </w:t>
      </w:r>
      <w:proofErr w:type="gramStart"/>
      <w:r w:rsidRPr="00AA0ABB">
        <w:rPr>
          <w:rFonts w:cs="Didot"/>
          <w:sz w:val="18"/>
          <w:szCs w:val="18"/>
          <w:lang w:val="en-GB"/>
        </w:rPr>
        <w:t>6</w:t>
      </w:r>
      <w:proofErr w:type="gramEnd"/>
      <w:r w:rsidRPr="00AA0ABB">
        <w:rPr>
          <w:rFonts w:cs="Didot"/>
          <w:sz w:val="18"/>
          <w:szCs w:val="18"/>
          <w:lang w:val="en-GB"/>
        </w:rPr>
        <w:t xml:space="preserve"> (1), art. </w:t>
      </w:r>
      <w:proofErr w:type="gramStart"/>
      <w:r w:rsidRPr="00AA0ABB">
        <w:rPr>
          <w:rFonts w:cs="Didot"/>
          <w:sz w:val="18"/>
          <w:szCs w:val="18"/>
          <w:lang w:val="en-GB"/>
        </w:rPr>
        <w:t>23</w:t>
      </w:r>
      <w:proofErr w:type="gramEnd"/>
      <w:r w:rsidRPr="00AA0ABB">
        <w:rPr>
          <w:rFonts w:cs="Didot"/>
          <w:sz w:val="18"/>
          <w:szCs w:val="18"/>
          <w:lang w:val="en-GB"/>
        </w:rPr>
        <w:t xml:space="preserve">; UN General Assembly, </w:t>
      </w:r>
      <w:r w:rsidRPr="00AA0ABB">
        <w:rPr>
          <w:rFonts w:cs="Didot"/>
          <w:i/>
          <w:iCs/>
          <w:sz w:val="18"/>
          <w:szCs w:val="18"/>
          <w:lang w:val="en-GB"/>
        </w:rPr>
        <w:t>Convention on the Rights of Persons with Disabilities: resolution / adopted by the General Assembly</w:t>
      </w:r>
      <w:r w:rsidRPr="00AA0ABB">
        <w:rPr>
          <w:rFonts w:cs="Didot"/>
          <w:sz w:val="18"/>
          <w:szCs w:val="18"/>
          <w:lang w:val="en-GB"/>
        </w:rPr>
        <w:t xml:space="preserve">, 24 January 2007, A/RES/61/106, art. </w:t>
      </w:r>
      <w:proofErr w:type="gramStart"/>
      <w:r w:rsidRPr="00AA0ABB">
        <w:rPr>
          <w:rFonts w:cs="Didot"/>
          <w:sz w:val="18"/>
          <w:szCs w:val="18"/>
          <w:lang w:val="en-GB"/>
        </w:rPr>
        <w:t>10</w:t>
      </w:r>
      <w:proofErr w:type="gramEnd"/>
      <w:r w:rsidRPr="00AA0ABB">
        <w:rPr>
          <w:rFonts w:cs="Didot"/>
          <w:sz w:val="18"/>
          <w:szCs w:val="18"/>
          <w:lang w:val="en-GB"/>
        </w:rPr>
        <w:t xml:space="preserve">, art. </w:t>
      </w:r>
      <w:proofErr w:type="gramStart"/>
      <w:r w:rsidRPr="00AA0ABB">
        <w:rPr>
          <w:rFonts w:cs="Didot"/>
          <w:sz w:val="18"/>
          <w:szCs w:val="18"/>
          <w:lang w:val="en-GB"/>
        </w:rPr>
        <w:t>25</w:t>
      </w:r>
      <w:proofErr w:type="gramEnd"/>
      <w:r w:rsidRPr="00AA0ABB">
        <w:rPr>
          <w:rFonts w:cs="Didot"/>
          <w:sz w:val="18"/>
          <w:szCs w:val="18"/>
          <w:lang w:val="en-GB"/>
        </w:rPr>
        <w:t xml:space="preserve"> (b), art. 28.2 (b); UN General Assembly, </w:t>
      </w:r>
      <w:r w:rsidRPr="00AA0ABB">
        <w:rPr>
          <w:rFonts w:cs="Didot"/>
          <w:i/>
          <w:iCs/>
          <w:sz w:val="18"/>
          <w:szCs w:val="18"/>
          <w:lang w:val="en-GB"/>
        </w:rPr>
        <w:t>Convention on the Elimination of All Forms of Discrimination Against Women</w:t>
      </w:r>
      <w:r w:rsidRPr="00AA0ABB">
        <w:rPr>
          <w:rFonts w:cs="Didot"/>
          <w:sz w:val="18"/>
          <w:szCs w:val="18"/>
          <w:lang w:val="en-GB"/>
        </w:rPr>
        <w:t xml:space="preserve">, 18 December 1979, United Nations, Treaty Series, vol. 1249, p. 13, art. 11.1 (e); UN General Assembly, </w:t>
      </w:r>
      <w:r w:rsidRPr="00AA0ABB">
        <w:rPr>
          <w:rFonts w:cs="Didot"/>
          <w:i/>
          <w:iCs/>
          <w:sz w:val="18"/>
          <w:szCs w:val="18"/>
          <w:lang w:val="en-GB"/>
        </w:rPr>
        <w:t>International Convention on the Protection of the Rights of All Migrant Workers and Members of their Families</w:t>
      </w:r>
      <w:r w:rsidRPr="00AA0ABB">
        <w:rPr>
          <w:rFonts w:cs="Didot"/>
          <w:sz w:val="18"/>
          <w:szCs w:val="18"/>
          <w:lang w:val="en-GB"/>
        </w:rPr>
        <w:t xml:space="preserve">, 18 December 1990, A/RES/45/158, art. </w:t>
      </w:r>
      <w:proofErr w:type="gramStart"/>
      <w:r w:rsidRPr="00AA0ABB">
        <w:rPr>
          <w:rFonts w:cs="Didot"/>
          <w:sz w:val="18"/>
          <w:szCs w:val="18"/>
          <w:lang w:val="en-GB"/>
        </w:rPr>
        <w:t>1</w:t>
      </w:r>
      <w:proofErr w:type="gramEnd"/>
      <w:r w:rsidRPr="00AA0ABB">
        <w:rPr>
          <w:rFonts w:cs="Didot"/>
          <w:sz w:val="18"/>
          <w:szCs w:val="18"/>
          <w:lang w:val="en-GB"/>
        </w:rPr>
        <w:t xml:space="preserve"> (1); Universal Declaration, Art. </w:t>
      </w:r>
      <w:proofErr w:type="gramStart"/>
      <w:r w:rsidRPr="00AA0ABB">
        <w:rPr>
          <w:rFonts w:cs="Didot"/>
          <w:sz w:val="18"/>
          <w:szCs w:val="18"/>
          <w:lang w:val="en-GB"/>
        </w:rPr>
        <w:t>25</w:t>
      </w:r>
      <w:proofErr w:type="gramEnd"/>
      <w:r w:rsidRPr="00AA0ABB">
        <w:rPr>
          <w:rFonts w:cs="Didot"/>
          <w:sz w:val="18"/>
          <w:szCs w:val="18"/>
          <w:lang w:val="en-GB"/>
        </w:rPr>
        <w:t xml:space="preserve"> (1).</w:t>
      </w:r>
    </w:p>
  </w:footnote>
  <w:footnote w:id="8">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w:t>
      </w:r>
      <w:r w:rsidRPr="00AA0ABB">
        <w:rPr>
          <w:rFonts w:cs="Didot"/>
          <w:i/>
          <w:sz w:val="18"/>
          <w:szCs w:val="18"/>
          <w:lang w:val="en-GB"/>
        </w:rPr>
        <w:t xml:space="preserve">Ordo </w:t>
      </w:r>
      <w:proofErr w:type="spellStart"/>
      <w:r w:rsidRPr="00AA0ABB">
        <w:rPr>
          <w:rFonts w:cs="Didot"/>
          <w:i/>
          <w:sz w:val="18"/>
          <w:szCs w:val="18"/>
          <w:lang w:val="en-GB"/>
        </w:rPr>
        <w:t>Iuris</w:t>
      </w:r>
      <w:proofErr w:type="spellEnd"/>
      <w:r w:rsidRPr="00AA0ABB">
        <w:rPr>
          <w:rFonts w:cs="Didot"/>
          <w:i/>
          <w:sz w:val="18"/>
          <w:szCs w:val="18"/>
          <w:lang w:val="en-GB"/>
        </w:rPr>
        <w:t xml:space="preserve"> </w:t>
      </w:r>
      <w:r w:rsidRPr="00AA0ABB">
        <w:rPr>
          <w:rFonts w:cs="Didot"/>
          <w:sz w:val="18"/>
          <w:szCs w:val="18"/>
          <w:lang w:val="en-GB"/>
        </w:rPr>
        <w:t xml:space="preserve">Institute for Legal Culture has recently published a collection of academic papers focused on this issue: A. Stępkowski (ed.), </w:t>
      </w:r>
      <w:r w:rsidRPr="00AA0ABB">
        <w:rPr>
          <w:rFonts w:cs="Didot"/>
          <w:i/>
          <w:sz w:val="18"/>
          <w:szCs w:val="18"/>
          <w:lang w:val="en-GB"/>
        </w:rPr>
        <w:t>Protection of Human Life in its Early Stage</w:t>
      </w:r>
      <w:r w:rsidRPr="00AA0ABB">
        <w:rPr>
          <w:rFonts w:cs="Didot"/>
          <w:sz w:val="18"/>
          <w:szCs w:val="18"/>
          <w:lang w:val="en-GB"/>
        </w:rPr>
        <w:t xml:space="preserve">, Peter Lang 2014. </w:t>
      </w:r>
    </w:p>
  </w:footnote>
  <w:footnote w:id="9">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United Nations, Treaty Series, vol. 1155, p. 331.</w:t>
      </w:r>
    </w:p>
  </w:footnote>
  <w:footnote w:id="10">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w:t>
      </w:r>
      <w:r w:rsidRPr="00AA0ABB">
        <w:rPr>
          <w:rFonts w:cs="Didot"/>
          <w:i/>
          <w:sz w:val="18"/>
          <w:szCs w:val="18"/>
          <w:lang w:val="en-GB"/>
        </w:rPr>
        <w:t xml:space="preserve">See </w:t>
      </w:r>
      <w:r w:rsidRPr="00AA0ABB">
        <w:rPr>
          <w:rFonts w:cs="Didot"/>
          <w:sz w:val="18"/>
          <w:szCs w:val="18"/>
          <w:lang w:val="en-GB"/>
        </w:rPr>
        <w:t>A/2929, Chapter VI, §10. Report of the Secretary-General to the 10</w:t>
      </w:r>
      <w:r w:rsidRPr="00AA0ABB">
        <w:rPr>
          <w:rFonts w:cs="Didot"/>
          <w:sz w:val="18"/>
          <w:szCs w:val="18"/>
          <w:vertAlign w:val="superscript"/>
          <w:lang w:val="en-GB"/>
        </w:rPr>
        <w:t>th</w:t>
      </w:r>
      <w:r w:rsidRPr="00AA0ABB">
        <w:rPr>
          <w:rFonts w:cs="Didot"/>
          <w:sz w:val="18"/>
          <w:szCs w:val="18"/>
          <w:lang w:val="en-GB"/>
        </w:rPr>
        <w:t xml:space="preserve"> Session of the General Assembly (1 July 1955).</w:t>
      </w:r>
    </w:p>
  </w:footnote>
  <w:footnote w:id="11">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w:t>
      </w:r>
      <w:r w:rsidRPr="00AA0ABB">
        <w:rPr>
          <w:rFonts w:cs="Didot"/>
          <w:i/>
          <w:sz w:val="18"/>
          <w:szCs w:val="18"/>
          <w:lang w:val="en-GB"/>
        </w:rPr>
        <w:t>See</w:t>
      </w:r>
      <w:r w:rsidRPr="00AA0ABB">
        <w:rPr>
          <w:rFonts w:cs="Didot"/>
          <w:sz w:val="18"/>
          <w:szCs w:val="18"/>
          <w:lang w:val="en-GB"/>
        </w:rPr>
        <w:t xml:space="preserve"> A/3764 § 18. Report of the Third Committee to the 12th Session of the General Assembly (5 December 1957).</w:t>
      </w:r>
    </w:p>
  </w:footnote>
  <w:footnote w:id="12">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International Committee of the Red Cross (ICRC), </w:t>
      </w:r>
      <w:r w:rsidRPr="00AA0ABB">
        <w:rPr>
          <w:rFonts w:cs="Didot"/>
          <w:i/>
          <w:iCs/>
          <w:sz w:val="18"/>
          <w:szCs w:val="18"/>
          <w:lang w:val="en-GB"/>
        </w:rPr>
        <w:t>Protocol Additional to the Geneva Conventions of 12 August 1949, and relating to the Protection of Victims of Non-International Armed Conflicts (Protocol II)</w:t>
      </w:r>
      <w:r w:rsidRPr="00AA0ABB">
        <w:rPr>
          <w:rFonts w:cs="Didot"/>
          <w:sz w:val="18"/>
          <w:szCs w:val="18"/>
          <w:lang w:val="en-GB"/>
        </w:rPr>
        <w:t>, 8 June 1977, 1125 UNTS 609.</w:t>
      </w:r>
    </w:p>
  </w:footnote>
  <w:footnote w:id="13">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International Committee of the Red Cross (ICRC), </w:t>
      </w:r>
      <w:r w:rsidRPr="00AA0ABB">
        <w:rPr>
          <w:rFonts w:cs="Didot"/>
          <w:i/>
          <w:iCs/>
          <w:sz w:val="18"/>
          <w:szCs w:val="18"/>
          <w:lang w:val="en-GB"/>
        </w:rPr>
        <w:t>Geneva Convention Relative to the Protection of Civilian Persons in Time of War (Fourth Geneva Convention)</w:t>
      </w:r>
      <w:r w:rsidRPr="00AA0ABB">
        <w:rPr>
          <w:rFonts w:cs="Didot"/>
          <w:sz w:val="18"/>
          <w:szCs w:val="18"/>
          <w:lang w:val="en-GB"/>
        </w:rPr>
        <w:t>, 12 August 1949, 75 UNTS 287.</w:t>
      </w:r>
    </w:p>
  </w:footnote>
  <w:footnote w:id="14">
    <w:p w:rsidR="00136C5A" w:rsidRPr="00AA0ABB" w:rsidRDefault="00136C5A" w:rsidP="00AA0ABB">
      <w:pPr>
        <w:pStyle w:val="FootnoteText"/>
        <w:jc w:val="both"/>
        <w:rPr>
          <w:rFonts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UN General Assembly, </w:t>
      </w:r>
      <w:r w:rsidRPr="00AA0ABB">
        <w:rPr>
          <w:rFonts w:cs="Didot"/>
          <w:i/>
          <w:iCs/>
          <w:sz w:val="18"/>
          <w:szCs w:val="18"/>
          <w:lang w:val="en-GB"/>
        </w:rPr>
        <w:t>Convention on the Rights of the Child</w:t>
      </w:r>
      <w:r w:rsidRPr="00AA0ABB">
        <w:rPr>
          <w:rFonts w:cs="Didot"/>
          <w:sz w:val="18"/>
          <w:szCs w:val="18"/>
          <w:lang w:val="en-GB"/>
        </w:rPr>
        <w:t>, 20 November 1989, United Nations, Treaty Series, vol. 1577, p. 3.</w:t>
      </w:r>
    </w:p>
  </w:footnote>
  <w:footnote w:id="15">
    <w:p w:rsidR="00136C5A" w:rsidRPr="00977A04" w:rsidRDefault="00136C5A" w:rsidP="00AA0ABB">
      <w:pPr>
        <w:pStyle w:val="FootnoteText"/>
        <w:jc w:val="both"/>
        <w:rPr>
          <w:rFonts w:ascii="Didot" w:hAnsi="Didot" w:cs="Didot"/>
          <w:sz w:val="18"/>
          <w:szCs w:val="18"/>
          <w:lang w:val="en-GB"/>
        </w:rPr>
      </w:pPr>
      <w:r w:rsidRPr="00AA0ABB">
        <w:rPr>
          <w:rStyle w:val="FootnoteReference"/>
          <w:rFonts w:cs="Didot"/>
          <w:sz w:val="18"/>
          <w:szCs w:val="18"/>
          <w:lang w:val="en-GB"/>
        </w:rPr>
        <w:footnoteRef/>
      </w:r>
      <w:r w:rsidRPr="00AA0ABB">
        <w:rPr>
          <w:rFonts w:cs="Didot"/>
          <w:sz w:val="18"/>
          <w:szCs w:val="18"/>
          <w:lang w:val="en-GB"/>
        </w:rPr>
        <w:t xml:space="preserve">  According to art. </w:t>
      </w:r>
      <w:proofErr w:type="gramStart"/>
      <w:r w:rsidRPr="00AA0ABB">
        <w:rPr>
          <w:rFonts w:cs="Didot"/>
          <w:sz w:val="18"/>
          <w:szCs w:val="18"/>
          <w:lang w:val="en-GB"/>
        </w:rPr>
        <w:t>31</w:t>
      </w:r>
      <w:proofErr w:type="gramEnd"/>
      <w:r w:rsidRPr="00AA0ABB">
        <w:rPr>
          <w:rFonts w:cs="Didot"/>
          <w:sz w:val="18"/>
          <w:szCs w:val="18"/>
          <w:lang w:val="en-GB"/>
        </w:rPr>
        <w:t xml:space="preserve"> (2) of the VCLT.</w:t>
      </w:r>
      <w:r w:rsidRPr="00977A04">
        <w:rPr>
          <w:rFonts w:ascii="Didot" w:hAnsi="Didot" w:cs="Didot"/>
          <w:sz w:val="18"/>
          <w:szCs w:val="18"/>
          <w:lang w:val="en-GB"/>
        </w:rPr>
        <w:t xml:space="preserve">  </w:t>
      </w:r>
    </w:p>
  </w:footnote>
  <w:footnote w:id="16">
    <w:p w:rsidR="00136C5A" w:rsidRPr="005224C1" w:rsidRDefault="00136C5A" w:rsidP="00136C5A">
      <w:pPr>
        <w:pStyle w:val="FootnoteText"/>
        <w:jc w:val="both"/>
        <w:rPr>
          <w:rFonts w:cs="Didot"/>
          <w:sz w:val="18"/>
          <w:szCs w:val="18"/>
          <w:lang w:val="en-GB"/>
        </w:rPr>
      </w:pPr>
      <w:r w:rsidRPr="005224C1">
        <w:rPr>
          <w:rStyle w:val="FootnoteReference"/>
          <w:rFonts w:cs="Didot"/>
          <w:sz w:val="18"/>
          <w:szCs w:val="18"/>
          <w:lang w:val="en-GB"/>
        </w:rPr>
        <w:footnoteRef/>
      </w:r>
      <w:r w:rsidRPr="005224C1">
        <w:rPr>
          <w:rFonts w:cs="Didot"/>
          <w:sz w:val="18"/>
          <w:szCs w:val="18"/>
          <w:lang w:val="en-GB"/>
        </w:rPr>
        <w:t xml:space="preserve">  Article 1 of that Convention (adopted by Council of Europe, 4 April 1997) emphasizes the need to “protect the dignity and identity of all human beings”. The scope of the “human being” as an undefined and broad term </w:t>
      </w:r>
      <w:proofErr w:type="gramStart"/>
      <w:r w:rsidRPr="005224C1">
        <w:rPr>
          <w:rFonts w:cs="Didot"/>
          <w:sz w:val="18"/>
          <w:szCs w:val="18"/>
          <w:lang w:val="en-GB"/>
        </w:rPr>
        <w:t>could thus be applied</w:t>
      </w:r>
      <w:proofErr w:type="gramEnd"/>
      <w:r w:rsidRPr="005224C1">
        <w:rPr>
          <w:rFonts w:cs="Didot"/>
          <w:sz w:val="18"/>
          <w:szCs w:val="18"/>
          <w:lang w:val="en-GB"/>
        </w:rPr>
        <w:t xml:space="preserve"> to the embryo and prenatal life.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2" w:rsidRDefault="00025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2793"/>
    <w:multiLevelType w:val="hybridMultilevel"/>
    <w:tmpl w:val="5DDC13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7B5DFA"/>
    <w:multiLevelType w:val="hybridMultilevel"/>
    <w:tmpl w:val="9FD8B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2D6186"/>
    <w:multiLevelType w:val="hybridMultilevel"/>
    <w:tmpl w:val="71D6B2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3F2C4E"/>
    <w:multiLevelType w:val="hybridMultilevel"/>
    <w:tmpl w:val="9FD8B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821C61"/>
    <w:multiLevelType w:val="hybridMultilevel"/>
    <w:tmpl w:val="17DE1710"/>
    <w:lvl w:ilvl="0" w:tplc="3F28483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B7C0D"/>
    <w:multiLevelType w:val="singleLevel"/>
    <w:tmpl w:val="962EE164"/>
    <w:lvl w:ilvl="0">
      <w:start w:val="4"/>
      <w:numFmt w:val="decimal"/>
      <w:lvlText w:val="%1)"/>
      <w:legacy w:legacy="1" w:legacySpace="0" w:legacyIndent="266"/>
      <w:lvlJc w:val="left"/>
      <w:rPr>
        <w:rFonts w:ascii="Calibri" w:hAnsi="Calibri" w:hint="default"/>
      </w:rPr>
    </w:lvl>
  </w:abstractNum>
  <w:abstractNum w:abstractNumId="6" w15:restartNumberingAfterBreak="0">
    <w:nsid w:val="61B07329"/>
    <w:multiLevelType w:val="singleLevel"/>
    <w:tmpl w:val="8FCAC31C"/>
    <w:lvl w:ilvl="0">
      <w:start w:val="2"/>
      <w:numFmt w:val="decimal"/>
      <w:lvlText w:val="%1)"/>
      <w:legacy w:legacy="1" w:legacySpace="0" w:legacyIndent="259"/>
      <w:lvlJc w:val="left"/>
      <w:rPr>
        <w:rFonts w:ascii="Calibri" w:hAnsi="Calibri" w:hint="default"/>
      </w:rPr>
    </w:lvl>
  </w:abstractNum>
  <w:abstractNum w:abstractNumId="7" w15:restartNumberingAfterBreak="0">
    <w:nsid w:val="66F3396F"/>
    <w:multiLevelType w:val="hybridMultilevel"/>
    <w:tmpl w:val="01B25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7A"/>
    <w:rsid w:val="00025A62"/>
    <w:rsid w:val="00070146"/>
    <w:rsid w:val="00136C5A"/>
    <w:rsid w:val="00177DE4"/>
    <w:rsid w:val="0019051E"/>
    <w:rsid w:val="001C1393"/>
    <w:rsid w:val="0022404A"/>
    <w:rsid w:val="002E7844"/>
    <w:rsid w:val="002F6B83"/>
    <w:rsid w:val="00321893"/>
    <w:rsid w:val="003C2CF2"/>
    <w:rsid w:val="004254CE"/>
    <w:rsid w:val="00486DF3"/>
    <w:rsid w:val="004E2987"/>
    <w:rsid w:val="004E597A"/>
    <w:rsid w:val="005224C1"/>
    <w:rsid w:val="005318E0"/>
    <w:rsid w:val="005938B6"/>
    <w:rsid w:val="005A6B79"/>
    <w:rsid w:val="005D6DC9"/>
    <w:rsid w:val="00611F88"/>
    <w:rsid w:val="00640BF4"/>
    <w:rsid w:val="006447CE"/>
    <w:rsid w:val="00647761"/>
    <w:rsid w:val="00662169"/>
    <w:rsid w:val="0067452E"/>
    <w:rsid w:val="006C4E39"/>
    <w:rsid w:val="006F07A9"/>
    <w:rsid w:val="00702753"/>
    <w:rsid w:val="007500C7"/>
    <w:rsid w:val="007A2C53"/>
    <w:rsid w:val="00826EA4"/>
    <w:rsid w:val="0085684E"/>
    <w:rsid w:val="008A7F32"/>
    <w:rsid w:val="00932954"/>
    <w:rsid w:val="0099646F"/>
    <w:rsid w:val="009A7EC2"/>
    <w:rsid w:val="009E7D8A"/>
    <w:rsid w:val="009F15F8"/>
    <w:rsid w:val="00A12122"/>
    <w:rsid w:val="00A826FE"/>
    <w:rsid w:val="00AA0ABB"/>
    <w:rsid w:val="00AB2C87"/>
    <w:rsid w:val="00AB3DB0"/>
    <w:rsid w:val="00AB57D2"/>
    <w:rsid w:val="00AF2EB3"/>
    <w:rsid w:val="00AF7885"/>
    <w:rsid w:val="00BE1E25"/>
    <w:rsid w:val="00C51E0E"/>
    <w:rsid w:val="00C8211A"/>
    <w:rsid w:val="00CA0485"/>
    <w:rsid w:val="00CA642B"/>
    <w:rsid w:val="00CD457A"/>
    <w:rsid w:val="00CD680B"/>
    <w:rsid w:val="00CE27BA"/>
    <w:rsid w:val="00D054F4"/>
    <w:rsid w:val="00D14A9F"/>
    <w:rsid w:val="00D24FFB"/>
    <w:rsid w:val="00D273DA"/>
    <w:rsid w:val="00D343B7"/>
    <w:rsid w:val="00DD31FD"/>
    <w:rsid w:val="00DE1E59"/>
    <w:rsid w:val="00DE6FCA"/>
    <w:rsid w:val="00E05C56"/>
    <w:rsid w:val="00E120B0"/>
    <w:rsid w:val="00E740C3"/>
    <w:rsid w:val="00E94575"/>
    <w:rsid w:val="00EB3E4D"/>
    <w:rsid w:val="00EC1E2C"/>
    <w:rsid w:val="00EF6D42"/>
    <w:rsid w:val="00F75F43"/>
    <w:rsid w:val="00FB043B"/>
    <w:rsid w:val="00FD6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smamz">
    <w:name w:val="pisma_mz"/>
    <w:basedOn w:val="Normal"/>
    <w:link w:val="pismamzZnak"/>
    <w:qFormat/>
    <w:rsid w:val="00CD457A"/>
    <w:pPr>
      <w:spacing w:after="0" w:line="360" w:lineRule="auto"/>
      <w:contextualSpacing/>
      <w:jc w:val="both"/>
    </w:pPr>
    <w:rPr>
      <w:rFonts w:ascii="Arial" w:hAnsi="Arial"/>
    </w:rPr>
  </w:style>
  <w:style w:type="character" w:customStyle="1" w:styleId="pismamzZnak">
    <w:name w:val="pisma_mz Znak"/>
    <w:link w:val="pismamz"/>
    <w:rsid w:val="00CD457A"/>
    <w:rPr>
      <w:rFonts w:ascii="Arial" w:eastAsia="Calibri" w:hAnsi="Arial" w:cs="Times New Roman"/>
    </w:rPr>
  </w:style>
  <w:style w:type="paragraph" w:customStyle="1" w:styleId="Style2">
    <w:name w:val="Style2"/>
    <w:basedOn w:val="Normal"/>
    <w:uiPriority w:val="99"/>
    <w:rsid w:val="00F75F43"/>
    <w:pPr>
      <w:widowControl w:val="0"/>
      <w:autoSpaceDE w:val="0"/>
      <w:autoSpaceDN w:val="0"/>
      <w:adjustRightInd w:val="0"/>
      <w:spacing w:after="0" w:line="240" w:lineRule="auto"/>
      <w:jc w:val="both"/>
    </w:pPr>
    <w:rPr>
      <w:rFonts w:eastAsiaTheme="minorEastAsia" w:cstheme="minorBidi"/>
      <w:sz w:val="24"/>
      <w:szCs w:val="24"/>
      <w:lang w:eastAsia="pl-PL"/>
    </w:rPr>
  </w:style>
  <w:style w:type="paragraph" w:customStyle="1" w:styleId="Style6">
    <w:name w:val="Style6"/>
    <w:basedOn w:val="Normal"/>
    <w:uiPriority w:val="99"/>
    <w:rsid w:val="00F75F43"/>
    <w:pPr>
      <w:widowControl w:val="0"/>
      <w:autoSpaceDE w:val="0"/>
      <w:autoSpaceDN w:val="0"/>
      <w:adjustRightInd w:val="0"/>
      <w:spacing w:after="0" w:line="187" w:lineRule="exact"/>
      <w:jc w:val="both"/>
    </w:pPr>
    <w:rPr>
      <w:rFonts w:eastAsiaTheme="minorEastAsia" w:cstheme="minorBidi"/>
      <w:sz w:val="24"/>
      <w:szCs w:val="24"/>
      <w:lang w:eastAsia="pl-PL"/>
    </w:rPr>
  </w:style>
  <w:style w:type="paragraph" w:customStyle="1" w:styleId="Style8">
    <w:name w:val="Style8"/>
    <w:basedOn w:val="Normal"/>
    <w:uiPriority w:val="99"/>
    <w:rsid w:val="00F75F43"/>
    <w:pPr>
      <w:widowControl w:val="0"/>
      <w:autoSpaceDE w:val="0"/>
      <w:autoSpaceDN w:val="0"/>
      <w:adjustRightInd w:val="0"/>
      <w:spacing w:after="0" w:line="274" w:lineRule="exact"/>
      <w:jc w:val="both"/>
    </w:pPr>
    <w:rPr>
      <w:rFonts w:eastAsiaTheme="minorEastAsia" w:cstheme="minorBidi"/>
      <w:sz w:val="24"/>
      <w:szCs w:val="24"/>
      <w:lang w:eastAsia="pl-PL"/>
    </w:rPr>
  </w:style>
  <w:style w:type="paragraph" w:customStyle="1" w:styleId="Style11">
    <w:name w:val="Style11"/>
    <w:basedOn w:val="Normal"/>
    <w:uiPriority w:val="99"/>
    <w:rsid w:val="00F75F43"/>
    <w:pPr>
      <w:widowControl w:val="0"/>
      <w:autoSpaceDE w:val="0"/>
      <w:autoSpaceDN w:val="0"/>
      <w:adjustRightInd w:val="0"/>
      <w:spacing w:after="0" w:line="303" w:lineRule="exact"/>
      <w:ind w:hanging="259"/>
      <w:jc w:val="both"/>
    </w:pPr>
    <w:rPr>
      <w:rFonts w:eastAsiaTheme="minorEastAsia" w:cstheme="minorBidi"/>
      <w:sz w:val="24"/>
      <w:szCs w:val="24"/>
      <w:lang w:eastAsia="pl-PL"/>
    </w:rPr>
  </w:style>
  <w:style w:type="paragraph" w:customStyle="1" w:styleId="Style12">
    <w:name w:val="Style12"/>
    <w:basedOn w:val="Normal"/>
    <w:uiPriority w:val="99"/>
    <w:rsid w:val="00F75F43"/>
    <w:pPr>
      <w:widowControl w:val="0"/>
      <w:autoSpaceDE w:val="0"/>
      <w:autoSpaceDN w:val="0"/>
      <w:adjustRightInd w:val="0"/>
      <w:spacing w:after="0" w:line="306" w:lineRule="exact"/>
      <w:ind w:hanging="259"/>
      <w:jc w:val="both"/>
    </w:pPr>
    <w:rPr>
      <w:rFonts w:eastAsiaTheme="minorEastAsia" w:cstheme="minorBidi"/>
      <w:sz w:val="24"/>
      <w:szCs w:val="24"/>
      <w:lang w:eastAsia="pl-PL"/>
    </w:rPr>
  </w:style>
  <w:style w:type="paragraph" w:customStyle="1" w:styleId="Style13">
    <w:name w:val="Style13"/>
    <w:basedOn w:val="Normal"/>
    <w:uiPriority w:val="99"/>
    <w:rsid w:val="00F75F43"/>
    <w:pPr>
      <w:widowControl w:val="0"/>
      <w:autoSpaceDE w:val="0"/>
      <w:autoSpaceDN w:val="0"/>
      <w:adjustRightInd w:val="0"/>
      <w:spacing w:after="0" w:line="184" w:lineRule="exact"/>
    </w:pPr>
    <w:rPr>
      <w:rFonts w:eastAsiaTheme="minorEastAsia" w:cstheme="minorBidi"/>
      <w:sz w:val="24"/>
      <w:szCs w:val="24"/>
      <w:lang w:eastAsia="pl-PL"/>
    </w:rPr>
  </w:style>
  <w:style w:type="character" w:customStyle="1" w:styleId="FontStyle21">
    <w:name w:val="Font Style21"/>
    <w:basedOn w:val="DefaultParagraphFont"/>
    <w:uiPriority w:val="99"/>
    <w:rsid w:val="00F75F43"/>
    <w:rPr>
      <w:rFonts w:ascii="Calibri" w:hAnsi="Calibri" w:cs="Calibri"/>
      <w:sz w:val="20"/>
      <w:szCs w:val="20"/>
    </w:rPr>
  </w:style>
  <w:style w:type="character" w:customStyle="1" w:styleId="FontStyle22">
    <w:name w:val="Font Style22"/>
    <w:basedOn w:val="DefaultParagraphFont"/>
    <w:uiPriority w:val="99"/>
    <w:rsid w:val="00F75F43"/>
    <w:rPr>
      <w:rFonts w:ascii="Calibri" w:hAnsi="Calibri" w:cs="Calibri"/>
      <w:sz w:val="16"/>
      <w:szCs w:val="16"/>
    </w:rPr>
  </w:style>
  <w:style w:type="character" w:customStyle="1" w:styleId="FontStyle24">
    <w:name w:val="Font Style24"/>
    <w:basedOn w:val="DefaultParagraphFont"/>
    <w:uiPriority w:val="99"/>
    <w:rsid w:val="00F75F43"/>
    <w:rPr>
      <w:rFonts w:ascii="Tahoma" w:hAnsi="Tahoma" w:cs="Tahoma"/>
      <w:b/>
      <w:bCs/>
      <w:sz w:val="12"/>
      <w:szCs w:val="12"/>
    </w:rPr>
  </w:style>
  <w:style w:type="character" w:customStyle="1" w:styleId="FontStyle25">
    <w:name w:val="Font Style25"/>
    <w:basedOn w:val="DefaultParagraphFont"/>
    <w:uiPriority w:val="99"/>
    <w:rsid w:val="00F75F43"/>
    <w:rPr>
      <w:rFonts w:ascii="Calibri" w:hAnsi="Calibri" w:cs="Calibri"/>
      <w:b/>
      <w:bCs/>
      <w:i/>
      <w:iCs/>
      <w:sz w:val="16"/>
      <w:szCs w:val="16"/>
    </w:rPr>
  </w:style>
  <w:style w:type="paragraph" w:styleId="BalloonText">
    <w:name w:val="Balloon Text"/>
    <w:basedOn w:val="Normal"/>
    <w:link w:val="BalloonTextChar"/>
    <w:uiPriority w:val="99"/>
    <w:semiHidden/>
    <w:unhideWhenUsed/>
    <w:rsid w:val="00DE6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FCA"/>
    <w:rPr>
      <w:rFonts w:ascii="Tahoma" w:eastAsia="Calibri" w:hAnsi="Tahoma" w:cs="Tahoma"/>
      <w:sz w:val="16"/>
      <w:szCs w:val="16"/>
    </w:rPr>
  </w:style>
  <w:style w:type="paragraph" w:styleId="ListParagraph">
    <w:name w:val="List Paragraph"/>
    <w:basedOn w:val="Normal"/>
    <w:uiPriority w:val="34"/>
    <w:qFormat/>
    <w:rsid w:val="006F07A9"/>
    <w:pPr>
      <w:ind w:left="720"/>
      <w:contextualSpacing/>
    </w:pPr>
  </w:style>
  <w:style w:type="character" w:styleId="CommentReference">
    <w:name w:val="annotation reference"/>
    <w:basedOn w:val="DefaultParagraphFont"/>
    <w:uiPriority w:val="99"/>
    <w:semiHidden/>
    <w:unhideWhenUsed/>
    <w:rsid w:val="006447CE"/>
    <w:rPr>
      <w:sz w:val="16"/>
      <w:szCs w:val="16"/>
    </w:rPr>
  </w:style>
  <w:style w:type="paragraph" w:styleId="CommentText">
    <w:name w:val="annotation text"/>
    <w:basedOn w:val="Normal"/>
    <w:link w:val="CommentTextChar"/>
    <w:uiPriority w:val="99"/>
    <w:semiHidden/>
    <w:unhideWhenUsed/>
    <w:rsid w:val="006447CE"/>
    <w:pPr>
      <w:spacing w:line="240" w:lineRule="auto"/>
    </w:pPr>
    <w:rPr>
      <w:sz w:val="20"/>
      <w:szCs w:val="20"/>
    </w:rPr>
  </w:style>
  <w:style w:type="character" w:customStyle="1" w:styleId="CommentTextChar">
    <w:name w:val="Comment Text Char"/>
    <w:basedOn w:val="DefaultParagraphFont"/>
    <w:link w:val="CommentText"/>
    <w:uiPriority w:val="99"/>
    <w:semiHidden/>
    <w:rsid w:val="006447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47CE"/>
    <w:rPr>
      <w:b/>
      <w:bCs/>
    </w:rPr>
  </w:style>
  <w:style w:type="character" w:customStyle="1" w:styleId="CommentSubjectChar">
    <w:name w:val="Comment Subject Char"/>
    <w:basedOn w:val="CommentTextChar"/>
    <w:link w:val="CommentSubject"/>
    <w:uiPriority w:val="99"/>
    <w:semiHidden/>
    <w:rsid w:val="006447CE"/>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136C5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36C5A"/>
    <w:rPr>
      <w:sz w:val="20"/>
      <w:szCs w:val="20"/>
    </w:rPr>
  </w:style>
  <w:style w:type="character" w:styleId="FootnoteReference">
    <w:name w:val="footnote reference"/>
    <w:basedOn w:val="DefaultParagraphFont"/>
    <w:uiPriority w:val="99"/>
    <w:unhideWhenUsed/>
    <w:rsid w:val="00136C5A"/>
    <w:rPr>
      <w:vertAlign w:val="superscript"/>
    </w:rPr>
  </w:style>
  <w:style w:type="paragraph" w:customStyle="1" w:styleId="Default">
    <w:name w:val="Default"/>
    <w:rsid w:val="00136C5A"/>
    <w:pPr>
      <w:autoSpaceDE w:val="0"/>
      <w:autoSpaceDN w:val="0"/>
      <w:adjustRightInd w:val="0"/>
      <w:spacing w:after="0" w:line="240" w:lineRule="auto"/>
    </w:pPr>
    <w:rPr>
      <w:rFonts w:ascii="Bell MT" w:hAnsi="Bell MT" w:cs="Bell MT"/>
      <w:color w:val="000000"/>
      <w:sz w:val="24"/>
      <w:szCs w:val="24"/>
    </w:rPr>
  </w:style>
  <w:style w:type="paragraph" w:styleId="Header">
    <w:name w:val="header"/>
    <w:basedOn w:val="Normal"/>
    <w:link w:val="HeaderChar"/>
    <w:uiPriority w:val="99"/>
    <w:unhideWhenUsed/>
    <w:rsid w:val="00025A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A62"/>
    <w:rPr>
      <w:rFonts w:ascii="Calibri" w:eastAsia="Calibri" w:hAnsi="Calibri" w:cs="Times New Roman"/>
    </w:rPr>
  </w:style>
  <w:style w:type="paragraph" w:styleId="Footer">
    <w:name w:val="footer"/>
    <w:basedOn w:val="Normal"/>
    <w:link w:val="FooterChar"/>
    <w:uiPriority w:val="99"/>
    <w:unhideWhenUsed/>
    <w:rsid w:val="00025A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A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41878">
      <w:bodyDiv w:val="1"/>
      <w:marLeft w:val="0"/>
      <w:marRight w:val="0"/>
      <w:marTop w:val="0"/>
      <w:marBottom w:val="0"/>
      <w:divBdr>
        <w:top w:val="none" w:sz="0" w:space="0" w:color="auto"/>
        <w:left w:val="none" w:sz="0" w:space="0" w:color="auto"/>
        <w:bottom w:val="none" w:sz="0" w:space="0" w:color="auto"/>
        <w:right w:val="none" w:sz="0" w:space="0" w:color="auto"/>
      </w:divBdr>
      <w:divsChild>
        <w:div w:id="1131753887">
          <w:marLeft w:val="0"/>
          <w:marRight w:val="0"/>
          <w:marTop w:val="0"/>
          <w:marBottom w:val="0"/>
          <w:divBdr>
            <w:top w:val="none" w:sz="0" w:space="0" w:color="auto"/>
            <w:left w:val="none" w:sz="0" w:space="0" w:color="auto"/>
            <w:bottom w:val="none" w:sz="0" w:space="0" w:color="auto"/>
            <w:right w:val="none" w:sz="0" w:space="0" w:color="auto"/>
          </w:divBdr>
          <w:divsChild>
            <w:div w:id="543444238">
              <w:marLeft w:val="0"/>
              <w:marRight w:val="0"/>
              <w:marTop w:val="0"/>
              <w:marBottom w:val="0"/>
              <w:divBdr>
                <w:top w:val="none" w:sz="0" w:space="0" w:color="auto"/>
                <w:left w:val="none" w:sz="0" w:space="0" w:color="auto"/>
                <w:bottom w:val="none" w:sz="0" w:space="0" w:color="auto"/>
                <w:right w:val="none" w:sz="0" w:space="0" w:color="auto"/>
              </w:divBdr>
              <w:divsChild>
                <w:div w:id="2002460194">
                  <w:marLeft w:val="0"/>
                  <w:marRight w:val="0"/>
                  <w:marTop w:val="0"/>
                  <w:marBottom w:val="0"/>
                  <w:divBdr>
                    <w:top w:val="none" w:sz="0" w:space="0" w:color="auto"/>
                    <w:left w:val="none" w:sz="0" w:space="0" w:color="auto"/>
                    <w:bottom w:val="none" w:sz="0" w:space="0" w:color="auto"/>
                    <w:right w:val="none" w:sz="0" w:space="0" w:color="auto"/>
                  </w:divBdr>
                  <w:divsChild>
                    <w:div w:id="294221679">
                      <w:marLeft w:val="0"/>
                      <w:marRight w:val="0"/>
                      <w:marTop w:val="0"/>
                      <w:marBottom w:val="0"/>
                      <w:divBdr>
                        <w:top w:val="none" w:sz="0" w:space="0" w:color="auto"/>
                        <w:left w:val="none" w:sz="0" w:space="0" w:color="auto"/>
                        <w:bottom w:val="none" w:sz="0" w:space="0" w:color="auto"/>
                        <w:right w:val="none" w:sz="0" w:space="0" w:color="auto"/>
                      </w:divBdr>
                      <w:divsChild>
                        <w:div w:id="194001768">
                          <w:marLeft w:val="0"/>
                          <w:marRight w:val="0"/>
                          <w:marTop w:val="0"/>
                          <w:marBottom w:val="0"/>
                          <w:divBdr>
                            <w:top w:val="none" w:sz="0" w:space="0" w:color="auto"/>
                            <w:left w:val="none" w:sz="0" w:space="0" w:color="auto"/>
                            <w:bottom w:val="none" w:sz="0" w:space="0" w:color="auto"/>
                            <w:right w:val="none" w:sz="0" w:space="0" w:color="auto"/>
                          </w:divBdr>
                          <w:divsChild>
                            <w:div w:id="1535313991">
                              <w:marLeft w:val="0"/>
                              <w:marRight w:val="0"/>
                              <w:marTop w:val="0"/>
                              <w:marBottom w:val="0"/>
                              <w:divBdr>
                                <w:top w:val="none" w:sz="0" w:space="0" w:color="auto"/>
                                <w:left w:val="none" w:sz="0" w:space="0" w:color="auto"/>
                                <w:bottom w:val="none" w:sz="0" w:space="0" w:color="auto"/>
                                <w:right w:val="none" w:sz="0" w:space="0" w:color="auto"/>
                              </w:divBdr>
                              <w:divsChild>
                                <w:div w:id="1965187021">
                                  <w:marLeft w:val="0"/>
                                  <w:marRight w:val="0"/>
                                  <w:marTop w:val="0"/>
                                  <w:marBottom w:val="0"/>
                                  <w:divBdr>
                                    <w:top w:val="none" w:sz="0" w:space="0" w:color="auto"/>
                                    <w:left w:val="none" w:sz="0" w:space="0" w:color="auto"/>
                                    <w:bottom w:val="none" w:sz="0" w:space="0" w:color="auto"/>
                                    <w:right w:val="none" w:sz="0" w:space="0" w:color="auto"/>
                                  </w:divBdr>
                                  <w:divsChild>
                                    <w:div w:id="1555853429">
                                      <w:marLeft w:val="60"/>
                                      <w:marRight w:val="0"/>
                                      <w:marTop w:val="0"/>
                                      <w:marBottom w:val="0"/>
                                      <w:divBdr>
                                        <w:top w:val="none" w:sz="0" w:space="0" w:color="auto"/>
                                        <w:left w:val="none" w:sz="0" w:space="0" w:color="auto"/>
                                        <w:bottom w:val="none" w:sz="0" w:space="0" w:color="auto"/>
                                        <w:right w:val="none" w:sz="0" w:space="0" w:color="auto"/>
                                      </w:divBdr>
                                      <w:divsChild>
                                        <w:div w:id="1841655304">
                                          <w:marLeft w:val="0"/>
                                          <w:marRight w:val="0"/>
                                          <w:marTop w:val="0"/>
                                          <w:marBottom w:val="0"/>
                                          <w:divBdr>
                                            <w:top w:val="none" w:sz="0" w:space="0" w:color="auto"/>
                                            <w:left w:val="none" w:sz="0" w:space="0" w:color="auto"/>
                                            <w:bottom w:val="none" w:sz="0" w:space="0" w:color="auto"/>
                                            <w:right w:val="none" w:sz="0" w:space="0" w:color="auto"/>
                                          </w:divBdr>
                                          <w:divsChild>
                                            <w:div w:id="621545152">
                                              <w:marLeft w:val="0"/>
                                              <w:marRight w:val="0"/>
                                              <w:marTop w:val="0"/>
                                              <w:marBottom w:val="120"/>
                                              <w:divBdr>
                                                <w:top w:val="single" w:sz="6" w:space="0" w:color="F5F5F5"/>
                                                <w:left w:val="single" w:sz="6" w:space="0" w:color="F5F5F5"/>
                                                <w:bottom w:val="single" w:sz="6" w:space="0" w:color="F5F5F5"/>
                                                <w:right w:val="single" w:sz="6" w:space="0" w:color="F5F5F5"/>
                                              </w:divBdr>
                                              <w:divsChild>
                                                <w:div w:id="117064483">
                                                  <w:marLeft w:val="0"/>
                                                  <w:marRight w:val="0"/>
                                                  <w:marTop w:val="0"/>
                                                  <w:marBottom w:val="0"/>
                                                  <w:divBdr>
                                                    <w:top w:val="none" w:sz="0" w:space="0" w:color="auto"/>
                                                    <w:left w:val="none" w:sz="0" w:space="0" w:color="auto"/>
                                                    <w:bottom w:val="none" w:sz="0" w:space="0" w:color="auto"/>
                                                    <w:right w:val="none" w:sz="0" w:space="0" w:color="auto"/>
                                                  </w:divBdr>
                                                  <w:divsChild>
                                                    <w:div w:id="4753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649194">
      <w:bodyDiv w:val="1"/>
      <w:marLeft w:val="0"/>
      <w:marRight w:val="0"/>
      <w:marTop w:val="0"/>
      <w:marBottom w:val="0"/>
      <w:divBdr>
        <w:top w:val="none" w:sz="0" w:space="0" w:color="auto"/>
        <w:left w:val="none" w:sz="0" w:space="0" w:color="auto"/>
        <w:bottom w:val="none" w:sz="0" w:space="0" w:color="auto"/>
        <w:right w:val="none" w:sz="0" w:space="0" w:color="auto"/>
      </w:divBdr>
    </w:div>
    <w:div w:id="20954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C53D18-17E4-4D50-95DD-B16D376D701C}">
  <ds:schemaRefs>
    <ds:schemaRef ds:uri="http://schemas.openxmlformats.org/officeDocument/2006/bibliography"/>
  </ds:schemaRefs>
</ds:datastoreItem>
</file>

<file path=customXml/itemProps2.xml><?xml version="1.0" encoding="utf-8"?>
<ds:datastoreItem xmlns:ds="http://schemas.openxmlformats.org/officeDocument/2006/customXml" ds:itemID="{85B38B40-1D95-4B21-8C9F-5B8CDA4D205C}"/>
</file>

<file path=customXml/itemProps3.xml><?xml version="1.0" encoding="utf-8"?>
<ds:datastoreItem xmlns:ds="http://schemas.openxmlformats.org/officeDocument/2006/customXml" ds:itemID="{6F4436B5-6F3B-4F3C-AFC3-E8317771C807}"/>
</file>

<file path=customXml/itemProps4.xml><?xml version="1.0" encoding="utf-8"?>
<ds:datastoreItem xmlns:ds="http://schemas.openxmlformats.org/officeDocument/2006/customXml" ds:itemID="{01AA7B18-660E-4A5B-916A-1788B35547CE}"/>
</file>

<file path=docProps/app.xml><?xml version="1.0" encoding="utf-8"?>
<Properties xmlns="http://schemas.openxmlformats.org/officeDocument/2006/extended-properties" xmlns:vt="http://schemas.openxmlformats.org/officeDocument/2006/docPropsVTypes">
  <Template>Normal.dotm</Template>
  <TotalTime>0</TotalTime>
  <Pages>8</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2017-10-19T06:28:00Z</dcterms:created>
  <dcterms:modified xsi:type="dcterms:W3CDTF">2017-10-19T06:28:00Z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