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4C70" w14:textId="77777777" w:rsidR="00E659EB" w:rsidRDefault="0033471A" w:rsidP="00AA623F">
      <w:pPr>
        <w:pStyle w:val="NoSpacing"/>
        <w:jc w:val="center"/>
        <w:rPr>
          <w:rFonts w:ascii="Palatino Linotype" w:hAnsi="Palatino Linotype"/>
          <w:b/>
        </w:rPr>
      </w:pPr>
      <w:bookmarkStart w:id="0" w:name="_GoBack"/>
      <w:bookmarkEnd w:id="0"/>
      <w:r w:rsidRPr="00AA623F">
        <w:rPr>
          <w:rFonts w:ascii="Palatino Linotype" w:hAnsi="Palatino Linotype"/>
          <w:b/>
        </w:rPr>
        <w:t>Response to Call for Submissions Regarding Draft General Comment on Article 6 of the International Covenant on Civil and Political Rights – Right to Life</w:t>
      </w:r>
    </w:p>
    <w:p w14:paraId="5B98237A" w14:textId="77777777" w:rsidR="00AA623F" w:rsidRPr="00AA623F" w:rsidRDefault="00AA623F" w:rsidP="00AA623F">
      <w:pPr>
        <w:pStyle w:val="NoSpacing"/>
        <w:rPr>
          <w:rFonts w:ascii="Palatino Linotype" w:hAnsi="Palatino Linotype"/>
          <w:b/>
        </w:rPr>
      </w:pPr>
    </w:p>
    <w:p w14:paraId="7695E166" w14:textId="77777777" w:rsidR="0033471A" w:rsidRDefault="0033471A" w:rsidP="009C6A7E">
      <w:pPr>
        <w:pStyle w:val="NoSpacing"/>
        <w:jc w:val="both"/>
        <w:rPr>
          <w:rFonts w:ascii="Palatino Linotype" w:hAnsi="Palatino Linotype"/>
        </w:rPr>
      </w:pPr>
    </w:p>
    <w:p w14:paraId="6EF4FD57" w14:textId="77777777" w:rsidR="0033471A" w:rsidRDefault="00B4546D" w:rsidP="0033471A">
      <w:pPr>
        <w:pStyle w:val="NoSpacing"/>
        <w:numPr>
          <w:ilvl w:val="0"/>
          <w:numId w:val="1"/>
        </w:numPr>
        <w:jc w:val="both"/>
        <w:rPr>
          <w:rFonts w:ascii="Palatino Linotype" w:hAnsi="Palatino Linotype"/>
        </w:rPr>
      </w:pPr>
      <w:r>
        <w:rPr>
          <w:rFonts w:ascii="Palatino Linotype" w:hAnsi="Palatino Linotype"/>
        </w:rPr>
        <w:t>This submission is made by Prof. Noam Lubell and Dr. Daragh Murray, based at the University of Essex School of Law and Human Rights Centre. The authors appreciate this opportunity to engage with the Human Rights Committee in relation to Draft General Comment No. 36, and would like to congratulate the Committee on their work to-date.</w:t>
      </w:r>
      <w:r w:rsidR="00AA792E">
        <w:rPr>
          <w:rFonts w:ascii="Palatino Linotype" w:hAnsi="Palatino Linotype"/>
        </w:rPr>
        <w:t xml:space="preserve"> The authors are ready to en</w:t>
      </w:r>
      <w:r w:rsidR="00663E03">
        <w:rPr>
          <w:rFonts w:ascii="Palatino Linotype" w:hAnsi="Palatino Linotype"/>
        </w:rPr>
        <w:t>gage further with the Committee</w:t>
      </w:r>
      <w:r w:rsidR="00AA792E">
        <w:rPr>
          <w:rFonts w:ascii="Palatino Linotype" w:hAnsi="Palatino Linotype"/>
        </w:rPr>
        <w:t xml:space="preserve"> should any questions arise in relation to the below content.</w:t>
      </w:r>
    </w:p>
    <w:p w14:paraId="47A7D30A" w14:textId="77777777" w:rsidR="00AA623F" w:rsidRDefault="00AA623F" w:rsidP="00AA623F">
      <w:pPr>
        <w:pStyle w:val="NoSpacing"/>
        <w:ind w:left="360"/>
        <w:jc w:val="both"/>
        <w:rPr>
          <w:rFonts w:ascii="Palatino Linotype" w:hAnsi="Palatino Linotype"/>
        </w:rPr>
      </w:pPr>
    </w:p>
    <w:p w14:paraId="0C57F7C9" w14:textId="77777777" w:rsidR="00EC7BAD" w:rsidRDefault="005E741A" w:rsidP="0033471A">
      <w:pPr>
        <w:pStyle w:val="NoSpacing"/>
        <w:numPr>
          <w:ilvl w:val="0"/>
          <w:numId w:val="1"/>
        </w:numPr>
        <w:jc w:val="both"/>
        <w:rPr>
          <w:rFonts w:ascii="Palatino Linotype" w:hAnsi="Palatino Linotype"/>
        </w:rPr>
      </w:pPr>
      <w:r>
        <w:rPr>
          <w:rFonts w:ascii="Palatino Linotype" w:hAnsi="Palatino Linotype"/>
        </w:rPr>
        <w:t>This submission</w:t>
      </w:r>
      <w:r w:rsidR="00EC7BAD">
        <w:rPr>
          <w:rFonts w:ascii="Palatino Linotype" w:hAnsi="Palatino Linotype"/>
        </w:rPr>
        <w:t xml:space="preserve"> will briefly address two issues: the extraterritorial application of international human rights law in the context of the right to life, and the relationship between international humanitarian law and international human rights law.</w:t>
      </w:r>
    </w:p>
    <w:p w14:paraId="25C982A2" w14:textId="77777777" w:rsidR="00EC7BAD" w:rsidRDefault="00EC7BAD" w:rsidP="00EC7BAD">
      <w:pPr>
        <w:pStyle w:val="NoSpacing"/>
        <w:jc w:val="both"/>
        <w:rPr>
          <w:rFonts w:ascii="Palatino Linotype" w:hAnsi="Palatino Linotype"/>
        </w:rPr>
      </w:pPr>
    </w:p>
    <w:p w14:paraId="3EA54590" w14:textId="77777777" w:rsidR="00EC7BAD" w:rsidRPr="00EC7BAD" w:rsidRDefault="00EC7BAD" w:rsidP="00EC7BAD">
      <w:pPr>
        <w:pStyle w:val="NoSpacing"/>
        <w:jc w:val="both"/>
        <w:rPr>
          <w:rFonts w:ascii="Palatino Linotype" w:hAnsi="Palatino Linotype"/>
        </w:rPr>
      </w:pPr>
      <w:r>
        <w:rPr>
          <w:rFonts w:ascii="Palatino Linotype" w:hAnsi="Palatino Linotype"/>
          <w:b/>
        </w:rPr>
        <w:t>The Extraterritorial Application of International Human Rights Law</w:t>
      </w:r>
    </w:p>
    <w:p w14:paraId="656A6E71" w14:textId="77777777" w:rsidR="00EC7BAD" w:rsidRDefault="00EC7BAD" w:rsidP="00EC7BAD">
      <w:pPr>
        <w:pStyle w:val="NoSpacing"/>
        <w:jc w:val="both"/>
        <w:rPr>
          <w:rFonts w:ascii="Palatino Linotype" w:hAnsi="Palatino Linotype"/>
        </w:rPr>
      </w:pPr>
    </w:p>
    <w:p w14:paraId="3F1BC9AE" w14:textId="77777777" w:rsidR="00AB7BE7" w:rsidRDefault="00C96AE6" w:rsidP="00FF584C">
      <w:pPr>
        <w:pStyle w:val="NoSpacing"/>
        <w:numPr>
          <w:ilvl w:val="0"/>
          <w:numId w:val="1"/>
        </w:numPr>
        <w:jc w:val="both"/>
        <w:rPr>
          <w:rFonts w:ascii="Palatino Linotype" w:hAnsi="Palatino Linotype"/>
        </w:rPr>
      </w:pPr>
      <w:r>
        <w:rPr>
          <w:rFonts w:ascii="Palatino Linotype" w:hAnsi="Palatino Linotype"/>
        </w:rPr>
        <w:t xml:space="preserve">As currently </w:t>
      </w:r>
      <w:r w:rsidR="00B42E43">
        <w:rPr>
          <w:rFonts w:ascii="Palatino Linotype" w:hAnsi="Palatino Linotype"/>
        </w:rPr>
        <w:t>presented</w:t>
      </w:r>
      <w:r>
        <w:rPr>
          <w:rFonts w:ascii="Palatino Linotype" w:hAnsi="Palatino Linotype"/>
        </w:rPr>
        <w:t xml:space="preserve">, draft paragraph 66 </w:t>
      </w:r>
      <w:r w:rsidR="005E741A">
        <w:rPr>
          <w:rFonts w:ascii="Palatino Linotype" w:hAnsi="Palatino Linotype"/>
        </w:rPr>
        <w:t>may be interpreted as</w:t>
      </w:r>
      <w:r>
        <w:rPr>
          <w:rFonts w:ascii="Palatino Linotype" w:hAnsi="Palatino Linotype"/>
        </w:rPr>
        <w:t xml:space="preserve"> unnecessarily restrict</w:t>
      </w:r>
      <w:r w:rsidR="005E741A">
        <w:rPr>
          <w:rFonts w:ascii="Palatino Linotype" w:hAnsi="Palatino Linotype"/>
        </w:rPr>
        <w:t>ing</w:t>
      </w:r>
      <w:r>
        <w:rPr>
          <w:rFonts w:ascii="Palatino Linotype" w:hAnsi="Palatino Linotype"/>
        </w:rPr>
        <w:t xml:space="preserve"> the extraterritorial application of international human rights law</w:t>
      </w:r>
      <w:r w:rsidRPr="00FF584C">
        <w:rPr>
          <w:rFonts w:ascii="Palatino Linotype" w:hAnsi="Palatino Linotype"/>
        </w:rPr>
        <w:t>.</w:t>
      </w:r>
      <w:r w:rsidR="00FF584C">
        <w:rPr>
          <w:rFonts w:ascii="Palatino Linotype" w:hAnsi="Palatino Linotype"/>
        </w:rPr>
        <w:t xml:space="preserve"> There is a clear trend in international human rights case law to establish</w:t>
      </w:r>
      <w:r w:rsidR="005E741A">
        <w:rPr>
          <w:rFonts w:ascii="Palatino Linotype" w:hAnsi="Palatino Linotype"/>
        </w:rPr>
        <w:t xml:space="preserve"> extraterritorial</w:t>
      </w:r>
      <w:r w:rsidR="00FF584C">
        <w:rPr>
          <w:rFonts w:ascii="Palatino Linotype" w:hAnsi="Palatino Linotype"/>
        </w:rPr>
        <w:t xml:space="preserve"> jurisdiction when </w:t>
      </w:r>
      <w:r w:rsidR="00AB7BE7">
        <w:rPr>
          <w:rFonts w:ascii="Palatino Linotype" w:hAnsi="Palatino Linotype"/>
        </w:rPr>
        <w:t xml:space="preserve">State agents exercise </w:t>
      </w:r>
      <w:r w:rsidR="00E13710">
        <w:rPr>
          <w:rFonts w:ascii="Palatino Linotype" w:hAnsi="Palatino Linotype"/>
        </w:rPr>
        <w:t xml:space="preserve">authority and </w:t>
      </w:r>
      <w:r w:rsidR="00AB7BE7">
        <w:rPr>
          <w:rFonts w:ascii="Palatino Linotype" w:hAnsi="Palatino Linotype"/>
        </w:rPr>
        <w:t>control over an individuals’ human rights</w:t>
      </w:r>
      <w:r w:rsidR="00FF584C">
        <w:rPr>
          <w:rFonts w:ascii="Palatino Linotype" w:hAnsi="Palatino Linotype"/>
        </w:rPr>
        <w:t>.</w:t>
      </w:r>
      <w:r w:rsidR="00AB7BE7">
        <w:rPr>
          <w:rStyle w:val="FootnoteReference"/>
          <w:rFonts w:ascii="Palatino Linotype" w:hAnsi="Palatino Linotype"/>
        </w:rPr>
        <w:footnoteReference w:id="1"/>
      </w:r>
      <w:r w:rsidR="00FF584C">
        <w:rPr>
          <w:rFonts w:ascii="Palatino Linotype" w:hAnsi="Palatino Linotype"/>
        </w:rPr>
        <w:t xml:space="preserve"> In this context, international human rights law may be ‘divided and tailored’ whereby a State exercises control over some, but not all</w:t>
      </w:r>
      <w:r w:rsidR="00AB7BE7">
        <w:rPr>
          <w:rFonts w:ascii="Palatino Linotype" w:hAnsi="Palatino Linotype"/>
        </w:rPr>
        <w:t>,</w:t>
      </w:r>
      <w:r w:rsidR="00FF584C">
        <w:rPr>
          <w:rFonts w:ascii="Palatino Linotype" w:hAnsi="Palatino Linotype"/>
        </w:rPr>
        <w:t xml:space="preserve"> of an individual</w:t>
      </w:r>
      <w:r w:rsidR="00C023B6">
        <w:rPr>
          <w:rFonts w:ascii="Palatino Linotype" w:hAnsi="Palatino Linotype"/>
        </w:rPr>
        <w:t>’</w:t>
      </w:r>
      <w:r w:rsidR="00FF584C">
        <w:rPr>
          <w:rFonts w:ascii="Palatino Linotype" w:hAnsi="Palatino Linotype"/>
        </w:rPr>
        <w:t xml:space="preserve">s rights, and jurisdiction is therefore established solely in relation to the rights over which control is exercised. </w:t>
      </w:r>
      <w:r w:rsidR="00E70B27">
        <w:rPr>
          <w:rFonts w:ascii="Palatino Linotype" w:hAnsi="Palatino Linotype"/>
        </w:rPr>
        <w:t>Equally, dependent upon the level of control exercised, jurisdiction may only be established in relation to certain components of the right. For instance, the obligation to respect may be brought into play, while the obligation to protect may not.</w:t>
      </w:r>
    </w:p>
    <w:p w14:paraId="2814EFE1" w14:textId="77777777" w:rsidR="00AB7BE7" w:rsidRDefault="00AB7BE7" w:rsidP="00AB7BE7">
      <w:pPr>
        <w:pStyle w:val="NoSpacing"/>
        <w:ind w:left="360"/>
        <w:jc w:val="both"/>
        <w:rPr>
          <w:rFonts w:ascii="Palatino Linotype" w:hAnsi="Palatino Linotype"/>
        </w:rPr>
      </w:pPr>
    </w:p>
    <w:p w14:paraId="46435225" w14:textId="77777777" w:rsidR="0010549F" w:rsidRDefault="00E70B27" w:rsidP="00FF584C">
      <w:pPr>
        <w:pStyle w:val="NoSpacing"/>
        <w:numPr>
          <w:ilvl w:val="0"/>
          <w:numId w:val="1"/>
        </w:numPr>
        <w:jc w:val="both"/>
        <w:rPr>
          <w:rFonts w:ascii="Palatino Linotype" w:hAnsi="Palatino Linotype"/>
        </w:rPr>
      </w:pPr>
      <w:r>
        <w:rPr>
          <w:rFonts w:ascii="Palatino Linotype" w:hAnsi="Palatino Linotype"/>
        </w:rPr>
        <w:t xml:space="preserve">The reasoning underpinning this approach to extraterritorial jurisdiction is persuasive. If a State exercises </w:t>
      </w:r>
      <w:r w:rsidRPr="00DA5D88">
        <w:rPr>
          <w:rFonts w:ascii="Palatino Linotype" w:hAnsi="Palatino Linotype"/>
          <w:u w:val="single"/>
        </w:rPr>
        <w:t>direct</w:t>
      </w:r>
      <w:r>
        <w:rPr>
          <w:rFonts w:ascii="Palatino Linotype" w:hAnsi="Palatino Linotype"/>
        </w:rPr>
        <w:t xml:space="preserve"> control over an individuals’ rights, it is appropriate th</w:t>
      </w:r>
      <w:r w:rsidR="006E0A8B">
        <w:rPr>
          <w:rFonts w:ascii="Palatino Linotype" w:hAnsi="Palatino Linotype"/>
        </w:rPr>
        <w:t>at</w:t>
      </w:r>
      <w:r>
        <w:rPr>
          <w:rFonts w:ascii="Palatino Linotype" w:hAnsi="Palatino Linotype"/>
        </w:rPr>
        <w:t xml:space="preserve"> jurisdiction be established with respect to those rights. To hold otherwise would create a vacuum of human rights protection, and allow States to do abroad what they </w:t>
      </w:r>
      <w:r w:rsidR="00AA19ED">
        <w:rPr>
          <w:rFonts w:ascii="Palatino Linotype" w:hAnsi="Palatino Linotype"/>
        </w:rPr>
        <w:t>cannot</w:t>
      </w:r>
      <w:r>
        <w:rPr>
          <w:rFonts w:ascii="Palatino Linotype" w:hAnsi="Palatino Linotype"/>
        </w:rPr>
        <w:t xml:space="preserve"> do at home.</w:t>
      </w:r>
    </w:p>
    <w:p w14:paraId="1FB33341" w14:textId="77777777" w:rsidR="006E0A8B" w:rsidRDefault="006E0A8B" w:rsidP="006E0A8B">
      <w:pPr>
        <w:pStyle w:val="NoSpacing"/>
        <w:jc w:val="both"/>
        <w:rPr>
          <w:rFonts w:ascii="Palatino Linotype" w:hAnsi="Palatino Linotype"/>
        </w:rPr>
      </w:pPr>
    </w:p>
    <w:p w14:paraId="38C207F9" w14:textId="77777777" w:rsidR="006E0A8B" w:rsidRDefault="006E0A8B" w:rsidP="00FF584C">
      <w:pPr>
        <w:pStyle w:val="NoSpacing"/>
        <w:numPr>
          <w:ilvl w:val="0"/>
          <w:numId w:val="1"/>
        </w:numPr>
        <w:jc w:val="both"/>
        <w:rPr>
          <w:rFonts w:ascii="Palatino Linotype" w:hAnsi="Palatino Linotype"/>
        </w:rPr>
      </w:pPr>
      <w:r>
        <w:rPr>
          <w:rFonts w:ascii="Palatino Linotype" w:hAnsi="Palatino Linotype"/>
        </w:rPr>
        <w:t>This form of extraterritorial jurisdiction is most clearly established – as noted by the Committee – during detention operations, when State agents exercise physical authority and control over an individual.</w:t>
      </w:r>
      <w:r w:rsidR="00227373">
        <w:rPr>
          <w:rStyle w:val="FootnoteReference"/>
          <w:rFonts w:ascii="Palatino Linotype" w:hAnsi="Palatino Linotype"/>
        </w:rPr>
        <w:footnoteReference w:id="2"/>
      </w:r>
      <w:r>
        <w:rPr>
          <w:rFonts w:ascii="Palatino Linotype" w:hAnsi="Palatino Linotype"/>
        </w:rPr>
        <w:t xml:space="preserve"> In such circumstances, rights such as the </w:t>
      </w:r>
      <w:r>
        <w:rPr>
          <w:rFonts w:ascii="Palatino Linotype" w:hAnsi="Palatino Linotype"/>
        </w:rPr>
        <w:lastRenderedPageBreak/>
        <w:t>right to liberty, the right to life, and the prohibition of torture or cruel, inhuman or degrading treatment or punishment are brought into play.</w:t>
      </w:r>
    </w:p>
    <w:p w14:paraId="06B8C09D" w14:textId="77777777" w:rsidR="006E0A8B" w:rsidRDefault="006E0A8B" w:rsidP="006E0A8B">
      <w:pPr>
        <w:pStyle w:val="NoSpacing"/>
        <w:jc w:val="both"/>
        <w:rPr>
          <w:rFonts w:ascii="Palatino Linotype" w:hAnsi="Palatino Linotype"/>
        </w:rPr>
      </w:pPr>
    </w:p>
    <w:p w14:paraId="78C202C0" w14:textId="77777777" w:rsidR="006E0A8B" w:rsidRPr="00B9098C" w:rsidRDefault="006E0A8B" w:rsidP="00B9098C">
      <w:pPr>
        <w:pStyle w:val="NoSpacing"/>
        <w:numPr>
          <w:ilvl w:val="0"/>
          <w:numId w:val="1"/>
        </w:numPr>
        <w:jc w:val="both"/>
        <w:rPr>
          <w:rFonts w:ascii="Palatino Linotype" w:hAnsi="Palatino Linotype"/>
        </w:rPr>
      </w:pPr>
      <w:r>
        <w:rPr>
          <w:rFonts w:ascii="Palatino Linotype" w:hAnsi="Palatino Linotype"/>
        </w:rPr>
        <w:t xml:space="preserve">However, </w:t>
      </w:r>
      <w:r w:rsidR="00AA19ED">
        <w:rPr>
          <w:rFonts w:ascii="Palatino Linotype" w:hAnsi="Palatino Linotype"/>
        </w:rPr>
        <w:t xml:space="preserve">international case law has established that extraterritorial jurisdiction may </w:t>
      </w:r>
      <w:r w:rsidR="00B42075">
        <w:rPr>
          <w:rFonts w:ascii="Palatino Linotype" w:hAnsi="Palatino Linotype"/>
        </w:rPr>
        <w:t xml:space="preserve">also </w:t>
      </w:r>
      <w:r w:rsidR="00AA19ED">
        <w:rPr>
          <w:rFonts w:ascii="Palatino Linotype" w:hAnsi="Palatino Linotype"/>
        </w:rPr>
        <w:t>arise in other situations</w:t>
      </w:r>
      <w:r w:rsidR="00D4309C">
        <w:rPr>
          <w:rFonts w:ascii="Palatino Linotype" w:hAnsi="Palatino Linotype"/>
        </w:rPr>
        <w:t xml:space="preserve"> involving the exercise of authority and control</w:t>
      </w:r>
      <w:r w:rsidR="00AA19ED">
        <w:rPr>
          <w:rFonts w:ascii="Palatino Linotype" w:hAnsi="Palatino Linotype"/>
        </w:rPr>
        <w:t>, but</w:t>
      </w:r>
      <w:r w:rsidR="00D4309C">
        <w:rPr>
          <w:rFonts w:ascii="Palatino Linotype" w:hAnsi="Palatino Linotype"/>
        </w:rPr>
        <w:t xml:space="preserve"> where</w:t>
      </w:r>
      <w:r w:rsidR="00AA19ED">
        <w:rPr>
          <w:rFonts w:ascii="Palatino Linotype" w:hAnsi="Palatino Linotype"/>
        </w:rPr>
        <w:t xml:space="preserve"> this authority does not have the same physical basis</w:t>
      </w:r>
      <w:r w:rsidR="00DB1A7F">
        <w:rPr>
          <w:rFonts w:ascii="Palatino Linotype" w:hAnsi="Palatino Linotype"/>
        </w:rPr>
        <w:t xml:space="preserve"> as during detention operations</w:t>
      </w:r>
      <w:r w:rsidR="00AA19ED">
        <w:rPr>
          <w:rFonts w:ascii="Palatino Linotype" w:hAnsi="Palatino Linotype"/>
        </w:rPr>
        <w:t>.</w:t>
      </w:r>
      <w:r w:rsidR="00DB1A7F">
        <w:rPr>
          <w:rFonts w:ascii="Palatino Linotype" w:hAnsi="Palatino Linotype"/>
        </w:rPr>
        <w:t xml:space="preserve"> For instance,</w:t>
      </w:r>
      <w:r w:rsidR="00B9098C">
        <w:rPr>
          <w:rFonts w:ascii="Palatino Linotype" w:hAnsi="Palatino Linotype"/>
        </w:rPr>
        <w:t xml:space="preserve"> in </w:t>
      </w:r>
      <w:r w:rsidR="00B9098C">
        <w:rPr>
          <w:rFonts w:ascii="Palatino Linotype" w:hAnsi="Palatino Linotype"/>
          <w:i/>
        </w:rPr>
        <w:t>Isaak v. Turkey</w:t>
      </w:r>
      <w:r w:rsidR="00B9098C">
        <w:rPr>
          <w:rFonts w:ascii="Palatino Linotype" w:hAnsi="Palatino Linotype"/>
        </w:rPr>
        <w:t>, the European Court of Human Rights held that a person beaten to death in a UN buffer zone, while Turkish soldiers either participated or looked on, fell within the authority and control of the Turkish soldiers.</w:t>
      </w:r>
      <w:r w:rsidR="00874D9F">
        <w:rPr>
          <w:rStyle w:val="FootnoteReference"/>
          <w:rFonts w:ascii="Palatino Linotype" w:hAnsi="Palatino Linotype"/>
        </w:rPr>
        <w:footnoteReference w:id="3"/>
      </w:r>
      <w:r w:rsidR="00B9098C">
        <w:rPr>
          <w:rFonts w:ascii="Palatino Linotype" w:hAnsi="Palatino Linotype"/>
        </w:rPr>
        <w:t xml:space="preserve"> Equally, </w:t>
      </w:r>
      <w:r w:rsidR="00DB1A7F" w:rsidRPr="00B9098C">
        <w:rPr>
          <w:rFonts w:ascii="Palatino Linotype" w:hAnsi="Palatino Linotype"/>
        </w:rPr>
        <w:t xml:space="preserve">in </w:t>
      </w:r>
      <w:r w:rsidR="00DB1A7F" w:rsidRPr="00B9098C">
        <w:rPr>
          <w:rFonts w:ascii="Palatino Linotype" w:hAnsi="Palatino Linotype"/>
          <w:i/>
        </w:rPr>
        <w:t>Jaloud v. The Netherlands</w:t>
      </w:r>
      <w:r w:rsidR="00DB1A7F" w:rsidRPr="00B9098C">
        <w:rPr>
          <w:rFonts w:ascii="Palatino Linotype" w:hAnsi="Palatino Linotype"/>
        </w:rPr>
        <w:t xml:space="preserve">, the European Court of Human Rights </w:t>
      </w:r>
      <w:r w:rsidR="00B9098C" w:rsidRPr="00B9098C">
        <w:rPr>
          <w:rFonts w:ascii="Palatino Linotype" w:hAnsi="Palatino Linotype"/>
        </w:rPr>
        <w:t xml:space="preserve">found that State agents exercised authority and control over persons </w:t>
      </w:r>
      <w:r w:rsidR="00B9098C">
        <w:rPr>
          <w:rFonts w:ascii="Palatino Linotype" w:hAnsi="Palatino Linotype"/>
        </w:rPr>
        <w:t>as they passed</w:t>
      </w:r>
      <w:r w:rsidR="00B9098C" w:rsidRPr="00B9098C">
        <w:rPr>
          <w:rFonts w:ascii="Palatino Linotype" w:hAnsi="Palatino Linotype"/>
        </w:rPr>
        <w:t xml:space="preserve"> through a checkpoint.</w:t>
      </w:r>
      <w:r w:rsidR="00B546BC">
        <w:rPr>
          <w:rStyle w:val="FootnoteReference"/>
          <w:rFonts w:ascii="Palatino Linotype" w:hAnsi="Palatino Linotype"/>
        </w:rPr>
        <w:footnoteReference w:id="4"/>
      </w:r>
      <w:r w:rsidR="00B9098C" w:rsidRPr="00B9098C">
        <w:rPr>
          <w:rFonts w:ascii="Palatino Linotype" w:hAnsi="Palatino Linotype"/>
        </w:rPr>
        <w:t xml:space="preserve"> </w:t>
      </w:r>
    </w:p>
    <w:p w14:paraId="45F07709" w14:textId="77777777" w:rsidR="0010549F" w:rsidRDefault="0010549F" w:rsidP="0010549F">
      <w:pPr>
        <w:pStyle w:val="NoSpacing"/>
        <w:jc w:val="both"/>
        <w:rPr>
          <w:rFonts w:ascii="Palatino Linotype" w:hAnsi="Palatino Linotype"/>
        </w:rPr>
      </w:pPr>
    </w:p>
    <w:p w14:paraId="351374B4" w14:textId="77777777" w:rsidR="00FF584C" w:rsidRDefault="00F24F36" w:rsidP="00FF584C">
      <w:pPr>
        <w:pStyle w:val="NoSpacing"/>
        <w:numPr>
          <w:ilvl w:val="0"/>
          <w:numId w:val="1"/>
        </w:numPr>
        <w:jc w:val="both"/>
        <w:rPr>
          <w:rFonts w:ascii="Palatino Linotype" w:hAnsi="Palatino Linotype"/>
        </w:rPr>
      </w:pPr>
      <w:r>
        <w:rPr>
          <w:rFonts w:ascii="Palatino Linotype" w:hAnsi="Palatino Linotype"/>
        </w:rPr>
        <w:t xml:space="preserve">International case law clearly indicates that extraterritorial jurisdiction may be established when State agents exercise authority and control over an individuals’ rights. The exercise of authority and control must be direct, </w:t>
      </w:r>
      <w:r w:rsidRPr="001A4175">
        <w:rPr>
          <w:rFonts w:ascii="Palatino Linotype" w:hAnsi="Palatino Linotype"/>
          <w:u w:val="single"/>
        </w:rPr>
        <w:t>but it need not be based on physical control</w:t>
      </w:r>
      <w:r>
        <w:rPr>
          <w:rFonts w:ascii="Palatino Linotype" w:hAnsi="Palatino Linotype"/>
        </w:rPr>
        <w:t>. Accordingly, extraterritorial jurisdiction should be established in relation to the right to life on the basis of targeting or the use of force. When a State agent places an individual ‘within their crosshairs’ they exercise direct authority and control over an individual’s right to life.</w:t>
      </w:r>
      <w:r w:rsidR="004C28D8">
        <w:rPr>
          <w:rFonts w:ascii="Palatino Linotype" w:hAnsi="Palatino Linotype"/>
        </w:rPr>
        <w:t xml:space="preserve"> </w:t>
      </w:r>
      <w:r w:rsidR="00E344A1">
        <w:rPr>
          <w:rFonts w:ascii="Palatino Linotype" w:hAnsi="Palatino Linotype"/>
        </w:rPr>
        <w:t xml:space="preserve">This was the </w:t>
      </w:r>
      <w:r w:rsidR="009764A8">
        <w:rPr>
          <w:rFonts w:ascii="Palatino Linotype" w:hAnsi="Palatino Linotype"/>
        </w:rPr>
        <w:t xml:space="preserve">explicit </w:t>
      </w:r>
      <w:r w:rsidR="00E344A1">
        <w:rPr>
          <w:rFonts w:ascii="Palatino Linotype" w:hAnsi="Palatino Linotype"/>
        </w:rPr>
        <w:t>finding of the Inter-</w:t>
      </w:r>
      <w:r w:rsidR="003840D1">
        <w:rPr>
          <w:rFonts w:ascii="Palatino Linotype" w:hAnsi="Palatino Linotype"/>
        </w:rPr>
        <w:t>American Commission on</w:t>
      </w:r>
      <w:r w:rsidR="00E344A1">
        <w:rPr>
          <w:rFonts w:ascii="Palatino Linotype" w:hAnsi="Palatino Linotype"/>
        </w:rPr>
        <w:t xml:space="preserve"> Human Rights in </w:t>
      </w:r>
      <w:r w:rsidR="00E344A1">
        <w:rPr>
          <w:rFonts w:ascii="Palatino Linotype" w:hAnsi="Palatino Linotype"/>
          <w:i/>
        </w:rPr>
        <w:t>Allejandre Jr. and Others v. Cuba</w:t>
      </w:r>
      <w:r w:rsidR="00E344A1">
        <w:rPr>
          <w:rFonts w:ascii="Palatino Linotype" w:hAnsi="Palatino Linotype"/>
        </w:rPr>
        <w:t>.</w:t>
      </w:r>
      <w:r w:rsidR="005E0945">
        <w:rPr>
          <w:rStyle w:val="FootnoteReference"/>
          <w:rFonts w:ascii="Palatino Linotype" w:hAnsi="Palatino Linotype"/>
        </w:rPr>
        <w:footnoteReference w:id="5"/>
      </w:r>
      <w:r w:rsidR="00E344A1">
        <w:rPr>
          <w:rFonts w:ascii="Palatino Linotype" w:hAnsi="Palatino Linotype"/>
        </w:rPr>
        <w:t xml:space="preserve"> </w:t>
      </w:r>
      <w:r w:rsidR="004C28D8">
        <w:rPr>
          <w:rFonts w:ascii="Palatino Linotype" w:hAnsi="Palatino Linotype"/>
        </w:rPr>
        <w:t xml:space="preserve">The case of </w:t>
      </w:r>
      <w:r w:rsidR="004C28D8">
        <w:rPr>
          <w:rFonts w:ascii="Palatino Linotype" w:hAnsi="Palatino Linotype"/>
          <w:i/>
        </w:rPr>
        <w:t xml:space="preserve">Pad v. Turkey </w:t>
      </w:r>
      <w:r w:rsidR="004C28D8">
        <w:rPr>
          <w:rFonts w:ascii="Palatino Linotype" w:hAnsi="Palatino Linotype"/>
        </w:rPr>
        <w:t>is</w:t>
      </w:r>
      <w:r w:rsidR="00E344A1">
        <w:rPr>
          <w:rFonts w:ascii="Palatino Linotype" w:hAnsi="Palatino Linotype"/>
        </w:rPr>
        <w:t xml:space="preserve"> also</w:t>
      </w:r>
      <w:r w:rsidR="004C28D8">
        <w:rPr>
          <w:rFonts w:ascii="Palatino Linotype" w:hAnsi="Palatino Linotype"/>
        </w:rPr>
        <w:t xml:space="preserve"> relevant. This case was found inadmissible based on the failure to exhaust domestic remedies. However, in the admissibility decision it was held that victims of airborne Turkish helicopter gunfire in Northern Iraq would have fallen within Turkey’s jurisdiction.</w:t>
      </w:r>
      <w:r w:rsidR="00E34209">
        <w:rPr>
          <w:rStyle w:val="FootnoteReference"/>
          <w:rFonts w:ascii="Palatino Linotype" w:hAnsi="Palatino Linotype"/>
        </w:rPr>
        <w:footnoteReference w:id="6"/>
      </w:r>
    </w:p>
    <w:p w14:paraId="4670EE77" w14:textId="77777777" w:rsidR="00FE777E" w:rsidRDefault="00FE777E" w:rsidP="00FE777E">
      <w:pPr>
        <w:pStyle w:val="NoSpacing"/>
        <w:jc w:val="both"/>
        <w:rPr>
          <w:rFonts w:ascii="Palatino Linotype" w:hAnsi="Palatino Linotype"/>
        </w:rPr>
      </w:pPr>
    </w:p>
    <w:p w14:paraId="7579133C" w14:textId="77777777" w:rsidR="00FE777E" w:rsidRDefault="0087613C" w:rsidP="00FF584C">
      <w:pPr>
        <w:pStyle w:val="NoSpacing"/>
        <w:numPr>
          <w:ilvl w:val="0"/>
          <w:numId w:val="1"/>
        </w:numPr>
        <w:jc w:val="both"/>
        <w:rPr>
          <w:rFonts w:ascii="Palatino Linotype" w:hAnsi="Palatino Linotype"/>
        </w:rPr>
      </w:pPr>
      <w:r>
        <w:rPr>
          <w:rFonts w:ascii="Palatino Linotype" w:hAnsi="Palatino Linotype"/>
        </w:rPr>
        <w:t>The final sentence of draft paragraph 66 could be taken to imply that in extraterritorial situations, complete control over the person (such as through detention) is required before an obligation can be found with regard to the right to life. This would have the unfortunate effect of excluding situations such as a deliberate killing of an individual absent detention (e</w:t>
      </w:r>
      <w:r w:rsidR="00E76B26">
        <w:rPr>
          <w:rFonts w:ascii="Palatino Linotype" w:hAnsi="Palatino Linotype"/>
        </w:rPr>
        <w:t>.</w:t>
      </w:r>
      <w:r>
        <w:rPr>
          <w:rFonts w:ascii="Palatino Linotype" w:hAnsi="Palatino Linotype"/>
        </w:rPr>
        <w:t>g</w:t>
      </w:r>
      <w:r w:rsidR="00E76B26">
        <w:rPr>
          <w:rFonts w:ascii="Palatino Linotype" w:hAnsi="Palatino Linotype"/>
        </w:rPr>
        <w:t>.</w:t>
      </w:r>
      <w:r>
        <w:rPr>
          <w:rFonts w:ascii="Palatino Linotype" w:hAnsi="Palatino Linotype"/>
        </w:rPr>
        <w:t xml:space="preserve"> by a sniper rifle). </w:t>
      </w:r>
      <w:r w:rsidR="00FE777E">
        <w:rPr>
          <w:rFonts w:ascii="Palatino Linotype" w:hAnsi="Palatino Linotype"/>
        </w:rPr>
        <w:t>In order to remove any impression that the Committee is unnecessarily restricting the exercise of extraterritorial jurisdiction it is suggested that draft paragraph 66 be modified in order to make clear that extraterritorial jurisdiction may arise on the basis of</w:t>
      </w:r>
      <w:r>
        <w:rPr>
          <w:rFonts w:ascii="Palatino Linotype" w:hAnsi="Palatino Linotype"/>
        </w:rPr>
        <w:t xml:space="preserve"> direct control over the individual’s right to life, even if the individual is not physically held by State agents</w:t>
      </w:r>
      <w:r w:rsidR="00FE777E">
        <w:rPr>
          <w:rFonts w:ascii="Palatino Linotype" w:hAnsi="Palatino Linotype"/>
        </w:rPr>
        <w:t>.</w:t>
      </w:r>
    </w:p>
    <w:p w14:paraId="40E3D3FE" w14:textId="77777777" w:rsidR="004302EE" w:rsidRDefault="004302EE" w:rsidP="00FF584C">
      <w:pPr>
        <w:pStyle w:val="NoSpacing"/>
        <w:ind w:left="360"/>
        <w:jc w:val="both"/>
        <w:rPr>
          <w:rFonts w:ascii="Palatino Linotype" w:hAnsi="Palatino Linotype"/>
        </w:rPr>
      </w:pPr>
    </w:p>
    <w:p w14:paraId="7F488006" w14:textId="77777777" w:rsidR="004302EE" w:rsidRPr="004302EE" w:rsidRDefault="004302EE" w:rsidP="00FF584C">
      <w:pPr>
        <w:pStyle w:val="NoSpacing"/>
        <w:ind w:left="360"/>
        <w:jc w:val="both"/>
        <w:rPr>
          <w:rFonts w:ascii="Palatino Linotype" w:hAnsi="Palatino Linotype"/>
          <w:b/>
        </w:rPr>
      </w:pPr>
      <w:r>
        <w:rPr>
          <w:rFonts w:ascii="Palatino Linotype" w:hAnsi="Palatino Linotype"/>
          <w:b/>
        </w:rPr>
        <w:lastRenderedPageBreak/>
        <w:t>The relationship between international human rights la</w:t>
      </w:r>
      <w:r w:rsidR="009A079F">
        <w:rPr>
          <w:rFonts w:ascii="Palatino Linotype" w:hAnsi="Palatino Linotype"/>
          <w:b/>
        </w:rPr>
        <w:t>w an</w:t>
      </w:r>
      <w:r>
        <w:rPr>
          <w:rFonts w:ascii="Palatino Linotype" w:hAnsi="Palatino Linotype"/>
          <w:b/>
        </w:rPr>
        <w:t>d</w:t>
      </w:r>
      <w:r w:rsidR="009A079F">
        <w:rPr>
          <w:rFonts w:ascii="Palatino Linotype" w:hAnsi="Palatino Linotype"/>
          <w:b/>
        </w:rPr>
        <w:t xml:space="preserve"> </w:t>
      </w:r>
      <w:r>
        <w:rPr>
          <w:rFonts w:ascii="Palatino Linotype" w:hAnsi="Palatino Linotype"/>
          <w:b/>
        </w:rPr>
        <w:t>international humanitarian law</w:t>
      </w:r>
    </w:p>
    <w:p w14:paraId="1B6474B2" w14:textId="77777777" w:rsidR="004302EE" w:rsidRPr="00FF584C" w:rsidRDefault="004302EE" w:rsidP="00FF584C">
      <w:pPr>
        <w:pStyle w:val="NoSpacing"/>
        <w:ind w:left="360"/>
        <w:jc w:val="both"/>
        <w:rPr>
          <w:rFonts w:ascii="Palatino Linotype" w:hAnsi="Palatino Linotype"/>
        </w:rPr>
      </w:pPr>
    </w:p>
    <w:p w14:paraId="77DD96B8" w14:textId="77777777" w:rsidR="00AA623F" w:rsidRDefault="0087613C" w:rsidP="0033471A">
      <w:pPr>
        <w:pStyle w:val="NoSpacing"/>
        <w:numPr>
          <w:ilvl w:val="0"/>
          <w:numId w:val="1"/>
        </w:numPr>
        <w:jc w:val="both"/>
        <w:rPr>
          <w:rFonts w:ascii="Palatino Linotype" w:hAnsi="Palatino Linotype"/>
        </w:rPr>
      </w:pPr>
      <w:r>
        <w:rPr>
          <w:rFonts w:ascii="Palatino Linotype" w:hAnsi="Palatino Linotype"/>
        </w:rPr>
        <w:t>T</w:t>
      </w:r>
      <w:r w:rsidR="00FA50C7">
        <w:rPr>
          <w:rFonts w:ascii="Palatino Linotype" w:hAnsi="Palatino Linotype"/>
        </w:rPr>
        <w:t xml:space="preserve">he authors would like to highlight some potential issues relating to how draft paragraph 67 </w:t>
      </w:r>
      <w:r w:rsidR="00D9697C">
        <w:rPr>
          <w:rFonts w:ascii="Palatino Linotype" w:hAnsi="Palatino Linotype"/>
        </w:rPr>
        <w:t>risks</w:t>
      </w:r>
      <w:r w:rsidR="00FA50C7">
        <w:rPr>
          <w:rFonts w:ascii="Palatino Linotype" w:hAnsi="Palatino Linotype"/>
        </w:rPr>
        <w:t xml:space="preserve"> be</w:t>
      </w:r>
      <w:r w:rsidR="00D9697C">
        <w:rPr>
          <w:rFonts w:ascii="Palatino Linotype" w:hAnsi="Palatino Linotype"/>
        </w:rPr>
        <w:t>ing</w:t>
      </w:r>
      <w:r w:rsidR="00FA50C7">
        <w:rPr>
          <w:rFonts w:ascii="Palatino Linotype" w:hAnsi="Palatino Linotype"/>
        </w:rPr>
        <w:t xml:space="preserve"> interpreted</w:t>
      </w:r>
      <w:r>
        <w:rPr>
          <w:rFonts w:ascii="Palatino Linotype" w:hAnsi="Palatino Linotype"/>
        </w:rPr>
        <w:t xml:space="preserve"> </w:t>
      </w:r>
      <w:r w:rsidR="001A4175">
        <w:rPr>
          <w:rFonts w:ascii="Palatino Linotype" w:hAnsi="Palatino Linotype"/>
        </w:rPr>
        <w:t>vis-à-vis</w:t>
      </w:r>
      <w:r>
        <w:rPr>
          <w:rFonts w:ascii="Palatino Linotype" w:hAnsi="Palatino Linotype"/>
        </w:rPr>
        <w:t xml:space="preserve"> the relationship between the right to life and the law of armed conflict/international humanitarian law</w:t>
      </w:r>
      <w:r w:rsidR="00FA50C7">
        <w:rPr>
          <w:rFonts w:ascii="Palatino Linotype" w:hAnsi="Palatino Linotype"/>
        </w:rPr>
        <w:t>. In this light</w:t>
      </w:r>
      <w:r w:rsidR="00A63857">
        <w:rPr>
          <w:rFonts w:ascii="Palatino Linotype" w:hAnsi="Palatino Linotype"/>
        </w:rPr>
        <w:t>, the submission will offer</w:t>
      </w:r>
      <w:r w:rsidR="00FA50C7">
        <w:rPr>
          <w:rFonts w:ascii="Palatino Linotype" w:hAnsi="Palatino Linotype"/>
        </w:rPr>
        <w:t xml:space="preserve"> certain suggestions regarding how the complex </w:t>
      </w:r>
      <w:r w:rsidR="00AA623F">
        <w:rPr>
          <w:rFonts w:ascii="Palatino Linotype" w:hAnsi="Palatino Linotype"/>
        </w:rPr>
        <w:t>relationship between international human rights law and internation</w:t>
      </w:r>
      <w:r w:rsidR="00FA50C7">
        <w:rPr>
          <w:rFonts w:ascii="Palatino Linotype" w:hAnsi="Palatino Linotype"/>
        </w:rPr>
        <w:t>al humanitarian law may be approached</w:t>
      </w:r>
      <w:r w:rsidR="00AA623F">
        <w:rPr>
          <w:rFonts w:ascii="Palatino Linotype" w:hAnsi="Palatino Linotype"/>
        </w:rPr>
        <w:t>.</w:t>
      </w:r>
    </w:p>
    <w:p w14:paraId="0AEC0AAE" w14:textId="77777777" w:rsidR="00DA02E8" w:rsidRDefault="00DA02E8" w:rsidP="00DA02E8">
      <w:pPr>
        <w:pStyle w:val="NoSpacing"/>
        <w:jc w:val="both"/>
        <w:rPr>
          <w:rFonts w:ascii="Palatino Linotype" w:hAnsi="Palatino Linotype"/>
        </w:rPr>
      </w:pPr>
    </w:p>
    <w:p w14:paraId="1C62762D" w14:textId="77777777" w:rsidR="00DA02E8" w:rsidRDefault="00DA02E8" w:rsidP="0033471A">
      <w:pPr>
        <w:pStyle w:val="NoSpacing"/>
        <w:numPr>
          <w:ilvl w:val="0"/>
          <w:numId w:val="1"/>
        </w:numPr>
        <w:jc w:val="both"/>
        <w:rPr>
          <w:rFonts w:ascii="Palatino Linotype" w:hAnsi="Palatino Linotype"/>
        </w:rPr>
      </w:pPr>
      <w:r>
        <w:rPr>
          <w:rFonts w:ascii="Palatino Linotype" w:hAnsi="Palatino Linotype"/>
        </w:rPr>
        <w:t>In draft paragraph 67, the Committee appropriately state</w:t>
      </w:r>
      <w:r w:rsidR="00697B8A">
        <w:rPr>
          <w:rFonts w:ascii="Palatino Linotype" w:hAnsi="Palatino Linotype"/>
        </w:rPr>
        <w:t>s</w:t>
      </w:r>
      <w:r>
        <w:rPr>
          <w:rFonts w:ascii="Palatino Linotype" w:hAnsi="Palatino Linotype"/>
        </w:rPr>
        <w:t xml:space="preserve"> in relation to international human rights law and international humanitarian law that ‘both spheres of law are complementary, not mutually exclusive’.</w:t>
      </w:r>
      <w:r w:rsidR="00D51212">
        <w:rPr>
          <w:rFonts w:ascii="Palatino Linotype" w:hAnsi="Palatino Linotype"/>
        </w:rPr>
        <w:t xml:space="preserve"> However, when read as a whole, draft paragraph 67 risks being interpreted as proposing a variation of the </w:t>
      </w:r>
      <w:r w:rsidR="00D51212">
        <w:rPr>
          <w:rFonts w:ascii="Palatino Linotype" w:hAnsi="Palatino Linotype"/>
          <w:i/>
        </w:rPr>
        <w:t xml:space="preserve">lex specialis </w:t>
      </w:r>
      <w:r w:rsidR="00D51212">
        <w:rPr>
          <w:rFonts w:ascii="Palatino Linotype" w:hAnsi="Palatino Linotype"/>
        </w:rPr>
        <w:t xml:space="preserve">approach, whereby the right to life is always interpreted in light of international humanitarian law. </w:t>
      </w:r>
      <w:r w:rsidR="00850F1C">
        <w:rPr>
          <w:rFonts w:ascii="Palatino Linotype" w:hAnsi="Palatino Linotype"/>
        </w:rPr>
        <w:t>For instance, draft paragraph 67 currently states that: ‘[u]ses of lethal force authorized and regulated by and complying with international humanitarian law are, in principle, not arbitrary.’</w:t>
      </w:r>
    </w:p>
    <w:p w14:paraId="085C6256" w14:textId="77777777" w:rsidR="00630D2F" w:rsidRDefault="00630D2F" w:rsidP="00630D2F">
      <w:pPr>
        <w:pStyle w:val="NoSpacing"/>
        <w:jc w:val="both"/>
        <w:rPr>
          <w:rFonts w:ascii="Palatino Linotype" w:hAnsi="Palatino Linotype"/>
        </w:rPr>
      </w:pPr>
    </w:p>
    <w:p w14:paraId="5B352361" w14:textId="77777777" w:rsidR="00630D2F" w:rsidRDefault="00630D2F" w:rsidP="0033471A">
      <w:pPr>
        <w:pStyle w:val="NoSpacing"/>
        <w:numPr>
          <w:ilvl w:val="0"/>
          <w:numId w:val="1"/>
        </w:numPr>
        <w:jc w:val="both"/>
        <w:rPr>
          <w:rFonts w:ascii="Palatino Linotype" w:hAnsi="Palatino Linotype"/>
        </w:rPr>
      </w:pPr>
      <w:r>
        <w:rPr>
          <w:rFonts w:ascii="Palatino Linotype" w:hAnsi="Palatino Linotype"/>
        </w:rPr>
        <w:t xml:space="preserve">An interpretation that always gives precedence to international humanitarian law risks oversimplifying a complex relationship, and negating the continued contribution of </w:t>
      </w:r>
      <w:r w:rsidR="00655A6E">
        <w:rPr>
          <w:rFonts w:ascii="Palatino Linotype" w:hAnsi="Palatino Linotype"/>
        </w:rPr>
        <w:t>international</w:t>
      </w:r>
      <w:r>
        <w:rPr>
          <w:rFonts w:ascii="Palatino Linotype" w:hAnsi="Palatino Linotype"/>
        </w:rPr>
        <w:t xml:space="preserve"> human rights law to the regulation of armed conflict. </w:t>
      </w:r>
      <w:r w:rsidRPr="0039701A">
        <w:rPr>
          <w:rFonts w:ascii="Palatino Linotype" w:hAnsi="Palatino Linotype"/>
        </w:rPr>
        <w:t>In particular, it should be highlighted that the international humanitarian law applicable in non-international armed conflict is significantly underdeveloped when compared to the law applicable in</w:t>
      </w:r>
      <w:r w:rsidR="00D6038E" w:rsidRPr="0039701A">
        <w:rPr>
          <w:rFonts w:ascii="Palatino Linotype" w:hAnsi="Palatino Linotype"/>
        </w:rPr>
        <w:t xml:space="preserve"> international armed conflict. During non-international armed conflict, international humanitarian law does not offer concrete guidance with respect to a number of issues that bring into play the right to life.</w:t>
      </w:r>
    </w:p>
    <w:p w14:paraId="209B2B8A" w14:textId="77777777" w:rsidR="00D6038E" w:rsidRDefault="00D6038E" w:rsidP="00D6038E">
      <w:pPr>
        <w:pStyle w:val="NoSpacing"/>
        <w:jc w:val="both"/>
        <w:rPr>
          <w:rFonts w:ascii="Palatino Linotype" w:hAnsi="Palatino Linotype"/>
        </w:rPr>
      </w:pPr>
    </w:p>
    <w:p w14:paraId="7BE204CD" w14:textId="77777777" w:rsidR="00557E50" w:rsidRDefault="00880096" w:rsidP="00814BC5">
      <w:pPr>
        <w:pStyle w:val="NoSpacing"/>
        <w:numPr>
          <w:ilvl w:val="0"/>
          <w:numId w:val="1"/>
        </w:numPr>
        <w:jc w:val="both"/>
        <w:rPr>
          <w:rFonts w:ascii="Palatino Linotype" w:hAnsi="Palatino Linotype"/>
        </w:rPr>
      </w:pPr>
      <w:r>
        <w:rPr>
          <w:rFonts w:ascii="Palatino Linotype" w:hAnsi="Palatino Linotype"/>
        </w:rPr>
        <w:t>When approaching the relationship between international human rights law and international hum</w:t>
      </w:r>
      <w:r w:rsidR="0039701A">
        <w:rPr>
          <w:rFonts w:ascii="Palatino Linotype" w:hAnsi="Palatino Linotype"/>
        </w:rPr>
        <w:t>anitarian law</w:t>
      </w:r>
      <w:r w:rsidR="00295B5E">
        <w:rPr>
          <w:rFonts w:ascii="Palatino Linotype" w:hAnsi="Palatino Linotype"/>
        </w:rPr>
        <w:t xml:space="preserve"> </w:t>
      </w:r>
      <w:r w:rsidR="0039701A">
        <w:rPr>
          <w:rFonts w:ascii="Palatino Linotype" w:hAnsi="Palatino Linotype"/>
        </w:rPr>
        <w:t>it is suggested that both bodies of law are applicable, and often capable of contributing to the regulation of the situation at hand. To facilitate the complementary co-application of international human rights law and international humanitarian law, one body of law should typically provide the initial reference point when approaching the legal regulation of a situation. The other body of law will then be applied and interpreted in that context.</w:t>
      </w:r>
      <w:r w:rsidR="0039701A">
        <w:rPr>
          <w:rStyle w:val="FootnoteReference"/>
          <w:rFonts w:ascii="Palatino Linotype" w:hAnsi="Palatino Linotype"/>
        </w:rPr>
        <w:footnoteReference w:id="7"/>
      </w:r>
      <w:r w:rsidR="0039701A">
        <w:rPr>
          <w:rFonts w:ascii="Palatino Linotype" w:hAnsi="Palatino Linotype"/>
        </w:rPr>
        <w:t xml:space="preserve"> For instance, during situations of ‘active </w:t>
      </w:r>
      <w:r w:rsidR="00F640FA">
        <w:rPr>
          <w:rFonts w:ascii="Palatino Linotype" w:hAnsi="Palatino Linotype"/>
        </w:rPr>
        <w:t>hostilities</w:t>
      </w:r>
      <w:r w:rsidR="0039701A">
        <w:rPr>
          <w:rFonts w:ascii="Palatino Linotype" w:hAnsi="Palatino Linotype"/>
        </w:rPr>
        <w:t>’</w:t>
      </w:r>
      <w:r w:rsidR="00814BC5">
        <w:rPr>
          <w:rFonts w:ascii="Palatino Linotype" w:hAnsi="Palatino Linotype"/>
        </w:rPr>
        <w:t xml:space="preserve"> </w:t>
      </w:r>
      <w:r w:rsidR="001E64E2" w:rsidRPr="00814BC5">
        <w:rPr>
          <w:rFonts w:ascii="Palatino Linotype" w:hAnsi="Palatino Linotype"/>
        </w:rPr>
        <w:t xml:space="preserve">the initial reference point in relation to targeting decisions </w:t>
      </w:r>
      <w:r w:rsidR="00814BC5">
        <w:rPr>
          <w:rFonts w:ascii="Palatino Linotype" w:hAnsi="Palatino Linotype"/>
        </w:rPr>
        <w:t>will be</w:t>
      </w:r>
      <w:r w:rsidR="001E64E2" w:rsidRPr="00814BC5">
        <w:rPr>
          <w:rFonts w:ascii="Palatino Linotype" w:hAnsi="Palatino Linotype"/>
        </w:rPr>
        <w:t xml:space="preserve"> international humanitarian law. As such, and subject to the requirements of international humanitarian law,</w:t>
      </w:r>
      <w:r w:rsidR="00425287">
        <w:rPr>
          <w:rFonts w:ascii="Palatino Linotype" w:hAnsi="Palatino Linotype"/>
        </w:rPr>
        <w:t xml:space="preserve"> during </w:t>
      </w:r>
      <w:r w:rsidR="00425287">
        <w:rPr>
          <w:rFonts w:ascii="Palatino Linotype" w:hAnsi="Palatino Linotype"/>
        </w:rPr>
        <w:lastRenderedPageBreak/>
        <w:t>active hostilities</w:t>
      </w:r>
      <w:r w:rsidR="001E64E2" w:rsidRPr="00814BC5">
        <w:rPr>
          <w:rFonts w:ascii="Palatino Linotype" w:hAnsi="Palatino Linotype"/>
        </w:rPr>
        <w:t xml:space="preserve"> lethal force may be directed against all combatants, military objectives, members of an armed group belonging to a party to the conflict, and individuals directly participating in hostilities. International human rights law is applied in this context and will, for example, provide further detail regarding the precautions required in attack.</w:t>
      </w:r>
      <w:r w:rsidR="00185131">
        <w:rPr>
          <w:rStyle w:val="FootnoteReference"/>
          <w:rFonts w:ascii="Palatino Linotype" w:hAnsi="Palatino Linotype"/>
        </w:rPr>
        <w:footnoteReference w:id="8"/>
      </w:r>
      <w:r w:rsidR="001E64E2" w:rsidRPr="00814BC5">
        <w:rPr>
          <w:rFonts w:ascii="Palatino Linotype" w:hAnsi="Palatino Linotype"/>
        </w:rPr>
        <w:t xml:space="preserve"> </w:t>
      </w:r>
      <w:r w:rsidR="00655A6E">
        <w:rPr>
          <w:rFonts w:ascii="Palatino Linotype" w:hAnsi="Palatino Linotype"/>
        </w:rPr>
        <w:t>However, there may be situations during an armed conflict which take place in circumstances that are not active hostilities</w:t>
      </w:r>
      <w:r w:rsidR="00491011">
        <w:rPr>
          <w:rFonts w:ascii="Palatino Linotype" w:hAnsi="Palatino Linotype"/>
        </w:rPr>
        <w:t>.</w:t>
      </w:r>
      <w:r w:rsidR="00655A6E">
        <w:rPr>
          <w:rFonts w:ascii="Palatino Linotype" w:hAnsi="Palatino Linotype"/>
        </w:rPr>
        <w:t xml:space="preserve"> </w:t>
      </w:r>
      <w:r w:rsidR="00375B06" w:rsidRPr="00814BC5">
        <w:rPr>
          <w:rFonts w:ascii="Palatino Linotype" w:hAnsi="Palatino Linotype"/>
        </w:rPr>
        <w:t xml:space="preserve">In </w:t>
      </w:r>
      <w:r w:rsidR="00655A6E">
        <w:rPr>
          <w:rFonts w:ascii="Palatino Linotype" w:hAnsi="Palatino Linotype"/>
        </w:rPr>
        <w:t xml:space="preserve">such </w:t>
      </w:r>
      <w:r w:rsidR="00375B06" w:rsidRPr="00814BC5">
        <w:rPr>
          <w:rFonts w:ascii="Palatino Linotype" w:hAnsi="Palatino Linotype"/>
        </w:rPr>
        <w:t>situations</w:t>
      </w:r>
      <w:r w:rsidR="00655A6E">
        <w:rPr>
          <w:rFonts w:ascii="Palatino Linotype" w:hAnsi="Palatino Linotype"/>
        </w:rPr>
        <w:t xml:space="preserve">, even though international humanitarian law may be applicable, </w:t>
      </w:r>
      <w:r w:rsidR="00375B06" w:rsidRPr="00814BC5">
        <w:rPr>
          <w:rFonts w:ascii="Palatino Linotype" w:hAnsi="Palatino Linotype"/>
        </w:rPr>
        <w:t xml:space="preserve">international human rights law </w:t>
      </w:r>
      <w:r w:rsidR="00491011">
        <w:rPr>
          <w:rFonts w:ascii="Palatino Linotype" w:hAnsi="Palatino Linotype"/>
        </w:rPr>
        <w:t xml:space="preserve">may </w:t>
      </w:r>
      <w:r w:rsidR="00375B06" w:rsidRPr="00814BC5">
        <w:rPr>
          <w:rFonts w:ascii="Palatino Linotype" w:hAnsi="Palatino Linotype"/>
        </w:rPr>
        <w:t xml:space="preserve">constitute the initial reference point. </w:t>
      </w:r>
      <w:r w:rsidR="00491011">
        <w:rPr>
          <w:rFonts w:ascii="Palatino Linotype" w:hAnsi="Palatino Linotype"/>
        </w:rPr>
        <w:t>In these cases</w:t>
      </w:r>
      <w:r w:rsidR="00375B06" w:rsidRPr="00814BC5">
        <w:rPr>
          <w:rFonts w:ascii="Palatino Linotype" w:hAnsi="Palatino Linotype"/>
        </w:rPr>
        <w:t xml:space="preserve">, status-based targeting is prohibited, </w:t>
      </w:r>
      <w:r w:rsidR="002E5908">
        <w:rPr>
          <w:rFonts w:ascii="Palatino Linotype" w:hAnsi="Palatino Linotype"/>
        </w:rPr>
        <w:t xml:space="preserve">and the use of force must be approached in accordance with the law enforcement framework: </w:t>
      </w:r>
      <w:r w:rsidR="00375B06" w:rsidRPr="00814BC5">
        <w:rPr>
          <w:rFonts w:ascii="Palatino Linotype" w:hAnsi="Palatino Linotype"/>
        </w:rPr>
        <w:t>lethal force may only be used as a last resort, with the objective being the protection of life.</w:t>
      </w:r>
    </w:p>
    <w:p w14:paraId="28DF2B1A" w14:textId="77777777" w:rsidR="00A31581" w:rsidRDefault="00A31581" w:rsidP="00A31581">
      <w:pPr>
        <w:pStyle w:val="NoSpacing"/>
        <w:ind w:left="360"/>
        <w:jc w:val="both"/>
        <w:rPr>
          <w:rFonts w:ascii="Palatino Linotype" w:hAnsi="Palatino Linotype"/>
        </w:rPr>
      </w:pPr>
    </w:p>
    <w:p w14:paraId="14855D63" w14:textId="77777777" w:rsidR="00125376" w:rsidRPr="00573510" w:rsidRDefault="0044601C" w:rsidP="00125376">
      <w:pPr>
        <w:pStyle w:val="NoSpacing"/>
        <w:numPr>
          <w:ilvl w:val="0"/>
          <w:numId w:val="1"/>
        </w:numPr>
        <w:jc w:val="both"/>
        <w:rPr>
          <w:rFonts w:ascii="Palatino Linotype" w:hAnsi="Palatino Linotype"/>
        </w:rPr>
      </w:pPr>
      <w:r>
        <w:rPr>
          <w:rFonts w:ascii="Palatino Linotype" w:hAnsi="Palatino Linotype"/>
        </w:rPr>
        <w:t xml:space="preserve">The level </w:t>
      </w:r>
      <w:r w:rsidR="00A31581">
        <w:rPr>
          <w:rFonts w:ascii="Palatino Linotype" w:hAnsi="Palatino Linotype"/>
        </w:rPr>
        <w:t xml:space="preserve">of control exercised by a State is one of the factors relevant to determining whether international humanitarian law or international human rights law constitutes the initial point of reference. In situations where a State does not exercise control – such as on the battlefield, along the frontline, or in areas controlled by an armed group – international humanitarian law should constitute the initial reference point. </w:t>
      </w:r>
      <w:r w:rsidR="00655A6E">
        <w:rPr>
          <w:rFonts w:ascii="Palatino Linotype" w:hAnsi="Palatino Linotype"/>
        </w:rPr>
        <w:t>During an armed conflict, i</w:t>
      </w:r>
      <w:r w:rsidR="00A31581">
        <w:rPr>
          <w:rFonts w:ascii="Palatino Linotype" w:hAnsi="Palatino Linotype"/>
        </w:rPr>
        <w:t>n the absence of control, States cannot conduct law enforcement operations as required by int</w:t>
      </w:r>
      <w:r w:rsidR="00DC257D">
        <w:rPr>
          <w:rFonts w:ascii="Palatino Linotype" w:hAnsi="Palatino Linotype"/>
        </w:rPr>
        <w:t>ernational human rights law. On</w:t>
      </w:r>
      <w:r w:rsidR="00A31581">
        <w:rPr>
          <w:rFonts w:ascii="Palatino Linotype" w:hAnsi="Palatino Linotype"/>
        </w:rPr>
        <w:t xml:space="preserve"> the other hand, where a State does exercise control</w:t>
      </w:r>
      <w:r w:rsidR="00655A6E">
        <w:rPr>
          <w:rFonts w:ascii="Palatino Linotype" w:hAnsi="Palatino Linotype"/>
        </w:rPr>
        <w:t xml:space="preserve"> over the environment</w:t>
      </w:r>
      <w:r w:rsidR="00A31581">
        <w:rPr>
          <w:rFonts w:ascii="Palatino Linotype" w:hAnsi="Palatino Linotype"/>
        </w:rPr>
        <w:t xml:space="preserve"> </w:t>
      </w:r>
      <w:r w:rsidR="00491011">
        <w:rPr>
          <w:rFonts w:ascii="Palatino Linotype" w:hAnsi="Palatino Linotype"/>
        </w:rPr>
        <w:t>such that it is able to</w:t>
      </w:r>
      <w:r w:rsidR="00A31581">
        <w:rPr>
          <w:rFonts w:ascii="Palatino Linotype" w:hAnsi="Palatino Linotype"/>
        </w:rPr>
        <w:t xml:space="preserve"> conduct law enforcement operations, international human rights law should constitute the initial reference point. It is emphasised that </w:t>
      </w:r>
      <w:r w:rsidR="00EC6594">
        <w:rPr>
          <w:rFonts w:ascii="Palatino Linotype" w:hAnsi="Palatino Linotype"/>
        </w:rPr>
        <w:t>international human rights law is inherently flexible, and capable of adapting to such situations.</w:t>
      </w:r>
      <w:r w:rsidR="00D11B73">
        <w:rPr>
          <w:rStyle w:val="FootnoteReference"/>
          <w:rFonts w:ascii="Palatino Linotype" w:hAnsi="Palatino Linotype"/>
        </w:rPr>
        <w:footnoteReference w:id="9"/>
      </w:r>
      <w:r w:rsidR="007364CF">
        <w:rPr>
          <w:rFonts w:ascii="Palatino Linotype" w:hAnsi="Palatino Linotype"/>
        </w:rPr>
        <w:t xml:space="preserve"> For instance, if a civilian is directly participating in hostilities by </w:t>
      </w:r>
      <w:r w:rsidR="00491011">
        <w:rPr>
          <w:rFonts w:ascii="Palatino Linotype" w:hAnsi="Palatino Linotype"/>
        </w:rPr>
        <w:t xml:space="preserve">sitting at a computer terminal transmitting targeting information or creating a </w:t>
      </w:r>
      <w:r w:rsidR="001A4175">
        <w:rPr>
          <w:rFonts w:ascii="Palatino Linotype" w:hAnsi="Palatino Linotype"/>
        </w:rPr>
        <w:t>cyber-attack</w:t>
      </w:r>
      <w:r w:rsidR="00491011">
        <w:rPr>
          <w:rFonts w:ascii="Palatino Linotype" w:hAnsi="Palatino Linotype"/>
        </w:rPr>
        <w:t xml:space="preserve"> </w:t>
      </w:r>
      <w:r w:rsidR="007364CF">
        <w:rPr>
          <w:rFonts w:ascii="Palatino Linotype" w:hAnsi="Palatino Linotype"/>
        </w:rPr>
        <w:t xml:space="preserve"> – but </w:t>
      </w:r>
      <w:r w:rsidR="00FF26B6">
        <w:rPr>
          <w:rFonts w:ascii="Palatino Linotype" w:hAnsi="Palatino Linotype"/>
        </w:rPr>
        <w:t>is not directly engaging enemy forces (i.e. firing a gun) – in an area subject to the State’s control, where the State can feasibly capture and detain, international human rights law should provide the initial reference point</w:t>
      </w:r>
      <w:r w:rsidR="00776F48">
        <w:rPr>
          <w:rFonts w:ascii="Palatino Linotype" w:hAnsi="Palatino Linotype"/>
        </w:rPr>
        <w:t xml:space="preserve"> for the use of force</w:t>
      </w:r>
      <w:r w:rsidR="00B819A9">
        <w:rPr>
          <w:rFonts w:ascii="Palatino Linotype" w:hAnsi="Palatino Linotype"/>
        </w:rPr>
        <w:t>. T</w:t>
      </w:r>
      <w:r w:rsidR="00776F48">
        <w:rPr>
          <w:rFonts w:ascii="Palatino Linotype" w:hAnsi="Palatino Linotype"/>
        </w:rPr>
        <w:t xml:space="preserve">he applicable international humanitarian law </w:t>
      </w:r>
      <w:r w:rsidR="00B819A9">
        <w:rPr>
          <w:rFonts w:ascii="Palatino Linotype" w:hAnsi="Palatino Linotype"/>
        </w:rPr>
        <w:t>will recede</w:t>
      </w:r>
      <w:r w:rsidR="00776F48">
        <w:rPr>
          <w:rFonts w:ascii="Palatino Linotype" w:hAnsi="Palatino Linotype"/>
        </w:rPr>
        <w:t xml:space="preserve"> to the background for these purposes</w:t>
      </w:r>
      <w:r w:rsidR="00FF26B6">
        <w:rPr>
          <w:rFonts w:ascii="Palatino Linotype" w:hAnsi="Palatino Linotype"/>
        </w:rPr>
        <w:t>.</w:t>
      </w:r>
    </w:p>
    <w:p w14:paraId="5B5C69BE" w14:textId="77777777" w:rsidR="009A14FE" w:rsidRDefault="009A14FE" w:rsidP="009A14FE">
      <w:pPr>
        <w:pStyle w:val="NoSpacing"/>
        <w:ind w:left="360"/>
        <w:jc w:val="both"/>
        <w:rPr>
          <w:rFonts w:ascii="Palatino Linotype" w:hAnsi="Palatino Linotype"/>
        </w:rPr>
      </w:pPr>
    </w:p>
    <w:p w14:paraId="03518282" w14:textId="77777777" w:rsidR="009A14FE" w:rsidRDefault="009A14FE" w:rsidP="0033471A">
      <w:pPr>
        <w:pStyle w:val="NoSpacing"/>
        <w:numPr>
          <w:ilvl w:val="0"/>
          <w:numId w:val="1"/>
        </w:numPr>
        <w:jc w:val="both"/>
        <w:rPr>
          <w:rFonts w:ascii="Palatino Linotype" w:hAnsi="Palatino Linotype"/>
        </w:rPr>
      </w:pPr>
      <w:r>
        <w:rPr>
          <w:rFonts w:ascii="Palatino Linotype" w:hAnsi="Palatino Linotype"/>
        </w:rPr>
        <w:t xml:space="preserve">In situations of belligerent occupation, </w:t>
      </w:r>
      <w:r w:rsidR="00573510">
        <w:rPr>
          <w:rFonts w:ascii="Palatino Linotype" w:hAnsi="Palatino Linotype"/>
        </w:rPr>
        <w:t xml:space="preserve">the default should be that international human rights law constitutes the initial reference point vis-à-vis the use of force. The framework should only switch on the outbreak of active hostilities. </w:t>
      </w:r>
    </w:p>
    <w:p w14:paraId="69085897" w14:textId="77777777" w:rsidR="00323919" w:rsidRDefault="00323919" w:rsidP="00323919">
      <w:pPr>
        <w:pStyle w:val="NoSpacing"/>
        <w:jc w:val="both"/>
        <w:rPr>
          <w:rFonts w:ascii="Palatino Linotype" w:hAnsi="Palatino Linotype"/>
        </w:rPr>
      </w:pPr>
    </w:p>
    <w:p w14:paraId="003B8EE0" w14:textId="77777777" w:rsidR="00323919" w:rsidRDefault="00B819A9" w:rsidP="0033471A">
      <w:pPr>
        <w:pStyle w:val="NoSpacing"/>
        <w:numPr>
          <w:ilvl w:val="0"/>
          <w:numId w:val="1"/>
        </w:numPr>
        <w:jc w:val="both"/>
        <w:rPr>
          <w:rFonts w:ascii="Palatino Linotype" w:hAnsi="Palatino Linotype"/>
        </w:rPr>
      </w:pPr>
      <w:r>
        <w:rPr>
          <w:rFonts w:ascii="Palatino Linotype" w:hAnsi="Palatino Linotype"/>
        </w:rPr>
        <w:t>Additionally, it is highlighted that d</w:t>
      </w:r>
      <w:r w:rsidR="00323919">
        <w:rPr>
          <w:rFonts w:ascii="Palatino Linotype" w:hAnsi="Palatino Linotype"/>
        </w:rPr>
        <w:t xml:space="preserve">raft paragraph 67 currently </w:t>
      </w:r>
      <w:r w:rsidR="00F5577E">
        <w:rPr>
          <w:rFonts w:ascii="Palatino Linotype" w:hAnsi="Palatino Linotype"/>
        </w:rPr>
        <w:t>reads as follows</w:t>
      </w:r>
      <w:r w:rsidR="00323919">
        <w:rPr>
          <w:rFonts w:ascii="Palatino Linotype" w:hAnsi="Palatino Linotype"/>
        </w:rPr>
        <w:t xml:space="preserve">: ‘article 6 continues to apply also [to the conduct of hostilities] in situations of armed conflict to which the rules of international humanitarian law are applicable.’ </w:t>
      </w:r>
      <w:r w:rsidR="004D78E3">
        <w:rPr>
          <w:rFonts w:ascii="Palatino Linotype" w:hAnsi="Palatino Linotype"/>
        </w:rPr>
        <w:lastRenderedPageBreak/>
        <w:t>It is suggested that the proposed text ‘</w:t>
      </w:r>
      <w:r w:rsidR="00425287">
        <w:rPr>
          <w:rFonts w:ascii="Palatino Linotype" w:hAnsi="Palatino Linotype"/>
        </w:rPr>
        <w:t xml:space="preserve">to </w:t>
      </w:r>
      <w:r w:rsidR="004D78E3">
        <w:rPr>
          <w:rFonts w:ascii="Palatino Linotype" w:hAnsi="Palatino Linotype"/>
        </w:rPr>
        <w:t xml:space="preserve">the conduct of hostilities’ </w:t>
      </w:r>
      <w:r w:rsidR="006C7651">
        <w:rPr>
          <w:rFonts w:ascii="Palatino Linotype" w:hAnsi="Palatino Linotype"/>
        </w:rPr>
        <w:t>not be inserted</w:t>
      </w:r>
      <w:r w:rsidR="004D78E3">
        <w:rPr>
          <w:rFonts w:ascii="Palatino Linotype" w:hAnsi="Palatino Linotype"/>
        </w:rPr>
        <w:t xml:space="preserve">. </w:t>
      </w:r>
      <w:r w:rsidR="006C7651">
        <w:rPr>
          <w:rFonts w:ascii="Palatino Linotype" w:hAnsi="Palatino Linotype"/>
        </w:rPr>
        <w:t xml:space="preserve">International human rights law and the right to life apply broadly in situations of armed conflict. Application is not restricted to the conduct of hostilities. For instance, the right to life is applicable to law enforcement operations occurring during armed conflict, including during situations of occupation, but which do not relate to the conduct of hostilities. Including the proposed text therefore risks adding unnecessary confusion and creating the impression that the applicability of the right to life is restricted to the conduct of hostilities. </w:t>
      </w:r>
    </w:p>
    <w:p w14:paraId="07E4CEB7" w14:textId="77777777" w:rsidR="00AA792E" w:rsidRPr="009C6A7E" w:rsidRDefault="00AA792E" w:rsidP="00FB7244">
      <w:pPr>
        <w:pStyle w:val="NoSpacing"/>
        <w:jc w:val="both"/>
        <w:rPr>
          <w:rFonts w:ascii="Palatino Linotype" w:hAnsi="Palatino Linotype"/>
        </w:rPr>
      </w:pPr>
    </w:p>
    <w:sectPr w:rsidR="00AA792E" w:rsidRPr="009C6A7E" w:rsidSect="004A14AC">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D4E77" w14:textId="77777777" w:rsidR="007D5EC2" w:rsidRDefault="007D5EC2" w:rsidP="00B4546D">
      <w:r>
        <w:separator/>
      </w:r>
    </w:p>
  </w:endnote>
  <w:endnote w:type="continuationSeparator" w:id="0">
    <w:p w14:paraId="0FE5BAB8" w14:textId="77777777" w:rsidR="007D5EC2" w:rsidRDefault="007D5EC2" w:rsidP="00B4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1D297" w14:textId="77777777" w:rsidR="00AA623F" w:rsidRDefault="00AA623F" w:rsidP="00F849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1898B7" w14:textId="77777777" w:rsidR="00AA623F" w:rsidRDefault="00AA6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798D0" w14:textId="55BCD4FB" w:rsidR="00AA623F" w:rsidRDefault="00AA623F" w:rsidP="00F8496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48F">
      <w:rPr>
        <w:rStyle w:val="PageNumber"/>
        <w:noProof/>
      </w:rPr>
      <w:t>1</w:t>
    </w:r>
    <w:r>
      <w:rPr>
        <w:rStyle w:val="PageNumber"/>
      </w:rPr>
      <w:fldChar w:fldCharType="end"/>
    </w:r>
  </w:p>
  <w:p w14:paraId="3F0E3C0E" w14:textId="77777777" w:rsidR="00AA623F" w:rsidRDefault="00AA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CCA5E" w14:textId="77777777" w:rsidR="007D5EC2" w:rsidRDefault="007D5EC2" w:rsidP="00B4546D">
      <w:r>
        <w:separator/>
      </w:r>
    </w:p>
  </w:footnote>
  <w:footnote w:type="continuationSeparator" w:id="0">
    <w:p w14:paraId="13111B06" w14:textId="77777777" w:rsidR="007D5EC2" w:rsidRDefault="007D5EC2" w:rsidP="00B4546D">
      <w:r>
        <w:continuationSeparator/>
      </w:r>
    </w:p>
  </w:footnote>
  <w:footnote w:id="1">
    <w:p w14:paraId="65F442F6" w14:textId="77777777" w:rsidR="00AB7BE7" w:rsidRPr="00FD7834" w:rsidRDefault="00AB7BE7"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In the European system, this is referred to as ‘State agent authority and control’.</w:t>
      </w:r>
      <w:r w:rsidR="00FD7834">
        <w:rPr>
          <w:rFonts w:ascii="Palatino Linotype" w:hAnsi="Palatino Linotype"/>
          <w:sz w:val="16"/>
          <w:szCs w:val="16"/>
        </w:rPr>
        <w:t xml:space="preserve"> See, </w:t>
      </w:r>
      <w:r w:rsidR="00FD7834">
        <w:rPr>
          <w:rFonts w:ascii="Palatino Linotype" w:hAnsi="Palatino Linotype"/>
          <w:i/>
          <w:sz w:val="16"/>
          <w:szCs w:val="16"/>
        </w:rPr>
        <w:t>Al-Skeini and Others v. the United Kingdom</w:t>
      </w:r>
      <w:r w:rsidR="00FD7834">
        <w:rPr>
          <w:rFonts w:ascii="Palatino Linotype" w:hAnsi="Palatino Linotype"/>
          <w:sz w:val="16"/>
          <w:szCs w:val="16"/>
        </w:rPr>
        <w:t>, Judgment, European Court of Human Rights, App. No. 55</w:t>
      </w:r>
      <w:r w:rsidR="00717561">
        <w:rPr>
          <w:rFonts w:ascii="Palatino Linotype" w:hAnsi="Palatino Linotype"/>
          <w:sz w:val="16"/>
          <w:szCs w:val="16"/>
        </w:rPr>
        <w:t>721/07, 7 July 2011, paras. 133-</w:t>
      </w:r>
      <w:r w:rsidR="00FD7834">
        <w:rPr>
          <w:rFonts w:ascii="Palatino Linotype" w:hAnsi="Palatino Linotype"/>
          <w:sz w:val="16"/>
          <w:szCs w:val="16"/>
        </w:rPr>
        <w:t>137.</w:t>
      </w:r>
    </w:p>
  </w:footnote>
  <w:footnote w:id="2">
    <w:p w14:paraId="66B9BC4B" w14:textId="77777777" w:rsidR="00227373" w:rsidRPr="005D5869" w:rsidRDefault="00227373"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See, </w:t>
      </w:r>
      <w:r w:rsidRPr="005D5869">
        <w:rPr>
          <w:rFonts w:ascii="Palatino Linotype" w:hAnsi="Palatino Linotype"/>
          <w:i/>
          <w:sz w:val="16"/>
          <w:szCs w:val="16"/>
        </w:rPr>
        <w:t xml:space="preserve">Ocalan v. Turkey, </w:t>
      </w:r>
      <w:r w:rsidRPr="005D5869">
        <w:rPr>
          <w:rFonts w:ascii="Palatino Linotype" w:hAnsi="Palatino Linotype"/>
          <w:sz w:val="16"/>
          <w:szCs w:val="16"/>
        </w:rPr>
        <w:t>Judgment, European Court of Human Rights, App. no. 46221/99, 12 May 20015, para. 91.</w:t>
      </w:r>
      <w:r w:rsidR="00387F8E" w:rsidRPr="005D5869">
        <w:rPr>
          <w:rFonts w:ascii="Palatino Linotype" w:hAnsi="Palatino Linotype"/>
          <w:sz w:val="16"/>
          <w:szCs w:val="16"/>
        </w:rPr>
        <w:t xml:space="preserve"> See also, </w:t>
      </w:r>
      <w:r w:rsidR="00387F8E" w:rsidRPr="005D5869">
        <w:rPr>
          <w:rFonts w:ascii="Palatino Linotype" w:hAnsi="Palatino Linotype"/>
          <w:i/>
          <w:sz w:val="16"/>
          <w:szCs w:val="16"/>
        </w:rPr>
        <w:t>Al-Skeini and Others v. the United Kingdom</w:t>
      </w:r>
      <w:r w:rsidR="00387F8E" w:rsidRPr="005D5869">
        <w:rPr>
          <w:rFonts w:ascii="Palatino Linotype" w:hAnsi="Palatino Linotype"/>
          <w:sz w:val="16"/>
          <w:szCs w:val="16"/>
        </w:rPr>
        <w:t>, Judgment, European Court of Human Rights, App</w:t>
      </w:r>
      <w:r w:rsidR="00874D9F" w:rsidRPr="005D5869">
        <w:rPr>
          <w:rFonts w:ascii="Palatino Linotype" w:hAnsi="Palatino Linotype"/>
          <w:sz w:val="16"/>
          <w:szCs w:val="16"/>
        </w:rPr>
        <w:t>.</w:t>
      </w:r>
      <w:r w:rsidR="00387F8E" w:rsidRPr="005D5869">
        <w:rPr>
          <w:rFonts w:ascii="Palatino Linotype" w:hAnsi="Palatino Linotype"/>
          <w:sz w:val="16"/>
          <w:szCs w:val="16"/>
        </w:rPr>
        <w:t xml:space="preserve"> No. 55721/07, 7 July 2011, para. 136.</w:t>
      </w:r>
    </w:p>
  </w:footnote>
  <w:footnote w:id="3">
    <w:p w14:paraId="7E797CC8" w14:textId="77777777" w:rsidR="00874D9F" w:rsidRPr="005D5869" w:rsidRDefault="00874D9F"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w:t>
      </w:r>
      <w:r w:rsidRPr="005D5869">
        <w:rPr>
          <w:rFonts w:ascii="Palatino Linotype" w:hAnsi="Palatino Linotype"/>
          <w:i/>
          <w:sz w:val="16"/>
          <w:szCs w:val="16"/>
        </w:rPr>
        <w:t>Isaak v. Turkey</w:t>
      </w:r>
      <w:r w:rsidRPr="005D5869">
        <w:rPr>
          <w:rFonts w:ascii="Palatino Linotype" w:hAnsi="Palatino Linotype"/>
          <w:sz w:val="16"/>
          <w:szCs w:val="16"/>
        </w:rPr>
        <w:t xml:space="preserve">, Judgment, European Court of Human Rights, App. No. </w:t>
      </w:r>
      <w:r w:rsidR="007F56B9" w:rsidRPr="005D5869">
        <w:rPr>
          <w:rFonts w:ascii="Palatino Linotype" w:hAnsi="Palatino Linotype"/>
          <w:sz w:val="16"/>
          <w:szCs w:val="16"/>
        </w:rPr>
        <w:t>44587/98, 24 June 2008, paras. 110-119.</w:t>
      </w:r>
    </w:p>
  </w:footnote>
  <w:footnote w:id="4">
    <w:p w14:paraId="15B5084F" w14:textId="77777777" w:rsidR="00B546BC" w:rsidRPr="005D5869" w:rsidRDefault="00B546BC"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w:t>
      </w:r>
      <w:r w:rsidRPr="005D5869">
        <w:rPr>
          <w:rFonts w:ascii="Palatino Linotype" w:hAnsi="Palatino Linotype"/>
          <w:i/>
          <w:sz w:val="16"/>
          <w:szCs w:val="16"/>
        </w:rPr>
        <w:t>Jaloud v. the Netherlands</w:t>
      </w:r>
      <w:r w:rsidRPr="005D5869">
        <w:rPr>
          <w:rFonts w:ascii="Palatino Linotype" w:hAnsi="Palatino Linotype"/>
          <w:sz w:val="16"/>
          <w:szCs w:val="16"/>
        </w:rPr>
        <w:t xml:space="preserve">, Judgment, European Court of Human Rights, App. No. 47708/08, 20 November 2014, para. </w:t>
      </w:r>
      <w:r w:rsidR="007F4BFE" w:rsidRPr="005D5869">
        <w:rPr>
          <w:rFonts w:ascii="Palatino Linotype" w:hAnsi="Palatino Linotype"/>
          <w:sz w:val="16"/>
          <w:szCs w:val="16"/>
        </w:rPr>
        <w:t>152.</w:t>
      </w:r>
    </w:p>
  </w:footnote>
  <w:footnote w:id="5">
    <w:p w14:paraId="5D0C77B8" w14:textId="77777777" w:rsidR="005E0945" w:rsidRPr="005D5869" w:rsidRDefault="005E0945"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w:t>
      </w:r>
      <w:r w:rsidRPr="005D5869">
        <w:rPr>
          <w:rFonts w:ascii="Palatino Linotype" w:hAnsi="Palatino Linotype"/>
          <w:i/>
          <w:sz w:val="16"/>
          <w:szCs w:val="16"/>
        </w:rPr>
        <w:t>Allejandre Jr. and Others v. Cuba</w:t>
      </w:r>
      <w:r w:rsidRPr="005D5869">
        <w:rPr>
          <w:rFonts w:ascii="Palatino Linotype" w:hAnsi="Palatino Linotype"/>
          <w:sz w:val="16"/>
          <w:szCs w:val="16"/>
        </w:rPr>
        <w:t>, Decision, Inter-American Commission on Human Rights, Case No. 11.589, 29 September 1999, para. 25.</w:t>
      </w:r>
    </w:p>
  </w:footnote>
  <w:footnote w:id="6">
    <w:p w14:paraId="4259B073" w14:textId="77777777" w:rsidR="00E34209" w:rsidRPr="005D5869" w:rsidRDefault="00E34209"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w:t>
      </w:r>
      <w:r w:rsidRPr="005D5869">
        <w:rPr>
          <w:rFonts w:ascii="Palatino Linotype" w:hAnsi="Palatino Linotype"/>
          <w:i/>
          <w:sz w:val="16"/>
          <w:szCs w:val="16"/>
        </w:rPr>
        <w:t>Pad v. Turkey</w:t>
      </w:r>
      <w:r w:rsidRPr="005D5869">
        <w:rPr>
          <w:rFonts w:ascii="Palatino Linotype" w:hAnsi="Palatino Linotype"/>
          <w:sz w:val="16"/>
          <w:szCs w:val="16"/>
        </w:rPr>
        <w:t>, Admissibility Decision, European Court of Human Rights, App. No.  60167/00, 28 June 2007, para. 54.</w:t>
      </w:r>
    </w:p>
  </w:footnote>
  <w:footnote w:id="7">
    <w:p w14:paraId="05D3071E" w14:textId="77777777" w:rsidR="0039701A" w:rsidRPr="005D5869" w:rsidRDefault="0039701A"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In the </w:t>
      </w:r>
      <w:r w:rsidRPr="005D5869">
        <w:rPr>
          <w:rFonts w:ascii="Palatino Linotype" w:hAnsi="Palatino Linotype"/>
          <w:i/>
          <w:sz w:val="16"/>
          <w:szCs w:val="16"/>
        </w:rPr>
        <w:t xml:space="preserve">Practitioners’ Guide to Human Rights Law in Armed Conflict </w:t>
      </w:r>
      <w:r w:rsidRPr="005D5869">
        <w:rPr>
          <w:rFonts w:ascii="Palatino Linotype" w:hAnsi="Palatino Linotype"/>
          <w:sz w:val="16"/>
          <w:szCs w:val="16"/>
        </w:rPr>
        <w:t xml:space="preserve">(OUP 2016) to which both authors contributed, situations in which international humanitarian law provides the initial reference point are regulated by what is referred to as the ‘active hostilities’ framework, while situations in which </w:t>
      </w:r>
      <w:r w:rsidR="003C0412" w:rsidRPr="005D5869">
        <w:rPr>
          <w:rFonts w:ascii="Palatino Linotype" w:hAnsi="Palatino Linotype"/>
          <w:sz w:val="16"/>
          <w:szCs w:val="16"/>
        </w:rPr>
        <w:t>international</w:t>
      </w:r>
      <w:r w:rsidRPr="005D5869">
        <w:rPr>
          <w:rFonts w:ascii="Palatino Linotype" w:hAnsi="Palatino Linotype"/>
          <w:sz w:val="16"/>
          <w:szCs w:val="16"/>
        </w:rPr>
        <w:t xml:space="preserve"> human rights law provides the initial reference point are regulated by what is referred to as the ‘security operations’ framework. This is discussed further in Chapter 4 of the book.</w:t>
      </w:r>
    </w:p>
  </w:footnote>
  <w:footnote w:id="8">
    <w:p w14:paraId="0BC4CD7D" w14:textId="77777777" w:rsidR="00185131" w:rsidRPr="00E45148" w:rsidRDefault="00185131"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w:t>
      </w:r>
      <w:r w:rsidR="009A35BA" w:rsidRPr="005D5869">
        <w:rPr>
          <w:rFonts w:ascii="Palatino Linotype" w:hAnsi="Palatino Linotype"/>
          <w:sz w:val="16"/>
          <w:szCs w:val="16"/>
        </w:rPr>
        <w:t xml:space="preserve">See, for instance, </w:t>
      </w:r>
      <w:r w:rsidR="009A35BA" w:rsidRPr="005D5869">
        <w:rPr>
          <w:rFonts w:ascii="Palatino Linotype" w:hAnsi="Palatino Linotype"/>
          <w:i/>
          <w:sz w:val="16"/>
          <w:szCs w:val="16"/>
        </w:rPr>
        <w:t>Kerimova and Others v. Russia</w:t>
      </w:r>
      <w:r w:rsidR="009A35BA" w:rsidRPr="005D5869">
        <w:rPr>
          <w:rFonts w:ascii="Palatino Linotype" w:hAnsi="Palatino Linotype"/>
          <w:sz w:val="16"/>
          <w:szCs w:val="16"/>
        </w:rPr>
        <w:t xml:space="preserve">, Judgment, European Court of Human Rights, App. Nos. 17170/04, 20792/04, 22448/04, 23360/04, 5681/05, 5684/05, 3 May 2011, para. 250; </w:t>
      </w:r>
      <w:r w:rsidR="009A35BA" w:rsidRPr="005D5869">
        <w:rPr>
          <w:rFonts w:ascii="Palatino Linotype" w:hAnsi="Palatino Linotype"/>
          <w:i/>
          <w:sz w:val="16"/>
          <w:szCs w:val="16"/>
        </w:rPr>
        <w:t>Isayeva v. Russia</w:t>
      </w:r>
      <w:r w:rsidR="009A35BA" w:rsidRPr="005D5869">
        <w:rPr>
          <w:rFonts w:ascii="Palatino Linotype" w:hAnsi="Palatino Linotype"/>
          <w:sz w:val="16"/>
          <w:szCs w:val="16"/>
        </w:rPr>
        <w:t>, Judgment, European Court of Human Rights, App. No. 57950/00. 24 February 2005, paras. 186-187.</w:t>
      </w:r>
      <w:r w:rsidR="00E45148">
        <w:rPr>
          <w:rFonts w:ascii="Palatino Linotype" w:hAnsi="Palatino Linotype"/>
          <w:sz w:val="16"/>
          <w:szCs w:val="16"/>
        </w:rPr>
        <w:t xml:space="preserve"> See further, </w:t>
      </w:r>
      <w:r w:rsidR="00E45148">
        <w:rPr>
          <w:rFonts w:ascii="Palatino Linotype" w:hAnsi="Palatino Linotype"/>
          <w:i/>
          <w:sz w:val="16"/>
          <w:szCs w:val="16"/>
        </w:rPr>
        <w:t xml:space="preserve">Practitioners Guide to Human Rights Law in Armed Conflict </w:t>
      </w:r>
      <w:r w:rsidR="002802C1">
        <w:rPr>
          <w:rFonts w:ascii="Palatino Linotype" w:hAnsi="Palatino Linotype"/>
          <w:sz w:val="16"/>
          <w:szCs w:val="16"/>
        </w:rPr>
        <w:t>(OUP 2016) paras. 5.57-5.68.</w:t>
      </w:r>
    </w:p>
  </w:footnote>
  <w:footnote w:id="9">
    <w:p w14:paraId="180BE1BF" w14:textId="77777777" w:rsidR="00D11B73" w:rsidRPr="005D5869" w:rsidRDefault="00D11B73" w:rsidP="005D5869">
      <w:pPr>
        <w:pStyle w:val="FootnoteText"/>
        <w:jc w:val="both"/>
        <w:rPr>
          <w:rFonts w:ascii="Palatino Linotype" w:hAnsi="Palatino Linotype"/>
          <w:sz w:val="16"/>
          <w:szCs w:val="16"/>
        </w:rPr>
      </w:pPr>
      <w:r w:rsidRPr="005D5869">
        <w:rPr>
          <w:rStyle w:val="FootnoteReference"/>
          <w:rFonts w:ascii="Palatino Linotype" w:hAnsi="Palatino Linotype"/>
          <w:sz w:val="16"/>
          <w:szCs w:val="16"/>
        </w:rPr>
        <w:footnoteRef/>
      </w:r>
      <w:r w:rsidRPr="005D5869">
        <w:rPr>
          <w:rFonts w:ascii="Palatino Linotype" w:hAnsi="Palatino Linotype"/>
          <w:sz w:val="16"/>
          <w:szCs w:val="16"/>
        </w:rPr>
        <w:t xml:space="preserve"> See, for example, the approach taken by the Court in </w:t>
      </w:r>
      <w:r w:rsidRPr="005D5869">
        <w:rPr>
          <w:rFonts w:ascii="Palatino Linotype" w:hAnsi="Palatino Linotype"/>
          <w:i/>
          <w:sz w:val="16"/>
          <w:szCs w:val="16"/>
        </w:rPr>
        <w:t xml:space="preserve">Finogenov v. Russia, </w:t>
      </w:r>
      <w:r w:rsidRPr="005D5869">
        <w:rPr>
          <w:rFonts w:ascii="Palatino Linotype" w:hAnsi="Palatino Linotype"/>
          <w:sz w:val="16"/>
          <w:szCs w:val="16"/>
        </w:rPr>
        <w:t xml:space="preserve">Judgment, European Court of Human Rights, App. No. 18299/03, 27311/03, 20 December 2011, paras. </w:t>
      </w:r>
      <w:r w:rsidR="00E16000" w:rsidRPr="005D5869">
        <w:rPr>
          <w:rFonts w:ascii="Palatino Linotype" w:hAnsi="Palatino Linotype"/>
          <w:sz w:val="16"/>
          <w:szCs w:val="16"/>
        </w:rPr>
        <w:t>210-216.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E6ED1"/>
    <w:multiLevelType w:val="hybridMultilevel"/>
    <w:tmpl w:val="357406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7E6"/>
    <w:rsid w:val="00022970"/>
    <w:rsid w:val="00026221"/>
    <w:rsid w:val="00067CDD"/>
    <w:rsid w:val="0010549F"/>
    <w:rsid w:val="00125376"/>
    <w:rsid w:val="001400AE"/>
    <w:rsid w:val="00185131"/>
    <w:rsid w:val="001A4175"/>
    <w:rsid w:val="001E64E2"/>
    <w:rsid w:val="0021385F"/>
    <w:rsid w:val="00227373"/>
    <w:rsid w:val="002802C1"/>
    <w:rsid w:val="00295B5E"/>
    <w:rsid w:val="002E5908"/>
    <w:rsid w:val="00323919"/>
    <w:rsid w:val="0033471A"/>
    <w:rsid w:val="003548F9"/>
    <w:rsid w:val="00375B06"/>
    <w:rsid w:val="003840D1"/>
    <w:rsid w:val="00387F8E"/>
    <w:rsid w:val="0039701A"/>
    <w:rsid w:val="003C035F"/>
    <w:rsid w:val="003C0412"/>
    <w:rsid w:val="004023EE"/>
    <w:rsid w:val="00414533"/>
    <w:rsid w:val="0042163E"/>
    <w:rsid w:val="00425287"/>
    <w:rsid w:val="004302EE"/>
    <w:rsid w:val="0044601C"/>
    <w:rsid w:val="00491011"/>
    <w:rsid w:val="004A14AC"/>
    <w:rsid w:val="004C28D8"/>
    <w:rsid w:val="004D78E3"/>
    <w:rsid w:val="00503BF5"/>
    <w:rsid w:val="00515CCD"/>
    <w:rsid w:val="00531FE2"/>
    <w:rsid w:val="00557E50"/>
    <w:rsid w:val="00573510"/>
    <w:rsid w:val="005D5869"/>
    <w:rsid w:val="005E0945"/>
    <w:rsid w:val="005E741A"/>
    <w:rsid w:val="00606FDE"/>
    <w:rsid w:val="00620419"/>
    <w:rsid w:val="006267E6"/>
    <w:rsid w:val="00630D2F"/>
    <w:rsid w:val="00655A6E"/>
    <w:rsid w:val="00663E03"/>
    <w:rsid w:val="00697B8A"/>
    <w:rsid w:val="006C7651"/>
    <w:rsid w:val="006D6579"/>
    <w:rsid w:val="006E0A8B"/>
    <w:rsid w:val="00717561"/>
    <w:rsid w:val="0072690D"/>
    <w:rsid w:val="007364CF"/>
    <w:rsid w:val="00776F48"/>
    <w:rsid w:val="007D5EC2"/>
    <w:rsid w:val="007F4BFE"/>
    <w:rsid w:val="007F56B9"/>
    <w:rsid w:val="00802700"/>
    <w:rsid w:val="00814BC5"/>
    <w:rsid w:val="00850F1C"/>
    <w:rsid w:val="00874D9F"/>
    <w:rsid w:val="0087613C"/>
    <w:rsid w:val="00880096"/>
    <w:rsid w:val="008A51B2"/>
    <w:rsid w:val="008B7A37"/>
    <w:rsid w:val="00971893"/>
    <w:rsid w:val="009764A8"/>
    <w:rsid w:val="009A079F"/>
    <w:rsid w:val="009A14FE"/>
    <w:rsid w:val="009A35BA"/>
    <w:rsid w:val="009B58D7"/>
    <w:rsid w:val="009C6A7E"/>
    <w:rsid w:val="009D5CCE"/>
    <w:rsid w:val="009F7E00"/>
    <w:rsid w:val="00A2321B"/>
    <w:rsid w:val="00A31581"/>
    <w:rsid w:val="00A53E8F"/>
    <w:rsid w:val="00A63857"/>
    <w:rsid w:val="00A841FD"/>
    <w:rsid w:val="00AA19ED"/>
    <w:rsid w:val="00AA623F"/>
    <w:rsid w:val="00AA792E"/>
    <w:rsid w:val="00AB7BE7"/>
    <w:rsid w:val="00B208EC"/>
    <w:rsid w:val="00B33A1C"/>
    <w:rsid w:val="00B42075"/>
    <w:rsid w:val="00B42E43"/>
    <w:rsid w:val="00B4349D"/>
    <w:rsid w:val="00B4546D"/>
    <w:rsid w:val="00B546BC"/>
    <w:rsid w:val="00B819A9"/>
    <w:rsid w:val="00B9098C"/>
    <w:rsid w:val="00BC08C1"/>
    <w:rsid w:val="00BD563E"/>
    <w:rsid w:val="00C023B6"/>
    <w:rsid w:val="00C038F8"/>
    <w:rsid w:val="00C22970"/>
    <w:rsid w:val="00C96AE6"/>
    <w:rsid w:val="00CF7566"/>
    <w:rsid w:val="00D11B73"/>
    <w:rsid w:val="00D35FB9"/>
    <w:rsid w:val="00D4309C"/>
    <w:rsid w:val="00D51212"/>
    <w:rsid w:val="00D6038E"/>
    <w:rsid w:val="00D65726"/>
    <w:rsid w:val="00D9697C"/>
    <w:rsid w:val="00DA02E8"/>
    <w:rsid w:val="00DA1AB7"/>
    <w:rsid w:val="00DA5D88"/>
    <w:rsid w:val="00DB1A7F"/>
    <w:rsid w:val="00DC257D"/>
    <w:rsid w:val="00DF4880"/>
    <w:rsid w:val="00E13710"/>
    <w:rsid w:val="00E16000"/>
    <w:rsid w:val="00E34209"/>
    <w:rsid w:val="00E344A1"/>
    <w:rsid w:val="00E45148"/>
    <w:rsid w:val="00E4548F"/>
    <w:rsid w:val="00E61328"/>
    <w:rsid w:val="00E70B27"/>
    <w:rsid w:val="00E76B26"/>
    <w:rsid w:val="00EC5A8F"/>
    <w:rsid w:val="00EC6594"/>
    <w:rsid w:val="00EC7BAD"/>
    <w:rsid w:val="00F24F36"/>
    <w:rsid w:val="00F5577E"/>
    <w:rsid w:val="00F640FA"/>
    <w:rsid w:val="00F809F0"/>
    <w:rsid w:val="00F9580B"/>
    <w:rsid w:val="00FA50C7"/>
    <w:rsid w:val="00FB7244"/>
    <w:rsid w:val="00FD7834"/>
    <w:rsid w:val="00FE777E"/>
    <w:rsid w:val="00FF26B6"/>
    <w:rsid w:val="00FF584C"/>
    <w:rsid w:val="00FF7764"/>
    <w:rsid w:val="00FF7F0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DC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6A7E"/>
  </w:style>
  <w:style w:type="paragraph" w:styleId="FootnoteText">
    <w:name w:val="footnote text"/>
    <w:basedOn w:val="Normal"/>
    <w:link w:val="FootnoteTextChar"/>
    <w:uiPriority w:val="99"/>
    <w:unhideWhenUsed/>
    <w:rsid w:val="00B4546D"/>
  </w:style>
  <w:style w:type="character" w:customStyle="1" w:styleId="FootnoteTextChar">
    <w:name w:val="Footnote Text Char"/>
    <w:basedOn w:val="DefaultParagraphFont"/>
    <w:link w:val="FootnoteText"/>
    <w:uiPriority w:val="99"/>
    <w:rsid w:val="00B4546D"/>
  </w:style>
  <w:style w:type="character" w:styleId="FootnoteReference">
    <w:name w:val="footnote reference"/>
    <w:basedOn w:val="DefaultParagraphFont"/>
    <w:uiPriority w:val="99"/>
    <w:unhideWhenUsed/>
    <w:rsid w:val="00B4546D"/>
    <w:rPr>
      <w:vertAlign w:val="superscript"/>
    </w:rPr>
  </w:style>
  <w:style w:type="paragraph" w:styleId="Footer">
    <w:name w:val="footer"/>
    <w:basedOn w:val="Normal"/>
    <w:link w:val="FooterChar"/>
    <w:uiPriority w:val="99"/>
    <w:unhideWhenUsed/>
    <w:rsid w:val="00AA623F"/>
    <w:pPr>
      <w:tabs>
        <w:tab w:val="center" w:pos="4513"/>
        <w:tab w:val="right" w:pos="9026"/>
      </w:tabs>
    </w:pPr>
  </w:style>
  <w:style w:type="character" w:customStyle="1" w:styleId="FooterChar">
    <w:name w:val="Footer Char"/>
    <w:basedOn w:val="DefaultParagraphFont"/>
    <w:link w:val="Footer"/>
    <w:uiPriority w:val="99"/>
    <w:rsid w:val="00AA623F"/>
  </w:style>
  <w:style w:type="character" w:styleId="PageNumber">
    <w:name w:val="page number"/>
    <w:basedOn w:val="DefaultParagraphFont"/>
    <w:uiPriority w:val="99"/>
    <w:semiHidden/>
    <w:unhideWhenUsed/>
    <w:rsid w:val="00AA623F"/>
  </w:style>
  <w:style w:type="paragraph" w:styleId="Header">
    <w:name w:val="header"/>
    <w:basedOn w:val="Normal"/>
    <w:link w:val="HeaderChar"/>
    <w:uiPriority w:val="99"/>
    <w:unhideWhenUsed/>
    <w:rsid w:val="00C023B6"/>
    <w:pPr>
      <w:tabs>
        <w:tab w:val="center" w:pos="4513"/>
        <w:tab w:val="right" w:pos="9026"/>
      </w:tabs>
    </w:pPr>
  </w:style>
  <w:style w:type="character" w:customStyle="1" w:styleId="HeaderChar">
    <w:name w:val="Header Char"/>
    <w:basedOn w:val="DefaultParagraphFont"/>
    <w:link w:val="Header"/>
    <w:uiPriority w:val="99"/>
    <w:rsid w:val="00C023B6"/>
  </w:style>
  <w:style w:type="character" w:styleId="CommentReference">
    <w:name w:val="annotation reference"/>
    <w:basedOn w:val="DefaultParagraphFont"/>
    <w:uiPriority w:val="99"/>
    <w:semiHidden/>
    <w:unhideWhenUsed/>
    <w:rsid w:val="0039701A"/>
    <w:rPr>
      <w:sz w:val="18"/>
      <w:szCs w:val="18"/>
    </w:rPr>
  </w:style>
  <w:style w:type="paragraph" w:styleId="CommentText">
    <w:name w:val="annotation text"/>
    <w:basedOn w:val="Normal"/>
    <w:link w:val="CommentTextChar"/>
    <w:uiPriority w:val="99"/>
    <w:semiHidden/>
    <w:unhideWhenUsed/>
    <w:rsid w:val="0039701A"/>
  </w:style>
  <w:style w:type="character" w:customStyle="1" w:styleId="CommentTextChar">
    <w:name w:val="Comment Text Char"/>
    <w:basedOn w:val="DefaultParagraphFont"/>
    <w:link w:val="CommentText"/>
    <w:uiPriority w:val="99"/>
    <w:semiHidden/>
    <w:rsid w:val="0039701A"/>
  </w:style>
  <w:style w:type="paragraph" w:styleId="CommentSubject">
    <w:name w:val="annotation subject"/>
    <w:basedOn w:val="CommentText"/>
    <w:next w:val="CommentText"/>
    <w:link w:val="CommentSubjectChar"/>
    <w:uiPriority w:val="99"/>
    <w:semiHidden/>
    <w:unhideWhenUsed/>
    <w:rsid w:val="0039701A"/>
    <w:rPr>
      <w:b/>
      <w:bCs/>
      <w:sz w:val="20"/>
      <w:szCs w:val="20"/>
    </w:rPr>
  </w:style>
  <w:style w:type="character" w:customStyle="1" w:styleId="CommentSubjectChar">
    <w:name w:val="Comment Subject Char"/>
    <w:basedOn w:val="CommentTextChar"/>
    <w:link w:val="CommentSubject"/>
    <w:uiPriority w:val="99"/>
    <w:semiHidden/>
    <w:rsid w:val="0039701A"/>
    <w:rPr>
      <w:b/>
      <w:bCs/>
      <w:sz w:val="20"/>
      <w:szCs w:val="20"/>
    </w:rPr>
  </w:style>
  <w:style w:type="paragraph" w:styleId="BalloonText">
    <w:name w:val="Balloon Text"/>
    <w:basedOn w:val="Normal"/>
    <w:link w:val="BalloonTextChar"/>
    <w:uiPriority w:val="99"/>
    <w:semiHidden/>
    <w:unhideWhenUsed/>
    <w:rsid w:val="003970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9701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001408-EF78-4B34-A067-9E0EB0F7CA6C}">
  <ds:schemaRefs>
    <ds:schemaRef ds:uri="http://schemas.openxmlformats.org/officeDocument/2006/bibliography"/>
  </ds:schemaRefs>
</ds:datastoreItem>
</file>

<file path=customXml/itemProps2.xml><?xml version="1.0" encoding="utf-8"?>
<ds:datastoreItem xmlns:ds="http://schemas.openxmlformats.org/officeDocument/2006/customXml" ds:itemID="{FF47342C-588C-418D-BD83-509A9E48C7DB}"/>
</file>

<file path=customXml/itemProps3.xml><?xml version="1.0" encoding="utf-8"?>
<ds:datastoreItem xmlns:ds="http://schemas.openxmlformats.org/officeDocument/2006/customXml" ds:itemID="{EECAE64D-383E-4E73-9E8B-C4A518B2D90F}"/>
</file>

<file path=customXml/itemProps4.xml><?xml version="1.0" encoding="utf-8"?>
<ds:datastoreItem xmlns:ds="http://schemas.openxmlformats.org/officeDocument/2006/customXml" ds:itemID="{1E73E235-AEFB-465E-B5E8-698FA13679D7}"/>
</file>

<file path=docProps/app.xml><?xml version="1.0" encoding="utf-8"?>
<Properties xmlns="http://schemas.openxmlformats.org/officeDocument/2006/extended-properties" xmlns:vt="http://schemas.openxmlformats.org/officeDocument/2006/docPropsVTypes">
  <Template>Normal.dotm</Template>
  <TotalTime>1</TotalTime>
  <Pages>5</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daragh murray</dc:creator>
  <cp:keywords/>
  <dc:description/>
  <cp:lastModifiedBy>Durnescu Lilian</cp:lastModifiedBy>
  <cp:revision>2</cp:revision>
  <dcterms:created xsi:type="dcterms:W3CDTF">2017-10-06T13:17:00Z</dcterms:created>
  <dcterms:modified xsi:type="dcterms:W3CDTF">2017-10-06T13:17:00Z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