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B361" w14:textId="4BFDE354" w:rsidR="001779D8" w:rsidRPr="00FC7969" w:rsidRDefault="001779D8" w:rsidP="00732E00">
      <w:pPr>
        <w:jc w:val="both"/>
        <w:rPr>
          <w:rFonts w:asciiTheme="minorHAnsi" w:hAnsiTheme="minorHAnsi"/>
        </w:rPr>
      </w:pPr>
    </w:p>
    <w:p w14:paraId="62CF5791" w14:textId="77777777" w:rsidR="00762F07" w:rsidRPr="00FC7969" w:rsidRDefault="001779D8" w:rsidP="00732E00">
      <w:pPr>
        <w:jc w:val="both"/>
        <w:rPr>
          <w:rFonts w:asciiTheme="minorHAnsi" w:hAnsiTheme="minorHAnsi"/>
          <w:b/>
        </w:rPr>
      </w:pPr>
      <w:r w:rsidRPr="00FC7969">
        <w:rPr>
          <w:rFonts w:asciiTheme="minorHAnsi" w:hAnsiTheme="minorHAnsi"/>
          <w:b/>
        </w:rPr>
        <w:t>To:</w:t>
      </w:r>
      <w:r w:rsidRPr="00FC7969">
        <w:rPr>
          <w:rFonts w:asciiTheme="minorHAnsi" w:hAnsiTheme="minorHAnsi"/>
          <w:b/>
        </w:rPr>
        <w:tab/>
      </w:r>
      <w:r w:rsidR="00F55775" w:rsidRPr="00FC7969">
        <w:rPr>
          <w:rFonts w:asciiTheme="minorHAnsi" w:hAnsiTheme="minorHAnsi"/>
          <w:b/>
        </w:rPr>
        <w:t>United Nations Human Rights Committee</w:t>
      </w:r>
    </w:p>
    <w:p w14:paraId="475F52E1" w14:textId="77777777" w:rsidR="001779D8" w:rsidRPr="00FC7969" w:rsidRDefault="001779D8" w:rsidP="00732E00">
      <w:pPr>
        <w:ind w:left="720" w:hanging="720"/>
        <w:jc w:val="both"/>
        <w:rPr>
          <w:rFonts w:asciiTheme="minorHAnsi" w:hAnsiTheme="minorHAnsi"/>
          <w:b/>
        </w:rPr>
      </w:pPr>
      <w:r w:rsidRPr="00FC7969">
        <w:rPr>
          <w:rFonts w:asciiTheme="minorHAnsi" w:hAnsiTheme="minorHAnsi"/>
          <w:b/>
        </w:rPr>
        <w:t>From:</w:t>
      </w:r>
      <w:r w:rsidRPr="00FC7969">
        <w:rPr>
          <w:rFonts w:asciiTheme="minorHAnsi" w:hAnsiTheme="minorHAnsi"/>
          <w:b/>
        </w:rPr>
        <w:tab/>
      </w:r>
      <w:bookmarkStart w:id="0" w:name="_GoBack"/>
      <w:r w:rsidR="005A62F5" w:rsidRPr="00FC7969">
        <w:rPr>
          <w:rFonts w:asciiTheme="minorHAnsi" w:hAnsiTheme="minorHAnsi"/>
          <w:b/>
        </w:rPr>
        <w:t>Regent Law Center for Global Justice</w:t>
      </w:r>
      <w:r w:rsidR="006F208F" w:rsidRPr="00FC7969">
        <w:rPr>
          <w:rFonts w:asciiTheme="minorHAnsi" w:hAnsiTheme="minorHAnsi"/>
          <w:b/>
        </w:rPr>
        <w:t>, Human Rights, and the Rule of Law</w:t>
      </w:r>
      <w:bookmarkEnd w:id="0"/>
      <w:r w:rsidR="005A62F5" w:rsidRPr="00FC7969">
        <w:rPr>
          <w:rFonts w:asciiTheme="minorHAnsi" w:hAnsiTheme="minorHAnsi"/>
          <w:b/>
        </w:rPr>
        <w:t xml:space="preserve">; </w:t>
      </w:r>
      <w:r w:rsidR="00F55775" w:rsidRPr="00FC7969">
        <w:rPr>
          <w:rFonts w:asciiTheme="minorHAnsi" w:hAnsiTheme="minorHAnsi"/>
          <w:b/>
        </w:rPr>
        <w:t>Jeffrey Brauch; S. Ernie Walton</w:t>
      </w:r>
    </w:p>
    <w:p w14:paraId="2EFB6F96" w14:textId="32056ED3" w:rsidR="005A62F5" w:rsidRPr="00FC7969" w:rsidRDefault="005A62F5" w:rsidP="00732E00">
      <w:pPr>
        <w:jc w:val="both"/>
        <w:rPr>
          <w:rFonts w:asciiTheme="minorHAnsi" w:hAnsiTheme="minorHAnsi"/>
          <w:b/>
        </w:rPr>
      </w:pPr>
      <w:r w:rsidRPr="00FC7969">
        <w:rPr>
          <w:rFonts w:asciiTheme="minorHAnsi" w:hAnsiTheme="minorHAnsi"/>
          <w:b/>
        </w:rPr>
        <w:t xml:space="preserve">Re: </w:t>
      </w:r>
      <w:r w:rsidRPr="00FC7969">
        <w:rPr>
          <w:rFonts w:asciiTheme="minorHAnsi" w:hAnsiTheme="minorHAnsi"/>
          <w:b/>
        </w:rPr>
        <w:tab/>
      </w:r>
      <w:r w:rsidR="00450B4C">
        <w:rPr>
          <w:rFonts w:asciiTheme="minorHAnsi" w:hAnsiTheme="minorHAnsi"/>
          <w:b/>
        </w:rPr>
        <w:t>Comment to D</w:t>
      </w:r>
      <w:r w:rsidR="00F55775" w:rsidRPr="00FC7969">
        <w:rPr>
          <w:rFonts w:asciiTheme="minorHAnsi" w:hAnsiTheme="minorHAnsi"/>
          <w:b/>
        </w:rPr>
        <w:t>raft General Comment on Article 6</w:t>
      </w:r>
    </w:p>
    <w:p w14:paraId="00B6BCE4" w14:textId="06BCC06F" w:rsidR="00450B4C" w:rsidRDefault="005A62F5" w:rsidP="00732E00">
      <w:pPr>
        <w:jc w:val="both"/>
        <w:rPr>
          <w:rFonts w:asciiTheme="minorHAnsi" w:hAnsiTheme="minorHAnsi"/>
          <w:b/>
        </w:rPr>
      </w:pPr>
      <w:r w:rsidRPr="00FC7969">
        <w:rPr>
          <w:rFonts w:asciiTheme="minorHAnsi" w:hAnsiTheme="minorHAnsi"/>
          <w:b/>
        </w:rPr>
        <w:t>Date:</w:t>
      </w:r>
      <w:r w:rsidRPr="00FC7969">
        <w:rPr>
          <w:rFonts w:asciiTheme="minorHAnsi" w:hAnsiTheme="minorHAnsi"/>
          <w:b/>
        </w:rPr>
        <w:tab/>
      </w:r>
      <w:r w:rsidR="00B969F9">
        <w:rPr>
          <w:rFonts w:asciiTheme="minorHAnsi" w:hAnsiTheme="minorHAnsi"/>
          <w:b/>
        </w:rPr>
        <w:t>5</w:t>
      </w:r>
      <w:r w:rsidR="006F208F" w:rsidRPr="00FC7969">
        <w:rPr>
          <w:rFonts w:asciiTheme="minorHAnsi" w:hAnsiTheme="minorHAnsi"/>
          <w:b/>
        </w:rPr>
        <w:t xml:space="preserve"> October</w:t>
      </w:r>
      <w:r w:rsidR="00F55775" w:rsidRPr="00FC7969">
        <w:rPr>
          <w:rFonts w:asciiTheme="minorHAnsi" w:hAnsiTheme="minorHAnsi"/>
          <w:b/>
        </w:rPr>
        <w:t xml:space="preserve"> 2017</w:t>
      </w:r>
    </w:p>
    <w:p w14:paraId="0620DBF8" w14:textId="77777777" w:rsidR="00CA06BA" w:rsidRPr="00FC7969" w:rsidRDefault="00CA06BA" w:rsidP="00732E00">
      <w:pPr>
        <w:jc w:val="both"/>
        <w:rPr>
          <w:rFonts w:asciiTheme="minorHAnsi" w:hAnsiTheme="minorHAnsi"/>
          <w:b/>
        </w:rPr>
      </w:pPr>
    </w:p>
    <w:p w14:paraId="06A828E3" w14:textId="1C5ED290" w:rsidR="005A62F5" w:rsidRPr="00450B4C" w:rsidRDefault="00CA06BA" w:rsidP="00CA06BA">
      <w:pPr>
        <w:pStyle w:val="Heading2"/>
        <w:numPr>
          <w:ilvl w:val="0"/>
          <w:numId w:val="0"/>
        </w:numPr>
        <w:spacing w:before="0"/>
        <w:jc w:val="both"/>
        <w:rPr>
          <w:rFonts w:asciiTheme="minorHAnsi" w:hAnsiTheme="minorHAnsi"/>
          <w:b/>
          <w:sz w:val="22"/>
          <w:szCs w:val="22"/>
        </w:rPr>
      </w:pPr>
      <w:r>
        <w:rPr>
          <w:rFonts w:asciiTheme="minorHAnsi" w:hAnsiTheme="minorHAnsi"/>
          <w:b/>
          <w:sz w:val="22"/>
          <w:szCs w:val="22"/>
        </w:rPr>
        <w:t>Introduction</w:t>
      </w:r>
    </w:p>
    <w:p w14:paraId="7C354BA0" w14:textId="77777777" w:rsidR="00FC7969" w:rsidRDefault="00FC7969" w:rsidP="00732E00">
      <w:pPr>
        <w:spacing w:after="0"/>
        <w:ind w:firstLine="360"/>
        <w:jc w:val="both"/>
      </w:pPr>
    </w:p>
    <w:p w14:paraId="5F5562AE" w14:textId="1B558F84" w:rsidR="0061340F" w:rsidRDefault="00F55775" w:rsidP="000532AD">
      <w:pPr>
        <w:spacing w:after="0"/>
        <w:ind w:firstLine="360"/>
        <w:jc w:val="both"/>
        <w:rPr>
          <w:rFonts w:asciiTheme="minorHAnsi" w:hAnsiTheme="minorHAnsi"/>
        </w:rPr>
      </w:pPr>
      <w:r w:rsidRPr="00FC7969">
        <w:rPr>
          <w:rFonts w:asciiTheme="minorHAnsi" w:hAnsiTheme="minorHAnsi"/>
        </w:rPr>
        <w:t>In July 2017, the UN Human Rights Committee published for comment its first reading of draft General Comment on Article 6 of the I</w:t>
      </w:r>
      <w:r w:rsidR="00D17993">
        <w:rPr>
          <w:rFonts w:asciiTheme="minorHAnsi" w:hAnsiTheme="minorHAnsi"/>
        </w:rPr>
        <w:t>nternational Covenant on Civil and Political Rights (I</w:t>
      </w:r>
      <w:r w:rsidRPr="00FC7969">
        <w:rPr>
          <w:rFonts w:asciiTheme="minorHAnsi" w:hAnsiTheme="minorHAnsi"/>
        </w:rPr>
        <w:t>CCPR</w:t>
      </w:r>
      <w:r w:rsidR="00D17993">
        <w:rPr>
          <w:rFonts w:asciiTheme="minorHAnsi" w:hAnsiTheme="minorHAnsi"/>
        </w:rPr>
        <w:t>)</w:t>
      </w:r>
      <w:r w:rsidR="00CD7A41" w:rsidRPr="00FC7969">
        <w:rPr>
          <w:rFonts w:asciiTheme="minorHAnsi" w:hAnsiTheme="minorHAnsi"/>
        </w:rPr>
        <w:t>.</w:t>
      </w:r>
      <w:r w:rsidR="00E85AF3" w:rsidRPr="00FC7969">
        <w:rPr>
          <w:rStyle w:val="FootnoteReference"/>
          <w:rFonts w:asciiTheme="minorHAnsi" w:hAnsiTheme="minorHAnsi"/>
        </w:rPr>
        <w:footnoteReference w:id="1"/>
      </w:r>
      <w:r w:rsidR="0098330C" w:rsidRPr="00FC7969">
        <w:rPr>
          <w:rFonts w:asciiTheme="minorHAnsi" w:hAnsiTheme="minorHAnsi"/>
        </w:rPr>
        <w:t xml:space="preserve"> </w:t>
      </w:r>
      <w:r w:rsidRPr="00FC7969">
        <w:rPr>
          <w:rFonts w:asciiTheme="minorHAnsi" w:hAnsiTheme="minorHAnsi"/>
        </w:rPr>
        <w:t>T</w:t>
      </w:r>
      <w:r w:rsidR="0008088D" w:rsidRPr="00FC7969">
        <w:rPr>
          <w:rFonts w:asciiTheme="minorHAnsi" w:hAnsiTheme="minorHAnsi"/>
        </w:rPr>
        <w:t>his C</w:t>
      </w:r>
      <w:r w:rsidRPr="00FC7969">
        <w:rPr>
          <w:rFonts w:asciiTheme="minorHAnsi" w:hAnsiTheme="minorHAnsi"/>
        </w:rPr>
        <w:t>omment is submitted by Regent University School of Law Professors S. Ernie Walton</w:t>
      </w:r>
      <w:r w:rsidRPr="00FC7969">
        <w:rPr>
          <w:rStyle w:val="FootnoteReference"/>
          <w:rFonts w:asciiTheme="minorHAnsi" w:hAnsiTheme="minorHAnsi"/>
        </w:rPr>
        <w:footnoteReference w:id="2"/>
      </w:r>
      <w:r w:rsidRPr="00FC7969">
        <w:rPr>
          <w:rFonts w:asciiTheme="minorHAnsi" w:hAnsiTheme="minorHAnsi"/>
        </w:rPr>
        <w:t xml:space="preserve"> and Jeffrey Brauch</w:t>
      </w:r>
      <w:r w:rsidRPr="00FC7969">
        <w:rPr>
          <w:rStyle w:val="FootnoteReference"/>
          <w:rFonts w:asciiTheme="minorHAnsi" w:hAnsiTheme="minorHAnsi"/>
        </w:rPr>
        <w:footnoteReference w:id="3"/>
      </w:r>
      <w:r w:rsidRPr="00FC7969">
        <w:rPr>
          <w:rFonts w:asciiTheme="minorHAnsi" w:hAnsiTheme="minorHAnsi"/>
        </w:rPr>
        <w:t xml:space="preserve"> and the Regent Law Center for Global Justice, Human Rights, and the Rule of Law.</w:t>
      </w:r>
      <w:r w:rsidRPr="00FC7969">
        <w:rPr>
          <w:rStyle w:val="FootnoteReference"/>
          <w:rFonts w:asciiTheme="minorHAnsi" w:hAnsiTheme="minorHAnsi"/>
        </w:rPr>
        <w:footnoteReference w:id="4"/>
      </w:r>
      <w:r w:rsidRPr="00FC7969">
        <w:rPr>
          <w:rFonts w:asciiTheme="minorHAnsi" w:hAnsiTheme="minorHAnsi"/>
        </w:rPr>
        <w:t xml:space="preserve"> </w:t>
      </w:r>
      <w:r w:rsidR="00A929AF">
        <w:rPr>
          <w:rFonts w:asciiTheme="minorHAnsi" w:hAnsiTheme="minorHAnsi"/>
        </w:rPr>
        <w:t xml:space="preserve"> </w:t>
      </w:r>
      <w:r w:rsidR="0061340F" w:rsidRPr="00FC7969">
        <w:rPr>
          <w:rFonts w:asciiTheme="minorHAnsi" w:hAnsiTheme="minorHAnsi"/>
        </w:rPr>
        <w:t xml:space="preserve">The Committee’s mandate to States Parties to legalize, promote, and protect </w:t>
      </w:r>
      <w:r w:rsidR="00732E00">
        <w:rPr>
          <w:rFonts w:asciiTheme="minorHAnsi" w:hAnsiTheme="minorHAnsi"/>
        </w:rPr>
        <w:t xml:space="preserve">the “right” to </w:t>
      </w:r>
      <w:r w:rsidR="00D80C65">
        <w:rPr>
          <w:rFonts w:asciiTheme="minorHAnsi" w:hAnsiTheme="minorHAnsi"/>
        </w:rPr>
        <w:t>abortion violates i</w:t>
      </w:r>
      <w:r w:rsidR="0061340F" w:rsidRPr="00FC7969">
        <w:rPr>
          <w:rFonts w:asciiTheme="minorHAnsi" w:hAnsiTheme="minorHAnsi"/>
        </w:rPr>
        <w:t xml:space="preserve">nternational </w:t>
      </w:r>
      <w:r w:rsidR="00D80C65">
        <w:rPr>
          <w:rFonts w:asciiTheme="minorHAnsi" w:hAnsiTheme="minorHAnsi"/>
        </w:rPr>
        <w:t>l</w:t>
      </w:r>
      <w:r w:rsidR="0061340F" w:rsidRPr="00FC7969">
        <w:rPr>
          <w:rFonts w:asciiTheme="minorHAnsi" w:hAnsiTheme="minorHAnsi"/>
        </w:rPr>
        <w:t xml:space="preserve">aw in at least two distinct ways. First, </w:t>
      </w:r>
      <w:r w:rsidR="008F393E" w:rsidRPr="00FC7969">
        <w:rPr>
          <w:rFonts w:asciiTheme="minorHAnsi" w:hAnsiTheme="minorHAnsi"/>
        </w:rPr>
        <w:t xml:space="preserve">it alleges that the ICCPR </w:t>
      </w:r>
      <w:r w:rsidR="00FC7969">
        <w:rPr>
          <w:rFonts w:asciiTheme="minorHAnsi" w:hAnsiTheme="minorHAnsi"/>
        </w:rPr>
        <w:t>grants</w:t>
      </w:r>
      <w:r w:rsidR="008F393E" w:rsidRPr="00FC7969">
        <w:rPr>
          <w:rFonts w:asciiTheme="minorHAnsi" w:hAnsiTheme="minorHAnsi"/>
        </w:rPr>
        <w:t xml:space="preserve"> a right to abortion, which is false.  Second, </w:t>
      </w:r>
      <w:r w:rsidR="00FC7969">
        <w:rPr>
          <w:rFonts w:asciiTheme="minorHAnsi" w:hAnsiTheme="minorHAnsi"/>
        </w:rPr>
        <w:t>the comment</w:t>
      </w:r>
      <w:r w:rsidR="0061340F" w:rsidRPr="00FC7969">
        <w:rPr>
          <w:rFonts w:asciiTheme="minorHAnsi" w:hAnsiTheme="minorHAnsi"/>
        </w:rPr>
        <w:t xml:space="preserve"> usurps the </w:t>
      </w:r>
      <w:r w:rsidR="00FC7969">
        <w:rPr>
          <w:rFonts w:asciiTheme="minorHAnsi" w:hAnsiTheme="minorHAnsi"/>
        </w:rPr>
        <w:t xml:space="preserve">lawmaking role of states in international law and </w:t>
      </w:r>
      <w:r w:rsidR="00B969F9">
        <w:rPr>
          <w:rFonts w:asciiTheme="minorHAnsi" w:hAnsiTheme="minorHAnsi"/>
        </w:rPr>
        <w:t>seeks to impose</w:t>
      </w:r>
      <w:r w:rsidR="00FC7969">
        <w:rPr>
          <w:rFonts w:asciiTheme="minorHAnsi" w:hAnsiTheme="minorHAnsi"/>
        </w:rPr>
        <w:t xml:space="preserve"> an obligation on states to which they never agreed</w:t>
      </w:r>
      <w:r w:rsidR="0061340F" w:rsidRPr="00FC7969">
        <w:rPr>
          <w:rFonts w:asciiTheme="minorHAnsi" w:hAnsiTheme="minorHAnsi"/>
        </w:rPr>
        <w:t xml:space="preserve">. </w:t>
      </w:r>
    </w:p>
    <w:p w14:paraId="0E36125D" w14:textId="77777777" w:rsidR="00A929AF" w:rsidRPr="00FC7969" w:rsidRDefault="00A929AF" w:rsidP="00A929AF">
      <w:pPr>
        <w:spacing w:after="0"/>
        <w:ind w:firstLine="360"/>
        <w:jc w:val="both"/>
        <w:rPr>
          <w:rFonts w:asciiTheme="minorHAnsi" w:hAnsiTheme="minorHAnsi"/>
        </w:rPr>
      </w:pPr>
    </w:p>
    <w:p w14:paraId="69B78ACB" w14:textId="461A617B" w:rsidR="00FC7969" w:rsidRPr="00AD4EBB" w:rsidRDefault="0061340F" w:rsidP="00732E00">
      <w:pPr>
        <w:pStyle w:val="Heading2"/>
        <w:spacing w:before="0"/>
        <w:jc w:val="both"/>
        <w:rPr>
          <w:rFonts w:asciiTheme="minorHAnsi" w:hAnsiTheme="minorHAnsi"/>
          <w:b/>
          <w:sz w:val="22"/>
          <w:szCs w:val="22"/>
        </w:rPr>
      </w:pPr>
      <w:r w:rsidRPr="00AD4EBB">
        <w:rPr>
          <w:rFonts w:asciiTheme="minorHAnsi" w:hAnsiTheme="minorHAnsi"/>
          <w:b/>
          <w:sz w:val="22"/>
          <w:szCs w:val="22"/>
        </w:rPr>
        <w:t xml:space="preserve">The ICCPR </w:t>
      </w:r>
      <w:r w:rsidR="00732E00" w:rsidRPr="00AD4EBB">
        <w:rPr>
          <w:rFonts w:asciiTheme="minorHAnsi" w:hAnsiTheme="minorHAnsi"/>
          <w:b/>
          <w:sz w:val="22"/>
          <w:szCs w:val="22"/>
        </w:rPr>
        <w:t>Does Not Grant a Right to Abortion</w:t>
      </w:r>
      <w:r w:rsidR="00A929AF">
        <w:rPr>
          <w:rFonts w:asciiTheme="minorHAnsi" w:hAnsiTheme="minorHAnsi"/>
          <w:b/>
          <w:sz w:val="22"/>
          <w:szCs w:val="22"/>
        </w:rPr>
        <w:t xml:space="preserve"> and at Worst Is Silent on Whether </w:t>
      </w:r>
      <w:r w:rsidR="00CA06BA">
        <w:rPr>
          <w:rFonts w:asciiTheme="minorHAnsi" w:hAnsiTheme="minorHAnsi"/>
          <w:b/>
          <w:sz w:val="22"/>
          <w:szCs w:val="22"/>
        </w:rPr>
        <w:t xml:space="preserve">Article Six </w:t>
      </w:r>
      <w:r w:rsidR="00D80C65">
        <w:rPr>
          <w:rFonts w:asciiTheme="minorHAnsi" w:hAnsiTheme="minorHAnsi"/>
          <w:b/>
          <w:sz w:val="22"/>
          <w:szCs w:val="22"/>
        </w:rPr>
        <w:t>Encompasses</w:t>
      </w:r>
      <w:r w:rsidR="00CA06BA">
        <w:rPr>
          <w:rFonts w:asciiTheme="minorHAnsi" w:hAnsiTheme="minorHAnsi"/>
          <w:b/>
          <w:sz w:val="22"/>
          <w:szCs w:val="22"/>
        </w:rPr>
        <w:t xml:space="preserve"> Unborn Children</w:t>
      </w:r>
    </w:p>
    <w:p w14:paraId="415488EE" w14:textId="77777777" w:rsidR="00FC7969" w:rsidRPr="00FC7969" w:rsidRDefault="00FC7969" w:rsidP="00732E00">
      <w:pPr>
        <w:spacing w:after="0"/>
        <w:jc w:val="both"/>
      </w:pPr>
    </w:p>
    <w:p w14:paraId="6315DD9D" w14:textId="7DBF8FA5" w:rsidR="00FB3E01" w:rsidRDefault="00D80C65" w:rsidP="00732E00">
      <w:pPr>
        <w:spacing w:after="0"/>
        <w:ind w:firstLine="360"/>
        <w:jc w:val="both"/>
        <w:rPr>
          <w:rFonts w:asciiTheme="minorHAnsi" w:hAnsiTheme="minorHAnsi"/>
        </w:rPr>
      </w:pPr>
      <w:r>
        <w:rPr>
          <w:rFonts w:asciiTheme="minorHAnsi" w:hAnsiTheme="minorHAnsi"/>
        </w:rPr>
        <w:t>Treaties must be “interpreted in good faith in accordance with the ordinary meaning to be given to the terms of the treaty in their context and in the light of its object and purpose.”</w:t>
      </w:r>
      <w:r>
        <w:rPr>
          <w:rStyle w:val="FootnoteReference"/>
          <w:rFonts w:asciiTheme="minorHAnsi" w:hAnsiTheme="minorHAnsi"/>
        </w:rPr>
        <w:footnoteReference w:id="5"/>
      </w:r>
      <w:r w:rsidRPr="00FC7969">
        <w:rPr>
          <w:rFonts w:asciiTheme="minorHAnsi" w:hAnsiTheme="minorHAnsi"/>
        </w:rPr>
        <w:t xml:space="preserve"> </w:t>
      </w:r>
      <w:r>
        <w:rPr>
          <w:rFonts w:asciiTheme="minorHAnsi" w:hAnsiTheme="minorHAnsi"/>
        </w:rPr>
        <w:t xml:space="preserve"> And with the right to life, the Committee has previously noted that “t</w:t>
      </w:r>
      <w:r w:rsidR="00FB3E01" w:rsidRPr="00FC7969">
        <w:rPr>
          <w:rFonts w:asciiTheme="minorHAnsi" w:hAnsiTheme="minorHAnsi"/>
        </w:rPr>
        <w:t xml:space="preserve">he right to life has been too often narrowly interpreted. The expression ‘inherent right </w:t>
      </w:r>
      <w:r w:rsidR="00FB3E01" w:rsidRPr="00FC7969">
        <w:rPr>
          <w:rFonts w:asciiTheme="minorHAnsi" w:hAnsiTheme="minorHAnsi"/>
        </w:rPr>
        <w:lastRenderedPageBreak/>
        <w:t>to life’ cannot properly be under</w:t>
      </w:r>
      <w:r>
        <w:rPr>
          <w:rFonts w:asciiTheme="minorHAnsi" w:hAnsiTheme="minorHAnsi"/>
        </w:rPr>
        <w:t>stood in a restrictive manner.</w:t>
      </w:r>
      <w:r w:rsidR="00FB3E01" w:rsidRPr="00FC7969">
        <w:rPr>
          <w:rFonts w:asciiTheme="minorHAnsi" w:hAnsiTheme="minorHAnsi"/>
        </w:rPr>
        <w:t>”</w:t>
      </w:r>
      <w:r w:rsidR="00FB3E01" w:rsidRPr="00FC7969">
        <w:rPr>
          <w:rFonts w:asciiTheme="minorHAnsi" w:hAnsiTheme="minorHAnsi"/>
          <w:vertAlign w:val="superscript"/>
        </w:rPr>
        <w:footnoteReference w:id="6"/>
      </w:r>
      <w:r w:rsidR="00F51659">
        <w:rPr>
          <w:rFonts w:asciiTheme="minorHAnsi" w:hAnsiTheme="minorHAnsi"/>
        </w:rPr>
        <w:t xml:space="preserve"> T</w:t>
      </w:r>
      <w:r>
        <w:rPr>
          <w:rFonts w:asciiTheme="minorHAnsi" w:hAnsiTheme="minorHAnsi"/>
        </w:rPr>
        <w:t>he Comment ignores both</w:t>
      </w:r>
      <w:r w:rsidR="00F51659">
        <w:rPr>
          <w:rFonts w:asciiTheme="minorHAnsi" w:hAnsiTheme="minorHAnsi"/>
        </w:rPr>
        <w:t xml:space="preserve"> of these interpretive guides</w:t>
      </w:r>
      <w:r>
        <w:rPr>
          <w:rFonts w:asciiTheme="minorHAnsi" w:hAnsiTheme="minorHAnsi"/>
        </w:rPr>
        <w:t xml:space="preserve">. The Comment contradicts the ordinary meaning of the text and the context in which Article 6 is written and interprets the right to life in a “narrow” fashion. </w:t>
      </w:r>
    </w:p>
    <w:p w14:paraId="58E3B0FE" w14:textId="77777777" w:rsidR="00FC7969" w:rsidRPr="00FC7969" w:rsidRDefault="00FC7969" w:rsidP="00732E00">
      <w:pPr>
        <w:spacing w:after="0"/>
        <w:ind w:firstLine="360"/>
        <w:jc w:val="both"/>
        <w:rPr>
          <w:rFonts w:asciiTheme="minorHAnsi" w:hAnsiTheme="minorHAnsi"/>
        </w:rPr>
      </w:pPr>
    </w:p>
    <w:p w14:paraId="3209DBC3" w14:textId="40816460" w:rsidR="00A50617" w:rsidRPr="00876B12" w:rsidRDefault="00C45284" w:rsidP="00732E00">
      <w:pPr>
        <w:pStyle w:val="ListParagraph"/>
        <w:numPr>
          <w:ilvl w:val="0"/>
          <w:numId w:val="11"/>
        </w:numPr>
        <w:jc w:val="both"/>
        <w:rPr>
          <w:i/>
        </w:rPr>
      </w:pPr>
      <w:r w:rsidRPr="00876B12">
        <w:rPr>
          <w:i/>
        </w:rPr>
        <w:t>The Comment Contradicts the Ordinary Meaning of Article Six</w:t>
      </w:r>
    </w:p>
    <w:p w14:paraId="2C48503D" w14:textId="142E72E3" w:rsidR="00487C19" w:rsidRPr="00FC7969" w:rsidRDefault="005E5881" w:rsidP="008C4DCA">
      <w:pPr>
        <w:ind w:firstLine="360"/>
        <w:jc w:val="both"/>
        <w:rPr>
          <w:rFonts w:asciiTheme="minorHAnsi" w:hAnsiTheme="minorHAnsi"/>
        </w:rPr>
      </w:pPr>
      <w:r w:rsidRPr="00FC7969">
        <w:rPr>
          <w:rFonts w:asciiTheme="minorHAnsi" w:hAnsiTheme="minorHAnsi"/>
        </w:rPr>
        <w:t>Article 6</w:t>
      </w:r>
      <w:r w:rsidR="00127BDF">
        <w:rPr>
          <w:rFonts w:asciiTheme="minorHAnsi" w:hAnsiTheme="minorHAnsi"/>
        </w:rPr>
        <w:t>(1)</w:t>
      </w:r>
      <w:r w:rsidRPr="00FC7969">
        <w:rPr>
          <w:rFonts w:asciiTheme="minorHAnsi" w:hAnsiTheme="minorHAnsi"/>
        </w:rPr>
        <w:t xml:space="preserve"> of the ICCPR </w:t>
      </w:r>
      <w:r w:rsidR="00FC7969">
        <w:rPr>
          <w:rFonts w:asciiTheme="minorHAnsi" w:hAnsiTheme="minorHAnsi"/>
        </w:rPr>
        <w:t>guarantees that</w:t>
      </w:r>
      <w:r w:rsidRPr="00FC7969">
        <w:rPr>
          <w:rFonts w:asciiTheme="minorHAnsi" w:hAnsiTheme="minorHAnsi"/>
        </w:rPr>
        <w:t xml:space="preserve"> </w:t>
      </w:r>
      <w:r w:rsidRPr="00FC7969">
        <w:rPr>
          <w:rFonts w:asciiTheme="minorHAnsi" w:hAnsiTheme="minorHAnsi"/>
          <w:i/>
        </w:rPr>
        <w:t>“</w:t>
      </w:r>
      <w:r w:rsidR="00FC7969" w:rsidRPr="00FC7969">
        <w:rPr>
          <w:rFonts w:asciiTheme="minorHAnsi" w:hAnsiTheme="minorHAnsi"/>
          <w:b/>
          <w:i/>
        </w:rPr>
        <w:t>[e]</w:t>
      </w:r>
      <w:r w:rsidRPr="00FC7969">
        <w:rPr>
          <w:rFonts w:asciiTheme="minorHAnsi" w:hAnsiTheme="minorHAnsi"/>
          <w:b/>
          <w:i/>
        </w:rPr>
        <w:t>very human being</w:t>
      </w:r>
      <w:r w:rsidRPr="00FC7969">
        <w:rPr>
          <w:rFonts w:asciiTheme="minorHAnsi" w:hAnsiTheme="minorHAnsi"/>
        </w:rPr>
        <w:t xml:space="preserve"> has the inherent right to life. This right shall be protected by law. No one shall be arbitrarily deprived of his life.”</w:t>
      </w:r>
      <w:r w:rsidRPr="00FC7969">
        <w:rPr>
          <w:rStyle w:val="FootnoteReference"/>
          <w:rFonts w:asciiTheme="minorHAnsi" w:hAnsiTheme="minorHAnsi"/>
        </w:rPr>
        <w:footnoteReference w:id="7"/>
      </w:r>
      <w:r w:rsidRPr="00FC7969">
        <w:rPr>
          <w:rFonts w:asciiTheme="minorHAnsi" w:hAnsiTheme="minorHAnsi"/>
        </w:rPr>
        <w:t xml:space="preserve"> </w:t>
      </w:r>
      <w:r w:rsidR="009E3C8F" w:rsidRPr="00FC7969">
        <w:rPr>
          <w:rFonts w:asciiTheme="minorHAnsi" w:hAnsiTheme="minorHAnsi"/>
        </w:rPr>
        <w:t xml:space="preserve">Interpreting </w:t>
      </w:r>
      <w:r w:rsidR="00AD4EBB">
        <w:rPr>
          <w:rFonts w:asciiTheme="minorHAnsi" w:hAnsiTheme="minorHAnsi"/>
        </w:rPr>
        <w:t>the phrase “every human being”</w:t>
      </w:r>
      <w:r w:rsidR="00FC7969">
        <w:rPr>
          <w:rFonts w:asciiTheme="minorHAnsi" w:hAnsiTheme="minorHAnsi"/>
        </w:rPr>
        <w:t xml:space="preserve"> </w:t>
      </w:r>
      <w:r w:rsidR="009E3C8F" w:rsidRPr="00FC7969">
        <w:rPr>
          <w:rFonts w:asciiTheme="minorHAnsi" w:hAnsiTheme="minorHAnsi"/>
        </w:rPr>
        <w:t xml:space="preserve">as </w:t>
      </w:r>
      <w:r w:rsidR="00FC7969">
        <w:rPr>
          <w:rFonts w:asciiTheme="minorHAnsi" w:hAnsiTheme="minorHAnsi"/>
        </w:rPr>
        <w:t xml:space="preserve">excluding unborn children and </w:t>
      </w:r>
      <w:r w:rsidR="009E3C8F" w:rsidRPr="00FC7969">
        <w:rPr>
          <w:rFonts w:asciiTheme="minorHAnsi" w:hAnsiTheme="minorHAnsi"/>
        </w:rPr>
        <w:t xml:space="preserve">promoting a right to abortion </w:t>
      </w:r>
      <w:r w:rsidR="00FC7969">
        <w:rPr>
          <w:rFonts w:asciiTheme="minorHAnsi" w:hAnsiTheme="minorHAnsi"/>
        </w:rPr>
        <w:t>contradicts</w:t>
      </w:r>
      <w:r w:rsidR="009E3C8F" w:rsidRPr="00FC7969">
        <w:rPr>
          <w:rFonts w:asciiTheme="minorHAnsi" w:hAnsiTheme="minorHAnsi"/>
        </w:rPr>
        <w:t xml:space="preserve"> the ordinary meaning of the </w:t>
      </w:r>
      <w:r w:rsidR="00FC7969">
        <w:rPr>
          <w:rFonts w:asciiTheme="minorHAnsi" w:hAnsiTheme="minorHAnsi"/>
        </w:rPr>
        <w:t>text</w:t>
      </w:r>
      <w:r w:rsidR="00FB3E01" w:rsidRPr="00FC7969">
        <w:rPr>
          <w:rFonts w:asciiTheme="minorHAnsi" w:hAnsiTheme="minorHAnsi"/>
        </w:rPr>
        <w:t xml:space="preserve"> and </w:t>
      </w:r>
      <w:r w:rsidR="00FC7969">
        <w:rPr>
          <w:rFonts w:asciiTheme="minorHAnsi" w:hAnsiTheme="minorHAnsi"/>
        </w:rPr>
        <w:t>constitutes</w:t>
      </w:r>
      <w:r w:rsidR="00FB3E01" w:rsidRPr="00FC7969">
        <w:rPr>
          <w:rFonts w:asciiTheme="minorHAnsi" w:hAnsiTheme="minorHAnsi"/>
        </w:rPr>
        <w:t xml:space="preserve"> a</w:t>
      </w:r>
      <w:r w:rsidR="00645EB0">
        <w:rPr>
          <w:rFonts w:asciiTheme="minorHAnsi" w:hAnsiTheme="minorHAnsi"/>
        </w:rPr>
        <w:t>n</w:t>
      </w:r>
      <w:r w:rsidR="00FB3E01" w:rsidRPr="00FC7969">
        <w:rPr>
          <w:rFonts w:asciiTheme="minorHAnsi" w:hAnsiTheme="minorHAnsi"/>
        </w:rPr>
        <w:t xml:space="preserve"> </w:t>
      </w:r>
      <w:r w:rsidR="00645EB0">
        <w:rPr>
          <w:rFonts w:asciiTheme="minorHAnsi" w:hAnsiTheme="minorHAnsi"/>
        </w:rPr>
        <w:t xml:space="preserve">improper </w:t>
      </w:r>
      <w:r w:rsidR="00FC7969">
        <w:rPr>
          <w:rFonts w:asciiTheme="minorHAnsi" w:hAnsiTheme="minorHAnsi"/>
        </w:rPr>
        <w:t>“</w:t>
      </w:r>
      <w:r w:rsidR="00FB3E01" w:rsidRPr="00FC7969">
        <w:rPr>
          <w:rFonts w:asciiTheme="minorHAnsi" w:hAnsiTheme="minorHAnsi"/>
        </w:rPr>
        <w:t>narrow</w:t>
      </w:r>
      <w:r w:rsidR="00FC7969">
        <w:rPr>
          <w:rFonts w:asciiTheme="minorHAnsi" w:hAnsiTheme="minorHAnsi"/>
        </w:rPr>
        <w:t>”</w:t>
      </w:r>
      <w:r w:rsidR="00FB3E01" w:rsidRPr="00FC7969">
        <w:rPr>
          <w:rFonts w:asciiTheme="minorHAnsi" w:hAnsiTheme="minorHAnsi"/>
        </w:rPr>
        <w:t xml:space="preserve"> interpretation of </w:t>
      </w:r>
      <w:r w:rsidR="007E6333">
        <w:rPr>
          <w:rFonts w:asciiTheme="minorHAnsi" w:hAnsiTheme="minorHAnsi"/>
        </w:rPr>
        <w:t xml:space="preserve">who enjoys </w:t>
      </w:r>
      <w:r w:rsidR="00FB3E01" w:rsidRPr="00FC7969">
        <w:rPr>
          <w:rFonts w:asciiTheme="minorHAnsi" w:hAnsiTheme="minorHAnsi"/>
        </w:rPr>
        <w:t xml:space="preserve">the </w:t>
      </w:r>
      <w:r w:rsidR="00FC7969">
        <w:rPr>
          <w:rFonts w:asciiTheme="minorHAnsi" w:hAnsiTheme="minorHAnsi"/>
        </w:rPr>
        <w:t>r</w:t>
      </w:r>
      <w:r w:rsidR="00FB3E01" w:rsidRPr="00FC7969">
        <w:rPr>
          <w:rFonts w:asciiTheme="minorHAnsi" w:hAnsiTheme="minorHAnsi"/>
        </w:rPr>
        <w:t xml:space="preserve">ight to </w:t>
      </w:r>
      <w:r w:rsidR="00FC7969">
        <w:rPr>
          <w:rFonts w:asciiTheme="minorHAnsi" w:hAnsiTheme="minorHAnsi"/>
        </w:rPr>
        <w:t>l</w:t>
      </w:r>
      <w:r w:rsidR="00FC7969" w:rsidRPr="00FC7969">
        <w:rPr>
          <w:rFonts w:asciiTheme="minorHAnsi" w:hAnsiTheme="minorHAnsi"/>
        </w:rPr>
        <w:t>ife</w:t>
      </w:r>
      <w:r w:rsidR="00FB3E01" w:rsidRPr="00FC7969">
        <w:rPr>
          <w:rFonts w:asciiTheme="minorHAnsi" w:hAnsiTheme="minorHAnsi"/>
        </w:rPr>
        <w:t>.</w:t>
      </w:r>
      <w:r w:rsidR="00FB3E01" w:rsidRPr="00FC7969">
        <w:rPr>
          <w:rStyle w:val="FootnoteReference"/>
          <w:rFonts w:asciiTheme="minorHAnsi" w:hAnsiTheme="minorHAnsi"/>
        </w:rPr>
        <w:footnoteReference w:id="8"/>
      </w:r>
      <w:r w:rsidR="00FB3E01" w:rsidRPr="00FC7969">
        <w:rPr>
          <w:rFonts w:asciiTheme="minorHAnsi" w:hAnsiTheme="minorHAnsi"/>
        </w:rPr>
        <w:t xml:space="preserve"> Considering that the right to life serves as the foundation for all other human rights, any ambiguity should be interpreted in favor of life</w:t>
      </w:r>
      <w:r w:rsidR="007744A9">
        <w:rPr>
          <w:rFonts w:asciiTheme="minorHAnsi" w:hAnsiTheme="minorHAnsi"/>
        </w:rPr>
        <w:t>, just as the Committee has indicated previously</w:t>
      </w:r>
      <w:r w:rsidR="00FB3E01" w:rsidRPr="00FC7969">
        <w:rPr>
          <w:rFonts w:asciiTheme="minorHAnsi" w:hAnsiTheme="minorHAnsi"/>
        </w:rPr>
        <w:t xml:space="preserve">. </w:t>
      </w:r>
      <w:r w:rsidR="00DA158F">
        <w:rPr>
          <w:rFonts w:asciiTheme="minorHAnsi" w:hAnsiTheme="minorHAnsi"/>
        </w:rPr>
        <w:t xml:space="preserve">“Every human being” should therefore be interpreted broadly and naturally to include individuals both born and not yet born. </w:t>
      </w:r>
    </w:p>
    <w:p w14:paraId="6D3B0AA0" w14:textId="716116E3" w:rsidR="00487C19" w:rsidRPr="00876B12" w:rsidRDefault="001F4130" w:rsidP="00732E00">
      <w:pPr>
        <w:pStyle w:val="ListParagraph"/>
        <w:numPr>
          <w:ilvl w:val="0"/>
          <w:numId w:val="11"/>
        </w:numPr>
        <w:jc w:val="both"/>
        <w:rPr>
          <w:i/>
        </w:rPr>
      </w:pPr>
      <w:r w:rsidRPr="00876B12">
        <w:rPr>
          <w:i/>
        </w:rPr>
        <w:t xml:space="preserve">The Comment Ignores the Context of Article Six and Extends </w:t>
      </w:r>
      <w:r w:rsidR="00CD68AE">
        <w:rPr>
          <w:i/>
        </w:rPr>
        <w:t>It</w:t>
      </w:r>
      <w:r w:rsidRPr="00876B12">
        <w:rPr>
          <w:i/>
        </w:rPr>
        <w:t xml:space="preserve"> Beyond the Article and Treaty’s Object and Purpose</w:t>
      </w:r>
    </w:p>
    <w:p w14:paraId="2B41B08B" w14:textId="5A4D3A93" w:rsidR="00C56DE0" w:rsidRDefault="00C45284" w:rsidP="00732E00">
      <w:pPr>
        <w:ind w:firstLine="360"/>
        <w:jc w:val="both"/>
        <w:rPr>
          <w:rFonts w:asciiTheme="minorHAnsi" w:hAnsiTheme="minorHAnsi"/>
        </w:rPr>
      </w:pPr>
      <w:r>
        <w:rPr>
          <w:rFonts w:asciiTheme="minorHAnsi" w:hAnsiTheme="minorHAnsi"/>
        </w:rPr>
        <w:t>Not only does the Comment contradict the ordinary meaning of Article 6</w:t>
      </w:r>
      <w:r w:rsidR="00127BDF">
        <w:rPr>
          <w:rFonts w:asciiTheme="minorHAnsi" w:hAnsiTheme="minorHAnsi"/>
        </w:rPr>
        <w:t>(1)</w:t>
      </w:r>
      <w:r>
        <w:rPr>
          <w:rFonts w:asciiTheme="minorHAnsi" w:hAnsiTheme="minorHAnsi"/>
        </w:rPr>
        <w:t>, it also contradicts the context of Article 6</w:t>
      </w:r>
      <w:r w:rsidR="00450B4C">
        <w:rPr>
          <w:rFonts w:asciiTheme="minorHAnsi" w:hAnsiTheme="minorHAnsi"/>
        </w:rPr>
        <w:t xml:space="preserve"> and the object and purpose of the ICCPR</w:t>
      </w:r>
      <w:r>
        <w:rPr>
          <w:rFonts w:asciiTheme="minorHAnsi" w:hAnsiTheme="minorHAnsi"/>
        </w:rPr>
        <w:t>. “Context” in Article 31 of the Vienna Convention on the Law of Treaties should certainly include other articles in the same treaty. Accordingly, Article 6</w:t>
      </w:r>
      <w:r w:rsidR="00127BDF">
        <w:rPr>
          <w:rFonts w:asciiTheme="minorHAnsi" w:hAnsiTheme="minorHAnsi"/>
        </w:rPr>
        <w:t>(1)</w:t>
      </w:r>
      <w:r>
        <w:rPr>
          <w:rFonts w:asciiTheme="minorHAnsi" w:hAnsiTheme="minorHAnsi"/>
        </w:rPr>
        <w:t xml:space="preserve"> should be construed consistently with other articles in the ICCPR that address the right to life and unborn children. </w:t>
      </w:r>
      <w:r w:rsidR="00FB3E01" w:rsidRPr="00FC7969">
        <w:rPr>
          <w:rFonts w:asciiTheme="minorHAnsi" w:hAnsiTheme="minorHAnsi"/>
        </w:rPr>
        <w:t xml:space="preserve">As the Comment begrudgingly acknowledges in paragraph 52, </w:t>
      </w:r>
      <w:r w:rsidR="00A50617" w:rsidRPr="00FC7969">
        <w:rPr>
          <w:rFonts w:asciiTheme="minorHAnsi" w:hAnsiTheme="minorHAnsi"/>
        </w:rPr>
        <w:t>when the</w:t>
      </w:r>
      <w:r w:rsidR="00FB3E01" w:rsidRPr="00FC7969">
        <w:rPr>
          <w:rFonts w:asciiTheme="minorHAnsi" w:hAnsiTheme="minorHAnsi"/>
        </w:rPr>
        <w:t xml:space="preserve"> ICCPR mentions the unborn i</w:t>
      </w:r>
      <w:r w:rsidR="00A50617" w:rsidRPr="00FC7969">
        <w:rPr>
          <w:rFonts w:asciiTheme="minorHAnsi" w:hAnsiTheme="minorHAnsi"/>
        </w:rPr>
        <w:t>t does so</w:t>
      </w:r>
      <w:r w:rsidR="00FB3E01" w:rsidRPr="00FC7969">
        <w:rPr>
          <w:rFonts w:asciiTheme="minorHAnsi" w:hAnsiTheme="minorHAnsi"/>
        </w:rPr>
        <w:t xml:space="preserve"> in favor of </w:t>
      </w:r>
      <w:r w:rsidR="00FB3E01" w:rsidRPr="00CA06BA">
        <w:rPr>
          <w:rFonts w:asciiTheme="minorHAnsi" w:hAnsiTheme="minorHAnsi"/>
        </w:rPr>
        <w:t>life</w:t>
      </w:r>
      <w:r w:rsidR="00FB3E01" w:rsidRPr="00FC7969">
        <w:rPr>
          <w:rFonts w:asciiTheme="minorHAnsi" w:hAnsiTheme="minorHAnsi"/>
        </w:rPr>
        <w:t>, by prohibiting the impo</w:t>
      </w:r>
      <w:r w:rsidR="00AD4EBB">
        <w:rPr>
          <w:rFonts w:asciiTheme="minorHAnsi" w:hAnsiTheme="minorHAnsi"/>
        </w:rPr>
        <w:t>sition of the death penalty on pregnant wome</w:t>
      </w:r>
      <w:r w:rsidR="00FB3E01" w:rsidRPr="00FC7969">
        <w:rPr>
          <w:rFonts w:asciiTheme="minorHAnsi" w:hAnsiTheme="minorHAnsi"/>
        </w:rPr>
        <w:t>n.</w:t>
      </w:r>
      <w:r w:rsidR="00FB3E01" w:rsidRPr="00FC7969">
        <w:rPr>
          <w:rStyle w:val="FootnoteReference"/>
          <w:rFonts w:asciiTheme="minorHAnsi" w:hAnsiTheme="minorHAnsi"/>
        </w:rPr>
        <w:footnoteReference w:id="9"/>
      </w:r>
      <w:r w:rsidR="00FB3E01" w:rsidRPr="00FC7969">
        <w:rPr>
          <w:rFonts w:asciiTheme="minorHAnsi" w:hAnsiTheme="minorHAnsi"/>
        </w:rPr>
        <w:t xml:space="preserve"> Despite </w:t>
      </w:r>
      <w:r w:rsidR="00AD4EBB" w:rsidRPr="00FC7969">
        <w:rPr>
          <w:rFonts w:asciiTheme="minorHAnsi" w:hAnsiTheme="minorHAnsi"/>
        </w:rPr>
        <w:t>th</w:t>
      </w:r>
      <w:r w:rsidR="000532AD">
        <w:rPr>
          <w:rFonts w:asciiTheme="minorHAnsi" w:hAnsiTheme="minorHAnsi"/>
        </w:rPr>
        <w:t>is</w:t>
      </w:r>
      <w:r w:rsidR="00AD4EBB" w:rsidRPr="00FC7969">
        <w:rPr>
          <w:rFonts w:asciiTheme="minorHAnsi" w:hAnsiTheme="minorHAnsi"/>
        </w:rPr>
        <w:t xml:space="preserve"> </w:t>
      </w:r>
      <w:r w:rsidR="00FB3E01" w:rsidRPr="00FC7969">
        <w:rPr>
          <w:rFonts w:asciiTheme="minorHAnsi" w:hAnsiTheme="minorHAnsi"/>
        </w:rPr>
        <w:t xml:space="preserve">textual reference </w:t>
      </w:r>
      <w:r>
        <w:rPr>
          <w:rFonts w:asciiTheme="minorHAnsi" w:hAnsiTheme="minorHAnsi"/>
        </w:rPr>
        <w:t xml:space="preserve">in the ICCPR </w:t>
      </w:r>
      <w:r w:rsidR="00FB3E01" w:rsidRPr="00FC7969">
        <w:rPr>
          <w:rFonts w:asciiTheme="minorHAnsi" w:hAnsiTheme="minorHAnsi"/>
        </w:rPr>
        <w:t xml:space="preserve">to protecting the life of an unborn child, the Comment </w:t>
      </w:r>
      <w:r>
        <w:rPr>
          <w:rFonts w:asciiTheme="minorHAnsi" w:hAnsiTheme="minorHAnsi"/>
        </w:rPr>
        <w:t>does not discuss this in any fashion. It simply acknowledges its existence and moves on</w:t>
      </w:r>
      <w:r w:rsidR="00AD4EBB">
        <w:rPr>
          <w:rFonts w:asciiTheme="minorHAnsi" w:hAnsiTheme="minorHAnsi"/>
        </w:rPr>
        <w:t xml:space="preserve"> as if it is not part of the treaty</w:t>
      </w:r>
      <w:r w:rsidR="00E14FA0">
        <w:rPr>
          <w:rFonts w:asciiTheme="minorHAnsi" w:hAnsiTheme="minorHAnsi"/>
        </w:rPr>
        <w:t xml:space="preserve"> nor in any way relevant to understanding the meaning of Article 6</w:t>
      </w:r>
      <w:r w:rsidR="00127BDF">
        <w:rPr>
          <w:rFonts w:asciiTheme="minorHAnsi" w:hAnsiTheme="minorHAnsi"/>
        </w:rPr>
        <w:t>(1)</w:t>
      </w:r>
      <w:r>
        <w:rPr>
          <w:rFonts w:asciiTheme="minorHAnsi" w:hAnsiTheme="minorHAnsi"/>
        </w:rPr>
        <w:t xml:space="preserve">. </w:t>
      </w:r>
    </w:p>
    <w:p w14:paraId="0D138D7F" w14:textId="47D6BF24" w:rsidR="001C3B92" w:rsidRPr="00FC7969" w:rsidRDefault="00CA5F89" w:rsidP="00732E00">
      <w:pPr>
        <w:ind w:firstLine="360"/>
        <w:jc w:val="both"/>
        <w:rPr>
          <w:rFonts w:asciiTheme="minorHAnsi" w:hAnsiTheme="minorHAnsi"/>
          <w:color w:val="FF0000"/>
        </w:rPr>
      </w:pPr>
      <w:r>
        <w:t xml:space="preserve">In </w:t>
      </w:r>
      <w:r w:rsidR="00C56DE0">
        <w:t xml:space="preserve">striking contrast to how </w:t>
      </w:r>
      <w:r>
        <w:t>the Comment</w:t>
      </w:r>
      <w:r w:rsidR="00C56DE0">
        <w:t xml:space="preserve"> ignores the </w:t>
      </w:r>
      <w:r w:rsidR="00127BDF">
        <w:t xml:space="preserve">ICCPR’s </w:t>
      </w:r>
      <w:r w:rsidR="00C56DE0">
        <w:t xml:space="preserve">reference to </w:t>
      </w:r>
      <w:r w:rsidR="00803676">
        <w:t xml:space="preserve">protecting </w:t>
      </w:r>
      <w:r w:rsidR="00C56DE0">
        <w:t xml:space="preserve">unborn children in Article </w:t>
      </w:r>
      <w:r w:rsidR="00127BDF">
        <w:t>6(5), the C</w:t>
      </w:r>
      <w:r w:rsidR="00C56DE0">
        <w:t xml:space="preserve">omment </w:t>
      </w:r>
      <w:r w:rsidR="00FB3E01" w:rsidRPr="00FC7969">
        <w:rPr>
          <w:rFonts w:asciiTheme="minorHAnsi" w:hAnsiTheme="minorHAnsi"/>
        </w:rPr>
        <w:t xml:space="preserve">explains and supports in detail </w:t>
      </w:r>
      <w:r w:rsidR="00127BDF">
        <w:rPr>
          <w:rFonts w:asciiTheme="minorHAnsi" w:hAnsiTheme="minorHAnsi"/>
        </w:rPr>
        <w:t>the</w:t>
      </w:r>
      <w:r w:rsidR="00FB3E01" w:rsidRPr="00FC7969">
        <w:rPr>
          <w:rFonts w:asciiTheme="minorHAnsi" w:hAnsiTheme="minorHAnsi"/>
        </w:rPr>
        <w:t xml:space="preserve"> other prohibition on the death penalty </w:t>
      </w:r>
      <w:r w:rsidR="00127BDF">
        <w:rPr>
          <w:rFonts w:asciiTheme="minorHAnsi" w:hAnsiTheme="minorHAnsi"/>
        </w:rPr>
        <w:t xml:space="preserve">in Article </w:t>
      </w:r>
      <w:r w:rsidR="00577048">
        <w:rPr>
          <w:rFonts w:asciiTheme="minorHAnsi" w:hAnsiTheme="minorHAnsi"/>
        </w:rPr>
        <w:t>6(5)—</w:t>
      </w:r>
      <w:r w:rsidR="00FB3E01" w:rsidRPr="00FC7969">
        <w:rPr>
          <w:rFonts w:asciiTheme="minorHAnsi" w:hAnsiTheme="minorHAnsi"/>
        </w:rPr>
        <w:t>against persons below the age of 18.</w:t>
      </w:r>
      <w:r w:rsidR="00FB3E01" w:rsidRPr="00FC7969">
        <w:rPr>
          <w:rStyle w:val="FootnoteReference"/>
          <w:rFonts w:asciiTheme="minorHAnsi" w:hAnsiTheme="minorHAnsi"/>
        </w:rPr>
        <w:footnoteReference w:id="10"/>
      </w:r>
      <w:r w:rsidR="00FB3E01" w:rsidRPr="00FC7969">
        <w:rPr>
          <w:rFonts w:asciiTheme="minorHAnsi" w:hAnsiTheme="minorHAnsi"/>
        </w:rPr>
        <w:t xml:space="preserve"> Here</w:t>
      </w:r>
      <w:r w:rsidR="007744A9">
        <w:rPr>
          <w:rFonts w:asciiTheme="minorHAnsi" w:hAnsiTheme="minorHAnsi"/>
        </w:rPr>
        <w:t>,</w:t>
      </w:r>
      <w:r w:rsidR="00A50617" w:rsidRPr="00FC7969">
        <w:rPr>
          <w:rFonts w:asciiTheme="minorHAnsi" w:hAnsiTheme="minorHAnsi"/>
        </w:rPr>
        <w:t xml:space="preserve"> </w:t>
      </w:r>
      <w:r w:rsidR="00FB3E01" w:rsidRPr="00FC7969">
        <w:rPr>
          <w:rFonts w:asciiTheme="minorHAnsi" w:hAnsiTheme="minorHAnsi"/>
        </w:rPr>
        <w:t>the Committee chooses to give the benefit of doubt</w:t>
      </w:r>
      <w:r w:rsidR="001F4130">
        <w:rPr>
          <w:rFonts w:asciiTheme="minorHAnsi" w:hAnsiTheme="minorHAnsi"/>
        </w:rPr>
        <w:t xml:space="preserve">, i.e., </w:t>
      </w:r>
      <w:r w:rsidR="00FB3E01" w:rsidRPr="00FC7969">
        <w:rPr>
          <w:rFonts w:asciiTheme="minorHAnsi" w:hAnsiTheme="minorHAnsi"/>
        </w:rPr>
        <w:t>err on the side of life</w:t>
      </w:r>
      <w:r w:rsidR="001F4130">
        <w:rPr>
          <w:rFonts w:asciiTheme="minorHAnsi" w:hAnsiTheme="minorHAnsi"/>
        </w:rPr>
        <w:t>.</w:t>
      </w:r>
      <w:r w:rsidR="00FB3E01" w:rsidRPr="00FC7969">
        <w:rPr>
          <w:rFonts w:asciiTheme="minorHAnsi" w:hAnsiTheme="minorHAnsi"/>
        </w:rPr>
        <w:t xml:space="preserve"> </w:t>
      </w:r>
      <w:r w:rsidR="001F4130">
        <w:rPr>
          <w:rFonts w:asciiTheme="minorHAnsi" w:hAnsiTheme="minorHAnsi"/>
        </w:rPr>
        <w:t>W</w:t>
      </w:r>
      <w:r w:rsidR="00FB3E01" w:rsidRPr="00FC7969">
        <w:rPr>
          <w:rFonts w:asciiTheme="minorHAnsi" w:hAnsiTheme="minorHAnsi"/>
        </w:rPr>
        <w:t>hen there is no “reliable and conclusive proof” that the person was not below the age of 18 at the time the offence was committed</w:t>
      </w:r>
      <w:r w:rsidR="001F4130">
        <w:rPr>
          <w:rFonts w:asciiTheme="minorHAnsi" w:hAnsiTheme="minorHAnsi"/>
        </w:rPr>
        <w:t xml:space="preserve">, </w:t>
      </w:r>
      <w:r w:rsidR="00645EB0">
        <w:rPr>
          <w:rFonts w:asciiTheme="minorHAnsi" w:hAnsiTheme="minorHAnsi"/>
        </w:rPr>
        <w:t>says the Comment,</w:t>
      </w:r>
      <w:r w:rsidR="001F4130">
        <w:rPr>
          <w:rFonts w:asciiTheme="minorHAnsi" w:hAnsiTheme="minorHAnsi"/>
        </w:rPr>
        <w:t xml:space="preserve"> Article </w:t>
      </w:r>
      <w:r w:rsidR="00127BDF">
        <w:rPr>
          <w:rFonts w:asciiTheme="minorHAnsi" w:hAnsiTheme="minorHAnsi"/>
        </w:rPr>
        <w:t>6(5)</w:t>
      </w:r>
      <w:r w:rsidR="001F4130">
        <w:rPr>
          <w:rFonts w:asciiTheme="minorHAnsi" w:hAnsiTheme="minorHAnsi"/>
        </w:rPr>
        <w:t xml:space="preserve"> mandates </w:t>
      </w:r>
      <w:r w:rsidR="00E14FA0">
        <w:rPr>
          <w:rFonts w:asciiTheme="minorHAnsi" w:hAnsiTheme="minorHAnsi"/>
        </w:rPr>
        <w:t xml:space="preserve">that states parties </w:t>
      </w:r>
      <w:r w:rsidR="001F4130">
        <w:rPr>
          <w:rFonts w:asciiTheme="minorHAnsi" w:hAnsiTheme="minorHAnsi"/>
        </w:rPr>
        <w:t>refrain from imposing the death penalty</w:t>
      </w:r>
      <w:r w:rsidR="00FB3E01" w:rsidRPr="00FC7969">
        <w:rPr>
          <w:rFonts w:asciiTheme="minorHAnsi" w:hAnsiTheme="minorHAnsi"/>
        </w:rPr>
        <w:t>.</w:t>
      </w:r>
      <w:r w:rsidR="00FB3E01" w:rsidRPr="00FC7969">
        <w:rPr>
          <w:rStyle w:val="FootnoteReference"/>
          <w:rFonts w:asciiTheme="minorHAnsi" w:hAnsiTheme="minorHAnsi"/>
        </w:rPr>
        <w:footnoteReference w:id="11"/>
      </w:r>
      <w:r w:rsidR="00FB3E01" w:rsidRPr="00FC7969">
        <w:rPr>
          <w:rFonts w:asciiTheme="minorHAnsi" w:hAnsiTheme="minorHAnsi"/>
        </w:rPr>
        <w:t xml:space="preserve"> This makes complete sense: there is an express prohibition</w:t>
      </w:r>
      <w:r w:rsidR="001F4130">
        <w:rPr>
          <w:rFonts w:asciiTheme="minorHAnsi" w:hAnsiTheme="minorHAnsi"/>
        </w:rPr>
        <w:t xml:space="preserve"> in the treaty</w:t>
      </w:r>
      <w:r w:rsidR="00FB3E01" w:rsidRPr="00FC7969">
        <w:rPr>
          <w:rFonts w:asciiTheme="minorHAnsi" w:hAnsiTheme="minorHAnsi"/>
        </w:rPr>
        <w:t xml:space="preserve">, and the </w:t>
      </w:r>
      <w:r w:rsidR="00AD4EBB">
        <w:rPr>
          <w:rFonts w:asciiTheme="minorHAnsi" w:hAnsiTheme="minorHAnsi"/>
        </w:rPr>
        <w:t>context and</w:t>
      </w:r>
      <w:r w:rsidR="001F4130">
        <w:rPr>
          <w:rFonts w:asciiTheme="minorHAnsi" w:hAnsiTheme="minorHAnsi"/>
        </w:rPr>
        <w:t xml:space="preserve"> object and purpose </w:t>
      </w:r>
      <w:r w:rsidR="00FB3E01" w:rsidRPr="00FC7969">
        <w:rPr>
          <w:rFonts w:asciiTheme="minorHAnsi" w:hAnsiTheme="minorHAnsi"/>
        </w:rPr>
        <w:t xml:space="preserve">of the article </w:t>
      </w:r>
      <w:r w:rsidR="00AD4EBB">
        <w:rPr>
          <w:rFonts w:asciiTheme="minorHAnsi" w:hAnsiTheme="minorHAnsi"/>
        </w:rPr>
        <w:t xml:space="preserve">and treaty </w:t>
      </w:r>
      <w:r w:rsidR="00FB3E01" w:rsidRPr="00FC7969">
        <w:rPr>
          <w:rFonts w:asciiTheme="minorHAnsi" w:hAnsiTheme="minorHAnsi"/>
        </w:rPr>
        <w:t xml:space="preserve">favor life. </w:t>
      </w:r>
      <w:r w:rsidR="00A50617" w:rsidRPr="00FC7969">
        <w:rPr>
          <w:rFonts w:asciiTheme="minorHAnsi" w:hAnsiTheme="minorHAnsi"/>
        </w:rPr>
        <w:t xml:space="preserve">Yet the Committee does not apply the same benefit of </w:t>
      </w:r>
      <w:r w:rsidR="001F4130">
        <w:rPr>
          <w:rFonts w:asciiTheme="minorHAnsi" w:hAnsiTheme="minorHAnsi"/>
        </w:rPr>
        <w:t xml:space="preserve">the </w:t>
      </w:r>
      <w:r w:rsidR="00A50617" w:rsidRPr="00FC7969">
        <w:rPr>
          <w:rFonts w:asciiTheme="minorHAnsi" w:hAnsiTheme="minorHAnsi"/>
        </w:rPr>
        <w:t>doubt to unborn children</w:t>
      </w:r>
      <w:r w:rsidR="001F4130">
        <w:rPr>
          <w:rFonts w:asciiTheme="minorHAnsi" w:hAnsiTheme="minorHAnsi"/>
        </w:rPr>
        <w:t>—</w:t>
      </w:r>
      <w:r w:rsidR="00A50617" w:rsidRPr="00FC7969">
        <w:rPr>
          <w:rFonts w:asciiTheme="minorHAnsi" w:hAnsiTheme="minorHAnsi"/>
        </w:rPr>
        <w:t>d</w:t>
      </w:r>
      <w:r w:rsidR="00FB3E01" w:rsidRPr="00FC7969">
        <w:rPr>
          <w:rFonts w:asciiTheme="minorHAnsi" w:hAnsiTheme="minorHAnsi"/>
        </w:rPr>
        <w:t xml:space="preserve">espite the </w:t>
      </w:r>
      <w:r w:rsidR="00127BDF">
        <w:rPr>
          <w:rFonts w:asciiTheme="minorHAnsi" w:hAnsiTheme="minorHAnsi"/>
        </w:rPr>
        <w:t>implicit</w:t>
      </w:r>
      <w:r w:rsidR="00FB3E01" w:rsidRPr="00FC7969">
        <w:rPr>
          <w:rFonts w:asciiTheme="minorHAnsi" w:hAnsiTheme="minorHAnsi"/>
        </w:rPr>
        <w:t xml:space="preserve"> reference to protecting unborn children in Article </w:t>
      </w:r>
      <w:r w:rsidR="00127BDF">
        <w:rPr>
          <w:rFonts w:asciiTheme="minorHAnsi" w:hAnsiTheme="minorHAnsi"/>
        </w:rPr>
        <w:t>6(5)</w:t>
      </w:r>
      <w:r w:rsidR="00E14FA0">
        <w:rPr>
          <w:rFonts w:asciiTheme="minorHAnsi" w:hAnsiTheme="minorHAnsi"/>
        </w:rPr>
        <w:t xml:space="preserve"> and the guarantee of the right to life in Article 6</w:t>
      </w:r>
      <w:r w:rsidR="00127BDF">
        <w:rPr>
          <w:rFonts w:asciiTheme="minorHAnsi" w:hAnsiTheme="minorHAnsi"/>
        </w:rPr>
        <w:t>(1)</w:t>
      </w:r>
      <w:r w:rsidR="00A50617" w:rsidRPr="00FC7969">
        <w:rPr>
          <w:rFonts w:asciiTheme="minorHAnsi" w:hAnsiTheme="minorHAnsi"/>
        </w:rPr>
        <w:t>.</w:t>
      </w:r>
      <w:r w:rsidR="005B0D70" w:rsidRPr="00FC7969">
        <w:rPr>
          <w:rStyle w:val="FootnoteReference"/>
          <w:rFonts w:asciiTheme="minorHAnsi" w:hAnsiTheme="minorHAnsi"/>
        </w:rPr>
        <w:footnoteReference w:id="12"/>
      </w:r>
      <w:r w:rsidR="00A50617" w:rsidRPr="00FC7969">
        <w:rPr>
          <w:rFonts w:asciiTheme="minorHAnsi" w:hAnsiTheme="minorHAnsi"/>
        </w:rPr>
        <w:t xml:space="preserve"> </w:t>
      </w:r>
      <w:r w:rsidR="001F4130">
        <w:rPr>
          <w:rFonts w:asciiTheme="minorHAnsi" w:hAnsiTheme="minorHAnsi"/>
        </w:rPr>
        <w:t xml:space="preserve">At a minimum, </w:t>
      </w:r>
      <w:r w:rsidR="00127BDF">
        <w:rPr>
          <w:rFonts w:asciiTheme="minorHAnsi" w:hAnsiTheme="minorHAnsi"/>
        </w:rPr>
        <w:t>the</w:t>
      </w:r>
      <w:r w:rsidR="001F4130">
        <w:rPr>
          <w:rFonts w:asciiTheme="minorHAnsi" w:hAnsiTheme="minorHAnsi"/>
        </w:rPr>
        <w:t xml:space="preserve"> textual reference </w:t>
      </w:r>
      <w:r w:rsidR="00127BDF">
        <w:rPr>
          <w:rFonts w:asciiTheme="minorHAnsi" w:hAnsiTheme="minorHAnsi"/>
        </w:rPr>
        <w:t xml:space="preserve">in Article 6(5) </w:t>
      </w:r>
      <w:r w:rsidR="001F4130">
        <w:rPr>
          <w:rFonts w:asciiTheme="minorHAnsi" w:hAnsiTheme="minorHAnsi"/>
        </w:rPr>
        <w:t>to a right to life for unborn children mandates that the Comment be neutral with respect to abortion in Article 6</w:t>
      </w:r>
      <w:r w:rsidR="00535213">
        <w:rPr>
          <w:rFonts w:asciiTheme="minorHAnsi" w:hAnsiTheme="minorHAnsi"/>
        </w:rPr>
        <w:t>(1). But the C</w:t>
      </w:r>
      <w:r w:rsidR="001F4130">
        <w:rPr>
          <w:rFonts w:asciiTheme="minorHAnsi" w:hAnsiTheme="minorHAnsi"/>
        </w:rPr>
        <w:t xml:space="preserve">omment refuses again to follow basic principles of treaty interpretation. Instead, the Comment mandates </w:t>
      </w:r>
      <w:r w:rsidR="001F4130">
        <w:rPr>
          <w:rFonts w:asciiTheme="minorHAnsi" w:hAnsiTheme="minorHAnsi"/>
        </w:rPr>
        <w:lastRenderedPageBreak/>
        <w:t xml:space="preserve">that </w:t>
      </w:r>
      <w:r w:rsidR="00FB3E01" w:rsidRPr="00FC7969">
        <w:rPr>
          <w:rFonts w:asciiTheme="minorHAnsi" w:hAnsiTheme="minorHAnsi"/>
        </w:rPr>
        <w:t xml:space="preserve">states parties </w:t>
      </w:r>
      <w:r w:rsidR="001F4130">
        <w:rPr>
          <w:rFonts w:asciiTheme="minorHAnsi" w:hAnsiTheme="minorHAnsi"/>
        </w:rPr>
        <w:t>allow</w:t>
      </w:r>
      <w:r w:rsidR="00FB3E01" w:rsidRPr="00FC7969">
        <w:rPr>
          <w:rFonts w:asciiTheme="minorHAnsi" w:hAnsiTheme="minorHAnsi"/>
        </w:rPr>
        <w:t xml:space="preserve"> the death of unborn children in a myriad of cases, </w:t>
      </w:r>
      <w:r w:rsidR="00487C19" w:rsidRPr="00FC7969">
        <w:rPr>
          <w:rFonts w:asciiTheme="minorHAnsi" w:hAnsiTheme="minorHAnsi"/>
        </w:rPr>
        <w:t>even though</w:t>
      </w:r>
      <w:r w:rsidR="00FB3E01" w:rsidRPr="00FC7969">
        <w:rPr>
          <w:rFonts w:asciiTheme="minorHAnsi" w:hAnsiTheme="minorHAnsi"/>
        </w:rPr>
        <w:t xml:space="preserve"> Article 6 nowhe</w:t>
      </w:r>
      <w:r w:rsidR="00450B4C">
        <w:rPr>
          <w:rFonts w:asciiTheme="minorHAnsi" w:hAnsiTheme="minorHAnsi"/>
        </w:rPr>
        <w:t>re mentions a right to abortion and</w:t>
      </w:r>
      <w:r w:rsidR="00FB3E01" w:rsidRPr="00FC7969">
        <w:rPr>
          <w:rFonts w:asciiTheme="minorHAnsi" w:hAnsiTheme="minorHAnsi"/>
        </w:rPr>
        <w:t xml:space="preserve"> </w:t>
      </w:r>
      <w:r w:rsidR="00CA06BA">
        <w:rPr>
          <w:rFonts w:asciiTheme="minorHAnsi" w:hAnsiTheme="minorHAnsi"/>
        </w:rPr>
        <w:t xml:space="preserve">Article </w:t>
      </w:r>
      <w:r w:rsidR="00535213">
        <w:rPr>
          <w:rFonts w:asciiTheme="minorHAnsi" w:hAnsiTheme="minorHAnsi"/>
        </w:rPr>
        <w:t>6(5) implicitly</w:t>
      </w:r>
      <w:r w:rsidR="00FB3E01" w:rsidRPr="00FC7969">
        <w:rPr>
          <w:rFonts w:asciiTheme="minorHAnsi" w:hAnsiTheme="minorHAnsi"/>
        </w:rPr>
        <w:t xml:space="preserve"> mentions a right </w:t>
      </w:r>
      <w:r w:rsidR="00450B4C">
        <w:rPr>
          <w:rFonts w:asciiTheme="minorHAnsi" w:hAnsiTheme="minorHAnsi"/>
        </w:rPr>
        <w:t>to</w:t>
      </w:r>
      <w:r w:rsidR="00FB3E01" w:rsidRPr="00FC7969">
        <w:rPr>
          <w:rFonts w:asciiTheme="minorHAnsi" w:hAnsiTheme="minorHAnsi"/>
        </w:rPr>
        <w:t xml:space="preserve"> life for unborn children</w:t>
      </w:r>
      <w:r w:rsidR="00535213">
        <w:rPr>
          <w:rFonts w:asciiTheme="minorHAnsi" w:hAnsiTheme="minorHAnsi"/>
        </w:rPr>
        <w:t xml:space="preserve"> by way of forbidding the execution of pregnant women</w:t>
      </w:r>
      <w:r w:rsidR="00450B4C">
        <w:rPr>
          <w:rFonts w:asciiTheme="minorHAnsi" w:hAnsiTheme="minorHAnsi"/>
        </w:rPr>
        <w:t>.</w:t>
      </w:r>
      <w:r w:rsidR="00FB3E01" w:rsidRPr="00FC7969">
        <w:rPr>
          <w:rStyle w:val="FootnoteReference"/>
          <w:rFonts w:asciiTheme="minorHAnsi" w:hAnsiTheme="minorHAnsi"/>
        </w:rPr>
        <w:footnoteReference w:id="13"/>
      </w:r>
      <w:r w:rsidR="00FB3E01" w:rsidRPr="00FC7969">
        <w:rPr>
          <w:rFonts w:asciiTheme="minorHAnsi" w:hAnsiTheme="minorHAnsi"/>
        </w:rPr>
        <w:t xml:space="preserve"> </w:t>
      </w:r>
    </w:p>
    <w:p w14:paraId="264AE861" w14:textId="7C897365" w:rsidR="001E656F" w:rsidRDefault="00FB3E01" w:rsidP="001E656F">
      <w:pPr>
        <w:pStyle w:val="Heading2"/>
        <w:spacing w:before="0"/>
        <w:jc w:val="both"/>
        <w:rPr>
          <w:rFonts w:asciiTheme="minorHAnsi" w:hAnsiTheme="minorHAnsi"/>
          <w:b/>
          <w:sz w:val="22"/>
          <w:szCs w:val="22"/>
        </w:rPr>
      </w:pPr>
      <w:r w:rsidRPr="001E656F">
        <w:rPr>
          <w:rFonts w:asciiTheme="minorHAnsi" w:hAnsiTheme="minorHAnsi"/>
          <w:b/>
          <w:sz w:val="22"/>
          <w:szCs w:val="22"/>
        </w:rPr>
        <w:t xml:space="preserve">Creating a Right to Abortion in the ICCPR Violates </w:t>
      </w:r>
      <w:r w:rsidR="00AD4EBB" w:rsidRPr="001E656F">
        <w:rPr>
          <w:rFonts w:asciiTheme="minorHAnsi" w:hAnsiTheme="minorHAnsi"/>
          <w:b/>
          <w:sz w:val="22"/>
          <w:szCs w:val="22"/>
        </w:rPr>
        <w:t>Fundamental Principles of International Law</w:t>
      </w:r>
    </w:p>
    <w:p w14:paraId="401CF4C2" w14:textId="77777777" w:rsidR="001E656F" w:rsidRPr="001E656F" w:rsidRDefault="001E656F" w:rsidP="001E656F">
      <w:pPr>
        <w:spacing w:after="0"/>
      </w:pPr>
    </w:p>
    <w:p w14:paraId="542AE1E2" w14:textId="3B5AEDDF" w:rsidR="00AD4EBB" w:rsidRDefault="00E14FA0" w:rsidP="001E656F">
      <w:pPr>
        <w:spacing w:after="0"/>
        <w:ind w:firstLine="360"/>
        <w:jc w:val="both"/>
        <w:rPr>
          <w:rFonts w:asciiTheme="minorHAnsi" w:hAnsiTheme="minorHAnsi"/>
        </w:rPr>
      </w:pPr>
      <w:r>
        <w:rPr>
          <w:rFonts w:asciiTheme="minorHAnsi" w:hAnsiTheme="minorHAnsi"/>
        </w:rPr>
        <w:t xml:space="preserve">The Human Rights Committee has no authority to seek to impose on states parties an obligation to which the states never agreed. </w:t>
      </w:r>
      <w:r w:rsidR="009A0A72">
        <w:rPr>
          <w:rFonts w:asciiTheme="minorHAnsi" w:hAnsiTheme="minorHAnsi"/>
        </w:rPr>
        <w:t xml:space="preserve">Sovereign equality is still the cornerstone of international law. The familiar </w:t>
      </w:r>
      <w:r w:rsidR="009A0A72" w:rsidRPr="00FC7969">
        <w:rPr>
          <w:rFonts w:asciiTheme="minorHAnsi" w:hAnsiTheme="minorHAnsi"/>
        </w:rPr>
        <w:t xml:space="preserve">Article 2 of the United Nations Charter </w:t>
      </w:r>
      <w:r w:rsidR="009A0A72">
        <w:rPr>
          <w:rFonts w:asciiTheme="minorHAnsi" w:hAnsiTheme="minorHAnsi"/>
        </w:rPr>
        <w:t>states it this way</w:t>
      </w:r>
      <w:r w:rsidR="009A0A72" w:rsidRPr="00FC7969">
        <w:rPr>
          <w:rFonts w:asciiTheme="minorHAnsi" w:hAnsiTheme="minorHAnsi"/>
        </w:rPr>
        <w:t>: “This organization is based on the principle of the sovereign equality of all its Members,”</w:t>
      </w:r>
      <w:r w:rsidR="009A0A72" w:rsidRPr="00FC7969">
        <w:rPr>
          <w:rStyle w:val="FootnoteReference"/>
          <w:rFonts w:asciiTheme="minorHAnsi" w:hAnsiTheme="minorHAnsi"/>
        </w:rPr>
        <w:footnoteReference w:id="14"/>
      </w:r>
      <w:r w:rsidR="009A0A72" w:rsidRPr="00FC7969">
        <w:rPr>
          <w:rFonts w:asciiTheme="minorHAnsi" w:hAnsiTheme="minorHAnsi"/>
        </w:rPr>
        <w:t xml:space="preserve"> and “</w:t>
      </w:r>
      <w:r w:rsidR="009A0A72">
        <w:rPr>
          <w:rFonts w:asciiTheme="minorHAnsi" w:hAnsiTheme="minorHAnsi"/>
        </w:rPr>
        <w:t>[n]</w:t>
      </w:r>
      <w:r w:rsidR="009A0A72" w:rsidRPr="00FC7969">
        <w:rPr>
          <w:rFonts w:asciiTheme="minorHAnsi" w:hAnsiTheme="minorHAnsi"/>
        </w:rPr>
        <w:t>othing contained in the present charter shall authorize the United Nations to intervene in matters which are essentially within the domestic jurisdiction of any state . . . .”</w:t>
      </w:r>
      <w:r w:rsidR="009A0A72" w:rsidRPr="00FC7969">
        <w:rPr>
          <w:rStyle w:val="FootnoteReference"/>
          <w:rFonts w:asciiTheme="minorHAnsi" w:hAnsiTheme="minorHAnsi"/>
        </w:rPr>
        <w:footnoteReference w:id="15"/>
      </w:r>
      <w:r w:rsidR="009A0A72">
        <w:rPr>
          <w:rFonts w:asciiTheme="minorHAnsi" w:hAnsiTheme="minorHAnsi"/>
        </w:rPr>
        <w:t xml:space="preserve"> </w:t>
      </w:r>
      <w:r w:rsidR="00AD4EBB">
        <w:rPr>
          <w:rFonts w:asciiTheme="minorHAnsi" w:hAnsiTheme="minorHAnsi"/>
        </w:rPr>
        <w:t>One consequence of sovereign equality is that a state is not bound to a treaty</w:t>
      </w:r>
      <w:r w:rsidR="00E76DC9">
        <w:rPr>
          <w:rFonts w:asciiTheme="minorHAnsi" w:hAnsiTheme="minorHAnsi"/>
        </w:rPr>
        <w:t>’s provisions</w:t>
      </w:r>
      <w:r w:rsidR="00AD4EBB">
        <w:rPr>
          <w:rFonts w:asciiTheme="minorHAnsi" w:hAnsiTheme="minorHAnsi"/>
        </w:rPr>
        <w:t xml:space="preserve"> unless it gives consent. </w:t>
      </w:r>
    </w:p>
    <w:p w14:paraId="2F2A6140" w14:textId="77777777" w:rsidR="001E656F" w:rsidRDefault="001E656F" w:rsidP="001E656F">
      <w:pPr>
        <w:spacing w:after="0"/>
        <w:ind w:firstLine="360"/>
        <w:jc w:val="both"/>
        <w:rPr>
          <w:rFonts w:asciiTheme="minorHAnsi" w:hAnsiTheme="minorHAnsi"/>
        </w:rPr>
      </w:pPr>
    </w:p>
    <w:p w14:paraId="59D2F4E8" w14:textId="49A06DF0" w:rsidR="00224FE8" w:rsidRDefault="00053032" w:rsidP="005D56AC">
      <w:pPr>
        <w:ind w:firstLine="360"/>
        <w:jc w:val="both"/>
        <w:rPr>
          <w:rFonts w:asciiTheme="minorHAnsi" w:hAnsiTheme="minorHAnsi"/>
        </w:rPr>
      </w:pPr>
      <w:r>
        <w:rPr>
          <w:rFonts w:asciiTheme="minorHAnsi" w:hAnsiTheme="minorHAnsi"/>
        </w:rPr>
        <w:t>The C</w:t>
      </w:r>
      <w:r w:rsidR="001E656F">
        <w:rPr>
          <w:rFonts w:asciiTheme="minorHAnsi" w:hAnsiTheme="minorHAnsi"/>
        </w:rPr>
        <w:t xml:space="preserve">omment attempts to </w:t>
      </w:r>
      <w:r w:rsidR="00CA06BA">
        <w:rPr>
          <w:rFonts w:asciiTheme="minorHAnsi" w:hAnsiTheme="minorHAnsi"/>
        </w:rPr>
        <w:t>impose an obligation on</w:t>
      </w:r>
      <w:r w:rsidR="001E656F">
        <w:rPr>
          <w:rFonts w:asciiTheme="minorHAnsi" w:hAnsiTheme="minorHAnsi"/>
        </w:rPr>
        <w:t xml:space="preserve"> states parties to something to which they never gave their consent. The Comment effectively exempt</w:t>
      </w:r>
      <w:r w:rsidR="005D56AC">
        <w:rPr>
          <w:rFonts w:asciiTheme="minorHAnsi" w:hAnsiTheme="minorHAnsi"/>
        </w:rPr>
        <w:t xml:space="preserve">s unborn children from Article </w:t>
      </w:r>
      <w:r w:rsidR="009562A2">
        <w:rPr>
          <w:rFonts w:asciiTheme="minorHAnsi" w:hAnsiTheme="minorHAnsi"/>
        </w:rPr>
        <w:t>6</w:t>
      </w:r>
      <w:r w:rsidR="001E656F">
        <w:rPr>
          <w:rFonts w:asciiTheme="minorHAnsi" w:hAnsiTheme="minorHAnsi"/>
        </w:rPr>
        <w:t xml:space="preserve"> and </w:t>
      </w:r>
      <w:r w:rsidR="00E76DC9">
        <w:rPr>
          <w:rFonts w:asciiTheme="minorHAnsi" w:hAnsiTheme="minorHAnsi"/>
        </w:rPr>
        <w:t>also grants a right to abortion in certain instances</w:t>
      </w:r>
      <w:r w:rsidR="001E656F">
        <w:rPr>
          <w:rFonts w:asciiTheme="minorHAnsi" w:hAnsiTheme="minorHAnsi"/>
        </w:rPr>
        <w:t xml:space="preserve">. States parties never consented to either of these “interpretations” of the ICCPR. </w:t>
      </w:r>
      <w:r w:rsidR="009562A2">
        <w:rPr>
          <w:rFonts w:asciiTheme="minorHAnsi" w:hAnsiTheme="minorHAnsi"/>
        </w:rPr>
        <w:t xml:space="preserve">The drafting history of the ICCPR makes this clear. </w:t>
      </w:r>
      <w:r w:rsidR="00224FE8">
        <w:rPr>
          <w:rFonts w:asciiTheme="minorHAnsi" w:hAnsiTheme="minorHAnsi"/>
        </w:rPr>
        <w:t xml:space="preserve">During the drafting of the ICCPR, a proposal was made to include a </w:t>
      </w:r>
      <w:r w:rsidR="00CA5F89">
        <w:rPr>
          <w:rFonts w:asciiTheme="minorHAnsi" w:hAnsiTheme="minorHAnsi"/>
        </w:rPr>
        <w:t>provision protecting unborn children and outlawing abortion in most cases. The proposal was as follows</w:t>
      </w:r>
      <w:r w:rsidR="00224FE8">
        <w:rPr>
          <w:rFonts w:asciiTheme="minorHAnsi" w:hAnsiTheme="minorHAnsi"/>
        </w:rPr>
        <w:t xml:space="preserve">: </w:t>
      </w:r>
    </w:p>
    <w:p w14:paraId="2FF2462D" w14:textId="3C7E9126" w:rsidR="00224FE8" w:rsidRDefault="00224FE8" w:rsidP="000979EF">
      <w:pPr>
        <w:ind w:left="432" w:right="432"/>
        <w:jc w:val="both"/>
        <w:rPr>
          <w:rFonts w:asciiTheme="minorHAnsi" w:hAnsiTheme="minorHAnsi"/>
        </w:rPr>
      </w:pPr>
      <w:r>
        <w:rPr>
          <w:rFonts w:asciiTheme="minorHAnsi" w:hAnsiTheme="minorHAnsi"/>
        </w:rPr>
        <w:t>It shall be unlawful to procure abortion except in a case in which it is permitted by law and is done in good faith in order to pres</w:t>
      </w:r>
      <w:r w:rsidR="000532AD">
        <w:rPr>
          <w:rFonts w:asciiTheme="minorHAnsi" w:hAnsiTheme="minorHAnsi"/>
        </w:rPr>
        <w:t>erve the life of the woman, or o</w:t>
      </w:r>
      <w:r>
        <w:rPr>
          <w:rFonts w:asciiTheme="minorHAnsi" w:hAnsiTheme="minorHAnsi"/>
        </w:rPr>
        <w:t>n medical advice in order to prevent the birth of a child of unsound mind of parents suffering from mental disease, or in a case where the pregnancy is the result of rape</w:t>
      </w:r>
      <w:r w:rsidR="00AE57B5">
        <w:rPr>
          <w:rFonts w:asciiTheme="minorHAnsi" w:hAnsiTheme="minorHAnsi"/>
        </w:rPr>
        <w:t>.</w:t>
      </w:r>
      <w:bookmarkStart w:id="1" w:name="_Ref494811612"/>
      <w:r w:rsidR="00AE57B5">
        <w:rPr>
          <w:rStyle w:val="FootnoteReference"/>
          <w:rFonts w:asciiTheme="minorHAnsi" w:hAnsiTheme="minorHAnsi"/>
        </w:rPr>
        <w:footnoteReference w:id="16"/>
      </w:r>
      <w:bookmarkEnd w:id="1"/>
      <w:r w:rsidR="00AE57B5">
        <w:rPr>
          <w:rFonts w:asciiTheme="minorHAnsi" w:hAnsiTheme="minorHAnsi"/>
        </w:rPr>
        <w:t xml:space="preserve"> </w:t>
      </w:r>
    </w:p>
    <w:p w14:paraId="1B511C9C" w14:textId="604238C3" w:rsidR="00AE57B5" w:rsidRDefault="00AE57B5" w:rsidP="00224FE8">
      <w:pPr>
        <w:jc w:val="both"/>
        <w:rPr>
          <w:rFonts w:asciiTheme="minorHAnsi" w:hAnsiTheme="minorHAnsi"/>
        </w:rPr>
      </w:pPr>
      <w:r>
        <w:rPr>
          <w:rFonts w:asciiTheme="minorHAnsi" w:hAnsiTheme="minorHAnsi"/>
        </w:rPr>
        <w:t xml:space="preserve">The proposal was ultimately </w:t>
      </w:r>
      <w:r w:rsidR="00CA5F89">
        <w:rPr>
          <w:rFonts w:asciiTheme="minorHAnsi" w:hAnsiTheme="minorHAnsi"/>
        </w:rPr>
        <w:t xml:space="preserve">rejected—but </w:t>
      </w:r>
      <w:r w:rsidR="005D56AC">
        <w:rPr>
          <w:rFonts w:asciiTheme="minorHAnsi" w:hAnsiTheme="minorHAnsi"/>
          <w:i/>
        </w:rPr>
        <w:t>not</w:t>
      </w:r>
      <w:r w:rsidR="005D56AC">
        <w:t xml:space="preserve"> because the drafters supported a right to abortion</w:t>
      </w:r>
      <w:r w:rsidR="00CA5F89">
        <w:t>. It was rejected because</w:t>
      </w:r>
      <w:r w:rsidR="005D56AC">
        <w:t xml:space="preserve"> </w:t>
      </w:r>
      <w:r w:rsidR="005D56AC">
        <w:rPr>
          <w:rFonts w:asciiTheme="minorHAnsi" w:hAnsiTheme="minorHAnsi"/>
        </w:rPr>
        <w:t xml:space="preserve">of </w:t>
      </w:r>
      <w:r w:rsidR="00CA5F89">
        <w:rPr>
          <w:rFonts w:asciiTheme="minorHAnsi" w:hAnsiTheme="minorHAnsi"/>
        </w:rPr>
        <w:t xml:space="preserve">the </w:t>
      </w:r>
      <w:r w:rsidR="00107041">
        <w:rPr>
          <w:rFonts w:asciiTheme="minorHAnsi" w:hAnsiTheme="minorHAnsi"/>
        </w:rPr>
        <w:t xml:space="preserve">alleged </w:t>
      </w:r>
      <w:r w:rsidR="00CA5F89">
        <w:rPr>
          <w:rFonts w:asciiTheme="minorHAnsi" w:hAnsiTheme="minorHAnsi"/>
        </w:rPr>
        <w:t>ambiguity in the provision and concerns about state sovereignty</w:t>
      </w:r>
      <w:r>
        <w:rPr>
          <w:rFonts w:asciiTheme="minorHAnsi" w:hAnsiTheme="minorHAnsi"/>
        </w:rPr>
        <w:t>.</w:t>
      </w:r>
      <w:r w:rsidR="005D56AC">
        <w:rPr>
          <w:rStyle w:val="FootnoteReference"/>
          <w:rFonts w:asciiTheme="minorHAnsi" w:hAnsiTheme="minorHAnsi"/>
        </w:rPr>
        <w:footnoteReference w:id="17"/>
      </w:r>
      <w:r>
        <w:rPr>
          <w:rFonts w:asciiTheme="minorHAnsi" w:hAnsiTheme="minorHAnsi"/>
        </w:rPr>
        <w:t xml:space="preserve"> First, </w:t>
      </w:r>
      <w:r w:rsidR="00B51BF3">
        <w:rPr>
          <w:rFonts w:asciiTheme="minorHAnsi" w:hAnsiTheme="minorHAnsi"/>
        </w:rPr>
        <w:t xml:space="preserve">the </w:t>
      </w:r>
      <w:r w:rsidR="00CA5F89">
        <w:rPr>
          <w:rFonts w:asciiTheme="minorHAnsi" w:hAnsiTheme="minorHAnsi"/>
        </w:rPr>
        <w:t>provision lacked “legal clarity</w:t>
      </w:r>
      <w:r w:rsidR="00B51BF3">
        <w:rPr>
          <w:rFonts w:asciiTheme="minorHAnsi" w:hAnsiTheme="minorHAnsi"/>
        </w:rPr>
        <w:t>”</w:t>
      </w:r>
      <w:r w:rsidR="00CA5F89">
        <w:rPr>
          <w:rFonts w:asciiTheme="minorHAnsi" w:hAnsiTheme="minorHAnsi"/>
        </w:rPr>
        <w:t>;</w:t>
      </w:r>
      <w:r w:rsidR="00B51BF3">
        <w:rPr>
          <w:rFonts w:asciiTheme="minorHAnsi" w:hAnsiTheme="minorHAnsi"/>
        </w:rPr>
        <w:t xml:space="preserve"> </w:t>
      </w:r>
      <w:r w:rsidR="005D56AC">
        <w:rPr>
          <w:rFonts w:asciiTheme="minorHAnsi" w:hAnsiTheme="minorHAnsi"/>
        </w:rPr>
        <w:t xml:space="preserve">opposition </w:t>
      </w:r>
      <w:r w:rsidR="000532AD">
        <w:rPr>
          <w:rFonts w:asciiTheme="minorHAnsi" w:hAnsiTheme="minorHAnsi"/>
        </w:rPr>
        <w:t xml:space="preserve">to the provision </w:t>
      </w:r>
      <w:r w:rsidR="005D56AC">
        <w:rPr>
          <w:rFonts w:asciiTheme="minorHAnsi" w:hAnsiTheme="minorHAnsi"/>
        </w:rPr>
        <w:t>included arguments</w:t>
      </w:r>
      <w:r w:rsidR="00B51BF3">
        <w:rPr>
          <w:rFonts w:asciiTheme="minorHAnsi" w:hAnsiTheme="minorHAnsi"/>
        </w:rPr>
        <w:t xml:space="preserve"> that the provision was vague, </w:t>
      </w:r>
      <w:r w:rsidR="005D56AC">
        <w:rPr>
          <w:rFonts w:asciiTheme="minorHAnsi" w:hAnsiTheme="minorHAnsi"/>
        </w:rPr>
        <w:t xml:space="preserve">that </w:t>
      </w:r>
      <w:r w:rsidR="008E42B9">
        <w:rPr>
          <w:rFonts w:asciiTheme="minorHAnsi" w:hAnsiTheme="minorHAnsi"/>
        </w:rPr>
        <w:t xml:space="preserve">states </w:t>
      </w:r>
      <w:r w:rsidR="008A634C">
        <w:rPr>
          <w:rFonts w:asciiTheme="minorHAnsi" w:hAnsiTheme="minorHAnsi"/>
        </w:rPr>
        <w:t>would apply the provision</w:t>
      </w:r>
      <w:r w:rsidR="00B51BF3">
        <w:rPr>
          <w:rFonts w:asciiTheme="minorHAnsi" w:hAnsiTheme="minorHAnsi"/>
        </w:rPr>
        <w:t xml:space="preserve"> </w:t>
      </w:r>
      <w:r w:rsidR="008A634C">
        <w:rPr>
          <w:rFonts w:asciiTheme="minorHAnsi" w:hAnsiTheme="minorHAnsi"/>
        </w:rPr>
        <w:t xml:space="preserve">inconsistently, </w:t>
      </w:r>
      <w:r w:rsidR="00B51BF3">
        <w:rPr>
          <w:rFonts w:asciiTheme="minorHAnsi" w:hAnsiTheme="minorHAnsi"/>
        </w:rPr>
        <w:t>and t</w:t>
      </w:r>
      <w:r w:rsidR="005D56AC">
        <w:rPr>
          <w:rFonts w:asciiTheme="minorHAnsi" w:hAnsiTheme="minorHAnsi"/>
        </w:rPr>
        <w:t xml:space="preserve">hat </w:t>
      </w:r>
      <w:r w:rsidR="008A634C">
        <w:rPr>
          <w:rFonts w:asciiTheme="minorHAnsi" w:hAnsiTheme="minorHAnsi"/>
        </w:rPr>
        <w:t xml:space="preserve">the </w:t>
      </w:r>
      <w:r w:rsidR="00107041">
        <w:rPr>
          <w:rFonts w:asciiTheme="minorHAnsi" w:hAnsiTheme="minorHAnsi"/>
        </w:rPr>
        <w:t>proposal was weaker than it sh</w:t>
      </w:r>
      <w:r w:rsidR="005D56AC">
        <w:rPr>
          <w:rFonts w:asciiTheme="minorHAnsi" w:hAnsiTheme="minorHAnsi"/>
        </w:rPr>
        <w:t>ould be</w:t>
      </w:r>
      <w:r>
        <w:rPr>
          <w:rFonts w:asciiTheme="minorHAnsi" w:hAnsiTheme="minorHAnsi"/>
        </w:rPr>
        <w:t>.</w:t>
      </w:r>
      <w:r w:rsidR="007F7A3B">
        <w:rPr>
          <w:rStyle w:val="FootnoteReference"/>
          <w:rFonts w:asciiTheme="minorHAnsi" w:hAnsiTheme="minorHAnsi"/>
        </w:rPr>
        <w:footnoteReference w:id="18"/>
      </w:r>
      <w:r>
        <w:rPr>
          <w:rFonts w:asciiTheme="minorHAnsi" w:hAnsiTheme="minorHAnsi"/>
        </w:rPr>
        <w:t xml:space="preserve"> Second, others argued that abortion regulation was a matter that should be left to the “domestic jurisdiction”</w:t>
      </w:r>
      <w:r>
        <w:rPr>
          <w:rStyle w:val="FootnoteReference"/>
          <w:rFonts w:asciiTheme="minorHAnsi" w:hAnsiTheme="minorHAnsi"/>
        </w:rPr>
        <w:footnoteReference w:id="19"/>
      </w:r>
      <w:r>
        <w:rPr>
          <w:rFonts w:asciiTheme="minorHAnsi" w:hAnsiTheme="minorHAnsi"/>
        </w:rPr>
        <w:t xml:space="preserve"> of states.</w:t>
      </w:r>
      <w:r w:rsidRPr="00FC7969">
        <w:rPr>
          <w:rStyle w:val="FootnoteReference"/>
          <w:rFonts w:asciiTheme="minorHAnsi" w:hAnsiTheme="minorHAnsi"/>
        </w:rPr>
        <w:footnoteReference w:id="20"/>
      </w:r>
      <w:r w:rsidRPr="00FC7969">
        <w:rPr>
          <w:rFonts w:asciiTheme="minorHAnsi" w:hAnsiTheme="minorHAnsi"/>
        </w:rPr>
        <w:t xml:space="preserve"> </w:t>
      </w:r>
      <w:r>
        <w:rPr>
          <w:rFonts w:asciiTheme="minorHAnsi" w:hAnsiTheme="minorHAnsi"/>
        </w:rPr>
        <w:t xml:space="preserve"> </w:t>
      </w:r>
      <w:r w:rsidR="00A929AF">
        <w:rPr>
          <w:rFonts w:asciiTheme="minorHAnsi" w:hAnsiTheme="minorHAnsi"/>
        </w:rPr>
        <w:t>Virtually a</w:t>
      </w:r>
      <w:r>
        <w:rPr>
          <w:rFonts w:asciiTheme="minorHAnsi" w:hAnsiTheme="minorHAnsi"/>
        </w:rPr>
        <w:t xml:space="preserve">ll states parties, therefore, whether pro-life, pro-choice, or neither, agreed that the ICCPR was </w:t>
      </w:r>
      <w:r w:rsidR="00E14FA0">
        <w:rPr>
          <w:rFonts w:asciiTheme="minorHAnsi" w:hAnsiTheme="minorHAnsi"/>
        </w:rPr>
        <w:t>either</w:t>
      </w:r>
      <w:r>
        <w:rPr>
          <w:rFonts w:asciiTheme="minorHAnsi" w:hAnsiTheme="minorHAnsi"/>
        </w:rPr>
        <w:t xml:space="preserve"> silent on abortion </w:t>
      </w:r>
      <w:r w:rsidR="00E14FA0">
        <w:rPr>
          <w:rFonts w:asciiTheme="minorHAnsi" w:hAnsiTheme="minorHAnsi"/>
        </w:rPr>
        <w:t>or</w:t>
      </w:r>
      <w:r>
        <w:rPr>
          <w:rFonts w:asciiTheme="minorHAnsi" w:hAnsiTheme="minorHAnsi"/>
        </w:rPr>
        <w:t xml:space="preserve"> included a right to life from conception for those states who</w:t>
      </w:r>
      <w:r w:rsidR="00A929AF">
        <w:rPr>
          <w:rFonts w:asciiTheme="minorHAnsi" w:hAnsiTheme="minorHAnsi"/>
        </w:rPr>
        <w:t>se</w:t>
      </w:r>
      <w:r>
        <w:rPr>
          <w:rFonts w:asciiTheme="minorHAnsi" w:hAnsiTheme="minorHAnsi"/>
        </w:rPr>
        <w:t xml:space="preserve"> domestic law granted such a right. </w:t>
      </w:r>
    </w:p>
    <w:p w14:paraId="2BB0E635" w14:textId="39101B5C" w:rsidR="0098330C" w:rsidRPr="00FC7969" w:rsidRDefault="000532AD" w:rsidP="00E76DC9">
      <w:pPr>
        <w:ind w:firstLine="360"/>
        <w:jc w:val="both"/>
        <w:rPr>
          <w:rFonts w:asciiTheme="minorHAnsi" w:hAnsiTheme="minorHAnsi"/>
        </w:rPr>
      </w:pPr>
      <w:r>
        <w:rPr>
          <w:rFonts w:asciiTheme="minorHAnsi" w:hAnsiTheme="minorHAnsi"/>
        </w:rPr>
        <w:t xml:space="preserve">Accordingly, states parties never consented to grant a right to abortion when they signed the ICCPR. The </w:t>
      </w:r>
      <w:r w:rsidR="00A929AF">
        <w:rPr>
          <w:rFonts w:asciiTheme="minorHAnsi" w:hAnsiTheme="minorHAnsi"/>
        </w:rPr>
        <w:t>Human Rights Committee</w:t>
      </w:r>
      <w:r w:rsidR="00DC4987">
        <w:rPr>
          <w:rFonts w:asciiTheme="minorHAnsi" w:hAnsiTheme="minorHAnsi"/>
        </w:rPr>
        <w:t xml:space="preserve"> </w:t>
      </w:r>
      <w:r w:rsidR="00A929AF">
        <w:rPr>
          <w:rFonts w:asciiTheme="minorHAnsi" w:hAnsiTheme="minorHAnsi"/>
        </w:rPr>
        <w:t>has</w:t>
      </w:r>
      <w:r w:rsidR="00CA06BA">
        <w:rPr>
          <w:rFonts w:asciiTheme="minorHAnsi" w:hAnsiTheme="minorHAnsi"/>
        </w:rPr>
        <w:t xml:space="preserve"> no</w:t>
      </w:r>
      <w:r w:rsidR="00A929AF">
        <w:rPr>
          <w:rFonts w:asciiTheme="minorHAnsi" w:hAnsiTheme="minorHAnsi"/>
        </w:rPr>
        <w:t xml:space="preserve"> authority to seek to impose on states parties an obligation to which the states never agreed. Although t</w:t>
      </w:r>
      <w:r w:rsidR="0098330C" w:rsidRPr="00FC7969">
        <w:rPr>
          <w:rFonts w:asciiTheme="minorHAnsi" w:hAnsiTheme="minorHAnsi"/>
        </w:rPr>
        <w:t xml:space="preserve">he Human Rights Committee’s general comments are not binding and </w:t>
      </w:r>
      <w:r w:rsidR="00E14FA0">
        <w:rPr>
          <w:rFonts w:asciiTheme="minorHAnsi" w:hAnsiTheme="minorHAnsi"/>
        </w:rPr>
        <w:t>not afforded</w:t>
      </w:r>
      <w:r w:rsidR="0098330C" w:rsidRPr="00FC7969">
        <w:rPr>
          <w:rFonts w:asciiTheme="minorHAnsi" w:hAnsiTheme="minorHAnsi"/>
        </w:rPr>
        <w:t xml:space="preserve"> the </w:t>
      </w:r>
      <w:r w:rsidR="0098330C" w:rsidRPr="00FC7969">
        <w:rPr>
          <w:rFonts w:asciiTheme="minorHAnsi" w:hAnsiTheme="minorHAnsi"/>
        </w:rPr>
        <w:lastRenderedPageBreak/>
        <w:t xml:space="preserve">status </w:t>
      </w:r>
      <w:r w:rsidR="00487C19" w:rsidRPr="00FC7969">
        <w:rPr>
          <w:rFonts w:asciiTheme="minorHAnsi" w:hAnsiTheme="minorHAnsi"/>
        </w:rPr>
        <w:t>o</w:t>
      </w:r>
      <w:r w:rsidR="00A929AF">
        <w:rPr>
          <w:rFonts w:asciiTheme="minorHAnsi" w:hAnsiTheme="minorHAnsi"/>
        </w:rPr>
        <w:t>f a source of international law,</w:t>
      </w:r>
      <w:r w:rsidR="00487C19" w:rsidRPr="00FC7969">
        <w:rPr>
          <w:rStyle w:val="FootnoteReference"/>
          <w:rFonts w:asciiTheme="minorHAnsi" w:hAnsiTheme="minorHAnsi"/>
        </w:rPr>
        <w:footnoteReference w:id="21"/>
      </w:r>
      <w:r w:rsidR="00487C19" w:rsidRPr="00FC7969">
        <w:rPr>
          <w:rFonts w:asciiTheme="minorHAnsi" w:hAnsiTheme="minorHAnsi"/>
        </w:rPr>
        <w:t xml:space="preserve"> </w:t>
      </w:r>
      <w:r w:rsidR="00440EDA">
        <w:rPr>
          <w:rFonts w:asciiTheme="minorHAnsi" w:hAnsiTheme="minorHAnsi"/>
        </w:rPr>
        <w:t xml:space="preserve">they are considered </w:t>
      </w:r>
      <w:r w:rsidR="009E3C8F" w:rsidRPr="00FC7969">
        <w:rPr>
          <w:rFonts w:asciiTheme="minorHAnsi" w:hAnsiTheme="minorHAnsi"/>
        </w:rPr>
        <w:t>highly authoritative</w:t>
      </w:r>
      <w:r w:rsidR="00A929AF">
        <w:rPr>
          <w:rFonts w:asciiTheme="minorHAnsi" w:hAnsiTheme="minorHAnsi"/>
        </w:rPr>
        <w:t>.</w:t>
      </w:r>
      <w:r w:rsidR="0098330C" w:rsidRPr="00FC7969">
        <w:rPr>
          <w:rStyle w:val="FootnoteReference"/>
          <w:rFonts w:asciiTheme="minorHAnsi" w:hAnsiTheme="minorHAnsi"/>
        </w:rPr>
        <w:footnoteReference w:id="22"/>
      </w:r>
      <w:r w:rsidR="00AE57B5">
        <w:rPr>
          <w:rFonts w:asciiTheme="minorHAnsi" w:hAnsiTheme="minorHAnsi"/>
        </w:rPr>
        <w:t xml:space="preserve"> </w:t>
      </w:r>
      <w:r w:rsidR="00053032">
        <w:rPr>
          <w:rFonts w:asciiTheme="minorHAnsi" w:hAnsiTheme="minorHAnsi"/>
        </w:rPr>
        <w:t>This C</w:t>
      </w:r>
      <w:r w:rsidR="00CA06BA">
        <w:rPr>
          <w:rFonts w:asciiTheme="minorHAnsi" w:hAnsiTheme="minorHAnsi"/>
        </w:rPr>
        <w:t>omment ignores basic principles of treaty interpretation and usurps the lawmaking function of states in international law. If the Committee wishes to advance</w:t>
      </w:r>
      <w:r w:rsidR="00EA1F71">
        <w:rPr>
          <w:rFonts w:asciiTheme="minorHAnsi" w:hAnsiTheme="minorHAnsi"/>
        </w:rPr>
        <w:t xml:space="preserve"> a right to abortion, it should work on an</w:t>
      </w:r>
      <w:r w:rsidR="00CA06BA">
        <w:rPr>
          <w:rFonts w:asciiTheme="minorHAnsi" w:hAnsiTheme="minorHAnsi"/>
        </w:rPr>
        <w:t xml:space="preserve"> optional protocol </w:t>
      </w:r>
      <w:r w:rsidR="00EA1F71">
        <w:rPr>
          <w:rFonts w:asciiTheme="minorHAnsi" w:hAnsiTheme="minorHAnsi"/>
        </w:rPr>
        <w:t>like the Maputo Protocol</w:t>
      </w:r>
      <w:r w:rsidR="00EA1F71">
        <w:rPr>
          <w:rStyle w:val="FootnoteReference"/>
          <w:rFonts w:asciiTheme="minorHAnsi" w:hAnsiTheme="minorHAnsi"/>
        </w:rPr>
        <w:footnoteReference w:id="23"/>
      </w:r>
      <w:r w:rsidR="00EA1F71">
        <w:rPr>
          <w:rFonts w:asciiTheme="minorHAnsi" w:hAnsiTheme="minorHAnsi"/>
        </w:rPr>
        <w:t xml:space="preserve"> </w:t>
      </w:r>
      <w:r w:rsidR="00CA06BA">
        <w:rPr>
          <w:rFonts w:asciiTheme="minorHAnsi" w:hAnsiTheme="minorHAnsi"/>
        </w:rPr>
        <w:t xml:space="preserve">that expressly includes a right to abortion, </w:t>
      </w:r>
      <w:r w:rsidR="00DC4987">
        <w:rPr>
          <w:rFonts w:asciiTheme="minorHAnsi" w:hAnsiTheme="minorHAnsi"/>
        </w:rPr>
        <w:t>instead of</w:t>
      </w:r>
      <w:r w:rsidR="00CA06BA">
        <w:rPr>
          <w:rFonts w:asciiTheme="minorHAnsi" w:hAnsiTheme="minorHAnsi"/>
        </w:rPr>
        <w:t xml:space="preserve"> “interp</w:t>
      </w:r>
      <w:r w:rsidR="008A634C">
        <w:rPr>
          <w:rFonts w:asciiTheme="minorHAnsi" w:hAnsiTheme="minorHAnsi"/>
        </w:rPr>
        <w:t>ret</w:t>
      </w:r>
      <w:r w:rsidR="00DC4987">
        <w:rPr>
          <w:rFonts w:asciiTheme="minorHAnsi" w:hAnsiTheme="minorHAnsi"/>
        </w:rPr>
        <w:t>ing</w:t>
      </w:r>
      <w:r w:rsidR="008A634C">
        <w:rPr>
          <w:rFonts w:asciiTheme="minorHAnsi" w:hAnsiTheme="minorHAnsi"/>
        </w:rPr>
        <w:t>” the treaty’s text in a bad-</w:t>
      </w:r>
      <w:r w:rsidR="00CA06BA">
        <w:rPr>
          <w:rFonts w:asciiTheme="minorHAnsi" w:hAnsiTheme="minorHAnsi"/>
        </w:rPr>
        <w:t xml:space="preserve">faith manner. Shoehorning a right to abortion in the ICCPR where none exists undermines the rule of law in the international legal system and the legitimacy of the Committee </w:t>
      </w:r>
      <w:r w:rsidR="00AB7290">
        <w:rPr>
          <w:rFonts w:asciiTheme="minorHAnsi" w:hAnsiTheme="minorHAnsi"/>
        </w:rPr>
        <w:t>as the implementing and overseeing body for the Treaty.</w:t>
      </w:r>
    </w:p>
    <w:p w14:paraId="07171A8E" w14:textId="3503B4EB" w:rsidR="00561838" w:rsidRPr="00AB7290" w:rsidRDefault="00561838" w:rsidP="00AB7290">
      <w:pPr>
        <w:jc w:val="both"/>
        <w:rPr>
          <w:rFonts w:asciiTheme="minorHAnsi" w:hAnsiTheme="minorHAnsi"/>
          <w:b/>
        </w:rPr>
      </w:pPr>
      <w:r w:rsidRPr="00AB7290">
        <w:rPr>
          <w:rFonts w:asciiTheme="minorHAnsi" w:hAnsiTheme="minorHAnsi"/>
          <w:b/>
        </w:rPr>
        <w:t>Conclusion</w:t>
      </w:r>
    </w:p>
    <w:p w14:paraId="1C625BAE" w14:textId="39330BA8" w:rsidR="00561838" w:rsidRDefault="00561838" w:rsidP="00732E00">
      <w:pPr>
        <w:ind w:firstLine="360"/>
        <w:jc w:val="both"/>
        <w:rPr>
          <w:rFonts w:asciiTheme="minorHAnsi" w:hAnsiTheme="minorHAnsi"/>
        </w:rPr>
      </w:pPr>
      <w:r w:rsidRPr="00FC7969">
        <w:rPr>
          <w:rFonts w:asciiTheme="minorHAnsi" w:hAnsiTheme="minorHAnsi"/>
        </w:rPr>
        <w:t xml:space="preserve">General Comment 36 to the ICCPR has no justification for including </w:t>
      </w:r>
      <w:r w:rsidR="008A634C">
        <w:rPr>
          <w:rFonts w:asciiTheme="minorHAnsi" w:hAnsiTheme="minorHAnsi"/>
        </w:rPr>
        <w:t>a</w:t>
      </w:r>
      <w:r w:rsidRPr="00FC7969">
        <w:rPr>
          <w:rFonts w:asciiTheme="minorHAnsi" w:hAnsiTheme="minorHAnsi"/>
        </w:rPr>
        <w:t xml:space="preserve"> right to abortion as a valid interpretation of </w:t>
      </w:r>
      <w:r w:rsidR="00D31A24">
        <w:rPr>
          <w:rFonts w:asciiTheme="minorHAnsi" w:hAnsiTheme="minorHAnsi"/>
        </w:rPr>
        <w:t>the</w:t>
      </w:r>
      <w:r w:rsidR="000532AD">
        <w:rPr>
          <w:rFonts w:asciiTheme="minorHAnsi" w:hAnsiTheme="minorHAnsi"/>
        </w:rPr>
        <w:t xml:space="preserve"> guarantee </w:t>
      </w:r>
      <w:r w:rsidR="00D31A24">
        <w:rPr>
          <w:rFonts w:asciiTheme="minorHAnsi" w:hAnsiTheme="minorHAnsi"/>
        </w:rPr>
        <w:t xml:space="preserve">under Article 6(1) </w:t>
      </w:r>
      <w:r w:rsidR="000532AD">
        <w:rPr>
          <w:rFonts w:asciiTheme="minorHAnsi" w:hAnsiTheme="minorHAnsi"/>
        </w:rPr>
        <w:t>of a right to life for “every human being</w:t>
      </w:r>
      <w:r w:rsidR="00D31A24">
        <w:rPr>
          <w:rFonts w:asciiTheme="minorHAnsi" w:hAnsiTheme="minorHAnsi"/>
        </w:rPr>
        <w:t xml:space="preserve">.” </w:t>
      </w:r>
      <w:r w:rsidRPr="00FC7969">
        <w:rPr>
          <w:rFonts w:asciiTheme="minorHAnsi" w:hAnsiTheme="minorHAnsi"/>
        </w:rPr>
        <w:t xml:space="preserve">To do so </w:t>
      </w:r>
      <w:r w:rsidR="002E716B">
        <w:rPr>
          <w:rFonts w:asciiTheme="minorHAnsi" w:hAnsiTheme="minorHAnsi"/>
        </w:rPr>
        <w:t>contradicts</w:t>
      </w:r>
      <w:r w:rsidRPr="00FC7969">
        <w:rPr>
          <w:rFonts w:asciiTheme="minorHAnsi" w:hAnsiTheme="minorHAnsi"/>
        </w:rPr>
        <w:t xml:space="preserve"> the plain meaning of the </w:t>
      </w:r>
      <w:r w:rsidR="002E716B">
        <w:rPr>
          <w:rFonts w:asciiTheme="minorHAnsi" w:hAnsiTheme="minorHAnsi"/>
        </w:rPr>
        <w:t>text of Articles 6</w:t>
      </w:r>
      <w:r w:rsidR="00D31A24">
        <w:rPr>
          <w:rFonts w:asciiTheme="minorHAnsi" w:hAnsiTheme="minorHAnsi"/>
        </w:rPr>
        <w:t>(1) and (5)</w:t>
      </w:r>
      <w:r w:rsidRPr="00FC7969">
        <w:rPr>
          <w:rFonts w:asciiTheme="minorHAnsi" w:hAnsiTheme="minorHAnsi"/>
        </w:rPr>
        <w:t xml:space="preserve">, </w:t>
      </w:r>
      <w:r w:rsidR="002E716B">
        <w:rPr>
          <w:rFonts w:asciiTheme="minorHAnsi" w:hAnsiTheme="minorHAnsi"/>
        </w:rPr>
        <w:t xml:space="preserve">flies in the face of </w:t>
      </w:r>
      <w:r w:rsidRPr="00FC7969">
        <w:rPr>
          <w:rFonts w:asciiTheme="minorHAnsi" w:hAnsiTheme="minorHAnsi"/>
        </w:rPr>
        <w:t xml:space="preserve">the intentions of the drafters, and </w:t>
      </w:r>
      <w:r w:rsidR="002E716B">
        <w:rPr>
          <w:rFonts w:asciiTheme="minorHAnsi" w:hAnsiTheme="minorHAnsi"/>
        </w:rPr>
        <w:t>violates</w:t>
      </w:r>
      <w:r w:rsidRPr="00FC7969">
        <w:rPr>
          <w:rFonts w:asciiTheme="minorHAnsi" w:hAnsiTheme="minorHAnsi"/>
        </w:rPr>
        <w:t xml:space="preserve"> state sovereignty and good faith relationships with state parties. The right to life cannot be so narrowly construed as to give some human be</w:t>
      </w:r>
      <w:r w:rsidR="00450B4C">
        <w:rPr>
          <w:rFonts w:asciiTheme="minorHAnsi" w:hAnsiTheme="minorHAnsi"/>
        </w:rPr>
        <w:t>ings</w:t>
      </w:r>
      <w:r w:rsidR="00107041">
        <w:rPr>
          <w:rFonts w:asciiTheme="minorHAnsi" w:hAnsiTheme="minorHAnsi"/>
        </w:rPr>
        <w:t xml:space="preserve"> a right to life but not others—</w:t>
      </w:r>
      <w:r w:rsidRPr="00FC7969">
        <w:rPr>
          <w:rFonts w:asciiTheme="minorHAnsi" w:hAnsiTheme="minorHAnsi"/>
        </w:rPr>
        <w:t>namely, the most innocent and vulnerable of us all</w:t>
      </w:r>
      <w:r w:rsidR="002E716B">
        <w:rPr>
          <w:rFonts w:asciiTheme="minorHAnsi" w:hAnsiTheme="minorHAnsi"/>
        </w:rPr>
        <w:t xml:space="preserve">. </w:t>
      </w:r>
    </w:p>
    <w:p w14:paraId="13BA11C6" w14:textId="77777777" w:rsidR="00AD4EBB" w:rsidRPr="00FC7969" w:rsidRDefault="00AD4EBB" w:rsidP="00AB7290">
      <w:pPr>
        <w:jc w:val="both"/>
        <w:rPr>
          <w:rFonts w:asciiTheme="minorHAnsi" w:hAnsiTheme="minorHAnsi"/>
        </w:rPr>
      </w:pPr>
    </w:p>
    <w:sectPr w:rsidR="00AD4EBB" w:rsidRPr="00FC7969" w:rsidSect="00380F7C">
      <w:headerReference w:type="default" r:id="rId8"/>
      <w:headerReference w:type="first" r:id="rId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82607" w14:textId="77777777" w:rsidR="009C5BA8" w:rsidRDefault="009C5BA8" w:rsidP="00C46C2F">
      <w:pPr>
        <w:spacing w:after="0" w:line="240" w:lineRule="auto"/>
      </w:pPr>
      <w:r>
        <w:separator/>
      </w:r>
    </w:p>
  </w:endnote>
  <w:endnote w:type="continuationSeparator" w:id="0">
    <w:p w14:paraId="6C9585CE" w14:textId="77777777" w:rsidR="009C5BA8" w:rsidRDefault="009C5BA8" w:rsidP="00C4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Minio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AC24A" w14:textId="77777777" w:rsidR="009C5BA8" w:rsidRDefault="009C5BA8" w:rsidP="00C46C2F">
      <w:pPr>
        <w:spacing w:after="0" w:line="240" w:lineRule="auto"/>
      </w:pPr>
      <w:r>
        <w:separator/>
      </w:r>
    </w:p>
  </w:footnote>
  <w:footnote w:type="continuationSeparator" w:id="0">
    <w:p w14:paraId="5033408D" w14:textId="77777777" w:rsidR="009C5BA8" w:rsidRDefault="009C5BA8" w:rsidP="00C46C2F">
      <w:pPr>
        <w:spacing w:after="0" w:line="240" w:lineRule="auto"/>
      </w:pPr>
      <w:r>
        <w:continuationSeparator/>
      </w:r>
    </w:p>
  </w:footnote>
  <w:footnote w:id="1">
    <w:p w14:paraId="7C6E83E0" w14:textId="77777777" w:rsidR="00242012" w:rsidRPr="00DC6C86" w:rsidRDefault="00242012">
      <w:pPr>
        <w:pStyle w:val="FootnoteText"/>
        <w:rPr>
          <w:rFonts w:cstheme="minorHAnsi"/>
        </w:rPr>
      </w:pPr>
      <w:r w:rsidRPr="002B0CC2">
        <w:rPr>
          <w:rStyle w:val="FootnoteReference"/>
          <w:rFonts w:cstheme="minorHAnsi"/>
          <w:smallCaps/>
        </w:rPr>
        <w:footnoteRef/>
      </w:r>
      <w:r w:rsidRPr="002B0CC2">
        <w:rPr>
          <w:rFonts w:cstheme="minorHAnsi"/>
          <w:smallCaps/>
        </w:rPr>
        <w:t xml:space="preserve"> Office of the High Comm’r</w:t>
      </w:r>
      <w:r w:rsidRPr="00DC6C86">
        <w:rPr>
          <w:rFonts w:cstheme="minorHAnsi"/>
        </w:rPr>
        <w:t xml:space="preserve">, </w:t>
      </w:r>
      <w:r w:rsidRPr="00DC6C86">
        <w:rPr>
          <w:rFonts w:cstheme="minorHAnsi"/>
          <w:i/>
        </w:rPr>
        <w:t>Draft General Comment on Article 6 of the International Covenant on Civil and Political Rights – Right to Life</w:t>
      </w:r>
      <w:r w:rsidRPr="00DC6C86">
        <w:rPr>
          <w:rFonts w:cstheme="minorHAnsi"/>
        </w:rPr>
        <w:t xml:space="preserve">, </w:t>
      </w:r>
      <w:hyperlink r:id="rId1" w:history="1">
        <w:r w:rsidRPr="00DC6C86">
          <w:rPr>
            <w:rStyle w:val="Hyperlink"/>
            <w:rFonts w:cstheme="minorHAnsi"/>
          </w:rPr>
          <w:t>http://www.ohchr.org/EN/HRBodies/CCPR/Pages/GC36-Article6Righttolife.aspx</w:t>
        </w:r>
      </w:hyperlink>
      <w:r w:rsidRPr="00DC6C86">
        <w:rPr>
          <w:rFonts w:cstheme="minorHAnsi"/>
        </w:rPr>
        <w:t xml:space="preserve">. </w:t>
      </w:r>
    </w:p>
  </w:footnote>
  <w:footnote w:id="2">
    <w:p w14:paraId="36C6183E" w14:textId="77777777" w:rsidR="00242012" w:rsidRPr="00DC6C86" w:rsidRDefault="00242012">
      <w:pPr>
        <w:pStyle w:val="FootnoteText"/>
        <w:rPr>
          <w:rFonts w:cstheme="minorHAnsi"/>
        </w:rPr>
      </w:pPr>
      <w:r w:rsidRPr="00DC6C86">
        <w:rPr>
          <w:rStyle w:val="FootnoteReference"/>
          <w:rFonts w:cstheme="minorHAnsi"/>
        </w:rPr>
        <w:footnoteRef/>
      </w:r>
      <w:r w:rsidRPr="00DC6C86">
        <w:rPr>
          <w:rFonts w:cstheme="minorHAnsi"/>
        </w:rPr>
        <w:t xml:space="preserve"> </w:t>
      </w:r>
      <w:hyperlink r:id="rId2" w:history="1">
        <w:r w:rsidRPr="00DC6C86">
          <w:rPr>
            <w:rStyle w:val="Hyperlink"/>
            <w:rFonts w:cstheme="minorHAnsi"/>
          </w:rPr>
          <w:t>S. Ernie Walton</w:t>
        </w:r>
      </w:hyperlink>
      <w:r w:rsidRPr="00DC6C86">
        <w:rPr>
          <w:rFonts w:cstheme="minorHAnsi"/>
        </w:rPr>
        <w:t xml:space="preserve"> is a professor of International Law and serves as the Academic and Administrative Director of the Center for Global Justice, Human Rights, and the Rule of Law. </w:t>
      </w:r>
    </w:p>
  </w:footnote>
  <w:footnote w:id="3">
    <w:p w14:paraId="689CE3B4" w14:textId="27B88043" w:rsidR="00242012" w:rsidRPr="00DC6C86" w:rsidRDefault="00242012">
      <w:pPr>
        <w:pStyle w:val="FootnoteText"/>
        <w:rPr>
          <w:rFonts w:cstheme="minorHAnsi"/>
        </w:rPr>
      </w:pPr>
      <w:r w:rsidRPr="00DC6C86">
        <w:rPr>
          <w:rStyle w:val="FootnoteReference"/>
          <w:rFonts w:cstheme="minorHAnsi"/>
        </w:rPr>
        <w:footnoteRef/>
      </w:r>
      <w:r w:rsidRPr="00DC6C86">
        <w:rPr>
          <w:rFonts w:cstheme="minorHAnsi"/>
        </w:rPr>
        <w:t xml:space="preserve"> Jeffrey Brauch is the former Dean of Regent Un</w:t>
      </w:r>
      <w:r w:rsidR="00F51659">
        <w:rPr>
          <w:rFonts w:cstheme="minorHAnsi"/>
        </w:rPr>
        <w:t>iversity School of Law and</w:t>
      </w:r>
      <w:r w:rsidRPr="00DC6C86">
        <w:rPr>
          <w:rFonts w:cstheme="minorHAnsi"/>
        </w:rPr>
        <w:t xml:space="preserve"> the Executive Director of the Center for Global Justice, Hu</w:t>
      </w:r>
      <w:r w:rsidR="00F51659">
        <w:rPr>
          <w:rFonts w:cstheme="minorHAnsi"/>
        </w:rPr>
        <w:t>man Rights, and the Rule of Law. He</w:t>
      </w:r>
      <w:r w:rsidRPr="00DC6C86">
        <w:rPr>
          <w:rFonts w:cstheme="minorHAnsi"/>
        </w:rPr>
        <w:t xml:space="preserve"> teaches International Criminal Law and International &amp; Comparative Human Rights, among other things, and has published </w:t>
      </w:r>
      <w:hyperlink r:id="rId3" w:history="1">
        <w:r w:rsidRPr="00DC6C86">
          <w:rPr>
            <w:rStyle w:val="Hyperlink"/>
            <w:rFonts w:cstheme="minorHAnsi"/>
          </w:rPr>
          <w:t>several articles</w:t>
        </w:r>
      </w:hyperlink>
      <w:r w:rsidRPr="00DC6C86">
        <w:rPr>
          <w:rFonts w:cstheme="minorHAnsi"/>
        </w:rPr>
        <w:t xml:space="preserve"> that relate to international human rights law. </w:t>
      </w:r>
    </w:p>
  </w:footnote>
  <w:footnote w:id="4">
    <w:p w14:paraId="65D860C8" w14:textId="462030B4" w:rsidR="00242012" w:rsidRPr="00DC6C86" w:rsidRDefault="00242012">
      <w:pPr>
        <w:pStyle w:val="FootnoteText"/>
        <w:rPr>
          <w:rFonts w:cstheme="minorHAnsi"/>
        </w:rPr>
      </w:pPr>
      <w:r w:rsidRPr="00DC6C86">
        <w:rPr>
          <w:rStyle w:val="FootnoteReference"/>
          <w:rFonts w:cstheme="minorHAnsi"/>
        </w:rPr>
        <w:footnoteRef/>
      </w:r>
      <w:r>
        <w:rPr>
          <w:rFonts w:cstheme="minorHAnsi"/>
        </w:rPr>
        <w:t xml:space="preserve"> The Center’s mission</w:t>
      </w:r>
      <w:r w:rsidRPr="00DC6C86">
        <w:rPr>
          <w:rFonts w:cstheme="minorHAnsi"/>
        </w:rPr>
        <w:t xml:space="preserve"> is to “to equip Christian advocates to promote the rule of law</w:t>
      </w:r>
      <w:r w:rsidR="00D17993">
        <w:rPr>
          <w:rFonts w:cstheme="minorHAnsi"/>
        </w:rPr>
        <w:t xml:space="preserve"> and seek justice for the world’</w:t>
      </w:r>
      <w:r w:rsidRPr="00DC6C86">
        <w:rPr>
          <w:rFonts w:cstheme="minorHAnsi"/>
        </w:rPr>
        <w:t xml:space="preserve">s downtrodden—the poor, the oppressed, and the enslaved—and to serve and support those already engaged in such advocacy.” Center for Global Justice, Human Rights, and the Rule of Law, About, </w:t>
      </w:r>
      <w:hyperlink r:id="rId4" w:history="1">
        <w:r w:rsidRPr="00DC6C86">
          <w:rPr>
            <w:rStyle w:val="Hyperlink"/>
            <w:rFonts w:cstheme="minorHAnsi"/>
          </w:rPr>
          <w:t>https://www.regent.edu/acad/schlaw/globaljustice/about.cfm</w:t>
        </w:r>
      </w:hyperlink>
      <w:r w:rsidRPr="00DC6C86">
        <w:rPr>
          <w:rFonts w:cstheme="minorHAnsi"/>
        </w:rPr>
        <w:t xml:space="preserve"> (last visited 8 </w:t>
      </w:r>
      <w:r w:rsidR="00CD68AE">
        <w:rPr>
          <w:rFonts w:cstheme="minorHAnsi"/>
        </w:rPr>
        <w:t>Aug.</w:t>
      </w:r>
      <w:r w:rsidRPr="00DC6C86">
        <w:rPr>
          <w:rFonts w:cstheme="minorHAnsi"/>
        </w:rPr>
        <w:t xml:space="preserve"> 2017). </w:t>
      </w:r>
    </w:p>
  </w:footnote>
  <w:footnote w:id="5">
    <w:p w14:paraId="0046F7C8" w14:textId="77777777" w:rsidR="00242012" w:rsidRDefault="00242012" w:rsidP="00D80C65">
      <w:pPr>
        <w:pStyle w:val="FootnoteText"/>
      </w:pPr>
      <w:r>
        <w:rPr>
          <w:rStyle w:val="FootnoteReference"/>
        </w:rPr>
        <w:footnoteRef/>
      </w:r>
      <w:r>
        <w:t xml:space="preserve"> Vienna Convention art. 31(1), 23 May 1969, 1155 U.N.T.S. 18232 (registered </w:t>
      </w:r>
      <w:r>
        <w:rPr>
          <w:i/>
        </w:rPr>
        <w:t>ex officio</w:t>
      </w:r>
      <w:r>
        <w:t xml:space="preserve"> on 27 Jan. 1980).</w:t>
      </w:r>
    </w:p>
  </w:footnote>
  <w:footnote w:id="6">
    <w:p w14:paraId="3905C42E" w14:textId="739B75BF" w:rsidR="00242012" w:rsidRPr="00DC6C86" w:rsidRDefault="00242012" w:rsidP="00FB3E01">
      <w:pPr>
        <w:pStyle w:val="FootnoteText"/>
        <w:jc w:val="both"/>
        <w:rPr>
          <w:rFonts w:cstheme="minorHAnsi"/>
        </w:rPr>
      </w:pPr>
      <w:r w:rsidRPr="00DC6C86">
        <w:rPr>
          <w:rStyle w:val="FootnoteReference"/>
          <w:rFonts w:cstheme="minorHAnsi"/>
        </w:rPr>
        <w:footnoteRef/>
      </w:r>
      <w:r w:rsidRPr="00DC6C86">
        <w:rPr>
          <w:rFonts w:cstheme="minorHAnsi"/>
        </w:rPr>
        <w:t xml:space="preserve"> </w:t>
      </w:r>
      <w:r>
        <w:rPr>
          <w:rFonts w:cstheme="minorHAnsi"/>
        </w:rPr>
        <w:t>International Covenant on Civil and Political Rights,</w:t>
      </w:r>
      <w:r w:rsidRPr="00DC6C86">
        <w:rPr>
          <w:rFonts w:cstheme="minorHAnsi"/>
        </w:rPr>
        <w:t xml:space="preserve"> Article 6</w:t>
      </w:r>
      <w:r w:rsidR="00127BDF">
        <w:rPr>
          <w:rFonts w:cstheme="minorHAnsi"/>
        </w:rPr>
        <w:t>(1)</w:t>
      </w:r>
      <w:r w:rsidR="00803676">
        <w:rPr>
          <w:rFonts w:cstheme="minorHAnsi"/>
        </w:rPr>
        <w:t>, a</w:t>
      </w:r>
      <w:r w:rsidRPr="00DC6C86">
        <w:rPr>
          <w:rFonts w:cstheme="minorHAnsi"/>
        </w:rPr>
        <w:t>dopted 30 April 1982, HRI/GEN/1/Rev.</w:t>
      </w:r>
      <w:r w:rsidR="00803676">
        <w:rPr>
          <w:rFonts w:cstheme="minorHAnsi"/>
        </w:rPr>
        <w:t>9 (Vol. I) (hereinafter “ICCPR”</w:t>
      </w:r>
      <w:r w:rsidRPr="00DC6C86">
        <w:rPr>
          <w:rFonts w:cstheme="minorHAnsi"/>
        </w:rPr>
        <w:t>)</w:t>
      </w:r>
      <w:r w:rsidR="00803676">
        <w:rPr>
          <w:rFonts w:cstheme="minorHAnsi"/>
        </w:rPr>
        <w:t>.</w:t>
      </w:r>
    </w:p>
  </w:footnote>
  <w:footnote w:id="7">
    <w:p w14:paraId="2D43E54A" w14:textId="24296C27" w:rsidR="00242012" w:rsidRPr="00DC6C86" w:rsidRDefault="00242012" w:rsidP="005E5881">
      <w:pPr>
        <w:pStyle w:val="FootnoteText"/>
        <w:rPr>
          <w:rFonts w:cstheme="minorHAnsi"/>
        </w:rPr>
      </w:pPr>
      <w:r w:rsidRPr="00DC6C86">
        <w:rPr>
          <w:rStyle w:val="FootnoteReference"/>
          <w:rFonts w:cstheme="minorHAnsi"/>
        </w:rPr>
        <w:footnoteRef/>
      </w:r>
      <w:r w:rsidRPr="00DC6C86">
        <w:rPr>
          <w:rFonts w:cstheme="minorHAnsi"/>
        </w:rPr>
        <w:t xml:space="preserve"> ICCPR </w:t>
      </w:r>
      <w:r w:rsidR="00A90B6A">
        <w:rPr>
          <w:rFonts w:cstheme="minorHAnsi"/>
        </w:rPr>
        <w:t>art.</w:t>
      </w:r>
      <w:r w:rsidRPr="00DC6C86">
        <w:rPr>
          <w:rFonts w:cstheme="minorHAnsi"/>
        </w:rPr>
        <w:t xml:space="preserve"> 6, ¶ 1 (emphasis added).</w:t>
      </w:r>
    </w:p>
  </w:footnote>
  <w:footnote w:id="8">
    <w:p w14:paraId="03C3DFF0" w14:textId="77777777" w:rsidR="00242012" w:rsidRPr="00DC6C86" w:rsidRDefault="00242012" w:rsidP="00FB3E01">
      <w:pPr>
        <w:pStyle w:val="FootnoteText"/>
        <w:rPr>
          <w:rFonts w:cstheme="minorHAnsi"/>
        </w:rPr>
      </w:pPr>
      <w:r w:rsidRPr="00DC6C86">
        <w:rPr>
          <w:rStyle w:val="FootnoteReference"/>
          <w:rFonts w:cstheme="minorHAnsi"/>
        </w:rPr>
        <w:footnoteRef/>
      </w:r>
      <w:r w:rsidRPr="00DC6C86">
        <w:rPr>
          <w:rFonts w:cstheme="minorHAnsi"/>
        </w:rPr>
        <w:t xml:space="preserve"> </w:t>
      </w:r>
      <w:r w:rsidRPr="00A90B6A">
        <w:rPr>
          <w:rFonts w:cstheme="minorHAnsi"/>
          <w:i/>
        </w:rPr>
        <w:t>See</w:t>
      </w:r>
      <w:r w:rsidRPr="00DC6C86">
        <w:rPr>
          <w:rFonts w:cstheme="minorHAnsi"/>
        </w:rPr>
        <w:t xml:space="preserve"> Advanced Unedited General Comment 6, ¶ 3.</w:t>
      </w:r>
    </w:p>
  </w:footnote>
  <w:footnote w:id="9">
    <w:p w14:paraId="264F2680" w14:textId="38749534" w:rsidR="00242012" w:rsidRPr="00DC6C86" w:rsidRDefault="00242012" w:rsidP="00FB3E01">
      <w:pPr>
        <w:pStyle w:val="FootnoteText"/>
        <w:rPr>
          <w:rFonts w:cstheme="minorHAnsi"/>
        </w:rPr>
      </w:pPr>
      <w:r w:rsidRPr="00DC6C86">
        <w:rPr>
          <w:rStyle w:val="FootnoteReference"/>
          <w:rFonts w:cstheme="minorHAnsi"/>
        </w:rPr>
        <w:footnoteRef/>
      </w:r>
      <w:r w:rsidRPr="00DC6C86">
        <w:rPr>
          <w:rFonts w:cstheme="minorHAnsi"/>
        </w:rPr>
        <w:t xml:space="preserve"> ICCPR </w:t>
      </w:r>
      <w:r w:rsidR="00A90B6A">
        <w:rPr>
          <w:rFonts w:cstheme="minorHAnsi"/>
        </w:rPr>
        <w:t>art.</w:t>
      </w:r>
      <w:r w:rsidRPr="00DC6C86">
        <w:rPr>
          <w:rFonts w:cstheme="minorHAnsi"/>
        </w:rPr>
        <w:t xml:space="preserve"> 6, ¶ 5. </w:t>
      </w:r>
    </w:p>
  </w:footnote>
  <w:footnote w:id="10">
    <w:p w14:paraId="4584CB1A" w14:textId="77777777" w:rsidR="00242012" w:rsidRPr="00DC6C86" w:rsidRDefault="00242012" w:rsidP="00FB3E01">
      <w:pPr>
        <w:pStyle w:val="FootnoteText"/>
        <w:rPr>
          <w:rFonts w:cstheme="minorHAnsi"/>
        </w:rPr>
      </w:pPr>
      <w:r w:rsidRPr="00DC6C86">
        <w:rPr>
          <w:rStyle w:val="FootnoteReference"/>
          <w:rFonts w:cstheme="minorHAnsi"/>
        </w:rPr>
        <w:footnoteRef/>
      </w:r>
      <w:r w:rsidRPr="00DC6C86">
        <w:rPr>
          <w:rFonts w:cstheme="minorHAnsi"/>
        </w:rPr>
        <w:t xml:space="preserve"> Advanced Unedited General Comment 36, ¶ 52.</w:t>
      </w:r>
    </w:p>
  </w:footnote>
  <w:footnote w:id="11">
    <w:p w14:paraId="12706CAE" w14:textId="77777777" w:rsidR="00242012" w:rsidRPr="00DC6C86" w:rsidRDefault="00242012" w:rsidP="00FB3E01">
      <w:pPr>
        <w:pStyle w:val="FootnoteText"/>
        <w:rPr>
          <w:rFonts w:cstheme="minorHAnsi"/>
        </w:rPr>
      </w:pPr>
      <w:r w:rsidRPr="00DC6C86">
        <w:rPr>
          <w:rStyle w:val="FootnoteReference"/>
          <w:rFonts w:cstheme="minorHAnsi"/>
        </w:rPr>
        <w:footnoteRef/>
      </w:r>
      <w:r w:rsidRPr="00DC6C86">
        <w:rPr>
          <w:rFonts w:cstheme="minorHAnsi"/>
        </w:rPr>
        <w:t xml:space="preserve"> </w:t>
      </w:r>
      <w:r w:rsidRPr="00DC6C86">
        <w:rPr>
          <w:rFonts w:cstheme="minorHAnsi"/>
          <w:i/>
        </w:rPr>
        <w:t>Id.</w:t>
      </w:r>
    </w:p>
  </w:footnote>
  <w:footnote w:id="12">
    <w:p w14:paraId="7E060694" w14:textId="344EE55A" w:rsidR="00242012" w:rsidRPr="00DC6C86" w:rsidRDefault="00242012">
      <w:pPr>
        <w:pStyle w:val="FootnoteText"/>
        <w:rPr>
          <w:rFonts w:cstheme="minorHAnsi"/>
        </w:rPr>
      </w:pPr>
      <w:r w:rsidRPr="00DC6C86">
        <w:rPr>
          <w:rStyle w:val="FootnoteReference"/>
          <w:rFonts w:cstheme="minorHAnsi"/>
        </w:rPr>
        <w:footnoteRef/>
      </w:r>
      <w:r w:rsidRPr="00DC6C86">
        <w:rPr>
          <w:rFonts w:cstheme="minorHAnsi"/>
        </w:rPr>
        <w:t xml:space="preserve"> ICCPR art. 6, </w:t>
      </w:r>
      <w:r w:rsidR="00682815" w:rsidRPr="00DC6C86">
        <w:rPr>
          <w:rFonts w:cstheme="minorHAnsi"/>
        </w:rPr>
        <w:t>¶¶</w:t>
      </w:r>
      <w:r w:rsidRPr="00DC6C86">
        <w:rPr>
          <w:rFonts w:cstheme="minorHAnsi"/>
        </w:rPr>
        <w:t xml:space="preserve"> </w:t>
      </w:r>
      <w:r w:rsidR="00682815">
        <w:rPr>
          <w:rFonts w:cstheme="minorHAnsi"/>
        </w:rPr>
        <w:t xml:space="preserve">1, </w:t>
      </w:r>
      <w:r w:rsidRPr="00DC6C86">
        <w:rPr>
          <w:rFonts w:cstheme="minorHAnsi"/>
        </w:rPr>
        <w:t>5.</w:t>
      </w:r>
    </w:p>
  </w:footnote>
  <w:footnote w:id="13">
    <w:p w14:paraId="483764E2" w14:textId="1445A7DD" w:rsidR="00242012" w:rsidRPr="00DC6C86" w:rsidRDefault="00242012" w:rsidP="00FB3E01">
      <w:pPr>
        <w:pStyle w:val="FootnoteText"/>
        <w:rPr>
          <w:rFonts w:cstheme="minorHAnsi"/>
        </w:rPr>
      </w:pPr>
      <w:r w:rsidRPr="00DC6C86">
        <w:rPr>
          <w:rStyle w:val="FootnoteReference"/>
          <w:rFonts w:cstheme="minorHAnsi"/>
        </w:rPr>
        <w:footnoteRef/>
      </w:r>
      <w:r w:rsidR="00042586">
        <w:rPr>
          <w:rFonts w:cstheme="minorHAnsi"/>
        </w:rPr>
        <w:t xml:space="preserve"> </w:t>
      </w:r>
      <w:r w:rsidR="00042586">
        <w:rPr>
          <w:rFonts w:cstheme="minorHAnsi"/>
          <w:i/>
        </w:rPr>
        <w:t xml:space="preserve">Id. </w:t>
      </w:r>
    </w:p>
  </w:footnote>
  <w:footnote w:id="14">
    <w:p w14:paraId="21E1CD6D" w14:textId="77777777" w:rsidR="00242012" w:rsidRPr="00DC6C86" w:rsidRDefault="00242012" w:rsidP="009A0A72">
      <w:pPr>
        <w:pStyle w:val="FootnoteText"/>
        <w:rPr>
          <w:rFonts w:cstheme="minorHAnsi"/>
        </w:rPr>
      </w:pPr>
      <w:r w:rsidRPr="00DC6C86">
        <w:rPr>
          <w:rStyle w:val="FootnoteReference"/>
          <w:rFonts w:cstheme="minorHAnsi"/>
        </w:rPr>
        <w:footnoteRef/>
      </w:r>
      <w:r w:rsidRPr="00DC6C86">
        <w:rPr>
          <w:rFonts w:cstheme="minorHAnsi"/>
        </w:rPr>
        <w:t xml:space="preserve"> U. N. Charter, art. 2, ¶ 1.</w:t>
      </w:r>
    </w:p>
  </w:footnote>
  <w:footnote w:id="15">
    <w:p w14:paraId="6E929BC5" w14:textId="77777777" w:rsidR="00242012" w:rsidRPr="00DC6C86" w:rsidRDefault="00242012" w:rsidP="009A0A72">
      <w:pPr>
        <w:pStyle w:val="FootnoteText"/>
        <w:rPr>
          <w:rFonts w:cstheme="minorHAnsi"/>
        </w:rPr>
      </w:pPr>
      <w:r w:rsidRPr="00DC6C86">
        <w:rPr>
          <w:rStyle w:val="FootnoteReference"/>
          <w:rFonts w:cstheme="minorHAnsi"/>
        </w:rPr>
        <w:footnoteRef/>
      </w:r>
      <w:r w:rsidRPr="00DC6C86">
        <w:rPr>
          <w:rFonts w:cstheme="minorHAnsi"/>
        </w:rPr>
        <w:t xml:space="preserve"> </w:t>
      </w:r>
      <w:r w:rsidRPr="00DC6C86">
        <w:rPr>
          <w:rFonts w:cstheme="minorHAnsi"/>
          <w:i/>
        </w:rPr>
        <w:t>Id.</w:t>
      </w:r>
      <w:r w:rsidRPr="00DC6C86">
        <w:rPr>
          <w:rFonts w:cstheme="minorHAnsi"/>
        </w:rPr>
        <w:t xml:space="preserve"> art. 2, ¶ 7.</w:t>
      </w:r>
    </w:p>
  </w:footnote>
  <w:footnote w:id="16">
    <w:p w14:paraId="0ED1F54E" w14:textId="25863D98" w:rsidR="00242012" w:rsidRPr="00224FE8" w:rsidRDefault="00242012">
      <w:pPr>
        <w:pStyle w:val="FootnoteText"/>
      </w:pPr>
      <w:r>
        <w:rPr>
          <w:rStyle w:val="FootnoteReference"/>
        </w:rPr>
        <w:footnoteRef/>
      </w:r>
      <w:r>
        <w:t xml:space="preserve"> </w:t>
      </w:r>
      <w:r w:rsidR="006C77F1">
        <w:t>Thomas Finegan,</w:t>
      </w:r>
      <w:r w:rsidR="006C77F1" w:rsidRPr="006C77F1">
        <w:rPr>
          <w:i/>
        </w:rPr>
        <w:t xml:space="preserve"> Int’l Human Rights Law &amp; the “Unborn”: Text &amp; Travaux Préparatories</w:t>
      </w:r>
      <w:r w:rsidR="006C77F1" w:rsidRPr="006C77F1">
        <w:t xml:space="preserve">, 25 </w:t>
      </w:r>
      <w:r w:rsidR="006C77F1" w:rsidRPr="006C77F1">
        <w:rPr>
          <w:smallCaps/>
        </w:rPr>
        <w:t>Tul. J. Int’l &amp; Comp. L.</w:t>
      </w:r>
      <w:r w:rsidR="006C77F1" w:rsidRPr="006C77F1">
        <w:t xml:space="preserve"> 89,</w:t>
      </w:r>
      <w:r w:rsidR="006C77F1">
        <w:rPr>
          <w:rFonts w:cstheme="minorHAnsi"/>
          <w:i/>
        </w:rPr>
        <w:t xml:space="preserve"> </w:t>
      </w:r>
      <w:r w:rsidR="005D56AC">
        <w:rPr>
          <w:rFonts w:cstheme="minorHAnsi"/>
        </w:rPr>
        <w:t>101–09</w:t>
      </w:r>
      <w:r w:rsidR="00224FE8">
        <w:rPr>
          <w:rFonts w:cstheme="minorHAnsi"/>
        </w:rPr>
        <w:t>.</w:t>
      </w:r>
    </w:p>
  </w:footnote>
  <w:footnote w:id="17">
    <w:p w14:paraId="749CA6AF" w14:textId="5961DF19" w:rsidR="005D56AC" w:rsidRDefault="005D56AC">
      <w:pPr>
        <w:pStyle w:val="FootnoteText"/>
      </w:pPr>
      <w:r>
        <w:rPr>
          <w:rStyle w:val="FootnoteReference"/>
        </w:rPr>
        <w:footnoteRef/>
      </w:r>
      <w:r>
        <w:t xml:space="preserve"> </w:t>
      </w:r>
      <w:r w:rsidR="000979EF" w:rsidRPr="000979EF">
        <w:rPr>
          <w:i/>
        </w:rPr>
        <w:t>Id.</w:t>
      </w:r>
      <w:r w:rsidR="000979EF">
        <w:t xml:space="preserve"> at </w:t>
      </w:r>
      <w:r>
        <w:rPr>
          <w:rFonts w:cstheme="minorHAnsi"/>
        </w:rPr>
        <w:t>101–03.</w:t>
      </w:r>
    </w:p>
  </w:footnote>
  <w:footnote w:id="18">
    <w:p w14:paraId="32DCBFF2" w14:textId="71B9F087" w:rsidR="00242012" w:rsidRPr="008E42B9" w:rsidRDefault="00242012">
      <w:pPr>
        <w:pStyle w:val="FootnoteText"/>
      </w:pPr>
      <w:r>
        <w:rPr>
          <w:rStyle w:val="FootnoteReference"/>
        </w:rPr>
        <w:footnoteRef/>
      </w:r>
      <w:r>
        <w:t xml:space="preserve"> </w:t>
      </w:r>
      <w:r w:rsidR="008E42B9">
        <w:rPr>
          <w:i/>
        </w:rPr>
        <w:t>Id.</w:t>
      </w:r>
      <w:r w:rsidR="008E42B9">
        <w:t xml:space="preserve"> at 106–07.</w:t>
      </w:r>
    </w:p>
  </w:footnote>
  <w:footnote w:id="19">
    <w:p w14:paraId="4F245BEA" w14:textId="77777777" w:rsidR="00242012" w:rsidRPr="00AE57B5" w:rsidRDefault="00242012" w:rsidP="00AE57B5">
      <w:pPr>
        <w:pStyle w:val="FootnoteText"/>
        <w:rPr>
          <w:rFonts w:cstheme="minorHAnsi"/>
        </w:rPr>
      </w:pPr>
      <w:r>
        <w:rPr>
          <w:rStyle w:val="FootnoteReference"/>
        </w:rPr>
        <w:footnoteRef/>
      </w:r>
      <w:r>
        <w:t xml:space="preserve"> </w:t>
      </w:r>
      <w:r>
        <w:rPr>
          <w:rFonts w:cstheme="minorHAnsi"/>
        </w:rPr>
        <w:t>U. N. Charter, art. 2, ¶ 7</w:t>
      </w:r>
      <w:r w:rsidRPr="00DC6C86">
        <w:rPr>
          <w:rFonts w:cstheme="minorHAnsi"/>
        </w:rPr>
        <w:t>.</w:t>
      </w:r>
    </w:p>
  </w:footnote>
  <w:footnote w:id="20">
    <w:p w14:paraId="657BB21A" w14:textId="31F91FCD" w:rsidR="00242012" w:rsidRPr="00D90FE8" w:rsidRDefault="00242012" w:rsidP="00AE57B5">
      <w:pPr>
        <w:pStyle w:val="FootnoteText"/>
      </w:pPr>
      <w:r>
        <w:rPr>
          <w:rStyle w:val="FootnoteReference"/>
        </w:rPr>
        <w:footnoteRef/>
      </w:r>
      <w:r>
        <w:t xml:space="preserve"> Finegan, </w:t>
      </w:r>
      <w:r>
        <w:rPr>
          <w:i/>
        </w:rPr>
        <w:t>supra</w:t>
      </w:r>
      <w:r>
        <w:t xml:space="preserve"> note</w:t>
      </w:r>
      <w:r w:rsidR="00CA5F89">
        <w:t xml:space="preserve"> </w:t>
      </w:r>
      <w:r w:rsidR="00CA5F89">
        <w:fldChar w:fldCharType="begin"/>
      </w:r>
      <w:r w:rsidR="00CA5F89">
        <w:instrText xml:space="preserve"> NOTEREF _Ref494811612 \h </w:instrText>
      </w:r>
      <w:r w:rsidR="00CA5F89">
        <w:fldChar w:fldCharType="separate"/>
      </w:r>
      <w:r w:rsidR="00CA5F89">
        <w:t>16</w:t>
      </w:r>
      <w:r w:rsidR="00CA5F89">
        <w:fldChar w:fldCharType="end"/>
      </w:r>
      <w:r>
        <w:t>, at 101–07.</w:t>
      </w:r>
    </w:p>
  </w:footnote>
  <w:footnote w:id="21">
    <w:p w14:paraId="0B9905D9" w14:textId="1849F1F1" w:rsidR="00242012" w:rsidRPr="006C77F1" w:rsidRDefault="00242012">
      <w:pPr>
        <w:pStyle w:val="FootnoteText"/>
        <w:rPr>
          <w:rFonts w:cstheme="minorHAnsi"/>
        </w:rPr>
      </w:pPr>
      <w:r w:rsidRPr="00DC6C86">
        <w:rPr>
          <w:rStyle w:val="FootnoteReference"/>
          <w:rFonts w:cstheme="minorHAnsi"/>
        </w:rPr>
        <w:footnoteRef/>
      </w:r>
      <w:r w:rsidRPr="00DC6C86">
        <w:rPr>
          <w:rFonts w:cstheme="minorHAnsi"/>
        </w:rPr>
        <w:t xml:space="preserve"> Paula Gerber et al., </w:t>
      </w:r>
      <w:r w:rsidRPr="00DC6C86">
        <w:rPr>
          <w:rFonts w:cstheme="minorHAnsi"/>
          <w:i/>
        </w:rPr>
        <w:t>General Comment 16 on State Obligations Regarding the Impact of the Business Sector on Children’s Rights: What is its Standing, Meaning and Effect?</w:t>
      </w:r>
      <w:r w:rsidR="006C77F1">
        <w:rPr>
          <w:rFonts w:cstheme="minorHAnsi"/>
        </w:rPr>
        <w:t>,</w:t>
      </w:r>
      <w:r w:rsidRPr="00DC6C86">
        <w:rPr>
          <w:rFonts w:cstheme="minorHAnsi"/>
        </w:rPr>
        <w:t xml:space="preserve"> 14 </w:t>
      </w:r>
      <w:r w:rsidRPr="00DC6C86">
        <w:rPr>
          <w:rFonts w:cstheme="minorHAnsi"/>
          <w:smallCaps/>
        </w:rPr>
        <w:t>Melb.</w:t>
      </w:r>
      <w:r w:rsidR="00485D6E">
        <w:rPr>
          <w:rFonts w:cstheme="minorHAnsi"/>
          <w:smallCaps/>
        </w:rPr>
        <w:t xml:space="preserve"> J. Int’l L.</w:t>
      </w:r>
      <w:r w:rsidR="00440EDA">
        <w:rPr>
          <w:rFonts w:cstheme="minorHAnsi"/>
        </w:rPr>
        <w:t xml:space="preserve"> 93, 99 (2016).</w:t>
      </w:r>
    </w:p>
  </w:footnote>
  <w:footnote w:id="22">
    <w:p w14:paraId="0881FD9F" w14:textId="4A7E3520" w:rsidR="00242012" w:rsidRPr="00522482" w:rsidRDefault="00242012">
      <w:pPr>
        <w:pStyle w:val="FootnoteText"/>
        <w:rPr>
          <w:rFonts w:cstheme="minorHAnsi"/>
        </w:rPr>
      </w:pPr>
      <w:r w:rsidRPr="00DC6C86">
        <w:rPr>
          <w:rStyle w:val="FootnoteReference"/>
          <w:rFonts w:cstheme="minorHAnsi"/>
        </w:rPr>
        <w:footnoteRef/>
      </w:r>
      <w:r w:rsidRPr="00DC6C86">
        <w:rPr>
          <w:rFonts w:cstheme="minorHAnsi"/>
        </w:rPr>
        <w:t xml:space="preserve"> </w:t>
      </w:r>
      <w:r w:rsidR="00522482">
        <w:rPr>
          <w:rFonts w:cstheme="minorHAnsi"/>
          <w:i/>
        </w:rPr>
        <w:t xml:space="preserve">Id. </w:t>
      </w:r>
      <w:r w:rsidR="00522482">
        <w:rPr>
          <w:rFonts w:cstheme="minorHAnsi"/>
        </w:rPr>
        <w:t>at 99–101.</w:t>
      </w:r>
    </w:p>
  </w:footnote>
  <w:footnote w:id="23">
    <w:p w14:paraId="02D100A6" w14:textId="3B44DAC8" w:rsidR="00242012" w:rsidRPr="00EA1F71" w:rsidRDefault="00242012">
      <w:pPr>
        <w:pStyle w:val="FootnoteText"/>
      </w:pPr>
      <w:r>
        <w:rPr>
          <w:rStyle w:val="FootnoteReference"/>
        </w:rPr>
        <w:footnoteRef/>
      </w:r>
      <w:r>
        <w:t xml:space="preserve"> </w:t>
      </w:r>
      <w:r w:rsidRPr="00BB4BC3">
        <w:rPr>
          <w:rFonts w:cs="Times New Roman"/>
        </w:rPr>
        <w:t xml:space="preserve">African </w:t>
      </w:r>
      <w:r w:rsidR="00485D6E">
        <w:rPr>
          <w:rFonts w:cs="Times New Roman"/>
        </w:rPr>
        <w:t>Comm’n</w:t>
      </w:r>
      <w:r w:rsidRPr="00BB4BC3">
        <w:rPr>
          <w:rFonts w:cs="Times New Roman"/>
        </w:rPr>
        <w:t xml:space="preserve"> on </w:t>
      </w:r>
      <w:r w:rsidR="00485D6E">
        <w:rPr>
          <w:rFonts w:cs="Times New Roman"/>
        </w:rPr>
        <w:t xml:space="preserve">Hum. &amp; </w:t>
      </w:r>
      <w:r w:rsidR="00522482">
        <w:rPr>
          <w:rFonts w:cs="Times New Roman"/>
        </w:rPr>
        <w:t>Peoples’</w:t>
      </w:r>
      <w:r w:rsidRPr="00BB4BC3">
        <w:rPr>
          <w:rFonts w:cs="Times New Roman"/>
        </w:rPr>
        <w:t xml:space="preserve"> </w:t>
      </w:r>
      <w:r w:rsidR="00485D6E">
        <w:rPr>
          <w:rFonts w:cs="Times New Roman"/>
        </w:rPr>
        <w:t>Rts.</w:t>
      </w:r>
      <w:r w:rsidRPr="00BB4BC3">
        <w:rPr>
          <w:rFonts w:cs="Times New Roman"/>
        </w:rPr>
        <w:t xml:space="preserve">, Protocol to the African Charter on Human and Peoples' Rights on the Rights of Women in Africa art. 14(2)(c), Sept. 13, 2000, CAB/LEG/66.6, </w:t>
      </w:r>
      <w:r w:rsidRPr="00485D6E">
        <w:rPr>
          <w:rFonts w:cs="Times New Roman"/>
          <w:i/>
        </w:rPr>
        <w:t>reprinted in</w:t>
      </w:r>
      <w:r w:rsidRPr="00BB4BC3">
        <w:rPr>
          <w:rFonts w:cs="Times New Roman"/>
        </w:rPr>
        <w:t xml:space="preserve"> Martin Semalulu Nsibirwa, </w:t>
      </w:r>
      <w:r w:rsidRPr="00485D6E">
        <w:rPr>
          <w:rFonts w:cs="Times New Roman"/>
          <w:i/>
        </w:rPr>
        <w:t>A Brief Analysis of the Draft Protocol to the African Charter on Human and Peoples' Rights on the Rights of Women</w:t>
      </w:r>
      <w:r w:rsidRPr="00BB4BC3">
        <w:rPr>
          <w:rFonts w:cs="Times New Roman"/>
        </w:rPr>
        <w:t xml:space="preserve">, </w:t>
      </w:r>
      <w:r w:rsidRPr="00485D6E">
        <w:rPr>
          <w:rFonts w:cs="Times New Roman"/>
          <w:smallCaps/>
        </w:rPr>
        <w:t xml:space="preserve">1 Afr. Hum. </w:t>
      </w:r>
      <w:r w:rsidR="003C4664">
        <w:rPr>
          <w:rFonts w:cs="Times New Roman"/>
          <w:smallCaps/>
        </w:rPr>
        <w:t>Rts.</w:t>
      </w:r>
      <w:r w:rsidRPr="00485D6E">
        <w:rPr>
          <w:rFonts w:cs="Times New Roman"/>
          <w:smallCaps/>
        </w:rPr>
        <w:t xml:space="preserve"> L.J</w:t>
      </w:r>
      <w:r w:rsidRPr="00BB4BC3">
        <w:rPr>
          <w:rFonts w:cs="Times New Roman"/>
        </w:rPr>
        <w:t>. 40, 53 (2001)</w:t>
      </w:r>
      <w:r w:rsidR="003C4664">
        <w:rPr>
          <w:rFonts w:cs="Times New Roman"/>
        </w:rPr>
        <w:t xml:space="preserve"> (HeinOnline)</w:t>
      </w:r>
      <w:r>
        <w:rPr>
          <w:rFonts w:cs="Times New Roman"/>
        </w:rPr>
        <w:t xml:space="preserve">. </w:t>
      </w:r>
      <w:r w:rsidRPr="00417903">
        <w:t>Under Article 14, states parties are obligated to “take appropriate measures to . . . protect the reproductive rights of women by authori</w:t>
      </w:r>
      <w:r w:rsidR="006C77F1">
        <w:t>z</w:t>
      </w:r>
      <w:r w:rsidRPr="00417903">
        <w:t>ing medical abortion in cases of sexual assault, rape, incest, and where the continued pregnancy endangers the mental and physical health of the mother or the life of the mother or the foetus.”</w:t>
      </w:r>
      <w:r>
        <w:t xml:space="preserve"> </w:t>
      </w:r>
      <w:r>
        <w:rPr>
          <w:i/>
        </w:rPr>
        <w:t xml:space="preserve">Id. </w:t>
      </w:r>
      <w:r>
        <w:t xml:space="preserve">art. 14(2)(c).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C00F" w14:textId="15AFF1BB" w:rsidR="00242012" w:rsidRDefault="00242012" w:rsidP="006B089F">
    <w:pPr>
      <w:pStyle w:val="Header"/>
      <w:tabs>
        <w:tab w:val="clear" w:pos="4680"/>
        <w:tab w:val="clear" w:pos="9360"/>
        <w:tab w:val="left" w:pos="4485"/>
      </w:tabs>
    </w:pPr>
    <w:r>
      <w:rPr>
        <w:noProof/>
        <w:lang w:val="en-GB" w:eastAsia="en-GB"/>
      </w:rPr>
      <mc:AlternateContent>
        <mc:Choice Requires="wps">
          <w:drawing>
            <wp:anchor distT="0" distB="0" distL="114300" distR="114300" simplePos="0" relativeHeight="251660288" behindDoc="0" locked="0" layoutInCell="1" allowOverlap="1" wp14:anchorId="0B14DB61" wp14:editId="19D954E0">
              <wp:simplePos x="0" y="0"/>
              <wp:positionH relativeFrom="column">
                <wp:posOffset>-466725</wp:posOffset>
              </wp:positionH>
              <wp:positionV relativeFrom="paragraph">
                <wp:posOffset>781050</wp:posOffset>
              </wp:positionV>
              <wp:extent cx="7800975" cy="371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371475"/>
                      </a:xfrm>
                      <a:prstGeom prst="rect">
                        <a:avLst/>
                      </a:prstGeom>
                      <a:noFill/>
                      <a:ln w="9525">
                        <a:noFill/>
                        <a:miter lim="800000"/>
                        <a:headEnd/>
                        <a:tailEnd/>
                      </a:ln>
                    </wps:spPr>
                    <wps:txbx>
                      <w:txbxContent>
                        <w:p w14:paraId="139C5381" w14:textId="77777777" w:rsidR="00242012" w:rsidRPr="00C46C2F" w:rsidRDefault="00242012" w:rsidP="00C46C2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14DB61" id="_x0000_t202" coordsize="21600,21600" o:spt="202" path="m,l,21600r21600,l21600,xe">
              <v:stroke joinstyle="miter"/>
              <v:path gradientshapeok="t" o:connecttype="rect"/>
            </v:shapetype>
            <v:shape id="Text Box 2" o:spid="_x0000_s1026" type="#_x0000_t202" style="position:absolute;margin-left:-36.75pt;margin-top:61.5pt;width:614.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" filled="f" stroked="f">
              <v:textbox>
                <w:txbxContent>
                  <w:p w14:paraId="139C5381" w14:textId="77777777" w:rsidR="00E15B96" w:rsidRPr="00C46C2F" w:rsidRDefault="00E15B96" w:rsidP="00C46C2F">
                    <w:pPr>
                      <w:rPr>
                        <w:color w:val="FFFFFF" w:themeColor="background1"/>
                      </w:rPr>
                    </w:pPr>
                  </w:p>
                </w:txbxContent>
              </v:textbox>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32CC" w14:textId="42D52F37" w:rsidR="00242012" w:rsidRDefault="00242012">
    <w:pPr>
      <w:pStyle w:val="Header"/>
    </w:pPr>
    <w:r w:rsidRPr="00FC7969">
      <w:rPr>
        <w:rFonts w:cstheme="minorHAnsi"/>
        <w:b/>
        <w:caps/>
        <w:noProof/>
        <w:lang w:val="en-GB" w:eastAsia="en-GB"/>
      </w:rPr>
      <w:drawing>
        <wp:anchor distT="0" distB="0" distL="114300" distR="114300" simplePos="0" relativeHeight="251662336" behindDoc="1" locked="0" layoutInCell="1" allowOverlap="1" wp14:anchorId="07811ACA" wp14:editId="7388F85B">
          <wp:simplePos x="0" y="0"/>
          <wp:positionH relativeFrom="page">
            <wp:align>right</wp:align>
          </wp:positionH>
          <wp:positionV relativeFrom="paragraph">
            <wp:posOffset>-457200</wp:posOffset>
          </wp:positionV>
          <wp:extent cx="7772400" cy="1885950"/>
          <wp:effectExtent l="0" t="0" r="0" b="0"/>
          <wp:wrapTight wrapText="bothSides">
            <wp:wrapPolygon edited="1">
              <wp:start x="0" y="0"/>
              <wp:lineTo x="-26" y="20945"/>
              <wp:lineTo x="5665" y="21164"/>
              <wp:lineTo x="15618" y="21164"/>
              <wp:lineTo x="21600" y="20836"/>
              <wp:lineTo x="215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885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BE2"/>
    <w:multiLevelType w:val="hybridMultilevel"/>
    <w:tmpl w:val="2BBAEA8C"/>
    <w:lvl w:ilvl="0" w:tplc="283E23BA">
      <w:start w:val="1"/>
      <w:numFmt w:val="lowerLetter"/>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B3CFC"/>
    <w:multiLevelType w:val="hybridMultilevel"/>
    <w:tmpl w:val="251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A313C"/>
    <w:multiLevelType w:val="hybridMultilevel"/>
    <w:tmpl w:val="88F23C64"/>
    <w:lvl w:ilvl="0" w:tplc="E5BAA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B6FBF"/>
    <w:multiLevelType w:val="hybridMultilevel"/>
    <w:tmpl w:val="77A2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13E4"/>
    <w:multiLevelType w:val="hybridMultilevel"/>
    <w:tmpl w:val="88828662"/>
    <w:lvl w:ilvl="0" w:tplc="513266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B4BED"/>
    <w:multiLevelType w:val="hybridMultilevel"/>
    <w:tmpl w:val="E17A9BFA"/>
    <w:lvl w:ilvl="0" w:tplc="8E88A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633F6"/>
    <w:multiLevelType w:val="hybridMultilevel"/>
    <w:tmpl w:val="E652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24600"/>
    <w:multiLevelType w:val="hybridMultilevel"/>
    <w:tmpl w:val="F6D01952"/>
    <w:lvl w:ilvl="0" w:tplc="198452E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1459A"/>
    <w:multiLevelType w:val="hybridMultilevel"/>
    <w:tmpl w:val="9C4A6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43E37"/>
    <w:multiLevelType w:val="hybridMultilevel"/>
    <w:tmpl w:val="77EE7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A694C"/>
    <w:multiLevelType w:val="hybridMultilevel"/>
    <w:tmpl w:val="B6F2DFB6"/>
    <w:lvl w:ilvl="0" w:tplc="6584D5D4">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F3610"/>
    <w:multiLevelType w:val="hybridMultilevel"/>
    <w:tmpl w:val="C01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1"/>
  </w:num>
  <w:num w:numId="5">
    <w:abstractNumId w:val="7"/>
  </w:num>
  <w:num w:numId="6">
    <w:abstractNumId w:val="2"/>
  </w:num>
  <w:num w:numId="7">
    <w:abstractNumId w:val="9"/>
  </w:num>
  <w:num w:numId="8">
    <w:abstractNumId w:val="10"/>
  </w:num>
  <w:num w:numId="9">
    <w:abstractNumId w:val="0"/>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14"/>
    <w:rsid w:val="00006E58"/>
    <w:rsid w:val="00012A8C"/>
    <w:rsid w:val="00017775"/>
    <w:rsid w:val="00034BA6"/>
    <w:rsid w:val="000415BF"/>
    <w:rsid w:val="00042586"/>
    <w:rsid w:val="0005065B"/>
    <w:rsid w:val="00051EE2"/>
    <w:rsid w:val="00053032"/>
    <w:rsid w:val="000532AD"/>
    <w:rsid w:val="00064EEB"/>
    <w:rsid w:val="00072EFB"/>
    <w:rsid w:val="00073861"/>
    <w:rsid w:val="00074225"/>
    <w:rsid w:val="0008088D"/>
    <w:rsid w:val="000979EF"/>
    <w:rsid w:val="000C1A3B"/>
    <w:rsid w:val="000C579E"/>
    <w:rsid w:val="000E2BAE"/>
    <w:rsid w:val="000F5B0E"/>
    <w:rsid w:val="00107041"/>
    <w:rsid w:val="00111EA8"/>
    <w:rsid w:val="001155AA"/>
    <w:rsid w:val="00127BDF"/>
    <w:rsid w:val="00134D92"/>
    <w:rsid w:val="00146BE0"/>
    <w:rsid w:val="00163CE5"/>
    <w:rsid w:val="00166769"/>
    <w:rsid w:val="00176D9F"/>
    <w:rsid w:val="001779D8"/>
    <w:rsid w:val="001A2FE6"/>
    <w:rsid w:val="001A3BA4"/>
    <w:rsid w:val="001B1454"/>
    <w:rsid w:val="001B49FB"/>
    <w:rsid w:val="001B6BB0"/>
    <w:rsid w:val="001C3B92"/>
    <w:rsid w:val="001D512E"/>
    <w:rsid w:val="001E656F"/>
    <w:rsid w:val="001F4130"/>
    <w:rsid w:val="002019B9"/>
    <w:rsid w:val="002163E1"/>
    <w:rsid w:val="00221F0A"/>
    <w:rsid w:val="00224FE8"/>
    <w:rsid w:val="00231731"/>
    <w:rsid w:val="00242012"/>
    <w:rsid w:val="002443D0"/>
    <w:rsid w:val="00246A66"/>
    <w:rsid w:val="002651D4"/>
    <w:rsid w:val="0026608F"/>
    <w:rsid w:val="00283315"/>
    <w:rsid w:val="00297442"/>
    <w:rsid w:val="002B0CC2"/>
    <w:rsid w:val="002D18BA"/>
    <w:rsid w:val="002E42F9"/>
    <w:rsid w:val="002E716B"/>
    <w:rsid w:val="002F2CE6"/>
    <w:rsid w:val="00305E45"/>
    <w:rsid w:val="003150D0"/>
    <w:rsid w:val="003229EB"/>
    <w:rsid w:val="00330698"/>
    <w:rsid w:val="003365C1"/>
    <w:rsid w:val="00380F7C"/>
    <w:rsid w:val="003A40D6"/>
    <w:rsid w:val="003C4664"/>
    <w:rsid w:val="003C73BC"/>
    <w:rsid w:val="003C7FFE"/>
    <w:rsid w:val="003D3881"/>
    <w:rsid w:val="004135A0"/>
    <w:rsid w:val="00440EDA"/>
    <w:rsid w:val="00450B4C"/>
    <w:rsid w:val="004530CD"/>
    <w:rsid w:val="00455B4E"/>
    <w:rsid w:val="00485D6E"/>
    <w:rsid w:val="00487C19"/>
    <w:rsid w:val="004A1B57"/>
    <w:rsid w:val="004B0FFF"/>
    <w:rsid w:val="00504A96"/>
    <w:rsid w:val="00512BE3"/>
    <w:rsid w:val="00514F3F"/>
    <w:rsid w:val="00522482"/>
    <w:rsid w:val="00535213"/>
    <w:rsid w:val="00541330"/>
    <w:rsid w:val="00542DB5"/>
    <w:rsid w:val="005556ED"/>
    <w:rsid w:val="00561838"/>
    <w:rsid w:val="0056315B"/>
    <w:rsid w:val="00570B1C"/>
    <w:rsid w:val="00570E77"/>
    <w:rsid w:val="00572E5E"/>
    <w:rsid w:val="00577048"/>
    <w:rsid w:val="005A62F5"/>
    <w:rsid w:val="005B0D70"/>
    <w:rsid w:val="005C035A"/>
    <w:rsid w:val="005C055B"/>
    <w:rsid w:val="005D05D4"/>
    <w:rsid w:val="005D48A4"/>
    <w:rsid w:val="005D56AC"/>
    <w:rsid w:val="005E1926"/>
    <w:rsid w:val="005E5881"/>
    <w:rsid w:val="005E675C"/>
    <w:rsid w:val="0060351C"/>
    <w:rsid w:val="006110F9"/>
    <w:rsid w:val="0061340F"/>
    <w:rsid w:val="006139CF"/>
    <w:rsid w:val="00617D15"/>
    <w:rsid w:val="00645EB0"/>
    <w:rsid w:val="0065314F"/>
    <w:rsid w:val="00653313"/>
    <w:rsid w:val="0067183C"/>
    <w:rsid w:val="00682815"/>
    <w:rsid w:val="0069740D"/>
    <w:rsid w:val="006A4FB0"/>
    <w:rsid w:val="006A5BB1"/>
    <w:rsid w:val="006B089F"/>
    <w:rsid w:val="006B0C14"/>
    <w:rsid w:val="006C6763"/>
    <w:rsid w:val="006C77F1"/>
    <w:rsid w:val="006D171C"/>
    <w:rsid w:val="006D36AB"/>
    <w:rsid w:val="006F208F"/>
    <w:rsid w:val="006F73D0"/>
    <w:rsid w:val="007113AB"/>
    <w:rsid w:val="00732E00"/>
    <w:rsid w:val="00732F8A"/>
    <w:rsid w:val="00740BAD"/>
    <w:rsid w:val="00753C15"/>
    <w:rsid w:val="007545A1"/>
    <w:rsid w:val="007557CB"/>
    <w:rsid w:val="00762F07"/>
    <w:rsid w:val="00764EEE"/>
    <w:rsid w:val="00766958"/>
    <w:rsid w:val="007744A9"/>
    <w:rsid w:val="00787062"/>
    <w:rsid w:val="007A638E"/>
    <w:rsid w:val="007C7BC2"/>
    <w:rsid w:val="007D1A65"/>
    <w:rsid w:val="007D470F"/>
    <w:rsid w:val="007E6333"/>
    <w:rsid w:val="007F7A3B"/>
    <w:rsid w:val="00803676"/>
    <w:rsid w:val="008069F5"/>
    <w:rsid w:val="00823076"/>
    <w:rsid w:val="00827BCD"/>
    <w:rsid w:val="00834C4A"/>
    <w:rsid w:val="00842D2D"/>
    <w:rsid w:val="00843F2D"/>
    <w:rsid w:val="008443D5"/>
    <w:rsid w:val="00846055"/>
    <w:rsid w:val="00853A2C"/>
    <w:rsid w:val="00854600"/>
    <w:rsid w:val="00856A1F"/>
    <w:rsid w:val="00860EA2"/>
    <w:rsid w:val="00871EE0"/>
    <w:rsid w:val="00876B12"/>
    <w:rsid w:val="008860E0"/>
    <w:rsid w:val="008A634C"/>
    <w:rsid w:val="008C4DCA"/>
    <w:rsid w:val="008C784E"/>
    <w:rsid w:val="008E052E"/>
    <w:rsid w:val="008E267A"/>
    <w:rsid w:val="008E42B9"/>
    <w:rsid w:val="008E4F50"/>
    <w:rsid w:val="008F393E"/>
    <w:rsid w:val="008F3B05"/>
    <w:rsid w:val="009130FD"/>
    <w:rsid w:val="00920EA2"/>
    <w:rsid w:val="0093106A"/>
    <w:rsid w:val="009336A7"/>
    <w:rsid w:val="00934735"/>
    <w:rsid w:val="00945130"/>
    <w:rsid w:val="00946E1D"/>
    <w:rsid w:val="00952255"/>
    <w:rsid w:val="00952DC1"/>
    <w:rsid w:val="00954DFE"/>
    <w:rsid w:val="009562A2"/>
    <w:rsid w:val="00963AE2"/>
    <w:rsid w:val="00972164"/>
    <w:rsid w:val="00974CFB"/>
    <w:rsid w:val="0098330C"/>
    <w:rsid w:val="009A0A72"/>
    <w:rsid w:val="009A0C41"/>
    <w:rsid w:val="009B7BAC"/>
    <w:rsid w:val="009C5BA8"/>
    <w:rsid w:val="009E3C8F"/>
    <w:rsid w:val="009E649E"/>
    <w:rsid w:val="00A00147"/>
    <w:rsid w:val="00A073AA"/>
    <w:rsid w:val="00A50617"/>
    <w:rsid w:val="00A57F20"/>
    <w:rsid w:val="00A6650F"/>
    <w:rsid w:val="00A75584"/>
    <w:rsid w:val="00A90B6A"/>
    <w:rsid w:val="00A929AF"/>
    <w:rsid w:val="00A94FE5"/>
    <w:rsid w:val="00AB5A41"/>
    <w:rsid w:val="00AB7290"/>
    <w:rsid w:val="00AD4EBB"/>
    <w:rsid w:val="00AD76F7"/>
    <w:rsid w:val="00AE0DD1"/>
    <w:rsid w:val="00AE18CB"/>
    <w:rsid w:val="00AE57B5"/>
    <w:rsid w:val="00AF2C49"/>
    <w:rsid w:val="00B145F7"/>
    <w:rsid w:val="00B51BF3"/>
    <w:rsid w:val="00B90940"/>
    <w:rsid w:val="00B929BA"/>
    <w:rsid w:val="00B969F9"/>
    <w:rsid w:val="00BA44A7"/>
    <w:rsid w:val="00BB3CF3"/>
    <w:rsid w:val="00BB467E"/>
    <w:rsid w:val="00C132F9"/>
    <w:rsid w:val="00C339D5"/>
    <w:rsid w:val="00C45284"/>
    <w:rsid w:val="00C46C2F"/>
    <w:rsid w:val="00C56DE0"/>
    <w:rsid w:val="00C648AC"/>
    <w:rsid w:val="00C65E46"/>
    <w:rsid w:val="00C67660"/>
    <w:rsid w:val="00C9635F"/>
    <w:rsid w:val="00CA06BA"/>
    <w:rsid w:val="00CA345A"/>
    <w:rsid w:val="00CA5F89"/>
    <w:rsid w:val="00CB3EF8"/>
    <w:rsid w:val="00CD68AE"/>
    <w:rsid w:val="00CD7A41"/>
    <w:rsid w:val="00CE0359"/>
    <w:rsid w:val="00CE6C03"/>
    <w:rsid w:val="00D04FD1"/>
    <w:rsid w:val="00D1090C"/>
    <w:rsid w:val="00D13245"/>
    <w:rsid w:val="00D17993"/>
    <w:rsid w:val="00D27FA6"/>
    <w:rsid w:val="00D31A24"/>
    <w:rsid w:val="00D36371"/>
    <w:rsid w:val="00D74603"/>
    <w:rsid w:val="00D80C65"/>
    <w:rsid w:val="00D840E8"/>
    <w:rsid w:val="00D8486F"/>
    <w:rsid w:val="00D90FE8"/>
    <w:rsid w:val="00DA158F"/>
    <w:rsid w:val="00DA44EF"/>
    <w:rsid w:val="00DA4AEE"/>
    <w:rsid w:val="00DA5B36"/>
    <w:rsid w:val="00DA6C54"/>
    <w:rsid w:val="00DC4987"/>
    <w:rsid w:val="00DC6C86"/>
    <w:rsid w:val="00DD149E"/>
    <w:rsid w:val="00DE31CE"/>
    <w:rsid w:val="00DF2455"/>
    <w:rsid w:val="00E02330"/>
    <w:rsid w:val="00E121DC"/>
    <w:rsid w:val="00E12548"/>
    <w:rsid w:val="00E14FA0"/>
    <w:rsid w:val="00E15AA2"/>
    <w:rsid w:val="00E15B96"/>
    <w:rsid w:val="00E20945"/>
    <w:rsid w:val="00E27317"/>
    <w:rsid w:val="00E273A2"/>
    <w:rsid w:val="00E4668F"/>
    <w:rsid w:val="00E506F5"/>
    <w:rsid w:val="00E61593"/>
    <w:rsid w:val="00E638A0"/>
    <w:rsid w:val="00E71D03"/>
    <w:rsid w:val="00E749F7"/>
    <w:rsid w:val="00E76DC9"/>
    <w:rsid w:val="00E83E4E"/>
    <w:rsid w:val="00E85AF3"/>
    <w:rsid w:val="00EA1F71"/>
    <w:rsid w:val="00EB25A0"/>
    <w:rsid w:val="00EB515D"/>
    <w:rsid w:val="00EC1CD6"/>
    <w:rsid w:val="00EC22FB"/>
    <w:rsid w:val="00EC3FCC"/>
    <w:rsid w:val="00F23AF1"/>
    <w:rsid w:val="00F41A6C"/>
    <w:rsid w:val="00F4432F"/>
    <w:rsid w:val="00F461B4"/>
    <w:rsid w:val="00F51659"/>
    <w:rsid w:val="00F55775"/>
    <w:rsid w:val="00F55B67"/>
    <w:rsid w:val="00F6133E"/>
    <w:rsid w:val="00F61C35"/>
    <w:rsid w:val="00F67121"/>
    <w:rsid w:val="00F72579"/>
    <w:rsid w:val="00F91EF2"/>
    <w:rsid w:val="00F92566"/>
    <w:rsid w:val="00FB3E01"/>
    <w:rsid w:val="00FC2143"/>
    <w:rsid w:val="00FC4A84"/>
    <w:rsid w:val="00FC4FF5"/>
    <w:rsid w:val="00FC7969"/>
    <w:rsid w:val="00FC7A27"/>
    <w:rsid w:val="00FE23B9"/>
    <w:rsid w:val="00FE33EA"/>
    <w:rsid w:val="00FF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957DC"/>
  <w15:docId w15:val="{BB5BBE09-6B5F-4D05-B1AB-79A469F9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EFB"/>
  </w:style>
  <w:style w:type="paragraph" w:styleId="Heading1">
    <w:name w:val="heading 1"/>
    <w:basedOn w:val="Normal"/>
    <w:next w:val="Normal"/>
    <w:link w:val="Heading1Char"/>
    <w:uiPriority w:val="9"/>
    <w:qFormat/>
    <w:rsid w:val="00072E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2EFB"/>
    <w:pPr>
      <w:keepNext/>
      <w:keepLines/>
      <w:numPr>
        <w:numId w:val="8"/>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072E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79E"/>
    <w:pPr>
      <w:ind w:left="720"/>
      <w:contextualSpacing/>
    </w:pPr>
    <w:rPr>
      <w:rFonts w:asciiTheme="minorHAnsi" w:hAnsiTheme="minorHAnsi"/>
    </w:rPr>
  </w:style>
  <w:style w:type="paragraph" w:styleId="BalloonText">
    <w:name w:val="Balloon Text"/>
    <w:basedOn w:val="Normal"/>
    <w:link w:val="BalloonTextChar"/>
    <w:uiPriority w:val="99"/>
    <w:semiHidden/>
    <w:unhideWhenUsed/>
    <w:rsid w:val="000F5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B0E"/>
    <w:rPr>
      <w:rFonts w:ascii="Tahoma" w:hAnsi="Tahoma" w:cs="Tahoma"/>
      <w:sz w:val="16"/>
      <w:szCs w:val="16"/>
    </w:rPr>
  </w:style>
  <w:style w:type="character" w:styleId="Emphasis">
    <w:name w:val="Emphasis"/>
    <w:basedOn w:val="DefaultParagraphFont"/>
    <w:uiPriority w:val="20"/>
    <w:qFormat/>
    <w:rsid w:val="0060351C"/>
    <w:rPr>
      <w:rFonts w:ascii="Times New Roman" w:hAnsi="Times New Roman" w:cs="Times New Roman" w:hint="default"/>
      <w:i/>
      <w:iCs/>
    </w:rPr>
  </w:style>
  <w:style w:type="paragraph" w:styleId="Header">
    <w:name w:val="header"/>
    <w:basedOn w:val="Normal"/>
    <w:link w:val="HeaderChar"/>
    <w:uiPriority w:val="99"/>
    <w:unhideWhenUsed/>
    <w:rsid w:val="00C46C2F"/>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C46C2F"/>
  </w:style>
  <w:style w:type="paragraph" w:styleId="Footer">
    <w:name w:val="footer"/>
    <w:basedOn w:val="Normal"/>
    <w:link w:val="FooterChar"/>
    <w:uiPriority w:val="99"/>
    <w:unhideWhenUsed/>
    <w:rsid w:val="00C46C2F"/>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C46C2F"/>
  </w:style>
  <w:style w:type="character" w:styleId="Hyperlink">
    <w:name w:val="Hyperlink"/>
    <w:basedOn w:val="DefaultParagraphFont"/>
    <w:uiPriority w:val="99"/>
    <w:unhideWhenUsed/>
    <w:rsid w:val="00972164"/>
    <w:rPr>
      <w:color w:val="0000FF" w:themeColor="hyperlink"/>
      <w:u w:val="single"/>
    </w:rPr>
  </w:style>
  <w:style w:type="character" w:styleId="FollowedHyperlink">
    <w:name w:val="FollowedHyperlink"/>
    <w:basedOn w:val="DefaultParagraphFont"/>
    <w:uiPriority w:val="99"/>
    <w:semiHidden/>
    <w:unhideWhenUsed/>
    <w:rsid w:val="00972164"/>
    <w:rPr>
      <w:color w:val="800080" w:themeColor="followedHyperlink"/>
      <w:u w:val="single"/>
    </w:rPr>
  </w:style>
  <w:style w:type="paragraph" w:styleId="FootnoteText">
    <w:name w:val="footnote text"/>
    <w:basedOn w:val="Normal"/>
    <w:link w:val="FootnoteTextChar"/>
    <w:uiPriority w:val="99"/>
    <w:semiHidden/>
    <w:unhideWhenUsed/>
    <w:rsid w:val="00732F8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32F8A"/>
    <w:rPr>
      <w:sz w:val="20"/>
      <w:szCs w:val="20"/>
    </w:rPr>
  </w:style>
  <w:style w:type="character" w:styleId="FootnoteReference">
    <w:name w:val="footnote reference"/>
    <w:basedOn w:val="DefaultParagraphFont"/>
    <w:uiPriority w:val="99"/>
    <w:semiHidden/>
    <w:unhideWhenUsed/>
    <w:rsid w:val="00732F8A"/>
    <w:rPr>
      <w:vertAlign w:val="superscript"/>
    </w:rPr>
  </w:style>
  <w:style w:type="character" w:styleId="Strong">
    <w:name w:val="Strong"/>
    <w:basedOn w:val="DefaultParagraphFont"/>
    <w:uiPriority w:val="22"/>
    <w:qFormat/>
    <w:rsid w:val="00732F8A"/>
    <w:rPr>
      <w:b/>
      <w:bCs/>
    </w:rPr>
  </w:style>
  <w:style w:type="character" w:customStyle="1" w:styleId="starpage">
    <w:name w:val="starpage"/>
    <w:basedOn w:val="DefaultParagraphFont"/>
    <w:rsid w:val="00732F8A"/>
  </w:style>
  <w:style w:type="character" w:customStyle="1" w:styleId="cohl">
    <w:name w:val="co_hl"/>
    <w:basedOn w:val="DefaultParagraphFont"/>
    <w:rsid w:val="00221F0A"/>
  </w:style>
  <w:style w:type="character" w:customStyle="1" w:styleId="A5">
    <w:name w:val="A5"/>
    <w:uiPriority w:val="99"/>
    <w:rsid w:val="002443D0"/>
    <w:rPr>
      <w:rFonts w:cs="Minion"/>
      <w:color w:val="000000"/>
      <w:sz w:val="22"/>
      <w:szCs w:val="22"/>
    </w:rPr>
  </w:style>
  <w:style w:type="character" w:customStyle="1" w:styleId="A11">
    <w:name w:val="A11"/>
    <w:uiPriority w:val="99"/>
    <w:rsid w:val="005E675C"/>
    <w:rPr>
      <w:b/>
    </w:rPr>
  </w:style>
  <w:style w:type="character" w:customStyle="1" w:styleId="footnote-item">
    <w:name w:val="footnote-item"/>
    <w:basedOn w:val="DefaultParagraphFont"/>
    <w:rsid w:val="008E4F50"/>
  </w:style>
  <w:style w:type="character" w:customStyle="1" w:styleId="Heading2Char">
    <w:name w:val="Heading 2 Char"/>
    <w:basedOn w:val="DefaultParagraphFont"/>
    <w:link w:val="Heading2"/>
    <w:uiPriority w:val="9"/>
    <w:rsid w:val="00072EFB"/>
    <w:rPr>
      <w:rFonts w:asciiTheme="majorHAnsi" w:eastAsiaTheme="majorEastAsia" w:hAnsiTheme="majorHAnsi" w:cstheme="majorBidi"/>
      <w:sz w:val="26"/>
      <w:szCs w:val="26"/>
    </w:rPr>
  </w:style>
  <w:style w:type="paragraph" w:styleId="Subtitle">
    <w:name w:val="Subtitle"/>
    <w:basedOn w:val="Normal"/>
    <w:next w:val="Normal"/>
    <w:link w:val="SubtitleChar"/>
    <w:uiPriority w:val="11"/>
    <w:qFormat/>
    <w:rsid w:val="00072EFB"/>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72EFB"/>
    <w:rPr>
      <w:rFonts w:asciiTheme="minorHAnsi" w:eastAsiaTheme="minorEastAsia" w:hAnsiTheme="minorHAnsi"/>
      <w:color w:val="5A5A5A" w:themeColor="text1" w:themeTint="A5"/>
      <w:spacing w:val="15"/>
    </w:rPr>
  </w:style>
  <w:style w:type="character" w:customStyle="1" w:styleId="Heading3Char">
    <w:name w:val="Heading 3 Char"/>
    <w:basedOn w:val="DefaultParagraphFont"/>
    <w:link w:val="Heading3"/>
    <w:uiPriority w:val="9"/>
    <w:rsid w:val="00072EFB"/>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72EF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72E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EFB"/>
    <w:rPr>
      <w:rFonts w:asciiTheme="majorHAnsi" w:eastAsiaTheme="majorEastAsia" w:hAnsiTheme="majorHAnsi" w:cstheme="majorBidi"/>
      <w:spacing w:val="-10"/>
      <w:kern w:val="28"/>
      <w:sz w:val="56"/>
      <w:szCs w:val="56"/>
    </w:rPr>
  </w:style>
  <w:style w:type="paragraph" w:customStyle="1" w:styleId="Style1">
    <w:name w:val="Style1"/>
    <w:basedOn w:val="Subtitle"/>
    <w:qFormat/>
    <w:rsid w:val="00072EFB"/>
    <w:pPr>
      <w:numPr>
        <w:ilvl w:val="0"/>
        <w:numId w:val="9"/>
      </w:numPr>
    </w:pPr>
  </w:style>
  <w:style w:type="character" w:styleId="CommentReference">
    <w:name w:val="annotation reference"/>
    <w:basedOn w:val="DefaultParagraphFont"/>
    <w:uiPriority w:val="99"/>
    <w:semiHidden/>
    <w:unhideWhenUsed/>
    <w:rsid w:val="00C45284"/>
    <w:rPr>
      <w:sz w:val="16"/>
      <w:szCs w:val="16"/>
    </w:rPr>
  </w:style>
  <w:style w:type="paragraph" w:styleId="CommentText">
    <w:name w:val="annotation text"/>
    <w:basedOn w:val="Normal"/>
    <w:link w:val="CommentTextChar"/>
    <w:uiPriority w:val="99"/>
    <w:semiHidden/>
    <w:unhideWhenUsed/>
    <w:rsid w:val="00C45284"/>
    <w:pPr>
      <w:spacing w:line="240" w:lineRule="auto"/>
    </w:pPr>
    <w:rPr>
      <w:sz w:val="20"/>
      <w:szCs w:val="20"/>
    </w:rPr>
  </w:style>
  <w:style w:type="character" w:customStyle="1" w:styleId="CommentTextChar">
    <w:name w:val="Comment Text Char"/>
    <w:basedOn w:val="DefaultParagraphFont"/>
    <w:link w:val="CommentText"/>
    <w:uiPriority w:val="99"/>
    <w:semiHidden/>
    <w:rsid w:val="00C45284"/>
    <w:rPr>
      <w:sz w:val="20"/>
      <w:szCs w:val="20"/>
    </w:rPr>
  </w:style>
  <w:style w:type="paragraph" w:styleId="CommentSubject">
    <w:name w:val="annotation subject"/>
    <w:basedOn w:val="CommentText"/>
    <w:next w:val="CommentText"/>
    <w:link w:val="CommentSubjectChar"/>
    <w:uiPriority w:val="99"/>
    <w:semiHidden/>
    <w:unhideWhenUsed/>
    <w:rsid w:val="00C45284"/>
    <w:rPr>
      <w:b/>
      <w:bCs/>
    </w:rPr>
  </w:style>
  <w:style w:type="character" w:customStyle="1" w:styleId="CommentSubjectChar">
    <w:name w:val="Comment Subject Char"/>
    <w:basedOn w:val="CommentTextChar"/>
    <w:link w:val="CommentSubject"/>
    <w:uiPriority w:val="99"/>
    <w:semiHidden/>
    <w:rsid w:val="00C45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512">
      <w:bodyDiv w:val="1"/>
      <w:marLeft w:val="0"/>
      <w:marRight w:val="0"/>
      <w:marTop w:val="0"/>
      <w:marBottom w:val="0"/>
      <w:divBdr>
        <w:top w:val="none" w:sz="0" w:space="0" w:color="auto"/>
        <w:left w:val="none" w:sz="0" w:space="0" w:color="auto"/>
        <w:bottom w:val="none" w:sz="0" w:space="0" w:color="auto"/>
        <w:right w:val="none" w:sz="0" w:space="0" w:color="auto"/>
      </w:divBdr>
    </w:div>
    <w:div w:id="249895843">
      <w:bodyDiv w:val="1"/>
      <w:marLeft w:val="0"/>
      <w:marRight w:val="0"/>
      <w:marTop w:val="0"/>
      <w:marBottom w:val="0"/>
      <w:divBdr>
        <w:top w:val="none" w:sz="0" w:space="0" w:color="auto"/>
        <w:left w:val="none" w:sz="0" w:space="0" w:color="auto"/>
        <w:bottom w:val="none" w:sz="0" w:space="0" w:color="auto"/>
        <w:right w:val="none" w:sz="0" w:space="0" w:color="auto"/>
      </w:divBdr>
      <w:divsChild>
        <w:div w:id="450788235">
          <w:marLeft w:val="0"/>
          <w:marRight w:val="0"/>
          <w:marTop w:val="0"/>
          <w:marBottom w:val="0"/>
          <w:divBdr>
            <w:top w:val="none" w:sz="0" w:space="0" w:color="auto"/>
            <w:left w:val="none" w:sz="0" w:space="0" w:color="auto"/>
            <w:bottom w:val="none" w:sz="0" w:space="0" w:color="auto"/>
            <w:right w:val="none" w:sz="0" w:space="0" w:color="auto"/>
          </w:divBdr>
        </w:div>
        <w:div w:id="956251958">
          <w:marLeft w:val="0"/>
          <w:marRight w:val="0"/>
          <w:marTop w:val="0"/>
          <w:marBottom w:val="0"/>
          <w:divBdr>
            <w:top w:val="none" w:sz="0" w:space="0" w:color="auto"/>
            <w:left w:val="none" w:sz="0" w:space="0" w:color="auto"/>
            <w:bottom w:val="none" w:sz="0" w:space="0" w:color="auto"/>
            <w:right w:val="none" w:sz="0" w:space="0" w:color="auto"/>
          </w:divBdr>
        </w:div>
        <w:div w:id="77678666">
          <w:marLeft w:val="0"/>
          <w:marRight w:val="0"/>
          <w:marTop w:val="0"/>
          <w:marBottom w:val="0"/>
          <w:divBdr>
            <w:top w:val="none" w:sz="0" w:space="0" w:color="auto"/>
            <w:left w:val="none" w:sz="0" w:space="0" w:color="auto"/>
            <w:bottom w:val="none" w:sz="0" w:space="0" w:color="auto"/>
            <w:right w:val="none" w:sz="0" w:space="0" w:color="auto"/>
          </w:divBdr>
        </w:div>
        <w:div w:id="1776438701">
          <w:marLeft w:val="0"/>
          <w:marRight w:val="0"/>
          <w:marTop w:val="0"/>
          <w:marBottom w:val="0"/>
          <w:divBdr>
            <w:top w:val="none" w:sz="0" w:space="0" w:color="auto"/>
            <w:left w:val="none" w:sz="0" w:space="0" w:color="auto"/>
            <w:bottom w:val="none" w:sz="0" w:space="0" w:color="auto"/>
            <w:right w:val="none" w:sz="0" w:space="0" w:color="auto"/>
          </w:divBdr>
        </w:div>
        <w:div w:id="86393544">
          <w:marLeft w:val="0"/>
          <w:marRight w:val="0"/>
          <w:marTop w:val="0"/>
          <w:marBottom w:val="0"/>
          <w:divBdr>
            <w:top w:val="none" w:sz="0" w:space="0" w:color="auto"/>
            <w:left w:val="none" w:sz="0" w:space="0" w:color="auto"/>
            <w:bottom w:val="none" w:sz="0" w:space="0" w:color="auto"/>
            <w:right w:val="none" w:sz="0" w:space="0" w:color="auto"/>
          </w:divBdr>
        </w:div>
        <w:div w:id="32846150">
          <w:marLeft w:val="0"/>
          <w:marRight w:val="0"/>
          <w:marTop w:val="0"/>
          <w:marBottom w:val="0"/>
          <w:divBdr>
            <w:top w:val="none" w:sz="0" w:space="0" w:color="auto"/>
            <w:left w:val="none" w:sz="0" w:space="0" w:color="auto"/>
            <w:bottom w:val="none" w:sz="0" w:space="0" w:color="auto"/>
            <w:right w:val="none" w:sz="0" w:space="0" w:color="auto"/>
          </w:divBdr>
        </w:div>
        <w:div w:id="1497843092">
          <w:marLeft w:val="0"/>
          <w:marRight w:val="0"/>
          <w:marTop w:val="0"/>
          <w:marBottom w:val="0"/>
          <w:divBdr>
            <w:top w:val="none" w:sz="0" w:space="0" w:color="auto"/>
            <w:left w:val="none" w:sz="0" w:space="0" w:color="auto"/>
            <w:bottom w:val="none" w:sz="0" w:space="0" w:color="auto"/>
            <w:right w:val="none" w:sz="0" w:space="0" w:color="auto"/>
          </w:divBdr>
        </w:div>
        <w:div w:id="1249148450">
          <w:marLeft w:val="0"/>
          <w:marRight w:val="0"/>
          <w:marTop w:val="0"/>
          <w:marBottom w:val="0"/>
          <w:divBdr>
            <w:top w:val="none" w:sz="0" w:space="0" w:color="auto"/>
            <w:left w:val="none" w:sz="0" w:space="0" w:color="auto"/>
            <w:bottom w:val="none" w:sz="0" w:space="0" w:color="auto"/>
            <w:right w:val="none" w:sz="0" w:space="0" w:color="auto"/>
          </w:divBdr>
        </w:div>
      </w:divsChild>
    </w:div>
    <w:div w:id="417680038">
      <w:bodyDiv w:val="1"/>
      <w:marLeft w:val="0"/>
      <w:marRight w:val="0"/>
      <w:marTop w:val="0"/>
      <w:marBottom w:val="0"/>
      <w:divBdr>
        <w:top w:val="none" w:sz="0" w:space="0" w:color="auto"/>
        <w:left w:val="none" w:sz="0" w:space="0" w:color="auto"/>
        <w:bottom w:val="none" w:sz="0" w:space="0" w:color="auto"/>
        <w:right w:val="none" w:sz="0" w:space="0" w:color="auto"/>
      </w:divBdr>
      <w:divsChild>
        <w:div w:id="1085804833">
          <w:marLeft w:val="0"/>
          <w:marRight w:val="0"/>
          <w:marTop w:val="0"/>
          <w:marBottom w:val="0"/>
          <w:divBdr>
            <w:top w:val="none" w:sz="0" w:space="0" w:color="auto"/>
            <w:left w:val="none" w:sz="0" w:space="0" w:color="auto"/>
            <w:bottom w:val="none" w:sz="0" w:space="0" w:color="auto"/>
            <w:right w:val="none" w:sz="0" w:space="0" w:color="auto"/>
          </w:divBdr>
          <w:divsChild>
            <w:div w:id="411662621">
              <w:marLeft w:val="0"/>
              <w:marRight w:val="0"/>
              <w:marTop w:val="0"/>
              <w:marBottom w:val="0"/>
              <w:divBdr>
                <w:top w:val="none" w:sz="0" w:space="0" w:color="auto"/>
                <w:left w:val="none" w:sz="0" w:space="0" w:color="auto"/>
                <w:bottom w:val="none" w:sz="0" w:space="0" w:color="auto"/>
                <w:right w:val="none" w:sz="0" w:space="0" w:color="auto"/>
              </w:divBdr>
            </w:div>
            <w:div w:id="141578327">
              <w:marLeft w:val="0"/>
              <w:marRight w:val="0"/>
              <w:marTop w:val="0"/>
              <w:marBottom w:val="0"/>
              <w:divBdr>
                <w:top w:val="none" w:sz="0" w:space="0" w:color="auto"/>
                <w:left w:val="none" w:sz="0" w:space="0" w:color="auto"/>
                <w:bottom w:val="none" w:sz="0" w:space="0" w:color="auto"/>
                <w:right w:val="none" w:sz="0" w:space="0" w:color="auto"/>
              </w:divBdr>
              <w:divsChild>
                <w:div w:id="855925413">
                  <w:marLeft w:val="0"/>
                  <w:marRight w:val="0"/>
                  <w:marTop w:val="0"/>
                  <w:marBottom w:val="0"/>
                  <w:divBdr>
                    <w:top w:val="none" w:sz="0" w:space="0" w:color="auto"/>
                    <w:left w:val="none" w:sz="0" w:space="0" w:color="auto"/>
                    <w:bottom w:val="none" w:sz="0" w:space="0" w:color="auto"/>
                    <w:right w:val="none" w:sz="0" w:space="0" w:color="auto"/>
                  </w:divBdr>
                  <w:divsChild>
                    <w:div w:id="193916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8455">
      <w:bodyDiv w:val="1"/>
      <w:marLeft w:val="0"/>
      <w:marRight w:val="0"/>
      <w:marTop w:val="0"/>
      <w:marBottom w:val="0"/>
      <w:divBdr>
        <w:top w:val="none" w:sz="0" w:space="0" w:color="auto"/>
        <w:left w:val="none" w:sz="0" w:space="0" w:color="auto"/>
        <w:bottom w:val="none" w:sz="0" w:space="0" w:color="auto"/>
        <w:right w:val="none" w:sz="0" w:space="0" w:color="auto"/>
      </w:divBdr>
    </w:div>
    <w:div w:id="796606146">
      <w:bodyDiv w:val="1"/>
      <w:marLeft w:val="0"/>
      <w:marRight w:val="0"/>
      <w:marTop w:val="0"/>
      <w:marBottom w:val="0"/>
      <w:divBdr>
        <w:top w:val="none" w:sz="0" w:space="0" w:color="auto"/>
        <w:left w:val="none" w:sz="0" w:space="0" w:color="auto"/>
        <w:bottom w:val="none" w:sz="0" w:space="0" w:color="auto"/>
        <w:right w:val="none" w:sz="0" w:space="0" w:color="auto"/>
      </w:divBdr>
    </w:div>
    <w:div w:id="878664946">
      <w:bodyDiv w:val="1"/>
      <w:marLeft w:val="0"/>
      <w:marRight w:val="0"/>
      <w:marTop w:val="0"/>
      <w:marBottom w:val="0"/>
      <w:divBdr>
        <w:top w:val="none" w:sz="0" w:space="0" w:color="auto"/>
        <w:left w:val="none" w:sz="0" w:space="0" w:color="auto"/>
        <w:bottom w:val="none" w:sz="0" w:space="0" w:color="auto"/>
        <w:right w:val="none" w:sz="0" w:space="0" w:color="auto"/>
      </w:divBdr>
      <w:divsChild>
        <w:div w:id="1334378707">
          <w:marLeft w:val="0"/>
          <w:marRight w:val="0"/>
          <w:marTop w:val="0"/>
          <w:marBottom w:val="0"/>
          <w:divBdr>
            <w:top w:val="none" w:sz="0" w:space="0" w:color="auto"/>
            <w:left w:val="none" w:sz="0" w:space="0" w:color="auto"/>
            <w:bottom w:val="none" w:sz="0" w:space="0" w:color="auto"/>
            <w:right w:val="none" w:sz="0" w:space="0" w:color="auto"/>
          </w:divBdr>
          <w:divsChild>
            <w:div w:id="1042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9682">
      <w:bodyDiv w:val="1"/>
      <w:marLeft w:val="0"/>
      <w:marRight w:val="0"/>
      <w:marTop w:val="0"/>
      <w:marBottom w:val="0"/>
      <w:divBdr>
        <w:top w:val="none" w:sz="0" w:space="0" w:color="auto"/>
        <w:left w:val="none" w:sz="0" w:space="0" w:color="auto"/>
        <w:bottom w:val="none" w:sz="0" w:space="0" w:color="auto"/>
        <w:right w:val="none" w:sz="0" w:space="0" w:color="auto"/>
      </w:divBdr>
    </w:div>
    <w:div w:id="1065955844">
      <w:bodyDiv w:val="1"/>
      <w:marLeft w:val="0"/>
      <w:marRight w:val="0"/>
      <w:marTop w:val="0"/>
      <w:marBottom w:val="0"/>
      <w:divBdr>
        <w:top w:val="none" w:sz="0" w:space="0" w:color="auto"/>
        <w:left w:val="none" w:sz="0" w:space="0" w:color="auto"/>
        <w:bottom w:val="none" w:sz="0" w:space="0" w:color="auto"/>
        <w:right w:val="none" w:sz="0" w:space="0" w:color="auto"/>
      </w:divBdr>
      <w:divsChild>
        <w:div w:id="807622820">
          <w:marLeft w:val="0"/>
          <w:marRight w:val="0"/>
          <w:marTop w:val="0"/>
          <w:marBottom w:val="0"/>
          <w:divBdr>
            <w:top w:val="none" w:sz="0" w:space="0" w:color="auto"/>
            <w:left w:val="none" w:sz="0" w:space="0" w:color="auto"/>
            <w:bottom w:val="none" w:sz="0" w:space="0" w:color="auto"/>
            <w:right w:val="none" w:sz="0" w:space="0" w:color="auto"/>
          </w:divBdr>
          <w:divsChild>
            <w:div w:id="1692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88609">
      <w:bodyDiv w:val="1"/>
      <w:marLeft w:val="0"/>
      <w:marRight w:val="0"/>
      <w:marTop w:val="0"/>
      <w:marBottom w:val="0"/>
      <w:divBdr>
        <w:top w:val="none" w:sz="0" w:space="0" w:color="auto"/>
        <w:left w:val="none" w:sz="0" w:space="0" w:color="auto"/>
        <w:bottom w:val="none" w:sz="0" w:space="0" w:color="auto"/>
        <w:right w:val="none" w:sz="0" w:space="0" w:color="auto"/>
      </w:divBdr>
    </w:div>
    <w:div w:id="1289362771">
      <w:bodyDiv w:val="1"/>
      <w:marLeft w:val="0"/>
      <w:marRight w:val="0"/>
      <w:marTop w:val="0"/>
      <w:marBottom w:val="0"/>
      <w:divBdr>
        <w:top w:val="none" w:sz="0" w:space="0" w:color="auto"/>
        <w:left w:val="none" w:sz="0" w:space="0" w:color="auto"/>
        <w:bottom w:val="none" w:sz="0" w:space="0" w:color="auto"/>
        <w:right w:val="none" w:sz="0" w:space="0" w:color="auto"/>
      </w:divBdr>
      <w:divsChild>
        <w:div w:id="27074574">
          <w:marLeft w:val="0"/>
          <w:marRight w:val="0"/>
          <w:marTop w:val="0"/>
          <w:marBottom w:val="0"/>
          <w:divBdr>
            <w:top w:val="none" w:sz="0" w:space="0" w:color="auto"/>
            <w:left w:val="none" w:sz="0" w:space="0" w:color="auto"/>
            <w:bottom w:val="none" w:sz="0" w:space="0" w:color="auto"/>
            <w:right w:val="none" w:sz="0" w:space="0" w:color="auto"/>
          </w:divBdr>
          <w:divsChild>
            <w:div w:id="2349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4854">
      <w:bodyDiv w:val="1"/>
      <w:marLeft w:val="0"/>
      <w:marRight w:val="0"/>
      <w:marTop w:val="0"/>
      <w:marBottom w:val="0"/>
      <w:divBdr>
        <w:top w:val="none" w:sz="0" w:space="0" w:color="auto"/>
        <w:left w:val="none" w:sz="0" w:space="0" w:color="auto"/>
        <w:bottom w:val="none" w:sz="0" w:space="0" w:color="auto"/>
        <w:right w:val="none" w:sz="0" w:space="0" w:color="auto"/>
      </w:divBdr>
    </w:div>
    <w:div w:id="1601142284">
      <w:bodyDiv w:val="1"/>
      <w:marLeft w:val="0"/>
      <w:marRight w:val="0"/>
      <w:marTop w:val="0"/>
      <w:marBottom w:val="0"/>
      <w:divBdr>
        <w:top w:val="none" w:sz="0" w:space="0" w:color="auto"/>
        <w:left w:val="none" w:sz="0" w:space="0" w:color="auto"/>
        <w:bottom w:val="none" w:sz="0" w:space="0" w:color="auto"/>
        <w:right w:val="none" w:sz="0" w:space="0" w:color="auto"/>
      </w:divBdr>
    </w:div>
    <w:div w:id="1625111207">
      <w:bodyDiv w:val="1"/>
      <w:marLeft w:val="0"/>
      <w:marRight w:val="0"/>
      <w:marTop w:val="0"/>
      <w:marBottom w:val="0"/>
      <w:divBdr>
        <w:top w:val="none" w:sz="0" w:space="0" w:color="auto"/>
        <w:left w:val="none" w:sz="0" w:space="0" w:color="auto"/>
        <w:bottom w:val="none" w:sz="0" w:space="0" w:color="auto"/>
        <w:right w:val="none" w:sz="0" w:space="0" w:color="auto"/>
      </w:divBdr>
      <w:divsChild>
        <w:div w:id="817066455">
          <w:marLeft w:val="0"/>
          <w:marRight w:val="0"/>
          <w:marTop w:val="0"/>
          <w:marBottom w:val="0"/>
          <w:divBdr>
            <w:top w:val="none" w:sz="0" w:space="0" w:color="auto"/>
            <w:left w:val="none" w:sz="0" w:space="0" w:color="auto"/>
            <w:bottom w:val="none" w:sz="0" w:space="0" w:color="auto"/>
            <w:right w:val="none" w:sz="0" w:space="0" w:color="auto"/>
          </w:divBdr>
        </w:div>
        <w:div w:id="2041977437">
          <w:marLeft w:val="0"/>
          <w:marRight w:val="0"/>
          <w:marTop w:val="0"/>
          <w:marBottom w:val="0"/>
          <w:divBdr>
            <w:top w:val="none" w:sz="0" w:space="0" w:color="auto"/>
            <w:left w:val="none" w:sz="0" w:space="0" w:color="auto"/>
            <w:bottom w:val="none" w:sz="0" w:space="0" w:color="auto"/>
            <w:right w:val="none" w:sz="0" w:space="0" w:color="auto"/>
          </w:divBdr>
        </w:div>
        <w:div w:id="1665546541">
          <w:marLeft w:val="0"/>
          <w:marRight w:val="0"/>
          <w:marTop w:val="0"/>
          <w:marBottom w:val="0"/>
          <w:divBdr>
            <w:top w:val="none" w:sz="0" w:space="0" w:color="auto"/>
            <w:left w:val="none" w:sz="0" w:space="0" w:color="auto"/>
            <w:bottom w:val="none" w:sz="0" w:space="0" w:color="auto"/>
            <w:right w:val="none" w:sz="0" w:space="0" w:color="auto"/>
          </w:divBdr>
        </w:div>
        <w:div w:id="177427266">
          <w:marLeft w:val="0"/>
          <w:marRight w:val="0"/>
          <w:marTop w:val="0"/>
          <w:marBottom w:val="0"/>
          <w:divBdr>
            <w:top w:val="none" w:sz="0" w:space="0" w:color="auto"/>
            <w:left w:val="none" w:sz="0" w:space="0" w:color="auto"/>
            <w:bottom w:val="none" w:sz="0" w:space="0" w:color="auto"/>
            <w:right w:val="none" w:sz="0" w:space="0" w:color="auto"/>
          </w:divBdr>
        </w:div>
        <w:div w:id="442530080">
          <w:marLeft w:val="0"/>
          <w:marRight w:val="0"/>
          <w:marTop w:val="0"/>
          <w:marBottom w:val="0"/>
          <w:divBdr>
            <w:top w:val="none" w:sz="0" w:space="0" w:color="auto"/>
            <w:left w:val="none" w:sz="0" w:space="0" w:color="auto"/>
            <w:bottom w:val="none" w:sz="0" w:space="0" w:color="auto"/>
            <w:right w:val="none" w:sz="0" w:space="0" w:color="auto"/>
          </w:divBdr>
        </w:div>
        <w:div w:id="1919630772">
          <w:marLeft w:val="0"/>
          <w:marRight w:val="0"/>
          <w:marTop w:val="0"/>
          <w:marBottom w:val="0"/>
          <w:divBdr>
            <w:top w:val="none" w:sz="0" w:space="0" w:color="auto"/>
            <w:left w:val="none" w:sz="0" w:space="0" w:color="auto"/>
            <w:bottom w:val="none" w:sz="0" w:space="0" w:color="auto"/>
            <w:right w:val="none" w:sz="0" w:space="0" w:color="auto"/>
          </w:divBdr>
        </w:div>
        <w:div w:id="1171526169">
          <w:marLeft w:val="0"/>
          <w:marRight w:val="0"/>
          <w:marTop w:val="0"/>
          <w:marBottom w:val="0"/>
          <w:divBdr>
            <w:top w:val="none" w:sz="0" w:space="0" w:color="auto"/>
            <w:left w:val="none" w:sz="0" w:space="0" w:color="auto"/>
            <w:bottom w:val="none" w:sz="0" w:space="0" w:color="auto"/>
            <w:right w:val="none" w:sz="0" w:space="0" w:color="auto"/>
          </w:divBdr>
        </w:div>
      </w:divsChild>
    </w:div>
    <w:div w:id="1812600930">
      <w:bodyDiv w:val="1"/>
      <w:marLeft w:val="0"/>
      <w:marRight w:val="0"/>
      <w:marTop w:val="0"/>
      <w:marBottom w:val="0"/>
      <w:divBdr>
        <w:top w:val="none" w:sz="0" w:space="0" w:color="auto"/>
        <w:left w:val="none" w:sz="0" w:space="0" w:color="auto"/>
        <w:bottom w:val="none" w:sz="0" w:space="0" w:color="auto"/>
        <w:right w:val="none" w:sz="0" w:space="0" w:color="auto"/>
      </w:divBdr>
      <w:divsChild>
        <w:div w:id="844711274">
          <w:marLeft w:val="0"/>
          <w:marRight w:val="0"/>
          <w:marTop w:val="0"/>
          <w:marBottom w:val="0"/>
          <w:divBdr>
            <w:top w:val="none" w:sz="0" w:space="0" w:color="auto"/>
            <w:left w:val="none" w:sz="0" w:space="0" w:color="auto"/>
            <w:bottom w:val="none" w:sz="0" w:space="0" w:color="auto"/>
            <w:right w:val="none" w:sz="0" w:space="0" w:color="auto"/>
          </w:divBdr>
        </w:div>
        <w:div w:id="246305669">
          <w:marLeft w:val="0"/>
          <w:marRight w:val="0"/>
          <w:marTop w:val="0"/>
          <w:marBottom w:val="0"/>
          <w:divBdr>
            <w:top w:val="none" w:sz="0" w:space="0" w:color="auto"/>
            <w:left w:val="none" w:sz="0" w:space="0" w:color="auto"/>
            <w:bottom w:val="none" w:sz="0" w:space="0" w:color="auto"/>
            <w:right w:val="none" w:sz="0" w:space="0" w:color="auto"/>
          </w:divBdr>
        </w:div>
        <w:div w:id="1162506328">
          <w:marLeft w:val="0"/>
          <w:marRight w:val="0"/>
          <w:marTop w:val="0"/>
          <w:marBottom w:val="0"/>
          <w:divBdr>
            <w:top w:val="none" w:sz="0" w:space="0" w:color="auto"/>
            <w:left w:val="none" w:sz="0" w:space="0" w:color="auto"/>
            <w:bottom w:val="none" w:sz="0" w:space="0" w:color="auto"/>
            <w:right w:val="none" w:sz="0" w:space="0" w:color="auto"/>
          </w:divBdr>
        </w:div>
        <w:div w:id="2072776075">
          <w:marLeft w:val="0"/>
          <w:marRight w:val="0"/>
          <w:marTop w:val="0"/>
          <w:marBottom w:val="0"/>
          <w:divBdr>
            <w:top w:val="none" w:sz="0" w:space="0" w:color="auto"/>
            <w:left w:val="none" w:sz="0" w:space="0" w:color="auto"/>
            <w:bottom w:val="none" w:sz="0" w:space="0" w:color="auto"/>
            <w:right w:val="none" w:sz="0" w:space="0" w:color="auto"/>
          </w:divBdr>
        </w:div>
        <w:div w:id="655305920">
          <w:marLeft w:val="0"/>
          <w:marRight w:val="0"/>
          <w:marTop w:val="0"/>
          <w:marBottom w:val="0"/>
          <w:divBdr>
            <w:top w:val="none" w:sz="0" w:space="0" w:color="auto"/>
            <w:left w:val="none" w:sz="0" w:space="0" w:color="auto"/>
            <w:bottom w:val="none" w:sz="0" w:space="0" w:color="auto"/>
            <w:right w:val="none" w:sz="0" w:space="0" w:color="auto"/>
          </w:divBdr>
        </w:div>
        <w:div w:id="1203714696">
          <w:marLeft w:val="0"/>
          <w:marRight w:val="0"/>
          <w:marTop w:val="0"/>
          <w:marBottom w:val="0"/>
          <w:divBdr>
            <w:top w:val="none" w:sz="0" w:space="0" w:color="auto"/>
            <w:left w:val="none" w:sz="0" w:space="0" w:color="auto"/>
            <w:bottom w:val="none" w:sz="0" w:space="0" w:color="auto"/>
            <w:right w:val="none" w:sz="0" w:space="0" w:color="auto"/>
          </w:divBdr>
        </w:div>
        <w:div w:id="299700422">
          <w:marLeft w:val="0"/>
          <w:marRight w:val="0"/>
          <w:marTop w:val="0"/>
          <w:marBottom w:val="0"/>
          <w:divBdr>
            <w:top w:val="none" w:sz="0" w:space="0" w:color="auto"/>
            <w:left w:val="none" w:sz="0" w:space="0" w:color="auto"/>
            <w:bottom w:val="none" w:sz="0" w:space="0" w:color="auto"/>
            <w:right w:val="none" w:sz="0" w:space="0" w:color="auto"/>
          </w:divBdr>
        </w:div>
        <w:div w:id="1976787377">
          <w:marLeft w:val="0"/>
          <w:marRight w:val="0"/>
          <w:marTop w:val="0"/>
          <w:marBottom w:val="0"/>
          <w:divBdr>
            <w:top w:val="none" w:sz="0" w:space="0" w:color="auto"/>
            <w:left w:val="none" w:sz="0" w:space="0" w:color="auto"/>
            <w:bottom w:val="none" w:sz="0" w:space="0" w:color="auto"/>
            <w:right w:val="none" w:sz="0" w:space="0" w:color="auto"/>
          </w:divBdr>
        </w:div>
      </w:divsChild>
    </w:div>
    <w:div w:id="1885483551">
      <w:bodyDiv w:val="1"/>
      <w:marLeft w:val="0"/>
      <w:marRight w:val="0"/>
      <w:marTop w:val="0"/>
      <w:marBottom w:val="0"/>
      <w:divBdr>
        <w:top w:val="none" w:sz="0" w:space="0" w:color="auto"/>
        <w:left w:val="none" w:sz="0" w:space="0" w:color="auto"/>
        <w:bottom w:val="none" w:sz="0" w:space="0" w:color="auto"/>
        <w:right w:val="none" w:sz="0" w:space="0" w:color="auto"/>
      </w:divBdr>
      <w:divsChild>
        <w:div w:id="261187368">
          <w:marLeft w:val="0"/>
          <w:marRight w:val="0"/>
          <w:marTop w:val="0"/>
          <w:marBottom w:val="0"/>
          <w:divBdr>
            <w:top w:val="none" w:sz="0" w:space="0" w:color="auto"/>
            <w:left w:val="none" w:sz="0" w:space="0" w:color="auto"/>
            <w:bottom w:val="none" w:sz="0" w:space="0" w:color="auto"/>
            <w:right w:val="none" w:sz="0" w:space="0" w:color="auto"/>
          </w:divBdr>
        </w:div>
        <w:div w:id="239827381">
          <w:marLeft w:val="0"/>
          <w:marRight w:val="0"/>
          <w:marTop w:val="0"/>
          <w:marBottom w:val="0"/>
          <w:divBdr>
            <w:top w:val="none" w:sz="0" w:space="0" w:color="auto"/>
            <w:left w:val="none" w:sz="0" w:space="0" w:color="auto"/>
            <w:bottom w:val="none" w:sz="0" w:space="0" w:color="auto"/>
            <w:right w:val="none" w:sz="0" w:space="0" w:color="auto"/>
          </w:divBdr>
        </w:div>
        <w:div w:id="818158744">
          <w:marLeft w:val="0"/>
          <w:marRight w:val="0"/>
          <w:marTop w:val="0"/>
          <w:marBottom w:val="0"/>
          <w:divBdr>
            <w:top w:val="none" w:sz="0" w:space="0" w:color="auto"/>
            <w:left w:val="none" w:sz="0" w:space="0" w:color="auto"/>
            <w:bottom w:val="none" w:sz="0" w:space="0" w:color="auto"/>
            <w:right w:val="none" w:sz="0" w:space="0" w:color="auto"/>
          </w:divBdr>
        </w:div>
        <w:div w:id="1906447679">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1326738280">
          <w:marLeft w:val="0"/>
          <w:marRight w:val="0"/>
          <w:marTop w:val="0"/>
          <w:marBottom w:val="0"/>
          <w:divBdr>
            <w:top w:val="none" w:sz="0" w:space="0" w:color="auto"/>
            <w:left w:val="none" w:sz="0" w:space="0" w:color="auto"/>
            <w:bottom w:val="none" w:sz="0" w:space="0" w:color="auto"/>
            <w:right w:val="none" w:sz="0" w:space="0" w:color="auto"/>
          </w:divBdr>
        </w:div>
        <w:div w:id="474563698">
          <w:marLeft w:val="0"/>
          <w:marRight w:val="0"/>
          <w:marTop w:val="0"/>
          <w:marBottom w:val="0"/>
          <w:divBdr>
            <w:top w:val="none" w:sz="0" w:space="0" w:color="auto"/>
            <w:left w:val="none" w:sz="0" w:space="0" w:color="auto"/>
            <w:bottom w:val="none" w:sz="0" w:space="0" w:color="auto"/>
            <w:right w:val="none" w:sz="0" w:space="0" w:color="auto"/>
          </w:divBdr>
        </w:div>
      </w:divsChild>
    </w:div>
    <w:div w:id="2109957057">
      <w:bodyDiv w:val="1"/>
      <w:marLeft w:val="0"/>
      <w:marRight w:val="0"/>
      <w:marTop w:val="0"/>
      <w:marBottom w:val="0"/>
      <w:divBdr>
        <w:top w:val="none" w:sz="0" w:space="0" w:color="auto"/>
        <w:left w:val="none" w:sz="0" w:space="0" w:color="auto"/>
        <w:bottom w:val="none" w:sz="0" w:space="0" w:color="auto"/>
        <w:right w:val="none" w:sz="0" w:space="0" w:color="auto"/>
      </w:divBdr>
    </w:div>
    <w:div w:id="2115665062">
      <w:bodyDiv w:val="1"/>
      <w:marLeft w:val="0"/>
      <w:marRight w:val="0"/>
      <w:marTop w:val="0"/>
      <w:marBottom w:val="0"/>
      <w:divBdr>
        <w:top w:val="none" w:sz="0" w:space="0" w:color="auto"/>
        <w:left w:val="none" w:sz="0" w:space="0" w:color="auto"/>
        <w:bottom w:val="none" w:sz="0" w:space="0" w:color="auto"/>
        <w:right w:val="none" w:sz="0" w:space="0" w:color="auto"/>
      </w:divBdr>
      <w:divsChild>
        <w:div w:id="1308128530">
          <w:marLeft w:val="0"/>
          <w:marRight w:val="0"/>
          <w:marTop w:val="0"/>
          <w:marBottom w:val="0"/>
          <w:divBdr>
            <w:top w:val="none" w:sz="0" w:space="0" w:color="auto"/>
            <w:left w:val="none" w:sz="0" w:space="0" w:color="auto"/>
            <w:bottom w:val="none" w:sz="0" w:space="0" w:color="auto"/>
            <w:right w:val="none" w:sz="0" w:space="0" w:color="auto"/>
          </w:divBdr>
        </w:div>
        <w:div w:id="1434550066">
          <w:marLeft w:val="0"/>
          <w:marRight w:val="0"/>
          <w:marTop w:val="0"/>
          <w:marBottom w:val="0"/>
          <w:divBdr>
            <w:top w:val="none" w:sz="0" w:space="0" w:color="auto"/>
            <w:left w:val="none" w:sz="0" w:space="0" w:color="auto"/>
            <w:bottom w:val="none" w:sz="0" w:space="0" w:color="auto"/>
            <w:right w:val="none" w:sz="0" w:space="0" w:color="auto"/>
          </w:divBdr>
        </w:div>
        <w:div w:id="150517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papers.ssrn.com/sol3/results.cfm" TargetMode="External"/><Relationship Id="rId2" Type="http://schemas.openxmlformats.org/officeDocument/2006/relationships/hyperlink" Target="https://papers.ssrn.com/sol3/cf_dev/AbsByAuth.cfm?per_id=2129242" TargetMode="External"/><Relationship Id="rId1" Type="http://schemas.openxmlformats.org/officeDocument/2006/relationships/hyperlink" Target="https://www.ohchr.org/EN/HRBodies/CCPR/Pages/GC36-Article6Righttolife.aspx" TargetMode="External"/><Relationship Id="rId4" Type="http://schemas.openxmlformats.org/officeDocument/2006/relationships/hyperlink" Target="https://www.regent.edu/acad/schlaw/globaljustice/about.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AD8A6A-14CC-47D2-9BF2-F963125FED71}">
  <ds:schemaRefs>
    <ds:schemaRef ds:uri="http://schemas.openxmlformats.org/officeDocument/2006/bibliography"/>
  </ds:schemaRefs>
</ds:datastoreItem>
</file>

<file path=customXml/itemProps2.xml><?xml version="1.0" encoding="utf-8"?>
<ds:datastoreItem xmlns:ds="http://schemas.openxmlformats.org/officeDocument/2006/customXml" ds:itemID="{3C66AF2D-18C8-4991-984B-4108D6FCFA3E}"/>
</file>

<file path=customXml/itemProps3.xml><?xml version="1.0" encoding="utf-8"?>
<ds:datastoreItem xmlns:ds="http://schemas.openxmlformats.org/officeDocument/2006/customXml" ds:itemID="{BB4C3F85-2B21-4D38-906D-96F80696BAF2}"/>
</file>

<file path=customXml/itemProps4.xml><?xml version="1.0" encoding="utf-8"?>
<ds:datastoreItem xmlns:ds="http://schemas.openxmlformats.org/officeDocument/2006/customXml" ds:itemID="{47268F79-04F8-4B4C-B760-4175205F6665}"/>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Regent University</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Ernie Walton</dc:creator>
  <cp:lastModifiedBy>Durnescu Lilian</cp:lastModifiedBy>
  <cp:revision>2</cp:revision>
  <cp:lastPrinted>2017-09-04T14:37:00Z</cp:lastPrinted>
  <dcterms:created xsi:type="dcterms:W3CDTF">2017-10-06T08:54:00Z</dcterms:created>
  <dcterms:modified xsi:type="dcterms:W3CDTF">2017-10-06T08:54:00Z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