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Layout w:type="fixed"/>
        <w:tblLook w:val="04A0" w:firstRow="1" w:lastRow="0" w:firstColumn="1" w:lastColumn="0" w:noHBand="0" w:noVBand="1"/>
      </w:tblPr>
      <w:tblGrid>
        <w:gridCol w:w="5493"/>
        <w:gridCol w:w="4254"/>
      </w:tblGrid>
      <w:tr w:rsidR="00CD7610" w:rsidRPr="00DF361B" w:rsidTr="000F7186">
        <w:tc>
          <w:tcPr>
            <w:tcW w:w="5493" w:type="dxa"/>
          </w:tcPr>
          <w:p w:rsidR="00CD7610" w:rsidRDefault="00CD7610" w:rsidP="000F7186">
            <w:bookmarkStart w:id="0" w:name="_GoBack"/>
            <w:bookmarkEnd w:id="0"/>
            <w:r>
              <w:rPr>
                <w:noProof/>
                <w:lang w:val="en-GB" w:eastAsia="en-GB"/>
              </w:rPr>
              <w:drawing>
                <wp:anchor distT="0" distB="0" distL="114300" distR="114300" simplePos="0" relativeHeight="251659264" behindDoc="0" locked="0" layoutInCell="1" allowOverlap="1">
                  <wp:simplePos x="0" y="0"/>
                  <wp:positionH relativeFrom="column">
                    <wp:posOffset>209550</wp:posOffset>
                  </wp:positionH>
                  <wp:positionV relativeFrom="paragraph">
                    <wp:posOffset>114300</wp:posOffset>
                  </wp:positionV>
                  <wp:extent cx="2990850" cy="869950"/>
                  <wp:effectExtent l="25400" t="0" r="6350" b="0"/>
                  <wp:wrapNone/>
                  <wp:docPr id="2" name="Picture 1" descr="SBH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H_logo.jpg"/>
                          <pic:cNvPicPr/>
                        </pic:nvPicPr>
                        <pic:blipFill>
                          <a:blip r:embed="rId8" cstate="print"/>
                          <a:stretch>
                            <a:fillRect/>
                          </a:stretch>
                        </pic:blipFill>
                        <pic:spPr>
                          <a:xfrm>
                            <a:off x="0" y="0"/>
                            <a:ext cx="2990850" cy="869950"/>
                          </a:xfrm>
                          <a:prstGeom prst="rect">
                            <a:avLst/>
                          </a:prstGeom>
                        </pic:spPr>
                      </pic:pic>
                    </a:graphicData>
                  </a:graphic>
                </wp:anchor>
              </w:drawing>
            </w:r>
          </w:p>
        </w:tc>
        <w:tc>
          <w:tcPr>
            <w:tcW w:w="4254" w:type="dxa"/>
          </w:tcPr>
          <w:p w:rsidR="00CD7610" w:rsidRDefault="00CD7610" w:rsidP="000F7186">
            <w:pPr>
              <w:pStyle w:val="ContactInformation"/>
            </w:pPr>
          </w:p>
          <w:p w:rsidR="00CD7610" w:rsidRPr="00043EC3" w:rsidRDefault="00CD7610" w:rsidP="000F7186">
            <w:pPr>
              <w:pStyle w:val="ContactInformation"/>
              <w:rPr>
                <w:color w:val="0E254D"/>
                <w:lang w:val="fr-BE"/>
              </w:rPr>
            </w:pPr>
            <w:r w:rsidRPr="00043EC3">
              <w:rPr>
                <w:color w:val="0E254D"/>
                <w:lang w:val="fr-BE"/>
              </w:rPr>
              <w:t>IF</w:t>
            </w:r>
          </w:p>
          <w:p w:rsidR="00CD7610" w:rsidRPr="00043EC3" w:rsidRDefault="00CD7610" w:rsidP="000F7186">
            <w:pPr>
              <w:pStyle w:val="ContactInformation"/>
              <w:rPr>
                <w:color w:val="0E254D"/>
                <w:lang w:val="fr-BE"/>
              </w:rPr>
            </w:pPr>
            <w:r w:rsidRPr="00043EC3">
              <w:rPr>
                <w:color w:val="0E254D"/>
                <w:lang w:val="fr-BE"/>
              </w:rPr>
              <w:t xml:space="preserve">16 rue des </w:t>
            </w:r>
            <w:proofErr w:type="spellStart"/>
            <w:r w:rsidRPr="00043EC3">
              <w:rPr>
                <w:color w:val="0E254D"/>
                <w:lang w:val="fr-BE"/>
              </w:rPr>
              <w:t>Alexiens</w:t>
            </w:r>
            <w:proofErr w:type="spellEnd"/>
            <w:r w:rsidRPr="00043EC3">
              <w:rPr>
                <w:color w:val="0E254D"/>
                <w:lang w:val="fr-BE"/>
              </w:rPr>
              <w:br/>
              <w:t xml:space="preserve">1000 Brussels, </w:t>
            </w:r>
            <w:proofErr w:type="spellStart"/>
            <w:r w:rsidRPr="00043EC3">
              <w:rPr>
                <w:color w:val="0E254D"/>
                <w:lang w:val="fr-BE"/>
              </w:rPr>
              <w:t>Belgium</w:t>
            </w:r>
            <w:proofErr w:type="spellEnd"/>
            <w:r w:rsidRPr="00043EC3">
              <w:rPr>
                <w:color w:val="0E254D"/>
                <w:lang w:val="fr-BE"/>
              </w:rPr>
              <w:t xml:space="preserve">  </w:t>
            </w:r>
            <w:r w:rsidRPr="00043EC3">
              <w:rPr>
                <w:color w:val="0E254D"/>
                <w:lang w:val="fr-BE"/>
              </w:rPr>
              <w:br/>
              <w:t xml:space="preserve">T: +32 (0)2 502 0413  </w:t>
            </w:r>
            <w:r w:rsidRPr="00043EC3">
              <w:rPr>
                <w:color w:val="0E254D"/>
                <w:lang w:val="fr-BE"/>
              </w:rPr>
              <w:br/>
              <w:t xml:space="preserve">E: </w:t>
            </w:r>
            <w:r w:rsidR="00851021">
              <w:fldChar w:fldCharType="begin"/>
            </w:r>
            <w:r w:rsidR="00851021" w:rsidRPr="00851021">
              <w:rPr>
                <w:lang w:val="fr-CH"/>
              </w:rPr>
              <w:instrText xml:space="preserve"> HYPERLINK "mailto:info@ifglobal.org" </w:instrText>
            </w:r>
            <w:r w:rsidR="00851021">
              <w:fldChar w:fldCharType="separate"/>
            </w:r>
            <w:r w:rsidRPr="00043EC3">
              <w:rPr>
                <w:rStyle w:val="Hyperlink"/>
                <w:color w:val="0E254D"/>
                <w:lang w:val="fr-BE"/>
              </w:rPr>
              <w:t>info@ifglobal.org</w:t>
            </w:r>
            <w:r w:rsidR="00851021">
              <w:rPr>
                <w:rStyle w:val="Hyperlink"/>
                <w:color w:val="0E254D"/>
                <w:lang w:val="fr-BE"/>
              </w:rPr>
              <w:fldChar w:fldCharType="end"/>
            </w:r>
            <w:r w:rsidRPr="00043EC3">
              <w:rPr>
                <w:color w:val="0E254D"/>
                <w:lang w:val="fr-BE"/>
              </w:rPr>
              <w:t xml:space="preserve">  W: </w:t>
            </w:r>
            <w:r w:rsidR="00851021">
              <w:fldChar w:fldCharType="begin"/>
            </w:r>
            <w:r w:rsidR="00851021" w:rsidRPr="00851021">
              <w:rPr>
                <w:lang w:val="fr-CH"/>
              </w:rPr>
              <w:instrText xml:space="preserve"> HYPERLINK "http://www.ifglobal.org" </w:instrText>
            </w:r>
            <w:r w:rsidR="00851021">
              <w:fldChar w:fldCharType="separate"/>
            </w:r>
            <w:r w:rsidRPr="00043EC3">
              <w:rPr>
                <w:rStyle w:val="Hyperlink"/>
                <w:color w:val="0E254D"/>
                <w:lang w:val="fr-BE"/>
              </w:rPr>
              <w:t>www.ifglobal.org</w:t>
            </w:r>
            <w:r w:rsidR="00851021">
              <w:rPr>
                <w:rStyle w:val="Hyperlink"/>
                <w:color w:val="0E254D"/>
                <w:lang w:val="fr-BE"/>
              </w:rPr>
              <w:fldChar w:fldCharType="end"/>
            </w:r>
            <w:r w:rsidRPr="00043EC3">
              <w:rPr>
                <w:color w:val="0E254D"/>
                <w:lang w:val="fr-BE"/>
              </w:rPr>
              <w:t xml:space="preserve"> </w:t>
            </w:r>
          </w:p>
          <w:p w:rsidR="00CD7610" w:rsidRPr="00043EC3" w:rsidRDefault="00CD7610" w:rsidP="000F7186">
            <w:pPr>
              <w:pStyle w:val="ContactInformation"/>
              <w:jc w:val="left"/>
              <w:rPr>
                <w:lang w:val="fr-BE"/>
              </w:rPr>
            </w:pPr>
          </w:p>
        </w:tc>
      </w:tr>
    </w:tbl>
    <w:p w:rsidR="003C56F9" w:rsidRPr="00851021" w:rsidRDefault="003C56F9" w:rsidP="00CD7610">
      <w:pPr>
        <w:rPr>
          <w:b/>
          <w:sz w:val="28"/>
          <w:szCs w:val="28"/>
          <w:lang w:val="fr-CH"/>
        </w:rPr>
      </w:pPr>
    </w:p>
    <w:p w:rsidR="001E7779" w:rsidRPr="00CD7610" w:rsidRDefault="00CD7610" w:rsidP="00CD7610">
      <w:pPr>
        <w:rPr>
          <w:b/>
          <w:sz w:val="28"/>
          <w:szCs w:val="28"/>
          <w:lang w:val="en-GB"/>
        </w:rPr>
      </w:pPr>
      <w:r>
        <w:rPr>
          <w:b/>
          <w:sz w:val="28"/>
          <w:szCs w:val="28"/>
          <w:lang w:val="en-GB"/>
        </w:rPr>
        <w:t xml:space="preserve">IF </w:t>
      </w:r>
      <w:r w:rsidR="001E7779" w:rsidRPr="00CD7610">
        <w:rPr>
          <w:b/>
          <w:sz w:val="28"/>
          <w:szCs w:val="28"/>
          <w:lang w:val="en-GB"/>
        </w:rPr>
        <w:t xml:space="preserve">Comment to the Draft General Comment no. 36 </w:t>
      </w:r>
      <w:r w:rsidRPr="00CD7610">
        <w:rPr>
          <w:b/>
          <w:sz w:val="28"/>
          <w:szCs w:val="28"/>
          <w:lang w:val="en-GB"/>
        </w:rPr>
        <w:t xml:space="preserve">on </w:t>
      </w:r>
      <w:r w:rsidR="006C04D4" w:rsidRPr="00CD7610">
        <w:rPr>
          <w:b/>
          <w:sz w:val="28"/>
          <w:szCs w:val="28"/>
          <w:lang w:val="en-GB"/>
        </w:rPr>
        <w:t>Article 6</w:t>
      </w:r>
      <w:r w:rsidRPr="00CD7610">
        <w:rPr>
          <w:b/>
          <w:sz w:val="28"/>
          <w:szCs w:val="28"/>
          <w:lang w:val="en-GB"/>
        </w:rPr>
        <w:t xml:space="preserve"> of the International Covenant on Civil and Political Rights</w:t>
      </w:r>
      <w:r w:rsidR="00385553">
        <w:rPr>
          <w:b/>
          <w:sz w:val="28"/>
          <w:szCs w:val="28"/>
          <w:lang w:val="en-GB"/>
        </w:rPr>
        <w:t xml:space="preserve"> -</w:t>
      </w:r>
      <w:r w:rsidR="006C04D4" w:rsidRPr="00CD7610">
        <w:rPr>
          <w:b/>
          <w:sz w:val="28"/>
          <w:szCs w:val="28"/>
          <w:lang w:val="en-GB"/>
        </w:rPr>
        <w:t xml:space="preserve"> </w:t>
      </w:r>
      <w:r w:rsidR="001E7779" w:rsidRPr="00CD7610">
        <w:rPr>
          <w:b/>
          <w:sz w:val="28"/>
          <w:szCs w:val="28"/>
          <w:lang w:val="en-GB"/>
        </w:rPr>
        <w:t>Right to life</w:t>
      </w:r>
    </w:p>
    <w:p w:rsidR="006C4AEB" w:rsidRPr="001E7779" w:rsidRDefault="006C4AEB">
      <w:pPr>
        <w:rPr>
          <w:b/>
          <w:lang w:val="en-GB"/>
        </w:rPr>
      </w:pPr>
      <w:r w:rsidRPr="001E7779">
        <w:rPr>
          <w:b/>
          <w:lang w:val="en-GB"/>
        </w:rPr>
        <w:t>About us</w:t>
      </w:r>
    </w:p>
    <w:p w:rsidR="006C4AEB" w:rsidRPr="009D1DBE" w:rsidRDefault="006C4AEB" w:rsidP="006C4AEB">
      <w:pPr>
        <w:rPr>
          <w:lang w:val="en-GB"/>
        </w:rPr>
      </w:pPr>
      <w:proofErr w:type="gramStart"/>
      <w:r w:rsidRPr="009D1DBE">
        <w:rPr>
          <w:lang w:val="en-GB"/>
        </w:rPr>
        <w:t>The International Federation for Spina Bifida and Hydrocephalus (IF) was founded by people with Spina Bifida and Hydrocephalus (SBH) and their families</w:t>
      </w:r>
      <w:proofErr w:type="gramEnd"/>
      <w:r w:rsidRPr="009D1DBE">
        <w:rPr>
          <w:lang w:val="en-GB"/>
        </w:rPr>
        <w:t xml:space="preserve"> in 1979. Over the years, it has grown from a voluntary association into a professional organisation of persons with disabilities with global coverage, democratic structure and transparent processes. Its fast</w:t>
      </w:r>
      <w:r w:rsidR="009D1DBE" w:rsidRPr="009D1DBE">
        <w:rPr>
          <w:lang w:val="en-GB"/>
        </w:rPr>
        <w:t xml:space="preserve"> growing membership now include</w:t>
      </w:r>
      <w:r w:rsidR="009D1DBE">
        <w:rPr>
          <w:lang w:val="en-GB"/>
        </w:rPr>
        <w:t>s</w:t>
      </w:r>
      <w:r w:rsidRPr="009D1DBE">
        <w:rPr>
          <w:lang w:val="en-GB"/>
        </w:rPr>
        <w:t xml:space="preserve"> 60 member organisations from all parts of the world. IF is a full member of the European Disability Forum and the International Disability Alliance. </w:t>
      </w:r>
      <w:r w:rsidR="00D035EB" w:rsidRPr="00D035EB">
        <w:rPr>
          <w:lang w:val="en-GB"/>
        </w:rPr>
        <w:t xml:space="preserve">The mission of IF is to improve the quality of life of people with </w:t>
      </w:r>
      <w:proofErr w:type="spellStart"/>
      <w:r w:rsidR="00D035EB" w:rsidRPr="00D035EB">
        <w:rPr>
          <w:lang w:val="en-GB"/>
        </w:rPr>
        <w:t>spina</w:t>
      </w:r>
      <w:proofErr w:type="spellEnd"/>
      <w:r w:rsidR="00D035EB" w:rsidRPr="00D035EB">
        <w:rPr>
          <w:lang w:val="en-GB"/>
        </w:rPr>
        <w:t xml:space="preserve"> bifida and hydrocephalus and their families, and to reduce the incidence of neural tube defects and Hydrocephalus by primary prevention</w:t>
      </w:r>
      <w:proofErr w:type="gramStart"/>
      <w:r w:rsidR="00D035EB" w:rsidRPr="00D035EB">
        <w:rPr>
          <w:lang w:val="en-GB"/>
        </w:rPr>
        <w:t>;</w:t>
      </w:r>
      <w:proofErr w:type="gramEnd"/>
      <w:r w:rsidR="00D035EB" w:rsidRPr="00D035EB">
        <w:rPr>
          <w:lang w:val="en-GB"/>
        </w:rPr>
        <w:t xml:space="preserve"> by raising awareness and through political advocacy, research, community building and human rights education.</w:t>
      </w:r>
    </w:p>
    <w:p w:rsidR="006C04D4" w:rsidRPr="009D1DBE" w:rsidRDefault="003F45D9">
      <w:pPr>
        <w:rPr>
          <w:b/>
          <w:lang w:val="en-GB"/>
        </w:rPr>
      </w:pPr>
      <w:r>
        <w:rPr>
          <w:b/>
          <w:lang w:val="en-GB"/>
        </w:rPr>
        <w:t>General remarks</w:t>
      </w:r>
    </w:p>
    <w:p w:rsidR="006739B8" w:rsidRPr="009D1DBE" w:rsidRDefault="00716B29">
      <w:pPr>
        <w:rPr>
          <w:lang w:val="en-GB"/>
        </w:rPr>
      </w:pPr>
      <w:r w:rsidRPr="009D1DBE">
        <w:rPr>
          <w:lang w:val="en-GB"/>
        </w:rPr>
        <w:t xml:space="preserve">The right to life is of particular importance to IF, as the right to life of children born with Spina Bifida and Hydrocephalus </w:t>
      </w:r>
      <w:proofErr w:type="gramStart"/>
      <w:r w:rsidRPr="009D1DBE">
        <w:rPr>
          <w:lang w:val="en-GB"/>
        </w:rPr>
        <w:t>has been questi</w:t>
      </w:r>
      <w:r w:rsidR="006E20FE">
        <w:rPr>
          <w:lang w:val="en-GB"/>
        </w:rPr>
        <w:t>oned and in many</w:t>
      </w:r>
      <w:r w:rsidR="009D1DBE">
        <w:rPr>
          <w:lang w:val="en-GB"/>
        </w:rPr>
        <w:t xml:space="preserve"> cases violated</w:t>
      </w:r>
      <w:r w:rsidR="00276D0C">
        <w:rPr>
          <w:lang w:val="en-GB"/>
        </w:rPr>
        <w:t xml:space="preserve"> throughout the years</w:t>
      </w:r>
      <w:proofErr w:type="gramEnd"/>
      <w:r w:rsidR="006E20FE">
        <w:rPr>
          <w:lang w:val="en-GB"/>
        </w:rPr>
        <w:t>. U</w:t>
      </w:r>
      <w:r w:rsidRPr="009D1DBE">
        <w:rPr>
          <w:lang w:val="en-GB"/>
        </w:rPr>
        <w:t>p until the 1970’s</w:t>
      </w:r>
      <w:r w:rsidR="009D1DBE">
        <w:rPr>
          <w:rStyle w:val="FootnoteReference"/>
          <w:lang w:val="en-GB"/>
        </w:rPr>
        <w:footnoteReference w:id="1"/>
      </w:r>
      <w:r w:rsidR="006E20FE">
        <w:rPr>
          <w:lang w:val="en-GB"/>
        </w:rPr>
        <w:t>,</w:t>
      </w:r>
      <w:r w:rsidRPr="009D1DBE">
        <w:rPr>
          <w:lang w:val="en-GB"/>
        </w:rPr>
        <w:t xml:space="preserve"> </w:t>
      </w:r>
      <w:r w:rsidR="006E20FE">
        <w:rPr>
          <w:lang w:val="en-GB"/>
        </w:rPr>
        <w:t>d</w:t>
      </w:r>
      <w:r w:rsidRPr="009D1DBE">
        <w:rPr>
          <w:lang w:val="en-GB"/>
        </w:rPr>
        <w:t>octors advised</w:t>
      </w:r>
      <w:r w:rsidR="00B464A6">
        <w:rPr>
          <w:lang w:val="en-GB"/>
        </w:rPr>
        <w:t xml:space="preserve"> and practiced</w:t>
      </w:r>
      <w:r w:rsidRPr="009D1DBE">
        <w:rPr>
          <w:lang w:val="en-GB"/>
        </w:rPr>
        <w:t xml:space="preserve"> non-treatment in what they considered “severe” cases</w:t>
      </w:r>
      <w:r w:rsidR="00B56601" w:rsidRPr="009D1DBE">
        <w:rPr>
          <w:lang w:val="en-GB"/>
        </w:rPr>
        <w:t>. They</w:t>
      </w:r>
      <w:r w:rsidRPr="009D1DBE">
        <w:rPr>
          <w:lang w:val="en-GB"/>
        </w:rPr>
        <w:t xml:space="preserve"> heavily sedated children, </w:t>
      </w:r>
      <w:r w:rsidR="00E90F19">
        <w:rPr>
          <w:lang w:val="en-GB"/>
        </w:rPr>
        <w:t>not providing</w:t>
      </w:r>
      <w:r w:rsidR="00B56601" w:rsidRPr="009D1DBE">
        <w:rPr>
          <w:lang w:val="en-GB"/>
        </w:rPr>
        <w:t xml:space="preserve"> them</w:t>
      </w:r>
      <w:r w:rsidR="00E90F19">
        <w:rPr>
          <w:lang w:val="en-GB"/>
        </w:rPr>
        <w:t xml:space="preserve"> with</w:t>
      </w:r>
      <w:r w:rsidR="00B56601" w:rsidRPr="009D1DBE">
        <w:rPr>
          <w:lang w:val="en-GB"/>
        </w:rPr>
        <w:t xml:space="preserve"> food or liquid, and eventually these children died of starvation, the fatal progression of Hydrocephalus, or infections that</w:t>
      </w:r>
      <w:r w:rsidR="00B464A6">
        <w:rPr>
          <w:lang w:val="en-GB"/>
        </w:rPr>
        <w:t xml:space="preserve"> were not treated. This</w:t>
      </w:r>
      <w:r w:rsidR="00E90F19">
        <w:rPr>
          <w:lang w:val="en-GB"/>
        </w:rPr>
        <w:t xml:space="preserve"> </w:t>
      </w:r>
      <w:r w:rsidR="00B56601" w:rsidRPr="009D1DBE">
        <w:rPr>
          <w:lang w:val="en-GB"/>
        </w:rPr>
        <w:t xml:space="preserve">non-treatment policy was based on the “expected quality of life” of children born with SBH, conditions that can lead to paralysis and incontinence </w:t>
      </w:r>
      <w:proofErr w:type="gramStart"/>
      <w:r w:rsidR="00B56601" w:rsidRPr="009D1DBE">
        <w:rPr>
          <w:lang w:val="en-GB"/>
        </w:rPr>
        <w:t>issues,</w:t>
      </w:r>
      <w:proofErr w:type="gramEnd"/>
      <w:r w:rsidR="00B56601" w:rsidRPr="009D1DBE">
        <w:rPr>
          <w:lang w:val="en-GB"/>
        </w:rPr>
        <w:t xml:space="preserve"> and i</w:t>
      </w:r>
      <w:r w:rsidR="00B464A6">
        <w:rPr>
          <w:lang w:val="en-GB"/>
        </w:rPr>
        <w:t>n some cases developmental delay</w:t>
      </w:r>
      <w:r w:rsidR="00B56601" w:rsidRPr="009D1DBE">
        <w:rPr>
          <w:lang w:val="en-GB"/>
        </w:rPr>
        <w:t xml:space="preserve">s. Children with Hydrocephalus </w:t>
      </w:r>
      <w:r w:rsidR="00E90F19">
        <w:rPr>
          <w:lang w:val="en-GB"/>
        </w:rPr>
        <w:t xml:space="preserve">in particular </w:t>
      </w:r>
      <w:proofErr w:type="gramStart"/>
      <w:r w:rsidR="00B56601" w:rsidRPr="009D1DBE">
        <w:rPr>
          <w:lang w:val="en-GB"/>
        </w:rPr>
        <w:t>would often be described</w:t>
      </w:r>
      <w:proofErr w:type="gramEnd"/>
      <w:r w:rsidR="00B56601" w:rsidRPr="009D1DBE">
        <w:rPr>
          <w:lang w:val="en-GB"/>
        </w:rPr>
        <w:t xml:space="preserve"> as “vegetables”, under </w:t>
      </w:r>
      <w:r w:rsidR="006739B8" w:rsidRPr="009D1DBE">
        <w:rPr>
          <w:lang w:val="en-GB"/>
        </w:rPr>
        <w:t>the assumption that the condition</w:t>
      </w:r>
      <w:r w:rsidR="00B56601" w:rsidRPr="009D1DBE">
        <w:rPr>
          <w:lang w:val="en-GB"/>
        </w:rPr>
        <w:t xml:space="preserve"> caused severe damage to the brain. </w:t>
      </w:r>
      <w:r w:rsidR="00E90F19">
        <w:rPr>
          <w:lang w:val="en-GB"/>
        </w:rPr>
        <w:t>This happens to this day.</w:t>
      </w:r>
    </w:p>
    <w:p w:rsidR="00B56601" w:rsidRPr="009D1DBE" w:rsidRDefault="00B56601">
      <w:pPr>
        <w:rPr>
          <w:lang w:val="en-GB"/>
        </w:rPr>
      </w:pPr>
      <w:r w:rsidRPr="009D1DBE">
        <w:rPr>
          <w:lang w:val="en-GB"/>
        </w:rPr>
        <w:t xml:space="preserve">However, with proper treatment soon after birth, through surgical implementation of a </w:t>
      </w:r>
      <w:r w:rsidR="002870AB">
        <w:rPr>
          <w:lang w:val="en-GB"/>
        </w:rPr>
        <w:t xml:space="preserve">so-called </w:t>
      </w:r>
      <w:r w:rsidRPr="009D1DBE">
        <w:rPr>
          <w:lang w:val="en-GB"/>
        </w:rPr>
        <w:t xml:space="preserve">shunt, Hydrocephalus </w:t>
      </w:r>
      <w:proofErr w:type="gramStart"/>
      <w:r w:rsidRPr="009D1DBE">
        <w:rPr>
          <w:lang w:val="en-GB"/>
        </w:rPr>
        <w:t>can be managed</w:t>
      </w:r>
      <w:proofErr w:type="gramEnd"/>
      <w:r w:rsidRPr="009D1DBE">
        <w:rPr>
          <w:lang w:val="en-GB"/>
        </w:rPr>
        <w:t xml:space="preserve"> and further damage averted. There may be specific learning challenges, but with the right support, these </w:t>
      </w:r>
      <w:proofErr w:type="gramStart"/>
      <w:r w:rsidRPr="009D1DBE">
        <w:rPr>
          <w:lang w:val="en-GB"/>
        </w:rPr>
        <w:t>can be managed</w:t>
      </w:r>
      <w:proofErr w:type="gramEnd"/>
      <w:r w:rsidRPr="009D1DBE">
        <w:rPr>
          <w:lang w:val="en-GB"/>
        </w:rPr>
        <w:t>.</w:t>
      </w:r>
    </w:p>
    <w:p w:rsidR="00B56601" w:rsidRPr="009D1DBE" w:rsidRDefault="00B56601">
      <w:pPr>
        <w:rPr>
          <w:lang w:val="en-GB"/>
        </w:rPr>
      </w:pPr>
      <w:r w:rsidRPr="009D1DBE">
        <w:rPr>
          <w:lang w:val="en-GB"/>
        </w:rPr>
        <w:t xml:space="preserve">Similarly, Spina Bifida </w:t>
      </w:r>
      <w:proofErr w:type="gramStart"/>
      <w:r w:rsidRPr="009D1DBE">
        <w:rPr>
          <w:lang w:val="en-GB"/>
        </w:rPr>
        <w:t>can be surgically tr</w:t>
      </w:r>
      <w:r w:rsidR="002870AB">
        <w:rPr>
          <w:lang w:val="en-GB"/>
        </w:rPr>
        <w:t>eated</w:t>
      </w:r>
      <w:proofErr w:type="gramEnd"/>
      <w:r w:rsidR="002870AB">
        <w:rPr>
          <w:lang w:val="en-GB"/>
        </w:rPr>
        <w:t>, either right after birth</w:t>
      </w:r>
      <w:r w:rsidRPr="009D1DBE">
        <w:rPr>
          <w:lang w:val="en-GB"/>
        </w:rPr>
        <w:t xml:space="preserve"> or</w:t>
      </w:r>
      <w:r w:rsidR="002870AB">
        <w:rPr>
          <w:lang w:val="en-GB"/>
        </w:rPr>
        <w:t xml:space="preserve"> nowadays</w:t>
      </w:r>
      <w:r w:rsidR="00A7310A">
        <w:rPr>
          <w:lang w:val="en-GB"/>
        </w:rPr>
        <w:t>,</w:t>
      </w:r>
      <w:r w:rsidR="002870AB">
        <w:rPr>
          <w:lang w:val="en-GB"/>
        </w:rPr>
        <w:t xml:space="preserve"> </w:t>
      </w:r>
      <w:r w:rsidRPr="009D1DBE">
        <w:rPr>
          <w:lang w:val="en-GB"/>
        </w:rPr>
        <w:t>in some cases</w:t>
      </w:r>
      <w:r w:rsidR="002870AB">
        <w:rPr>
          <w:lang w:val="en-GB"/>
        </w:rPr>
        <w:t>,</w:t>
      </w:r>
      <w:r w:rsidRPr="009D1DBE">
        <w:rPr>
          <w:lang w:val="en-GB"/>
        </w:rPr>
        <w:t xml:space="preserve"> while the child is still in the womb, before 26 weeks of gestation.</w:t>
      </w:r>
      <w:r w:rsidR="002A2D44">
        <w:rPr>
          <w:lang w:val="en-GB"/>
        </w:rPr>
        <w:t xml:space="preserve"> While this does not offer a cure, it does allow children to grow up into adulthood and the possibility to live their lives equal to others.</w:t>
      </w:r>
    </w:p>
    <w:p w:rsidR="001A7831" w:rsidRDefault="001A7831">
      <w:pPr>
        <w:rPr>
          <w:lang w:val="en-GB"/>
        </w:rPr>
      </w:pPr>
      <w:r>
        <w:rPr>
          <w:lang w:val="en-GB"/>
        </w:rPr>
        <w:br w:type="page"/>
      </w:r>
    </w:p>
    <w:p w:rsidR="00895311" w:rsidRPr="00895311" w:rsidRDefault="005A6223" w:rsidP="00895311">
      <w:pPr>
        <w:rPr>
          <w:lang w:val="en-GB"/>
        </w:rPr>
      </w:pPr>
      <w:r>
        <w:rPr>
          <w:lang w:val="en-GB"/>
        </w:rPr>
        <w:lastRenderedPageBreak/>
        <w:t>In the year 2000, a</w:t>
      </w:r>
      <w:r w:rsidR="00895311" w:rsidRPr="00895311">
        <w:rPr>
          <w:lang w:val="en-GB"/>
        </w:rPr>
        <w:t>t IF's 12th International Conference in Toulouse</w:t>
      </w:r>
      <w:r>
        <w:rPr>
          <w:lang w:val="en-GB"/>
        </w:rPr>
        <w:t>, France, adults with Spina Bifida and</w:t>
      </w:r>
      <w:r w:rsidR="00895311" w:rsidRPr="00895311">
        <w:rPr>
          <w:lang w:val="en-GB"/>
        </w:rPr>
        <w:t xml:space="preserve"> Hydrocephalus stated very clearly that their quality of life is not a reason for abortion</w:t>
      </w:r>
      <w:r w:rsidR="00895311">
        <w:rPr>
          <w:rStyle w:val="FootnoteReference"/>
          <w:lang w:val="en-GB"/>
        </w:rPr>
        <w:footnoteReference w:id="2"/>
      </w:r>
      <w:r w:rsidR="00895311" w:rsidRPr="00895311">
        <w:rPr>
          <w:lang w:val="en-GB"/>
        </w:rPr>
        <w:t>. Parents</w:t>
      </w:r>
      <w:r w:rsidR="00895311">
        <w:rPr>
          <w:lang w:val="en-GB"/>
        </w:rPr>
        <w:t xml:space="preserve"> of children with Spina Bifida and Hydrocephalus</w:t>
      </w:r>
      <w:r w:rsidR="00895311" w:rsidRPr="00895311">
        <w:rPr>
          <w:lang w:val="en-GB"/>
        </w:rPr>
        <w:t xml:space="preserve"> and adults</w:t>
      </w:r>
      <w:r w:rsidR="00895311">
        <w:rPr>
          <w:lang w:val="en-GB"/>
        </w:rPr>
        <w:t xml:space="preserve"> with these conditions</w:t>
      </w:r>
      <w:r w:rsidR="00895311" w:rsidRPr="00895311">
        <w:rPr>
          <w:lang w:val="en-GB"/>
        </w:rPr>
        <w:t xml:space="preserve"> stated that the impairments are not the burden. The burden is the constant struggle against inaccessible environments an</w:t>
      </w:r>
      <w:r w:rsidR="0092027D">
        <w:rPr>
          <w:lang w:val="en-GB"/>
        </w:rPr>
        <w:t>d inadequate systems, which should offer them support</w:t>
      </w:r>
      <w:r w:rsidR="00895311" w:rsidRPr="00895311">
        <w:rPr>
          <w:lang w:val="en-GB"/>
        </w:rPr>
        <w:t>.</w:t>
      </w:r>
      <w:r w:rsidR="00895311">
        <w:rPr>
          <w:lang w:val="en-GB"/>
        </w:rPr>
        <w:t xml:space="preserve"> </w:t>
      </w:r>
    </w:p>
    <w:p w:rsidR="00716B29" w:rsidRPr="009D1DBE" w:rsidRDefault="00B23914">
      <w:pPr>
        <w:rPr>
          <w:lang w:val="en-GB"/>
        </w:rPr>
      </w:pPr>
      <w:r>
        <w:rPr>
          <w:lang w:val="en-GB"/>
        </w:rPr>
        <w:t>Yet even today</w:t>
      </w:r>
      <w:r w:rsidR="00772EBA" w:rsidRPr="009D1DBE">
        <w:rPr>
          <w:lang w:val="en-GB"/>
        </w:rPr>
        <w:t xml:space="preserve">, </w:t>
      </w:r>
      <w:r>
        <w:rPr>
          <w:lang w:val="en-GB"/>
        </w:rPr>
        <w:t xml:space="preserve">many </w:t>
      </w:r>
      <w:r w:rsidR="00772EBA" w:rsidRPr="009D1DBE">
        <w:rPr>
          <w:lang w:val="en-GB"/>
        </w:rPr>
        <w:t>children born with Spina Bifida and Hydr</w:t>
      </w:r>
      <w:r w:rsidR="004F62CF">
        <w:rPr>
          <w:lang w:val="en-GB"/>
        </w:rPr>
        <w:t xml:space="preserve">ocephalus </w:t>
      </w:r>
      <w:proofErr w:type="gramStart"/>
      <w:r w:rsidR="004F62CF">
        <w:rPr>
          <w:lang w:val="en-GB"/>
        </w:rPr>
        <w:t>are still not treated</w:t>
      </w:r>
      <w:proofErr w:type="gramEnd"/>
      <w:r w:rsidR="00BB4C11">
        <w:rPr>
          <w:lang w:val="en-GB"/>
        </w:rPr>
        <w:t>, causing their parents great mental suffering</w:t>
      </w:r>
      <w:r w:rsidR="00513307">
        <w:rPr>
          <w:lang w:val="en-GB"/>
        </w:rPr>
        <w:t>, having to watch their child slowly deteriorate</w:t>
      </w:r>
      <w:r w:rsidR="004F62CF">
        <w:rPr>
          <w:lang w:val="en-GB"/>
        </w:rPr>
        <w:t>.</w:t>
      </w:r>
      <w:r w:rsidR="00772EBA" w:rsidRPr="009D1DBE">
        <w:rPr>
          <w:lang w:val="en-GB"/>
        </w:rPr>
        <w:t xml:space="preserve"> </w:t>
      </w:r>
      <w:r w:rsidR="00513307">
        <w:rPr>
          <w:lang w:val="en-GB"/>
        </w:rPr>
        <w:t>This mostly happens</w:t>
      </w:r>
      <w:r w:rsidR="00772EBA" w:rsidRPr="009D1DBE">
        <w:rPr>
          <w:lang w:val="en-GB"/>
        </w:rPr>
        <w:t xml:space="preserve"> in developing countries with limited resources, but </w:t>
      </w:r>
      <w:r w:rsidR="004F62CF">
        <w:rPr>
          <w:lang w:val="en-GB"/>
        </w:rPr>
        <w:t xml:space="preserve">non-treatment </w:t>
      </w:r>
      <w:r w:rsidR="00772EBA" w:rsidRPr="009D1DBE">
        <w:rPr>
          <w:lang w:val="en-GB"/>
        </w:rPr>
        <w:t>also</w:t>
      </w:r>
      <w:r w:rsidR="00513307">
        <w:rPr>
          <w:lang w:val="en-GB"/>
        </w:rPr>
        <w:t xml:space="preserve"> occurs</w:t>
      </w:r>
      <w:r w:rsidR="00772EBA" w:rsidRPr="009D1DBE">
        <w:rPr>
          <w:lang w:val="en-GB"/>
        </w:rPr>
        <w:t xml:space="preserve"> in countries that do have the</w:t>
      </w:r>
      <w:r>
        <w:rPr>
          <w:lang w:val="en-GB"/>
        </w:rPr>
        <w:t xml:space="preserve"> resources</w:t>
      </w:r>
      <w:r w:rsidR="00276715">
        <w:rPr>
          <w:lang w:val="en-GB"/>
        </w:rPr>
        <w:t xml:space="preserve"> for med</w:t>
      </w:r>
      <w:r w:rsidR="00F93C40">
        <w:rPr>
          <w:lang w:val="en-GB"/>
        </w:rPr>
        <w:t>ical care</w:t>
      </w:r>
      <w:r>
        <w:rPr>
          <w:lang w:val="en-GB"/>
        </w:rPr>
        <w:t>.</w:t>
      </w:r>
      <w:r w:rsidR="00772EBA" w:rsidRPr="009D1DBE">
        <w:rPr>
          <w:lang w:val="en-GB"/>
        </w:rPr>
        <w:t xml:space="preserve"> </w:t>
      </w:r>
      <w:r w:rsidR="00843980">
        <w:rPr>
          <w:lang w:val="en-GB"/>
        </w:rPr>
        <w:t>In these cases</w:t>
      </w:r>
      <w:r>
        <w:rPr>
          <w:lang w:val="en-GB"/>
        </w:rPr>
        <w:t xml:space="preserve">, children with disabilities </w:t>
      </w:r>
      <w:proofErr w:type="gramStart"/>
      <w:r>
        <w:rPr>
          <w:lang w:val="en-GB"/>
        </w:rPr>
        <w:t>may be</w:t>
      </w:r>
      <w:r w:rsidR="00772EBA" w:rsidRPr="009D1DBE">
        <w:rPr>
          <w:lang w:val="en-GB"/>
        </w:rPr>
        <w:t xml:space="preserve"> seen</w:t>
      </w:r>
      <w:proofErr w:type="gramEnd"/>
      <w:r w:rsidR="00772EBA" w:rsidRPr="009D1DBE">
        <w:rPr>
          <w:lang w:val="en-GB"/>
        </w:rPr>
        <w:t xml:space="preserve"> as “not worth the investment”</w:t>
      </w:r>
      <w:r w:rsidR="00D9282F">
        <w:rPr>
          <w:lang w:val="en-GB"/>
        </w:rPr>
        <w:t xml:space="preserve"> and </w:t>
      </w:r>
      <w:r>
        <w:rPr>
          <w:lang w:val="en-GB"/>
        </w:rPr>
        <w:t>a burden to society</w:t>
      </w:r>
      <w:r w:rsidR="00772EBA" w:rsidRPr="009D1DBE">
        <w:rPr>
          <w:lang w:val="en-GB"/>
        </w:rPr>
        <w:t>. Stigma, prejudice, lack of knowledge and superstition can also be causes for non-treatment.</w:t>
      </w:r>
      <w:r w:rsidR="00EE75F4">
        <w:rPr>
          <w:lang w:val="en-GB"/>
        </w:rPr>
        <w:t xml:space="preserve"> </w:t>
      </w:r>
    </w:p>
    <w:p w:rsidR="007A6C12" w:rsidRDefault="00772EBA">
      <w:pPr>
        <w:rPr>
          <w:lang w:val="en-GB"/>
        </w:rPr>
      </w:pPr>
      <w:r w:rsidRPr="009D1DBE">
        <w:rPr>
          <w:lang w:val="en-GB"/>
        </w:rPr>
        <w:t xml:space="preserve">In addition, many children with Spina Bifida and Hydrocephalus are never born, because they </w:t>
      </w:r>
      <w:proofErr w:type="gramStart"/>
      <w:r w:rsidRPr="009D1DBE">
        <w:rPr>
          <w:lang w:val="en-GB"/>
        </w:rPr>
        <w:t>can be detected</w:t>
      </w:r>
      <w:proofErr w:type="gramEnd"/>
      <w:r w:rsidRPr="009D1DBE">
        <w:rPr>
          <w:lang w:val="en-GB"/>
        </w:rPr>
        <w:t xml:space="preserve"> through prenatal ultrasound</w:t>
      </w:r>
      <w:r w:rsidR="00E624E2">
        <w:rPr>
          <w:lang w:val="en-GB"/>
        </w:rPr>
        <w:t xml:space="preserve"> at around 20 weeks of gestation,</w:t>
      </w:r>
      <w:r w:rsidR="002F1EB6">
        <w:rPr>
          <w:lang w:val="en-GB"/>
        </w:rPr>
        <w:t xml:space="preserve"> and their diagnosis is often followed by</w:t>
      </w:r>
      <w:r w:rsidR="00A24DC3">
        <w:rPr>
          <w:lang w:val="en-GB"/>
        </w:rPr>
        <w:t xml:space="preserve"> </w:t>
      </w:r>
      <w:r w:rsidR="00670BEF">
        <w:rPr>
          <w:lang w:val="en-GB"/>
        </w:rPr>
        <w:t xml:space="preserve">- </w:t>
      </w:r>
      <w:r w:rsidR="00A24DC3">
        <w:rPr>
          <w:lang w:val="en-GB"/>
        </w:rPr>
        <w:t>late</w:t>
      </w:r>
      <w:r w:rsidR="00670BEF">
        <w:rPr>
          <w:lang w:val="en-GB"/>
        </w:rPr>
        <w:t xml:space="preserve"> -</w:t>
      </w:r>
      <w:r w:rsidR="002F1EB6">
        <w:rPr>
          <w:lang w:val="en-GB"/>
        </w:rPr>
        <w:t xml:space="preserve"> termination of pregnancy</w:t>
      </w:r>
      <w:r w:rsidRPr="009D1DBE">
        <w:rPr>
          <w:lang w:val="en-GB"/>
        </w:rPr>
        <w:t>. Even with today’s knowledge, parents-to-be are often</w:t>
      </w:r>
      <w:r w:rsidR="00843971">
        <w:rPr>
          <w:lang w:val="en-GB"/>
        </w:rPr>
        <w:t xml:space="preserve"> only told what will</w:t>
      </w:r>
      <w:r w:rsidRPr="009D1DBE">
        <w:rPr>
          <w:lang w:val="en-GB"/>
        </w:rPr>
        <w:t xml:space="preserve"> be</w:t>
      </w:r>
      <w:r w:rsidR="000E0962">
        <w:rPr>
          <w:lang w:val="en-GB"/>
        </w:rPr>
        <w:t xml:space="preserve"> medically wrong with the baby</w:t>
      </w:r>
      <w:r w:rsidR="00843971">
        <w:rPr>
          <w:lang w:val="en-GB"/>
        </w:rPr>
        <w:t xml:space="preserve"> </w:t>
      </w:r>
      <w:r w:rsidRPr="009D1DBE">
        <w:rPr>
          <w:lang w:val="en-GB"/>
        </w:rPr>
        <w:t xml:space="preserve">they are expecting, </w:t>
      </w:r>
      <w:r w:rsidR="0060754C">
        <w:rPr>
          <w:lang w:val="en-GB"/>
        </w:rPr>
        <w:t xml:space="preserve">and </w:t>
      </w:r>
      <w:r w:rsidR="002F1EB6">
        <w:rPr>
          <w:lang w:val="en-GB"/>
        </w:rPr>
        <w:t>offered a grim future for their child. Again</w:t>
      </w:r>
      <w:r w:rsidR="00843971">
        <w:rPr>
          <w:lang w:val="en-GB"/>
        </w:rPr>
        <w:t>,</w:t>
      </w:r>
      <w:r w:rsidR="002F1EB6">
        <w:rPr>
          <w:lang w:val="en-GB"/>
        </w:rPr>
        <w:t xml:space="preserve"> this prediction</w:t>
      </w:r>
      <w:r w:rsidRPr="009D1DBE">
        <w:rPr>
          <w:lang w:val="en-GB"/>
        </w:rPr>
        <w:t xml:space="preserve"> </w:t>
      </w:r>
      <w:proofErr w:type="gramStart"/>
      <w:r w:rsidRPr="009D1DBE">
        <w:rPr>
          <w:lang w:val="en-GB"/>
        </w:rPr>
        <w:t>is based</w:t>
      </w:r>
      <w:proofErr w:type="gramEnd"/>
      <w:r w:rsidRPr="009D1DBE">
        <w:rPr>
          <w:lang w:val="en-GB"/>
        </w:rPr>
        <w:t xml:space="preserve"> on the expected q</w:t>
      </w:r>
      <w:r w:rsidR="002F1EB6">
        <w:rPr>
          <w:lang w:val="en-GB"/>
        </w:rPr>
        <w:t>uality of life, with the diagnosis</w:t>
      </w:r>
      <w:r w:rsidR="004B4F90">
        <w:rPr>
          <w:lang w:val="en-GB"/>
        </w:rPr>
        <w:t xml:space="preserve"> </w:t>
      </w:r>
      <w:r w:rsidR="002815A9">
        <w:rPr>
          <w:lang w:val="en-GB"/>
        </w:rPr>
        <w:t>possibl</w:t>
      </w:r>
      <w:r w:rsidR="004B4F90">
        <w:rPr>
          <w:lang w:val="en-GB"/>
        </w:rPr>
        <w:t>y</w:t>
      </w:r>
      <w:r w:rsidR="002F1EB6">
        <w:rPr>
          <w:lang w:val="en-GB"/>
        </w:rPr>
        <w:t xml:space="preserve"> coloured by </w:t>
      </w:r>
      <w:r w:rsidRPr="009D1DBE">
        <w:rPr>
          <w:lang w:val="en-GB"/>
        </w:rPr>
        <w:t>negative assumption</w:t>
      </w:r>
      <w:r w:rsidR="002F1EB6">
        <w:rPr>
          <w:lang w:val="en-GB"/>
        </w:rPr>
        <w:t>s</w:t>
      </w:r>
      <w:r w:rsidRPr="009D1DBE">
        <w:rPr>
          <w:lang w:val="en-GB"/>
        </w:rPr>
        <w:t xml:space="preserve"> of what living with a disability must be like.</w:t>
      </w:r>
      <w:r w:rsidR="00CD7ED8">
        <w:rPr>
          <w:lang w:val="en-GB"/>
        </w:rPr>
        <w:t xml:space="preserve"> This policy </w:t>
      </w:r>
      <w:proofErr w:type="gramStart"/>
      <w:r w:rsidR="00CD7ED8">
        <w:rPr>
          <w:lang w:val="en-GB"/>
        </w:rPr>
        <w:t>could be viewed</w:t>
      </w:r>
      <w:proofErr w:type="gramEnd"/>
      <w:r w:rsidR="00CD7ED8">
        <w:rPr>
          <w:lang w:val="en-GB"/>
        </w:rPr>
        <w:t xml:space="preserve"> as deprivation of life based on discrimination</w:t>
      </w:r>
      <w:r w:rsidR="00C732AC">
        <w:rPr>
          <w:lang w:val="en-GB"/>
        </w:rPr>
        <w:t xml:space="preserve">, as these are “wanted pregnancies”, but it is the </w:t>
      </w:r>
      <w:r w:rsidR="00E9721B">
        <w:rPr>
          <w:lang w:val="en-GB"/>
        </w:rPr>
        <w:t xml:space="preserve">developing </w:t>
      </w:r>
      <w:r w:rsidR="00C732AC">
        <w:rPr>
          <w:lang w:val="en-GB"/>
        </w:rPr>
        <w:t xml:space="preserve">child with a </w:t>
      </w:r>
      <w:r w:rsidR="00597B9D">
        <w:rPr>
          <w:lang w:val="en-GB"/>
        </w:rPr>
        <w:t xml:space="preserve">non-fatal </w:t>
      </w:r>
      <w:r w:rsidR="00C732AC">
        <w:rPr>
          <w:lang w:val="en-GB"/>
        </w:rPr>
        <w:t xml:space="preserve">disability that is </w:t>
      </w:r>
      <w:r w:rsidR="00B568F9">
        <w:rPr>
          <w:lang w:val="en-GB"/>
        </w:rPr>
        <w:t>being aborted</w:t>
      </w:r>
      <w:r w:rsidR="00CD7ED8">
        <w:rPr>
          <w:lang w:val="en-GB"/>
        </w:rPr>
        <w:t>.</w:t>
      </w:r>
      <w:r w:rsidR="007A6C12">
        <w:rPr>
          <w:lang w:val="en-GB"/>
        </w:rPr>
        <w:t xml:space="preserve"> </w:t>
      </w:r>
      <w:r w:rsidR="004F3D33">
        <w:rPr>
          <w:lang w:val="en-GB"/>
        </w:rPr>
        <w:t xml:space="preserve">This is even more evident in twin pregnancies, where selective abortion </w:t>
      </w:r>
      <w:proofErr w:type="gramStart"/>
      <w:r w:rsidR="004F3D33">
        <w:rPr>
          <w:lang w:val="en-GB"/>
        </w:rPr>
        <w:t>is performed</w:t>
      </w:r>
      <w:proofErr w:type="gramEnd"/>
      <w:r w:rsidR="00597B9D">
        <w:rPr>
          <w:lang w:val="en-GB"/>
        </w:rPr>
        <w:t xml:space="preserve"> when a congenital condition is detected</w:t>
      </w:r>
      <w:r w:rsidR="00553ECF">
        <w:rPr>
          <w:lang w:val="en-GB"/>
        </w:rPr>
        <w:t>, or in cases where the f</w:t>
      </w:r>
      <w:r w:rsidR="00995CDA">
        <w:rPr>
          <w:lang w:val="en-GB"/>
        </w:rPr>
        <w:t>o</w:t>
      </w:r>
      <w:r w:rsidR="00553ECF">
        <w:rPr>
          <w:lang w:val="en-GB"/>
        </w:rPr>
        <w:t>etus is aborted because it is of an undesired gender</w:t>
      </w:r>
      <w:r w:rsidR="004F3D33">
        <w:rPr>
          <w:lang w:val="en-GB"/>
        </w:rPr>
        <w:t>.</w:t>
      </w:r>
      <w:r w:rsidR="00553ECF">
        <w:rPr>
          <w:lang w:val="en-GB"/>
        </w:rPr>
        <w:t xml:space="preserve"> In the</w:t>
      </w:r>
      <w:r w:rsidR="001A53F1">
        <w:rPr>
          <w:lang w:val="en-GB"/>
        </w:rPr>
        <w:t>s</w:t>
      </w:r>
      <w:r w:rsidR="00553ECF">
        <w:rPr>
          <w:lang w:val="en-GB"/>
        </w:rPr>
        <w:t>e</w:t>
      </w:r>
      <w:r w:rsidR="001A53F1">
        <w:rPr>
          <w:lang w:val="en-GB"/>
        </w:rPr>
        <w:t xml:space="preserve"> situation</w:t>
      </w:r>
      <w:r w:rsidR="00553ECF">
        <w:rPr>
          <w:lang w:val="en-GB"/>
        </w:rPr>
        <w:t>s, not all developing</w:t>
      </w:r>
      <w:r w:rsidR="00004D1C">
        <w:rPr>
          <w:lang w:val="en-GB"/>
        </w:rPr>
        <w:t xml:space="preserve"> </w:t>
      </w:r>
      <w:r w:rsidR="001A53F1">
        <w:rPr>
          <w:lang w:val="en-GB"/>
        </w:rPr>
        <w:t>children are equal before the law</w:t>
      </w:r>
      <w:r w:rsidR="00DC72FC">
        <w:rPr>
          <w:lang w:val="en-GB"/>
        </w:rPr>
        <w:t xml:space="preserve"> (Article 26 of the Covenant)</w:t>
      </w:r>
      <w:r w:rsidR="001A53F1">
        <w:rPr>
          <w:lang w:val="en-GB"/>
        </w:rPr>
        <w:t>.</w:t>
      </w:r>
    </w:p>
    <w:p w:rsidR="003F45D9" w:rsidRPr="00254E29" w:rsidRDefault="007A6C12" w:rsidP="00254E29">
      <w:pPr>
        <w:pStyle w:val="ListParagraph"/>
        <w:numPr>
          <w:ilvl w:val="0"/>
          <w:numId w:val="4"/>
        </w:numPr>
        <w:rPr>
          <w:lang w:val="en-GB"/>
        </w:rPr>
      </w:pPr>
      <w:r w:rsidRPr="00254E29">
        <w:rPr>
          <w:lang w:val="en-GB"/>
        </w:rPr>
        <w:t xml:space="preserve">We would like to emphasize that </w:t>
      </w:r>
      <w:r w:rsidR="0055781E" w:rsidRPr="00254E29">
        <w:rPr>
          <w:lang w:val="en-GB"/>
        </w:rPr>
        <w:t>unbiased</w:t>
      </w:r>
      <w:r w:rsidRPr="00254E29">
        <w:rPr>
          <w:lang w:val="en-GB"/>
        </w:rPr>
        <w:t xml:space="preserve"> counselling</w:t>
      </w:r>
      <w:r w:rsidR="006854D6" w:rsidRPr="00254E29">
        <w:rPr>
          <w:lang w:val="en-GB"/>
        </w:rPr>
        <w:t>, with</w:t>
      </w:r>
      <w:r w:rsidR="00F44F14" w:rsidRPr="00254E29">
        <w:rPr>
          <w:lang w:val="en-GB"/>
        </w:rPr>
        <w:t xml:space="preserve"> up-to-date information and</w:t>
      </w:r>
      <w:r w:rsidR="006854D6" w:rsidRPr="00254E29">
        <w:rPr>
          <w:lang w:val="en-GB"/>
        </w:rPr>
        <w:t xml:space="preserve"> respect for the rights</w:t>
      </w:r>
      <w:r w:rsidR="00E85427" w:rsidRPr="00254E29">
        <w:rPr>
          <w:lang w:val="en-GB"/>
        </w:rPr>
        <w:t xml:space="preserve"> and capabilities</w:t>
      </w:r>
      <w:r w:rsidR="006854D6" w:rsidRPr="00254E29">
        <w:rPr>
          <w:lang w:val="en-GB"/>
        </w:rPr>
        <w:t xml:space="preserve"> of children with disabilities,</w:t>
      </w:r>
      <w:r w:rsidRPr="00254E29">
        <w:rPr>
          <w:lang w:val="en-GB"/>
        </w:rPr>
        <w:t xml:space="preserve"> should be part of adequate prenatal healthcare for pregnant women</w:t>
      </w:r>
      <w:r w:rsidR="00D75F38">
        <w:rPr>
          <w:lang w:val="en-GB"/>
        </w:rPr>
        <w:t>,</w:t>
      </w:r>
      <w:r w:rsidR="00CE3C2A" w:rsidRPr="00254E29">
        <w:rPr>
          <w:lang w:val="en-GB"/>
        </w:rPr>
        <w:t xml:space="preserve"> mentioned in </w:t>
      </w:r>
      <w:r w:rsidR="00CE3C2A" w:rsidRPr="00254E29">
        <w:rPr>
          <w:b/>
          <w:lang w:val="en-GB"/>
        </w:rPr>
        <w:t>§</w:t>
      </w:r>
      <w:proofErr w:type="gramStart"/>
      <w:r w:rsidR="00CE3C2A" w:rsidRPr="00254E29">
        <w:rPr>
          <w:b/>
          <w:lang w:val="en-GB"/>
        </w:rPr>
        <w:t>9</w:t>
      </w:r>
      <w:proofErr w:type="gramEnd"/>
      <w:r w:rsidR="00CE3C2A" w:rsidRPr="00254E29">
        <w:rPr>
          <w:lang w:val="en-GB"/>
        </w:rPr>
        <w:t xml:space="preserve"> of the Draft General Comment</w:t>
      </w:r>
      <w:r w:rsidR="0025149F" w:rsidRPr="00254E29">
        <w:rPr>
          <w:lang w:val="en-GB"/>
        </w:rPr>
        <w:t>, in particular for “impairments”</w:t>
      </w:r>
      <w:r w:rsidR="00981300" w:rsidRPr="00254E29">
        <w:rPr>
          <w:lang w:val="en-GB"/>
        </w:rPr>
        <w:t xml:space="preserve"> that </w:t>
      </w:r>
      <w:r w:rsidR="00547014" w:rsidRPr="00254E29">
        <w:rPr>
          <w:lang w:val="en-GB"/>
        </w:rPr>
        <w:t>are not fatal wh</w:t>
      </w:r>
      <w:r w:rsidR="00DA01AC" w:rsidRPr="00254E29">
        <w:rPr>
          <w:lang w:val="en-GB"/>
        </w:rPr>
        <w:t>en appropriately</w:t>
      </w:r>
      <w:r w:rsidR="00981300" w:rsidRPr="00254E29">
        <w:rPr>
          <w:lang w:val="en-GB"/>
        </w:rPr>
        <w:t xml:space="preserve"> treated</w:t>
      </w:r>
      <w:r w:rsidRPr="00254E29">
        <w:rPr>
          <w:lang w:val="en-GB"/>
        </w:rPr>
        <w:t>.</w:t>
      </w:r>
      <w:r w:rsidR="00DE63FF" w:rsidRPr="00254E29">
        <w:rPr>
          <w:lang w:val="en-GB"/>
        </w:rPr>
        <w:t xml:space="preserve"> </w:t>
      </w:r>
    </w:p>
    <w:p w:rsidR="00772EBA" w:rsidRDefault="00DE63FF" w:rsidP="00E35BF2">
      <w:pPr>
        <w:rPr>
          <w:lang w:val="en-GB"/>
        </w:rPr>
      </w:pPr>
      <w:r>
        <w:rPr>
          <w:lang w:val="en-GB"/>
        </w:rPr>
        <w:t xml:space="preserve">Similarly, with regard to post-abortion healthcare, it is important to recognise </w:t>
      </w:r>
      <w:r w:rsidR="008B4857">
        <w:rPr>
          <w:lang w:val="en-GB"/>
        </w:rPr>
        <w:t xml:space="preserve">and address </w:t>
      </w:r>
      <w:r w:rsidR="00E70E60">
        <w:rPr>
          <w:lang w:val="en-GB"/>
        </w:rPr>
        <w:t xml:space="preserve">the </w:t>
      </w:r>
      <w:r w:rsidR="001C6D93">
        <w:rPr>
          <w:lang w:val="en-GB"/>
        </w:rPr>
        <w:t>mental stress</w:t>
      </w:r>
      <w:r w:rsidR="00513B75">
        <w:rPr>
          <w:lang w:val="en-GB"/>
        </w:rPr>
        <w:t xml:space="preserve"> of parents-to-be</w:t>
      </w:r>
      <w:r w:rsidR="008B4857">
        <w:rPr>
          <w:lang w:val="en-GB"/>
        </w:rPr>
        <w:t xml:space="preserve"> who have</w:t>
      </w:r>
      <w:r w:rsidR="006B655B">
        <w:rPr>
          <w:lang w:val="en-GB"/>
        </w:rPr>
        <w:t xml:space="preserve"> to make the</w:t>
      </w:r>
      <w:r>
        <w:rPr>
          <w:lang w:val="en-GB"/>
        </w:rPr>
        <w:t xml:space="preserve"> extremely difficult decision to end the life of </w:t>
      </w:r>
      <w:r w:rsidR="002956B1">
        <w:rPr>
          <w:lang w:val="en-GB"/>
        </w:rPr>
        <w:t>the</w:t>
      </w:r>
      <w:r>
        <w:rPr>
          <w:lang w:val="en-GB"/>
        </w:rPr>
        <w:t xml:space="preserve"> child they</w:t>
      </w:r>
      <w:r w:rsidR="006B655B">
        <w:rPr>
          <w:lang w:val="en-GB"/>
        </w:rPr>
        <w:t xml:space="preserve"> are expecting and</w:t>
      </w:r>
      <w:r>
        <w:rPr>
          <w:lang w:val="en-GB"/>
        </w:rPr>
        <w:t xml:space="preserve"> originally wanted.</w:t>
      </w:r>
      <w:r w:rsidR="003F45D9">
        <w:rPr>
          <w:lang w:val="en-GB"/>
        </w:rPr>
        <w:t xml:space="preserve"> </w:t>
      </w:r>
      <w:proofErr w:type="gramStart"/>
      <w:r w:rsidR="006B655B">
        <w:rPr>
          <w:lang w:val="en-GB"/>
        </w:rPr>
        <w:t>Couples</w:t>
      </w:r>
      <w:proofErr w:type="gramEnd"/>
      <w:r w:rsidR="00317C09" w:rsidRPr="00840640">
        <w:rPr>
          <w:lang w:val="en-GB"/>
        </w:rPr>
        <w:t xml:space="preserve"> who wish to do so, should have </w:t>
      </w:r>
      <w:r w:rsidR="00DF361B">
        <w:rPr>
          <w:lang w:val="en-GB"/>
        </w:rPr>
        <w:t xml:space="preserve">the </w:t>
      </w:r>
      <w:r w:rsidR="00FD6829">
        <w:rPr>
          <w:lang w:val="en-GB"/>
        </w:rPr>
        <w:t>option</w:t>
      </w:r>
      <w:r w:rsidR="003F14D0">
        <w:rPr>
          <w:lang w:val="en-GB"/>
        </w:rPr>
        <w:t xml:space="preserve"> to name and register their</w:t>
      </w:r>
      <w:r w:rsidR="00317C09" w:rsidRPr="00840640">
        <w:rPr>
          <w:lang w:val="en-GB"/>
        </w:rPr>
        <w:t xml:space="preserve"> child that was not born alive</w:t>
      </w:r>
      <w:r w:rsidR="00F21E28">
        <w:rPr>
          <w:lang w:val="en-GB"/>
        </w:rPr>
        <w:t>, as recognition of</w:t>
      </w:r>
      <w:r w:rsidR="002956B1">
        <w:rPr>
          <w:lang w:val="en-GB"/>
        </w:rPr>
        <w:t xml:space="preserve"> its</w:t>
      </w:r>
      <w:r w:rsidR="00F21E28">
        <w:rPr>
          <w:lang w:val="en-GB"/>
        </w:rPr>
        <w:t xml:space="preserve"> existence</w:t>
      </w:r>
      <w:r w:rsidR="00317C09">
        <w:rPr>
          <w:lang w:val="en-GB"/>
        </w:rPr>
        <w:t>.</w:t>
      </w:r>
      <w:r w:rsidR="00703119">
        <w:rPr>
          <w:lang w:val="en-GB"/>
        </w:rPr>
        <w:t xml:space="preserve"> </w:t>
      </w:r>
    </w:p>
    <w:p w:rsidR="00867BD4" w:rsidRDefault="00867BD4">
      <w:pPr>
        <w:rPr>
          <w:lang w:val="en-GB"/>
        </w:rPr>
      </w:pPr>
      <w:r w:rsidRPr="00867BD4">
        <w:rPr>
          <w:b/>
          <w:lang w:val="en-GB"/>
        </w:rPr>
        <w:t xml:space="preserve">§27 </w:t>
      </w:r>
      <w:r w:rsidR="009D737B" w:rsidRPr="00867BD4">
        <w:rPr>
          <w:b/>
          <w:lang w:val="en-GB"/>
        </w:rPr>
        <w:t>Protection towards persons in situation of vulnerability</w:t>
      </w:r>
      <w:r w:rsidR="00367576">
        <w:rPr>
          <w:b/>
          <w:lang w:val="en-GB"/>
        </w:rPr>
        <w:t xml:space="preserve"> – Children with disabilities</w:t>
      </w:r>
    </w:p>
    <w:p w:rsidR="00272ED5" w:rsidRDefault="00350A19">
      <w:pPr>
        <w:rPr>
          <w:lang w:val="en-GB"/>
        </w:rPr>
      </w:pPr>
      <w:r>
        <w:rPr>
          <w:lang w:val="en-GB"/>
        </w:rPr>
        <w:t>As pointed out before</w:t>
      </w:r>
      <w:r w:rsidR="00867BD4">
        <w:rPr>
          <w:lang w:val="en-GB"/>
        </w:rPr>
        <w:t xml:space="preserve">, the lives of children </w:t>
      </w:r>
      <w:r w:rsidR="00DF7D27">
        <w:rPr>
          <w:lang w:val="en-GB"/>
        </w:rPr>
        <w:t>(</w:t>
      </w:r>
      <w:r w:rsidR="009E3339">
        <w:rPr>
          <w:lang w:val="en-GB"/>
        </w:rPr>
        <w:t>born</w:t>
      </w:r>
      <w:r w:rsidR="00DF7D27">
        <w:rPr>
          <w:lang w:val="en-GB"/>
        </w:rPr>
        <w:t>)</w:t>
      </w:r>
      <w:r w:rsidR="009E3339">
        <w:rPr>
          <w:lang w:val="en-GB"/>
        </w:rPr>
        <w:t xml:space="preserve"> </w:t>
      </w:r>
      <w:r w:rsidR="00867BD4">
        <w:rPr>
          <w:lang w:val="en-GB"/>
        </w:rPr>
        <w:t xml:space="preserve">with disabilities and chronic health conditions are very much at risk, due to various threats. They can be abandoned, abused, </w:t>
      </w:r>
      <w:r w:rsidR="00321E76">
        <w:rPr>
          <w:lang w:val="en-GB"/>
        </w:rPr>
        <w:t>end up in orphanages</w:t>
      </w:r>
      <w:r w:rsidR="00850097">
        <w:rPr>
          <w:lang w:val="en-GB"/>
        </w:rPr>
        <w:t xml:space="preserve">, </w:t>
      </w:r>
      <w:r w:rsidR="00867BD4">
        <w:rPr>
          <w:lang w:val="en-GB"/>
        </w:rPr>
        <w:t xml:space="preserve">left untreated, because of prejudice, superstition, </w:t>
      </w:r>
      <w:r w:rsidR="002A2D44">
        <w:rPr>
          <w:lang w:val="en-GB"/>
        </w:rPr>
        <w:t xml:space="preserve">out-of-date knowledge, </w:t>
      </w:r>
      <w:r w:rsidR="00867BD4">
        <w:rPr>
          <w:lang w:val="en-GB"/>
        </w:rPr>
        <w:t xml:space="preserve">or because their parents are too poor to pay for their treatment, or treatment is not available in the area where they live. </w:t>
      </w:r>
    </w:p>
    <w:p w:rsidR="00867BD4" w:rsidRPr="00272ED5" w:rsidRDefault="00272ED5" w:rsidP="00272ED5">
      <w:pPr>
        <w:pStyle w:val="ListParagraph"/>
        <w:numPr>
          <w:ilvl w:val="0"/>
          <w:numId w:val="1"/>
        </w:numPr>
        <w:rPr>
          <w:lang w:val="en-GB"/>
        </w:rPr>
      </w:pPr>
      <w:r w:rsidRPr="00272ED5">
        <w:rPr>
          <w:lang w:val="en-GB"/>
        </w:rPr>
        <w:t>We recommend that children with disabilities should be included in the list of examples</w:t>
      </w:r>
      <w:r w:rsidR="00295828">
        <w:rPr>
          <w:lang w:val="en-GB"/>
        </w:rPr>
        <w:t xml:space="preserve"> of persons in situation of vulnerability</w:t>
      </w:r>
      <w:r w:rsidR="00974E30">
        <w:rPr>
          <w:lang w:val="en-GB"/>
        </w:rPr>
        <w:t xml:space="preserve"> in §27</w:t>
      </w:r>
      <w:r w:rsidR="000C78C3">
        <w:rPr>
          <w:lang w:val="en-GB"/>
        </w:rPr>
        <w:t xml:space="preserve">, and mentioned specifically in </w:t>
      </w:r>
      <w:r w:rsidR="000C78C3" w:rsidRPr="000C78C3">
        <w:rPr>
          <w:b/>
          <w:lang w:val="en-GB"/>
        </w:rPr>
        <w:t>§63</w:t>
      </w:r>
      <w:r w:rsidR="00974E30">
        <w:rPr>
          <w:lang w:val="en-GB"/>
        </w:rPr>
        <w:t>.</w:t>
      </w:r>
    </w:p>
    <w:p w:rsidR="00520FE2" w:rsidRDefault="00867BD4">
      <w:pPr>
        <w:rPr>
          <w:lang w:val="en-GB"/>
        </w:rPr>
      </w:pPr>
      <w:r w:rsidRPr="008140D2">
        <w:rPr>
          <w:b/>
          <w:lang w:val="en-GB"/>
        </w:rPr>
        <w:lastRenderedPageBreak/>
        <w:t>§63</w:t>
      </w:r>
      <w:r w:rsidR="000C78C3">
        <w:rPr>
          <w:lang w:val="en-GB"/>
        </w:rPr>
        <w:t xml:space="preserve"> of the Draft General Comment states that </w:t>
      </w:r>
      <w:r>
        <w:rPr>
          <w:lang w:val="en-GB"/>
        </w:rPr>
        <w:t xml:space="preserve">special measures designed to protect the life of </w:t>
      </w:r>
      <w:r w:rsidRPr="00842B13">
        <w:rPr>
          <w:i/>
          <w:lang w:val="en-GB"/>
        </w:rPr>
        <w:t>every</w:t>
      </w:r>
      <w:r>
        <w:rPr>
          <w:lang w:val="en-GB"/>
        </w:rPr>
        <w:t xml:space="preserve"> child </w:t>
      </w:r>
      <w:proofErr w:type="gramStart"/>
      <w:r>
        <w:rPr>
          <w:lang w:val="en-GB"/>
        </w:rPr>
        <w:t>should be adopted</w:t>
      </w:r>
      <w:proofErr w:type="gramEnd"/>
      <w:r>
        <w:rPr>
          <w:lang w:val="en-GB"/>
        </w:rPr>
        <w:t xml:space="preserve">. </w:t>
      </w:r>
    </w:p>
    <w:p w:rsidR="00E1490D" w:rsidRDefault="00466C2B">
      <w:pPr>
        <w:rPr>
          <w:lang w:val="en-GB"/>
        </w:rPr>
      </w:pPr>
      <w:r>
        <w:rPr>
          <w:lang w:val="en-GB"/>
        </w:rPr>
        <w:t xml:space="preserve">We </w:t>
      </w:r>
      <w:r w:rsidR="00573516">
        <w:rPr>
          <w:lang w:val="en-GB"/>
        </w:rPr>
        <w:t xml:space="preserve">therefore </w:t>
      </w:r>
      <w:r>
        <w:rPr>
          <w:lang w:val="en-GB"/>
        </w:rPr>
        <w:t>recognise the importance of</w:t>
      </w:r>
      <w:r w:rsidR="006A2F1A">
        <w:rPr>
          <w:lang w:val="en-GB"/>
        </w:rPr>
        <w:t xml:space="preserve"> Article 24, paragraph 2 of the Covenant,</w:t>
      </w:r>
      <w:r w:rsidR="001260EE">
        <w:rPr>
          <w:lang w:val="en-GB"/>
        </w:rPr>
        <w:t xml:space="preserve"> which </w:t>
      </w:r>
      <w:proofErr w:type="gramStart"/>
      <w:r w:rsidR="001260EE">
        <w:rPr>
          <w:lang w:val="en-GB"/>
        </w:rPr>
        <w:t>states that</w:t>
      </w:r>
      <w:proofErr w:type="gramEnd"/>
      <w:r w:rsidR="006A2F1A">
        <w:rPr>
          <w:lang w:val="en-GB"/>
        </w:rPr>
        <w:t xml:space="preserve"> “</w:t>
      </w:r>
      <w:r w:rsidR="006A2F1A" w:rsidRPr="006A2F1A">
        <w:rPr>
          <w:lang w:val="en-GB"/>
        </w:rPr>
        <w:t>Every child shall be registered immediately after birth and shall have a name.</w:t>
      </w:r>
      <w:r w:rsidR="006A2F1A">
        <w:rPr>
          <w:lang w:val="en-GB"/>
        </w:rPr>
        <w:t>”</w:t>
      </w:r>
      <w:r w:rsidR="00286A3B">
        <w:rPr>
          <w:lang w:val="en-GB"/>
        </w:rPr>
        <w:t xml:space="preserve"> This is in line with Sustainable Development Goal 16, target 9</w:t>
      </w:r>
      <w:r w:rsidR="00586589">
        <w:rPr>
          <w:rStyle w:val="FootnoteReference"/>
          <w:lang w:val="en-GB"/>
        </w:rPr>
        <w:footnoteReference w:id="3"/>
      </w:r>
      <w:r w:rsidR="00286A3B">
        <w:rPr>
          <w:lang w:val="en-GB"/>
        </w:rPr>
        <w:t>,</w:t>
      </w:r>
      <w:r w:rsidR="0041706B">
        <w:rPr>
          <w:lang w:val="en-GB"/>
        </w:rPr>
        <w:t xml:space="preserve"> and Article 18, paragraph 2, of the Convention on the Rights of Persons with Disabilities</w:t>
      </w:r>
      <w:r w:rsidR="00586589">
        <w:rPr>
          <w:rStyle w:val="FootnoteReference"/>
          <w:lang w:val="en-GB"/>
        </w:rPr>
        <w:footnoteReference w:id="4"/>
      </w:r>
      <w:r w:rsidR="009173A1">
        <w:rPr>
          <w:lang w:val="en-GB"/>
        </w:rPr>
        <w:t xml:space="preserve"> (CRPD)</w:t>
      </w:r>
      <w:r w:rsidR="00586589">
        <w:rPr>
          <w:lang w:val="en-GB"/>
        </w:rPr>
        <w:t>.</w:t>
      </w:r>
    </w:p>
    <w:p w:rsidR="006A2F1A" w:rsidRPr="00E1490D" w:rsidRDefault="00A32F1B" w:rsidP="00E1490D">
      <w:pPr>
        <w:rPr>
          <w:lang w:val="en-GB"/>
        </w:rPr>
      </w:pPr>
      <w:r>
        <w:rPr>
          <w:lang w:val="en-GB"/>
        </w:rPr>
        <w:t>Registration at birth is a</w:t>
      </w:r>
      <w:r w:rsidR="006A2F1A">
        <w:rPr>
          <w:lang w:val="en-GB"/>
        </w:rPr>
        <w:t xml:space="preserve"> first step in ensuring a child’s survival</w:t>
      </w:r>
      <w:r w:rsidR="00286A3B">
        <w:rPr>
          <w:lang w:val="en-GB"/>
        </w:rPr>
        <w:t>, in particular for children with disabilities</w:t>
      </w:r>
      <w:r w:rsidR="006A2F1A">
        <w:rPr>
          <w:lang w:val="en-GB"/>
        </w:rPr>
        <w:t>.</w:t>
      </w:r>
      <w:r w:rsidR="00286A3B">
        <w:rPr>
          <w:lang w:val="en-GB"/>
        </w:rPr>
        <w:t xml:space="preserve"> </w:t>
      </w:r>
      <w:r w:rsidR="00F23E00" w:rsidRPr="00E1490D">
        <w:rPr>
          <w:lang w:val="en-GB"/>
        </w:rPr>
        <w:t xml:space="preserve">Correct data </w:t>
      </w:r>
      <w:proofErr w:type="gramStart"/>
      <w:r w:rsidR="00F23E00" w:rsidRPr="00E1490D">
        <w:rPr>
          <w:lang w:val="en-GB"/>
        </w:rPr>
        <w:t>is needed</w:t>
      </w:r>
      <w:proofErr w:type="gramEnd"/>
      <w:r w:rsidR="00F23E00" w:rsidRPr="00E1490D">
        <w:rPr>
          <w:lang w:val="en-GB"/>
        </w:rPr>
        <w:t xml:space="preserve"> </w:t>
      </w:r>
      <w:r w:rsidR="0041706B" w:rsidRPr="00E1490D">
        <w:rPr>
          <w:lang w:val="en-GB"/>
        </w:rPr>
        <w:t xml:space="preserve">to make </w:t>
      </w:r>
      <w:r w:rsidR="00F23E00" w:rsidRPr="00E1490D">
        <w:rPr>
          <w:lang w:val="en-GB"/>
        </w:rPr>
        <w:t>children</w:t>
      </w:r>
      <w:r w:rsidR="0041706B" w:rsidRPr="00E1490D">
        <w:rPr>
          <w:lang w:val="en-GB"/>
        </w:rPr>
        <w:t xml:space="preserve"> with disabilities</w:t>
      </w:r>
      <w:r w:rsidR="00F23E00" w:rsidRPr="00E1490D">
        <w:rPr>
          <w:lang w:val="en-GB"/>
        </w:rPr>
        <w:t xml:space="preserve"> visible</w:t>
      </w:r>
      <w:r w:rsidR="0041706B" w:rsidRPr="00E1490D">
        <w:rPr>
          <w:lang w:val="en-GB"/>
        </w:rPr>
        <w:t>.</w:t>
      </w:r>
      <w:r w:rsidR="00F23E00" w:rsidRPr="00E1490D">
        <w:rPr>
          <w:lang w:val="en-GB"/>
        </w:rPr>
        <w:t xml:space="preserve"> </w:t>
      </w:r>
      <w:r w:rsidR="0041706B" w:rsidRPr="00E1490D">
        <w:rPr>
          <w:lang w:val="en-GB"/>
        </w:rPr>
        <w:t>C</w:t>
      </w:r>
      <w:r w:rsidR="00F23E00" w:rsidRPr="00E1490D">
        <w:rPr>
          <w:lang w:val="en-GB"/>
        </w:rPr>
        <w:t>ountries</w:t>
      </w:r>
      <w:r w:rsidR="0041706B" w:rsidRPr="00E1490D">
        <w:rPr>
          <w:lang w:val="en-GB"/>
        </w:rPr>
        <w:t xml:space="preserve"> need to acknowledge their existence and </w:t>
      </w:r>
      <w:r w:rsidR="00F23E00" w:rsidRPr="00E1490D">
        <w:rPr>
          <w:lang w:val="en-GB"/>
        </w:rPr>
        <w:t>p</w:t>
      </w:r>
      <w:r w:rsidR="0041706B" w:rsidRPr="00E1490D">
        <w:rPr>
          <w:lang w:val="en-GB"/>
        </w:rPr>
        <w:t>lan for their care and support.</w:t>
      </w:r>
    </w:p>
    <w:p w:rsidR="00712450" w:rsidRDefault="00071434">
      <w:pPr>
        <w:rPr>
          <w:lang w:val="en-GB"/>
        </w:rPr>
      </w:pPr>
      <w:r w:rsidRPr="00071434">
        <w:rPr>
          <w:b/>
          <w:lang w:val="en-GB"/>
        </w:rPr>
        <w:t xml:space="preserve">§28 Persons with </w:t>
      </w:r>
      <w:proofErr w:type="gramStart"/>
      <w:r w:rsidRPr="00071434">
        <w:rPr>
          <w:b/>
          <w:lang w:val="en-GB"/>
        </w:rPr>
        <w:t>disabilities</w:t>
      </w:r>
      <w:r w:rsidR="00367576">
        <w:rPr>
          <w:b/>
          <w:lang w:val="en-GB"/>
        </w:rPr>
        <w:t xml:space="preserve">  -</w:t>
      </w:r>
      <w:proofErr w:type="gramEnd"/>
      <w:r w:rsidR="00367576">
        <w:rPr>
          <w:b/>
          <w:lang w:val="en-GB"/>
        </w:rPr>
        <w:t xml:space="preserve"> Access to healthcare - Institutionalization</w:t>
      </w:r>
    </w:p>
    <w:p w:rsidR="00537969" w:rsidRDefault="0073765F">
      <w:pPr>
        <w:rPr>
          <w:lang w:val="en-GB"/>
        </w:rPr>
      </w:pPr>
      <w:r>
        <w:rPr>
          <w:lang w:val="en-GB"/>
        </w:rPr>
        <w:t>We highly value</w:t>
      </w:r>
      <w:r w:rsidR="0034737B">
        <w:rPr>
          <w:lang w:val="en-GB"/>
        </w:rPr>
        <w:t xml:space="preserve"> §</w:t>
      </w:r>
      <w:r>
        <w:rPr>
          <w:lang w:val="en-GB"/>
        </w:rPr>
        <w:t xml:space="preserve">28, since not only the lives of children with disabilities are at increased risk, but </w:t>
      </w:r>
      <w:r w:rsidR="00487A76">
        <w:rPr>
          <w:lang w:val="en-GB"/>
        </w:rPr>
        <w:t>all persons</w:t>
      </w:r>
      <w:r>
        <w:rPr>
          <w:lang w:val="en-GB"/>
        </w:rPr>
        <w:t xml:space="preserve"> with disabilities</w:t>
      </w:r>
      <w:r w:rsidR="00B23763">
        <w:rPr>
          <w:lang w:val="en-GB"/>
        </w:rPr>
        <w:t xml:space="preserve"> and chronic conditions</w:t>
      </w:r>
      <w:r w:rsidR="00487A76">
        <w:rPr>
          <w:lang w:val="en-GB"/>
        </w:rPr>
        <w:t xml:space="preserve"> can </w:t>
      </w:r>
      <w:r>
        <w:rPr>
          <w:lang w:val="en-GB"/>
        </w:rPr>
        <w:t>face</w:t>
      </w:r>
      <w:r w:rsidR="00B57256">
        <w:rPr>
          <w:lang w:val="en-GB"/>
        </w:rPr>
        <w:t xml:space="preserve"> increased</w:t>
      </w:r>
      <w:r w:rsidR="004A100E">
        <w:rPr>
          <w:lang w:val="en-GB"/>
        </w:rPr>
        <w:t xml:space="preserve"> threats to their survival</w:t>
      </w:r>
      <w:r>
        <w:rPr>
          <w:lang w:val="en-GB"/>
        </w:rPr>
        <w:t>, for</w:t>
      </w:r>
      <w:r w:rsidR="00B23763">
        <w:rPr>
          <w:lang w:val="en-GB"/>
        </w:rPr>
        <w:t xml:space="preserve"> similar reasons</w:t>
      </w:r>
      <w:r w:rsidR="00AB7D64">
        <w:rPr>
          <w:lang w:val="en-GB"/>
        </w:rPr>
        <w:t xml:space="preserve"> (stigma, prejudice, poverty</w:t>
      </w:r>
      <w:r w:rsidR="00141290">
        <w:rPr>
          <w:lang w:val="en-GB"/>
        </w:rPr>
        <w:t>, etc.</w:t>
      </w:r>
      <w:r w:rsidR="00AB7D64">
        <w:rPr>
          <w:lang w:val="en-GB"/>
        </w:rPr>
        <w:t>)</w:t>
      </w:r>
      <w:r w:rsidR="00B23763">
        <w:rPr>
          <w:lang w:val="en-GB"/>
        </w:rPr>
        <w:t xml:space="preserve">. </w:t>
      </w:r>
      <w:r w:rsidR="00E8470C">
        <w:rPr>
          <w:lang w:val="en-GB"/>
        </w:rPr>
        <w:t>They too can be</w:t>
      </w:r>
      <w:r w:rsidR="00537969">
        <w:rPr>
          <w:lang w:val="en-GB"/>
        </w:rPr>
        <w:t xml:space="preserve"> persons in situations of vulnerability.</w:t>
      </w:r>
    </w:p>
    <w:p w:rsidR="00071434" w:rsidRDefault="00487A76">
      <w:pPr>
        <w:rPr>
          <w:lang w:val="en-GB"/>
        </w:rPr>
      </w:pPr>
      <w:r>
        <w:rPr>
          <w:lang w:val="en-GB"/>
        </w:rPr>
        <w:t xml:space="preserve">Lack of access to essential goods and services, in particular in the areas of health and rehabilitation, can cause </w:t>
      </w:r>
      <w:r w:rsidR="00DF5371">
        <w:rPr>
          <w:lang w:val="en-GB"/>
        </w:rPr>
        <w:t>additional</w:t>
      </w:r>
      <w:r w:rsidR="00E0026A">
        <w:rPr>
          <w:lang w:val="en-GB"/>
        </w:rPr>
        <w:t>, life-threatening,</w:t>
      </w:r>
      <w:r>
        <w:rPr>
          <w:lang w:val="en-GB"/>
        </w:rPr>
        <w:t xml:space="preserve"> </w:t>
      </w:r>
      <w:r w:rsidR="00B57256">
        <w:rPr>
          <w:lang w:val="en-GB"/>
        </w:rPr>
        <w:t>situations.</w:t>
      </w:r>
      <w:r w:rsidR="00E0026A">
        <w:rPr>
          <w:lang w:val="en-GB"/>
        </w:rPr>
        <w:t xml:space="preserve"> For instance, in the case of persons with Spina Bifida, </w:t>
      </w:r>
      <w:r w:rsidR="00B57256">
        <w:rPr>
          <w:lang w:val="en-GB"/>
        </w:rPr>
        <w:t>adequate continence care, including access to urinary catheters,</w:t>
      </w:r>
      <w:r w:rsidR="00E0026A">
        <w:rPr>
          <w:lang w:val="en-GB"/>
        </w:rPr>
        <w:t xml:space="preserve"> is essential</w:t>
      </w:r>
      <w:r w:rsidR="00B57256">
        <w:rPr>
          <w:lang w:val="en-GB"/>
        </w:rPr>
        <w:t xml:space="preserve"> to prevent kidney failure, and a</w:t>
      </w:r>
      <w:r w:rsidR="00307176">
        <w:rPr>
          <w:lang w:val="en-GB"/>
        </w:rPr>
        <w:t>s mentioned earlier</w:t>
      </w:r>
      <w:r w:rsidR="00E0026A">
        <w:rPr>
          <w:lang w:val="en-GB"/>
        </w:rPr>
        <w:t>, the non-treatment of Hydrocephalus</w:t>
      </w:r>
      <w:r w:rsidR="00B57256">
        <w:rPr>
          <w:lang w:val="en-GB"/>
        </w:rPr>
        <w:t>, not having access to a shunt and neurosurgical care,</w:t>
      </w:r>
      <w:r w:rsidR="00E0026A">
        <w:rPr>
          <w:lang w:val="en-GB"/>
        </w:rPr>
        <w:t xml:space="preserve"> will </w:t>
      </w:r>
      <w:r w:rsidR="00C10660">
        <w:rPr>
          <w:lang w:val="en-GB"/>
        </w:rPr>
        <w:t xml:space="preserve">eventually </w:t>
      </w:r>
      <w:r w:rsidR="008F4FB6">
        <w:rPr>
          <w:lang w:val="en-GB"/>
        </w:rPr>
        <w:t>become fatal. However,</w:t>
      </w:r>
      <w:r w:rsidR="009418FB">
        <w:rPr>
          <w:lang w:val="en-GB"/>
        </w:rPr>
        <w:t xml:space="preserve"> it can take many months of suffering, and a life without </w:t>
      </w:r>
      <w:r w:rsidR="00E04077">
        <w:rPr>
          <w:lang w:val="en-GB"/>
        </w:rPr>
        <w:t xml:space="preserve">any </w:t>
      </w:r>
      <w:r w:rsidR="009418FB">
        <w:rPr>
          <w:lang w:val="en-GB"/>
        </w:rPr>
        <w:t>dignity, before death occurs.</w:t>
      </w:r>
    </w:p>
    <w:p w:rsidR="00132353" w:rsidRDefault="00487A76">
      <w:pPr>
        <w:rPr>
          <w:lang w:val="en-GB"/>
        </w:rPr>
      </w:pPr>
      <w:r>
        <w:rPr>
          <w:lang w:val="en-GB"/>
        </w:rPr>
        <w:t>In addition, inadequate social protection and discriminatory a</w:t>
      </w:r>
      <w:r w:rsidR="00321E76">
        <w:rPr>
          <w:lang w:val="en-GB"/>
        </w:rPr>
        <w:t xml:space="preserve">ttitudes towards </w:t>
      </w:r>
      <w:r>
        <w:rPr>
          <w:lang w:val="en-GB"/>
        </w:rPr>
        <w:t>adults with disabilities can lead to th</w:t>
      </w:r>
      <w:r w:rsidR="00321E76">
        <w:rPr>
          <w:lang w:val="en-GB"/>
        </w:rPr>
        <w:t xml:space="preserve">eir placement in </w:t>
      </w:r>
      <w:r>
        <w:rPr>
          <w:lang w:val="en-GB"/>
        </w:rPr>
        <w:t>ins</w:t>
      </w:r>
      <w:r w:rsidR="009C0C57">
        <w:rPr>
          <w:lang w:val="en-GB"/>
        </w:rPr>
        <w:t xml:space="preserve">titutions, </w:t>
      </w:r>
      <w:r w:rsidR="00FF16C5">
        <w:rPr>
          <w:lang w:val="en-GB"/>
        </w:rPr>
        <w:t>where</w:t>
      </w:r>
      <w:r w:rsidR="007E3618">
        <w:rPr>
          <w:lang w:val="en-GB"/>
        </w:rPr>
        <w:t xml:space="preserve"> they </w:t>
      </w:r>
      <w:proofErr w:type="gramStart"/>
      <w:r w:rsidR="007E3618">
        <w:rPr>
          <w:lang w:val="en-GB"/>
        </w:rPr>
        <w:t>may be</w:t>
      </w:r>
      <w:r w:rsidR="00DC00E8">
        <w:rPr>
          <w:lang w:val="en-GB"/>
        </w:rPr>
        <w:t xml:space="preserve"> </w:t>
      </w:r>
      <w:r w:rsidR="009C0C57" w:rsidRPr="009C0C57">
        <w:rPr>
          <w:lang w:val="en-GB"/>
        </w:rPr>
        <w:t>regarded</w:t>
      </w:r>
      <w:proofErr w:type="gramEnd"/>
      <w:r w:rsidR="009C0C57" w:rsidRPr="009C0C57">
        <w:rPr>
          <w:lang w:val="en-GB"/>
        </w:rPr>
        <w:t xml:space="preserve"> as legally incompetent because of their disability.</w:t>
      </w:r>
      <w:r w:rsidR="00614CBF">
        <w:rPr>
          <w:lang w:val="en-GB"/>
        </w:rPr>
        <w:t xml:space="preserve"> </w:t>
      </w:r>
      <w:r w:rsidR="009355FD">
        <w:rPr>
          <w:lang w:val="en-GB"/>
        </w:rPr>
        <w:t>This could become</w:t>
      </w:r>
      <w:r w:rsidR="00537969">
        <w:rPr>
          <w:lang w:val="en-GB"/>
        </w:rPr>
        <w:t xml:space="preserve"> an issue with regard to “protective custody”, with free and informed consent, as mentioned in </w:t>
      </w:r>
      <w:r w:rsidR="00537969" w:rsidRPr="00537969">
        <w:rPr>
          <w:b/>
          <w:lang w:val="en-GB"/>
        </w:rPr>
        <w:t>§27</w:t>
      </w:r>
      <w:r w:rsidR="00537969">
        <w:rPr>
          <w:lang w:val="en-GB"/>
        </w:rPr>
        <w:t>.</w:t>
      </w:r>
    </w:p>
    <w:p w:rsidR="00487A76" w:rsidRDefault="00614CBF">
      <w:pPr>
        <w:rPr>
          <w:lang w:val="en-GB"/>
        </w:rPr>
      </w:pPr>
      <w:r>
        <w:rPr>
          <w:lang w:val="en-GB"/>
        </w:rPr>
        <w:t>According to the</w:t>
      </w:r>
      <w:r w:rsidR="00C06A41">
        <w:rPr>
          <w:lang w:val="en-GB"/>
        </w:rPr>
        <w:t xml:space="preserve"> World Report on </w:t>
      </w:r>
      <w:proofErr w:type="gramStart"/>
      <w:r w:rsidR="00C06A41">
        <w:rPr>
          <w:lang w:val="en-GB"/>
        </w:rPr>
        <w:t>Disability</w:t>
      </w:r>
      <w:proofErr w:type="gramEnd"/>
      <w:r w:rsidR="00E478B4">
        <w:rPr>
          <w:rStyle w:val="FootnoteReference"/>
          <w:lang w:val="en-GB"/>
        </w:rPr>
        <w:footnoteReference w:id="5"/>
      </w:r>
      <w:r w:rsidR="00C06A41">
        <w:rPr>
          <w:lang w:val="en-GB"/>
        </w:rPr>
        <w:t xml:space="preserve"> “p</w:t>
      </w:r>
      <w:r w:rsidR="00C06A41" w:rsidRPr="00C06A41">
        <w:rPr>
          <w:lang w:val="en-GB"/>
        </w:rPr>
        <w:t>eople with disabilities are at greater risk of violence than those without disabilities</w:t>
      </w:r>
      <w:r w:rsidR="00C06A41">
        <w:rPr>
          <w:lang w:val="en-GB"/>
        </w:rPr>
        <w:t>”</w:t>
      </w:r>
      <w:r w:rsidR="00C06A41" w:rsidRPr="00C06A41">
        <w:rPr>
          <w:lang w:val="en-GB"/>
        </w:rPr>
        <w:t>.</w:t>
      </w:r>
      <w:r w:rsidR="00C06A41">
        <w:rPr>
          <w:lang w:val="en-GB"/>
        </w:rPr>
        <w:t xml:space="preserve"> </w:t>
      </w:r>
      <w:r>
        <w:rPr>
          <w:lang w:val="en-GB"/>
        </w:rPr>
        <w:t xml:space="preserve">This applies in particular in an </w:t>
      </w:r>
      <w:r w:rsidR="00C06A41">
        <w:rPr>
          <w:lang w:val="en-GB"/>
        </w:rPr>
        <w:t>institutional setting.</w:t>
      </w:r>
      <w:r>
        <w:rPr>
          <w:lang w:val="en-GB"/>
        </w:rPr>
        <w:t xml:space="preserve"> </w:t>
      </w:r>
      <w:r w:rsidR="00CE6AAB">
        <w:rPr>
          <w:lang w:val="en-GB"/>
        </w:rPr>
        <w:t xml:space="preserve">In this regard we also refer to </w:t>
      </w:r>
      <w:r w:rsidR="00CE6AAB" w:rsidRPr="00CE6AAB">
        <w:rPr>
          <w:b/>
          <w:lang w:val="en-GB"/>
        </w:rPr>
        <w:t xml:space="preserve">§58 </w:t>
      </w:r>
      <w:r w:rsidR="001357D3">
        <w:rPr>
          <w:lang w:val="en-GB"/>
        </w:rPr>
        <w:t>of the Draft General Comment</w:t>
      </w:r>
      <w:r w:rsidR="00CE6AAB">
        <w:rPr>
          <w:lang w:val="en-GB"/>
        </w:rPr>
        <w:t>, which addresses torture and ill-treatment</w:t>
      </w:r>
      <w:r w:rsidR="00743581">
        <w:rPr>
          <w:lang w:val="en-GB"/>
        </w:rPr>
        <w:t xml:space="preserve">, and </w:t>
      </w:r>
      <w:r w:rsidR="00743581" w:rsidRPr="00743581">
        <w:rPr>
          <w:b/>
          <w:lang w:val="en-GB"/>
        </w:rPr>
        <w:t>§61</w:t>
      </w:r>
      <w:r w:rsidR="00743581">
        <w:rPr>
          <w:lang w:val="en-GB"/>
        </w:rPr>
        <w:t xml:space="preserve"> on arbitrary detention</w:t>
      </w:r>
      <w:r w:rsidR="00CE6AAB">
        <w:rPr>
          <w:lang w:val="en-GB"/>
        </w:rPr>
        <w:t>.</w:t>
      </w:r>
      <w:r w:rsidR="00743581">
        <w:rPr>
          <w:lang w:val="en-GB"/>
        </w:rPr>
        <w:t xml:space="preserve"> It is important to take into account that</w:t>
      </w:r>
      <w:r w:rsidR="00BA66A0">
        <w:rPr>
          <w:lang w:val="en-GB"/>
        </w:rPr>
        <w:t xml:space="preserve"> - forced - </w:t>
      </w:r>
      <w:r w:rsidR="00743581">
        <w:rPr>
          <w:lang w:val="en-GB"/>
        </w:rPr>
        <w:t>institutionalization of persons with disabilities i</w:t>
      </w:r>
      <w:r w:rsidR="00D67738">
        <w:rPr>
          <w:lang w:val="en-GB"/>
        </w:rPr>
        <w:t xml:space="preserve">s a form of detention without </w:t>
      </w:r>
      <w:r w:rsidR="00743581">
        <w:rPr>
          <w:lang w:val="en-GB"/>
        </w:rPr>
        <w:t>criminal charges.</w:t>
      </w:r>
      <w:r w:rsidR="004F112E">
        <w:rPr>
          <w:lang w:val="en-GB"/>
        </w:rPr>
        <w:t xml:space="preserve"> </w:t>
      </w:r>
    </w:p>
    <w:p w:rsidR="00141290" w:rsidRDefault="00141290">
      <w:pPr>
        <w:rPr>
          <w:lang w:val="en-GB"/>
        </w:rPr>
      </w:pPr>
      <w:r>
        <w:rPr>
          <w:lang w:val="en-GB"/>
        </w:rPr>
        <w:t>“Reasonable accommodation of public policies” is not enough to protect the lives of persons with disabilities. Access to appropriate healthcare and adequate social services</w:t>
      </w:r>
      <w:r w:rsidR="004F112E">
        <w:rPr>
          <w:lang w:val="en-GB"/>
        </w:rPr>
        <w:t>, and living independently</w:t>
      </w:r>
      <w:proofErr w:type="gramStart"/>
      <w:r w:rsidR="004F112E">
        <w:rPr>
          <w:lang w:val="en-GB"/>
        </w:rPr>
        <w:t xml:space="preserve">, </w:t>
      </w:r>
      <w:r>
        <w:rPr>
          <w:lang w:val="en-GB"/>
        </w:rPr>
        <w:t xml:space="preserve"> are</w:t>
      </w:r>
      <w:proofErr w:type="gramEnd"/>
      <w:r w:rsidR="00E20F74">
        <w:rPr>
          <w:lang w:val="en-GB"/>
        </w:rPr>
        <w:t xml:space="preserve"> basic</w:t>
      </w:r>
      <w:r>
        <w:rPr>
          <w:lang w:val="en-GB"/>
        </w:rPr>
        <w:t xml:space="preserve"> human rights and key to the survival of persons with disabilities.</w:t>
      </w:r>
    </w:p>
    <w:p w:rsidR="00487A76" w:rsidRDefault="00B57256" w:rsidP="00B57256">
      <w:pPr>
        <w:pStyle w:val="ListParagraph"/>
        <w:numPr>
          <w:ilvl w:val="0"/>
          <w:numId w:val="1"/>
        </w:numPr>
        <w:rPr>
          <w:lang w:val="en-GB"/>
        </w:rPr>
      </w:pPr>
      <w:r>
        <w:rPr>
          <w:lang w:val="en-GB"/>
        </w:rPr>
        <w:t xml:space="preserve">We recommend that special measures of protection </w:t>
      </w:r>
      <w:r w:rsidR="009173A1">
        <w:rPr>
          <w:lang w:val="en-GB"/>
        </w:rPr>
        <w:t xml:space="preserve">for persons with disabilities are in line with Article 25, Health, of the CRPD, such as </w:t>
      </w:r>
      <w:r w:rsidR="00DD483B">
        <w:rPr>
          <w:lang w:val="en-GB"/>
        </w:rPr>
        <w:t>“</w:t>
      </w:r>
      <w:r>
        <w:rPr>
          <w:lang w:val="en-GB"/>
        </w:rPr>
        <w:t>ensur</w:t>
      </w:r>
      <w:r w:rsidR="009173A1">
        <w:rPr>
          <w:lang w:val="en-GB"/>
        </w:rPr>
        <w:t>ing</w:t>
      </w:r>
      <w:r>
        <w:rPr>
          <w:lang w:val="en-GB"/>
        </w:rPr>
        <w:t xml:space="preserve"> </w:t>
      </w:r>
      <w:r w:rsidRPr="002864DB">
        <w:rPr>
          <w:lang w:val="en-GB"/>
        </w:rPr>
        <w:t>access for persons with disabilities to health services that are gender-sensitive, including health-related rehabilitation</w:t>
      </w:r>
      <w:r>
        <w:rPr>
          <w:lang w:val="en-GB"/>
        </w:rPr>
        <w:t xml:space="preserve">, </w:t>
      </w:r>
      <w:r w:rsidR="009173A1">
        <w:rPr>
          <w:lang w:val="en-GB"/>
        </w:rPr>
        <w:t xml:space="preserve">and </w:t>
      </w:r>
      <w:r w:rsidR="009173A1">
        <w:rPr>
          <w:lang w:val="en-GB"/>
        </w:rPr>
        <w:lastRenderedPageBreak/>
        <w:t>providing these services</w:t>
      </w:r>
      <w:r>
        <w:rPr>
          <w:lang w:val="en-GB"/>
        </w:rPr>
        <w:t xml:space="preserve"> </w:t>
      </w:r>
      <w:r w:rsidRPr="002864DB">
        <w:rPr>
          <w:lang w:val="en-GB"/>
        </w:rPr>
        <w:t>as close as possible to people’s own communities, including in rural areas</w:t>
      </w:r>
      <w:r w:rsidR="009173A1">
        <w:rPr>
          <w:lang w:val="en-GB"/>
        </w:rPr>
        <w:t>”;</w:t>
      </w:r>
    </w:p>
    <w:p w:rsidR="00B57256" w:rsidRDefault="009173A1" w:rsidP="00B57256">
      <w:pPr>
        <w:pStyle w:val="ListParagraph"/>
        <w:numPr>
          <w:ilvl w:val="0"/>
          <w:numId w:val="1"/>
        </w:numPr>
        <w:rPr>
          <w:lang w:val="en-GB"/>
        </w:rPr>
      </w:pPr>
      <w:proofErr w:type="gramStart"/>
      <w:r>
        <w:rPr>
          <w:lang w:val="en-GB"/>
        </w:rPr>
        <w:t>as</w:t>
      </w:r>
      <w:proofErr w:type="gramEnd"/>
      <w:r>
        <w:rPr>
          <w:lang w:val="en-GB"/>
        </w:rPr>
        <w:t xml:space="preserve"> well as</w:t>
      </w:r>
      <w:r w:rsidR="00B57256">
        <w:rPr>
          <w:lang w:val="en-GB"/>
        </w:rPr>
        <w:t xml:space="preserve">, </w:t>
      </w:r>
      <w:r w:rsidR="00DD483B">
        <w:rPr>
          <w:lang w:val="en-GB"/>
        </w:rPr>
        <w:t>“</w:t>
      </w:r>
      <w:r w:rsidR="00B57256">
        <w:rPr>
          <w:lang w:val="en-GB"/>
        </w:rPr>
        <w:t>p</w:t>
      </w:r>
      <w:r w:rsidR="00B57256" w:rsidRPr="002864DB">
        <w:rPr>
          <w:lang w:val="en-GB"/>
        </w:rPr>
        <w:t>revent</w:t>
      </w:r>
      <w:r>
        <w:rPr>
          <w:lang w:val="en-GB"/>
        </w:rPr>
        <w:t>ing</w:t>
      </w:r>
      <w:r w:rsidR="00B57256" w:rsidRPr="002864DB">
        <w:rPr>
          <w:lang w:val="en-GB"/>
        </w:rPr>
        <w:t xml:space="preserve"> </w:t>
      </w:r>
      <w:r w:rsidR="00E168D9">
        <w:rPr>
          <w:lang w:val="en-GB"/>
        </w:rPr>
        <w:t>discriminatory denial of health</w:t>
      </w:r>
      <w:r w:rsidR="00B57256" w:rsidRPr="002864DB">
        <w:rPr>
          <w:lang w:val="en-GB"/>
        </w:rPr>
        <w:t>care or health services or food and fluids on the basis of disability</w:t>
      </w:r>
      <w:r w:rsidR="00DD483B">
        <w:rPr>
          <w:lang w:val="en-GB"/>
        </w:rPr>
        <w:t>”.</w:t>
      </w:r>
      <w:r w:rsidR="008629DA">
        <w:rPr>
          <w:lang w:val="en-GB"/>
        </w:rPr>
        <w:t xml:space="preserve"> While </w:t>
      </w:r>
      <w:r w:rsidR="008629DA" w:rsidRPr="008629DA">
        <w:rPr>
          <w:b/>
          <w:lang w:val="en-GB"/>
        </w:rPr>
        <w:t>§64</w:t>
      </w:r>
      <w:r w:rsidR="008629DA">
        <w:rPr>
          <w:lang w:val="en-GB"/>
        </w:rPr>
        <w:t xml:space="preserve"> mentions legal protection and </w:t>
      </w:r>
      <w:r w:rsidR="008629DA" w:rsidRPr="008629DA">
        <w:rPr>
          <w:lang w:val="en-GB"/>
        </w:rPr>
        <w:t>effective guarantees against all forms of discrimination</w:t>
      </w:r>
      <w:r w:rsidR="008629DA">
        <w:rPr>
          <w:lang w:val="en-GB"/>
        </w:rPr>
        <w:t>, knowing that these life-threatening practices still exist, this measure of protection should be included.</w:t>
      </w:r>
    </w:p>
    <w:p w:rsidR="000C4B31" w:rsidRDefault="00DD483B" w:rsidP="00B57256">
      <w:pPr>
        <w:pStyle w:val="ListParagraph"/>
        <w:numPr>
          <w:ilvl w:val="0"/>
          <w:numId w:val="1"/>
        </w:numPr>
        <w:rPr>
          <w:lang w:val="en-GB"/>
        </w:rPr>
      </w:pPr>
      <w:r>
        <w:rPr>
          <w:lang w:val="en-GB"/>
        </w:rPr>
        <w:t>In line with Article 19 of the CRPD, States parties should ensure that “</w:t>
      </w:r>
      <w:r w:rsidRPr="00DD483B">
        <w:rPr>
          <w:lang w:val="en-GB"/>
        </w:rPr>
        <w:t>Persons with disabilities have the opportunity to choose their place of residence and where and with whom they live on an equal basis with others and are not obliged to live in a particular living arrangement</w:t>
      </w:r>
      <w:r>
        <w:rPr>
          <w:lang w:val="en-GB"/>
        </w:rPr>
        <w:t>”.</w:t>
      </w:r>
    </w:p>
    <w:p w:rsidR="006A2F1A" w:rsidRPr="00916D8B" w:rsidRDefault="00916D8B">
      <w:pPr>
        <w:rPr>
          <w:b/>
          <w:lang w:val="en-GB"/>
        </w:rPr>
      </w:pPr>
      <w:r w:rsidRPr="00916D8B">
        <w:rPr>
          <w:b/>
          <w:lang w:val="en-GB"/>
        </w:rPr>
        <w:t>§10 Termination of life</w:t>
      </w:r>
      <w:r>
        <w:rPr>
          <w:b/>
          <w:lang w:val="en-GB"/>
        </w:rPr>
        <w:t xml:space="preserve"> – Persons with disabilities and non-fatal chronic conditions</w:t>
      </w:r>
    </w:p>
    <w:p w:rsidR="006D42A0" w:rsidRDefault="008629DA">
      <w:pPr>
        <w:rPr>
          <w:lang w:val="en-GB"/>
        </w:rPr>
      </w:pPr>
      <w:r>
        <w:rPr>
          <w:lang w:val="en-GB"/>
        </w:rPr>
        <w:t>As stated</w:t>
      </w:r>
      <w:r w:rsidR="00041DCA">
        <w:rPr>
          <w:lang w:val="en-GB"/>
        </w:rPr>
        <w:t xml:space="preserve"> above, stigma, prejudice, out-of-date knowledge and </w:t>
      </w:r>
      <w:r>
        <w:rPr>
          <w:lang w:val="en-GB"/>
        </w:rPr>
        <w:t xml:space="preserve">negative </w:t>
      </w:r>
      <w:r w:rsidR="00041DCA">
        <w:rPr>
          <w:lang w:val="en-GB"/>
        </w:rPr>
        <w:t xml:space="preserve">assumptions can influence people’s perceptions </w:t>
      </w:r>
      <w:r w:rsidR="001C33A9">
        <w:rPr>
          <w:lang w:val="en-GB"/>
        </w:rPr>
        <w:t>with regard to (persons</w:t>
      </w:r>
      <w:r w:rsidR="00041DCA">
        <w:rPr>
          <w:lang w:val="en-GB"/>
        </w:rPr>
        <w:t>) living with a disability</w:t>
      </w:r>
      <w:r w:rsidR="00327798">
        <w:rPr>
          <w:lang w:val="en-GB"/>
        </w:rPr>
        <w:t xml:space="preserve"> and create</w:t>
      </w:r>
      <w:r>
        <w:rPr>
          <w:lang w:val="en-GB"/>
        </w:rPr>
        <w:t xml:space="preserve"> discriminatory</w:t>
      </w:r>
      <w:r w:rsidR="004B7F60">
        <w:rPr>
          <w:lang w:val="en-GB"/>
        </w:rPr>
        <w:t xml:space="preserve"> policy</w:t>
      </w:r>
      <w:r w:rsidR="00041DCA">
        <w:rPr>
          <w:lang w:val="en-GB"/>
        </w:rPr>
        <w:t xml:space="preserve">. </w:t>
      </w:r>
    </w:p>
    <w:p w:rsidR="004B7F60" w:rsidRDefault="004B7F60">
      <w:pPr>
        <w:rPr>
          <w:lang w:val="en-GB"/>
        </w:rPr>
      </w:pPr>
      <w:r>
        <w:rPr>
          <w:lang w:val="en-GB"/>
        </w:rPr>
        <w:t>In 2007, the Netherlands adopted legislation which allows the termination of life of newborns up to 1 year of age with serious, but non-fatal, medical conditions, when they are deemed to suffer unbearably and their prognosis is “hopeless”, based on</w:t>
      </w:r>
      <w:r w:rsidR="00FA4633">
        <w:rPr>
          <w:lang w:val="en-GB"/>
        </w:rPr>
        <w:t xml:space="preserve"> the criteria in</w:t>
      </w:r>
      <w:r>
        <w:rPr>
          <w:lang w:val="en-GB"/>
        </w:rPr>
        <w:t xml:space="preserve"> the so-called Groningen Protocol</w:t>
      </w:r>
      <w:r>
        <w:rPr>
          <w:rStyle w:val="FootnoteReference"/>
          <w:lang w:val="en-GB"/>
        </w:rPr>
        <w:footnoteReference w:id="6"/>
      </w:r>
      <w:r>
        <w:rPr>
          <w:lang w:val="en-GB"/>
        </w:rPr>
        <w:t xml:space="preserve">. This is yet another example where the “expected quality of life” determines the life, or death, of children </w:t>
      </w:r>
      <w:r w:rsidR="00224F04">
        <w:rPr>
          <w:lang w:val="en-GB"/>
        </w:rPr>
        <w:t xml:space="preserve">(born) </w:t>
      </w:r>
      <w:r>
        <w:rPr>
          <w:lang w:val="en-GB"/>
        </w:rPr>
        <w:t>with disabilities and chronic conditions.</w:t>
      </w:r>
    </w:p>
    <w:p w:rsidR="006A2F1A" w:rsidRPr="006D42A0" w:rsidRDefault="006D42A0" w:rsidP="006D42A0">
      <w:pPr>
        <w:pStyle w:val="ListParagraph"/>
        <w:numPr>
          <w:ilvl w:val="0"/>
          <w:numId w:val="3"/>
        </w:numPr>
        <w:rPr>
          <w:lang w:val="en-GB"/>
        </w:rPr>
      </w:pPr>
      <w:r>
        <w:rPr>
          <w:lang w:val="en-GB"/>
        </w:rPr>
        <w:t xml:space="preserve">We recommend that </w:t>
      </w:r>
      <w:r w:rsidR="00041DCA" w:rsidRPr="006D42A0">
        <w:rPr>
          <w:lang w:val="en-GB"/>
        </w:rPr>
        <w:t xml:space="preserve">“Robust legal and </w:t>
      </w:r>
      <w:r w:rsidR="00381669">
        <w:rPr>
          <w:lang w:val="en-GB"/>
        </w:rPr>
        <w:t>institutional safeguards”</w:t>
      </w:r>
      <w:r w:rsidR="00041DCA" w:rsidRPr="006D42A0">
        <w:rPr>
          <w:lang w:val="en-GB"/>
        </w:rPr>
        <w:t xml:space="preserve"> ensure and verify that medical professionals working with persons with disabilities </w:t>
      </w:r>
      <w:proofErr w:type="gramStart"/>
      <w:r w:rsidR="00041DCA" w:rsidRPr="006D42A0">
        <w:rPr>
          <w:lang w:val="en-GB"/>
        </w:rPr>
        <w:t>are trained</w:t>
      </w:r>
      <w:proofErr w:type="gramEnd"/>
      <w:r w:rsidR="00041DCA" w:rsidRPr="006D42A0">
        <w:rPr>
          <w:lang w:val="en-GB"/>
        </w:rPr>
        <w:t xml:space="preserve"> in the rights recognized in the present CRPD</w:t>
      </w:r>
      <w:r w:rsidR="00B7296A">
        <w:rPr>
          <w:lang w:val="en-GB"/>
        </w:rPr>
        <w:t xml:space="preserve"> (according to Article 4 of the CRPD)</w:t>
      </w:r>
      <w:r w:rsidR="00041DCA" w:rsidRPr="006D42A0">
        <w:rPr>
          <w:lang w:val="en-GB"/>
        </w:rPr>
        <w:t>.</w:t>
      </w:r>
    </w:p>
    <w:p w:rsidR="00AB278E" w:rsidRDefault="00AB278E">
      <w:pPr>
        <w:rPr>
          <w:lang w:val="en-GB"/>
        </w:rPr>
      </w:pPr>
      <w:r w:rsidRPr="00AB278E">
        <w:rPr>
          <w:b/>
          <w:lang w:val="en-GB"/>
        </w:rPr>
        <w:t>§30 Duty to protect life</w:t>
      </w:r>
      <w:r>
        <w:rPr>
          <w:b/>
          <w:lang w:val="en-GB"/>
        </w:rPr>
        <w:t xml:space="preserve"> – Fighting stigma</w:t>
      </w:r>
      <w:r w:rsidR="00823230">
        <w:rPr>
          <w:b/>
          <w:lang w:val="en-GB"/>
        </w:rPr>
        <w:t>, prejudice and superstition</w:t>
      </w:r>
      <w:r w:rsidR="007F501F">
        <w:rPr>
          <w:b/>
          <w:lang w:val="en-GB"/>
        </w:rPr>
        <w:t xml:space="preserve"> &amp; medical examinations</w:t>
      </w:r>
    </w:p>
    <w:p w:rsidR="0082010A" w:rsidRDefault="00E043FB" w:rsidP="000B1171">
      <w:pPr>
        <w:rPr>
          <w:lang w:val="en-GB"/>
        </w:rPr>
      </w:pPr>
      <w:r>
        <w:rPr>
          <w:lang w:val="en-GB"/>
        </w:rPr>
        <w:t>S</w:t>
      </w:r>
      <w:r w:rsidR="00823230">
        <w:rPr>
          <w:lang w:val="en-GB"/>
        </w:rPr>
        <w:t>tigma, prejudice and superstition</w:t>
      </w:r>
      <w:r w:rsidR="00DF1976">
        <w:rPr>
          <w:lang w:val="en-GB"/>
        </w:rPr>
        <w:t xml:space="preserve"> remain</w:t>
      </w:r>
      <w:r w:rsidR="000B1171">
        <w:rPr>
          <w:lang w:val="en-GB"/>
        </w:rPr>
        <w:t xml:space="preserve"> major threat</w:t>
      </w:r>
      <w:r w:rsidR="00823230">
        <w:rPr>
          <w:lang w:val="en-GB"/>
        </w:rPr>
        <w:t>s</w:t>
      </w:r>
      <w:r w:rsidR="000B1171">
        <w:rPr>
          <w:lang w:val="en-GB"/>
        </w:rPr>
        <w:t xml:space="preserve"> to th</w:t>
      </w:r>
      <w:r w:rsidR="00AC73EC">
        <w:rPr>
          <w:lang w:val="en-GB"/>
        </w:rPr>
        <w:t>e life and well-being of children and adults</w:t>
      </w:r>
      <w:r w:rsidR="000B1171">
        <w:rPr>
          <w:lang w:val="en-GB"/>
        </w:rPr>
        <w:t xml:space="preserve"> </w:t>
      </w:r>
      <w:r w:rsidR="00FB21E2">
        <w:rPr>
          <w:lang w:val="en-GB"/>
        </w:rPr>
        <w:t xml:space="preserve">(born) </w:t>
      </w:r>
      <w:r w:rsidR="000B1171">
        <w:rPr>
          <w:lang w:val="en-GB"/>
        </w:rPr>
        <w:t>with disabilities and chronic conditions</w:t>
      </w:r>
      <w:r>
        <w:rPr>
          <w:lang w:val="en-GB"/>
        </w:rPr>
        <w:t xml:space="preserve"> and</w:t>
      </w:r>
      <w:r w:rsidR="0082010A">
        <w:rPr>
          <w:lang w:val="en-GB"/>
        </w:rPr>
        <w:t xml:space="preserve"> to</w:t>
      </w:r>
      <w:r>
        <w:rPr>
          <w:lang w:val="en-GB"/>
        </w:rPr>
        <w:t xml:space="preserve"> their entitlement to enjoy a life with dignity</w:t>
      </w:r>
      <w:r w:rsidR="000B1171">
        <w:rPr>
          <w:lang w:val="en-GB"/>
        </w:rPr>
        <w:t>.</w:t>
      </w:r>
      <w:r w:rsidR="00006D9C">
        <w:rPr>
          <w:lang w:val="en-GB"/>
        </w:rPr>
        <w:t xml:space="preserve"> </w:t>
      </w:r>
    </w:p>
    <w:p w:rsidR="00006D9C" w:rsidRDefault="00DE3154" w:rsidP="000B1171">
      <w:pPr>
        <w:rPr>
          <w:lang w:val="en-GB"/>
        </w:rPr>
      </w:pPr>
      <w:r>
        <w:rPr>
          <w:lang w:val="en-GB"/>
        </w:rPr>
        <w:t xml:space="preserve">While some person with disabilities may also have a (chronic) disease, this is by no means true for all. </w:t>
      </w:r>
      <w:r w:rsidR="008A63EE">
        <w:rPr>
          <w:lang w:val="en-GB"/>
        </w:rPr>
        <w:t>The assumption that disabili</w:t>
      </w:r>
      <w:r w:rsidR="004D13BE">
        <w:rPr>
          <w:lang w:val="en-GB"/>
        </w:rPr>
        <w:t>ty and poor health are equal</w:t>
      </w:r>
      <w:r w:rsidR="008A63EE">
        <w:rPr>
          <w:lang w:val="en-GB"/>
        </w:rPr>
        <w:t xml:space="preserve"> is yet another prejudice.</w:t>
      </w:r>
    </w:p>
    <w:p w:rsidR="000B1171" w:rsidRPr="00006D9C" w:rsidRDefault="00006D9C" w:rsidP="00006D9C">
      <w:pPr>
        <w:pStyle w:val="ListParagraph"/>
        <w:numPr>
          <w:ilvl w:val="0"/>
          <w:numId w:val="3"/>
        </w:numPr>
        <w:rPr>
          <w:lang w:val="en-GB"/>
        </w:rPr>
      </w:pPr>
      <w:r>
        <w:rPr>
          <w:lang w:val="en-GB"/>
        </w:rPr>
        <w:t xml:space="preserve">We </w:t>
      </w:r>
      <w:r w:rsidR="00DE3154">
        <w:rPr>
          <w:lang w:val="en-GB"/>
        </w:rPr>
        <w:t xml:space="preserve">therefore </w:t>
      </w:r>
      <w:r w:rsidR="007A19DF">
        <w:rPr>
          <w:lang w:val="en-GB"/>
        </w:rPr>
        <w:t>recommend to edit</w:t>
      </w:r>
      <w:r>
        <w:rPr>
          <w:lang w:val="en-GB"/>
        </w:rPr>
        <w:t xml:space="preserve"> the existing phrase</w:t>
      </w:r>
      <w:r w:rsidR="00C23176">
        <w:rPr>
          <w:lang w:val="en-GB"/>
        </w:rPr>
        <w:t xml:space="preserve"> in §30</w:t>
      </w:r>
      <w:r w:rsidR="00DE3154">
        <w:rPr>
          <w:lang w:val="en-GB"/>
        </w:rPr>
        <w:t xml:space="preserve"> [“States parties should also develop action plans...”</w:t>
      </w:r>
      <w:proofErr w:type="gramStart"/>
      <w:r w:rsidR="00DE3154">
        <w:rPr>
          <w:lang w:val="en-GB"/>
        </w:rPr>
        <w:t>]</w:t>
      </w:r>
      <w:r w:rsidR="00C23176">
        <w:rPr>
          <w:lang w:val="en-GB"/>
        </w:rPr>
        <w:t xml:space="preserve"> </w:t>
      </w:r>
      <w:r>
        <w:rPr>
          <w:lang w:val="en-GB"/>
        </w:rPr>
        <w:t xml:space="preserve"> into</w:t>
      </w:r>
      <w:proofErr w:type="gramEnd"/>
      <w:r w:rsidRPr="00006D9C">
        <w:rPr>
          <w:lang w:val="en-GB"/>
        </w:rPr>
        <w:t xml:space="preserve"> “strategies to fight the stigmatization associated with diseases</w:t>
      </w:r>
      <w:r>
        <w:rPr>
          <w:lang w:val="en-GB"/>
        </w:rPr>
        <w:t xml:space="preserve"> </w:t>
      </w:r>
      <w:r w:rsidRPr="00006D9C">
        <w:rPr>
          <w:u w:val="single"/>
          <w:lang w:val="en-GB"/>
        </w:rPr>
        <w:t>and disabilities</w:t>
      </w:r>
      <w:r>
        <w:rPr>
          <w:lang w:val="en-GB"/>
        </w:rPr>
        <w:t>...”</w:t>
      </w:r>
    </w:p>
    <w:p w:rsidR="0082010A" w:rsidRDefault="00676F30">
      <w:pPr>
        <w:rPr>
          <w:lang w:val="en-GB"/>
        </w:rPr>
      </w:pPr>
      <w:r>
        <w:rPr>
          <w:lang w:val="en-GB"/>
        </w:rPr>
        <w:t xml:space="preserve">Another </w:t>
      </w:r>
      <w:r w:rsidR="00DE3154">
        <w:rPr>
          <w:lang w:val="en-GB"/>
        </w:rPr>
        <w:t>strategy “to address the general conditions in society that may eventually give rise to direct threats to life</w:t>
      </w:r>
      <w:r w:rsidR="0082010A">
        <w:rPr>
          <w:lang w:val="en-GB"/>
        </w:rPr>
        <w:t>...</w:t>
      </w:r>
      <w:r w:rsidR="00DE3154">
        <w:rPr>
          <w:lang w:val="en-GB"/>
        </w:rPr>
        <w:t xml:space="preserve">” would be </w:t>
      </w:r>
      <w:r w:rsidR="00C000E0" w:rsidRPr="009824A1">
        <w:rPr>
          <w:u w:val="single"/>
          <w:lang w:val="en-GB"/>
        </w:rPr>
        <w:t>raising awareness</w:t>
      </w:r>
      <w:r w:rsidR="00C000E0">
        <w:rPr>
          <w:lang w:val="en-GB"/>
        </w:rPr>
        <w:t xml:space="preserve">, in line with Article 8 of the CRPD. </w:t>
      </w:r>
    </w:p>
    <w:p w:rsidR="00AB278E" w:rsidRPr="0082010A" w:rsidRDefault="0082010A" w:rsidP="0082010A">
      <w:pPr>
        <w:pStyle w:val="ListParagraph"/>
        <w:numPr>
          <w:ilvl w:val="0"/>
          <w:numId w:val="3"/>
        </w:numPr>
        <w:rPr>
          <w:lang w:val="en-GB"/>
        </w:rPr>
      </w:pPr>
      <w:r>
        <w:rPr>
          <w:lang w:val="en-GB"/>
        </w:rPr>
        <w:t>We recommend that States parties should</w:t>
      </w:r>
      <w:r w:rsidR="00C000E0" w:rsidRPr="0082010A">
        <w:rPr>
          <w:lang w:val="en-GB"/>
        </w:rPr>
        <w:t xml:space="preserve"> ado</w:t>
      </w:r>
      <w:r>
        <w:rPr>
          <w:lang w:val="en-GB"/>
        </w:rPr>
        <w:t>pt</w:t>
      </w:r>
      <w:r w:rsidR="00C000E0" w:rsidRPr="0082010A">
        <w:rPr>
          <w:lang w:val="en-GB"/>
        </w:rPr>
        <w:t xml:space="preserve"> effective measures “to combat stereotypes, prejudices and harmful practices relating to persons with disabilities, including those based on sex and age, in all areas of life” and </w:t>
      </w:r>
      <w:r>
        <w:rPr>
          <w:lang w:val="en-GB"/>
        </w:rPr>
        <w:t xml:space="preserve">create </w:t>
      </w:r>
      <w:r w:rsidR="00C000E0" w:rsidRPr="0082010A">
        <w:rPr>
          <w:lang w:val="en-GB"/>
        </w:rPr>
        <w:t>public awareness campaigns “designed to nurture receptiveness to the rights of persons with disabilities”.</w:t>
      </w:r>
    </w:p>
    <w:p w:rsidR="002465FC" w:rsidRDefault="004B0316">
      <w:pPr>
        <w:rPr>
          <w:lang w:val="en-GB"/>
        </w:rPr>
      </w:pPr>
      <w:r>
        <w:rPr>
          <w:lang w:val="en-GB"/>
        </w:rPr>
        <w:lastRenderedPageBreak/>
        <w:t xml:space="preserve">States parties should indeed develop </w:t>
      </w:r>
      <w:r w:rsidRPr="004B0316">
        <w:rPr>
          <w:lang w:val="en-GB"/>
        </w:rPr>
        <w:t xml:space="preserve">campaigns </w:t>
      </w:r>
      <w:r w:rsidR="002465FC">
        <w:rPr>
          <w:lang w:val="en-GB"/>
        </w:rPr>
        <w:t>“</w:t>
      </w:r>
      <w:r w:rsidRPr="004B0316">
        <w:rPr>
          <w:lang w:val="en-GB"/>
        </w:rPr>
        <w:t>for improving access to medical examinations and treatments designed to reduce maternal and infant mortality</w:t>
      </w:r>
      <w:r w:rsidR="002465FC">
        <w:rPr>
          <w:lang w:val="en-GB"/>
        </w:rPr>
        <w:t>”</w:t>
      </w:r>
      <w:r>
        <w:rPr>
          <w:lang w:val="en-GB"/>
        </w:rPr>
        <w:t>.</w:t>
      </w:r>
      <w:r w:rsidRPr="004B0316">
        <w:rPr>
          <w:lang w:val="en-GB"/>
        </w:rPr>
        <w:t xml:space="preserve"> </w:t>
      </w:r>
      <w:r w:rsidR="002465FC">
        <w:rPr>
          <w:lang w:val="en-GB"/>
        </w:rPr>
        <w:t>However, we must highlight</w:t>
      </w:r>
      <w:r>
        <w:rPr>
          <w:lang w:val="en-GB"/>
        </w:rPr>
        <w:t xml:space="preserve"> that prenatal medical examinations do in fact contribute to infant mortality, due to the termination of life of </w:t>
      </w:r>
      <w:r w:rsidR="006B2CAC">
        <w:rPr>
          <w:lang w:val="en-GB"/>
        </w:rPr>
        <w:t xml:space="preserve">developing </w:t>
      </w:r>
      <w:r>
        <w:rPr>
          <w:lang w:val="en-GB"/>
        </w:rPr>
        <w:t xml:space="preserve">children with </w:t>
      </w:r>
      <w:r w:rsidR="002465FC">
        <w:rPr>
          <w:lang w:val="en-GB"/>
        </w:rPr>
        <w:t xml:space="preserve">(non-fatal) </w:t>
      </w:r>
      <w:r>
        <w:rPr>
          <w:lang w:val="en-GB"/>
        </w:rPr>
        <w:t>congenital conditions.</w:t>
      </w:r>
      <w:r w:rsidR="0082010A">
        <w:rPr>
          <w:lang w:val="en-GB"/>
        </w:rPr>
        <w:t xml:space="preserve"> </w:t>
      </w:r>
    </w:p>
    <w:p w:rsidR="002562B2" w:rsidRDefault="0082010A">
      <w:pPr>
        <w:rPr>
          <w:lang w:val="en-GB"/>
        </w:rPr>
      </w:pPr>
      <w:r>
        <w:rPr>
          <w:lang w:val="en-GB"/>
        </w:rPr>
        <w:t>For this reason, IF advocates for primary prevention of neural tube defects (NTDs), such as Spina Bifida, through mandatory fortification of flour with Folic Acid and Folic Acid supplementation. Measures to end malnutrition</w:t>
      </w:r>
      <w:r w:rsidR="008A2069">
        <w:rPr>
          <w:lang w:val="en-GB"/>
        </w:rPr>
        <w:t xml:space="preserve"> </w:t>
      </w:r>
      <w:r>
        <w:rPr>
          <w:lang w:val="en-GB"/>
        </w:rPr>
        <w:t>also contribute to the prevention of NTDs</w:t>
      </w:r>
      <w:r w:rsidR="008A2069">
        <w:rPr>
          <w:lang w:val="en-GB"/>
        </w:rPr>
        <w:t xml:space="preserve"> by improving the diet of women of childbearing age</w:t>
      </w:r>
      <w:r>
        <w:rPr>
          <w:lang w:val="en-GB"/>
        </w:rPr>
        <w:t>.</w:t>
      </w:r>
      <w:r w:rsidR="00F73325">
        <w:rPr>
          <w:lang w:val="en-GB"/>
        </w:rPr>
        <w:t xml:space="preserve"> IF also advocates for the prevention of Hydrocephalus, for instance by raising awareness on the importance of reducing the </w:t>
      </w:r>
      <w:r w:rsidR="00120505">
        <w:rPr>
          <w:lang w:val="en-GB"/>
        </w:rPr>
        <w:t>risk of premature birth and neonatal infections, and by promoting a healthy lifestyle</w:t>
      </w:r>
      <w:r w:rsidR="00F73325">
        <w:rPr>
          <w:lang w:val="en-GB"/>
        </w:rPr>
        <w:t>.</w:t>
      </w:r>
    </w:p>
    <w:p w:rsidR="007D245F" w:rsidRDefault="00B654A6">
      <w:pPr>
        <w:rPr>
          <w:lang w:val="en-GB"/>
        </w:rPr>
      </w:pPr>
      <w:r w:rsidRPr="00B654A6">
        <w:rPr>
          <w:b/>
          <w:lang w:val="en-GB"/>
        </w:rPr>
        <w:t>§30 Duty to protect life – Pollution of the environment and §65 Environmental degradation</w:t>
      </w:r>
    </w:p>
    <w:p w:rsidR="00FD6A22" w:rsidRDefault="00553ECF">
      <w:pPr>
        <w:rPr>
          <w:lang w:val="en-GB"/>
        </w:rPr>
      </w:pPr>
      <w:r>
        <w:rPr>
          <w:lang w:val="en-GB"/>
        </w:rPr>
        <w:t>We</w:t>
      </w:r>
      <w:r w:rsidR="00FA75A9">
        <w:rPr>
          <w:lang w:val="en-GB"/>
        </w:rPr>
        <w:t xml:space="preserve"> wholeheartedly</w:t>
      </w:r>
      <w:r>
        <w:rPr>
          <w:lang w:val="en-GB"/>
        </w:rPr>
        <w:t xml:space="preserve"> agree that</w:t>
      </w:r>
      <w:r w:rsidR="00D67738">
        <w:rPr>
          <w:lang w:val="en-GB"/>
        </w:rPr>
        <w:t xml:space="preserve"> it</w:t>
      </w:r>
      <w:r>
        <w:rPr>
          <w:lang w:val="en-GB"/>
        </w:rPr>
        <w:t xml:space="preserve"> is crucial for future generations that the environment </w:t>
      </w:r>
      <w:proofErr w:type="gramStart"/>
      <w:r>
        <w:rPr>
          <w:lang w:val="en-GB"/>
        </w:rPr>
        <w:t>should be protected</w:t>
      </w:r>
      <w:proofErr w:type="gramEnd"/>
      <w:r>
        <w:rPr>
          <w:lang w:val="en-GB"/>
        </w:rPr>
        <w:t xml:space="preserve"> against harm and pollution. I</w:t>
      </w:r>
      <w:r w:rsidR="004019E3">
        <w:rPr>
          <w:lang w:val="en-GB"/>
        </w:rPr>
        <w:t>n particular for pregnant women</w:t>
      </w:r>
      <w:r>
        <w:rPr>
          <w:lang w:val="en-GB"/>
        </w:rPr>
        <w:t xml:space="preserve"> pollution of the environment, whether it is the air,</w:t>
      </w:r>
      <w:r w:rsidR="004019E3">
        <w:rPr>
          <w:lang w:val="en-GB"/>
        </w:rPr>
        <w:t xml:space="preserve"> </w:t>
      </w:r>
      <w:r>
        <w:rPr>
          <w:lang w:val="en-GB"/>
        </w:rPr>
        <w:t>water</w:t>
      </w:r>
      <w:proofErr w:type="gramStart"/>
      <w:r>
        <w:rPr>
          <w:lang w:val="en-GB"/>
        </w:rPr>
        <w:t>,  or</w:t>
      </w:r>
      <w:proofErr w:type="gramEnd"/>
      <w:r>
        <w:rPr>
          <w:lang w:val="en-GB"/>
        </w:rPr>
        <w:t xml:space="preserve"> soil, can have a detrimental effect on their developing child. </w:t>
      </w:r>
      <w:r w:rsidR="004019E3">
        <w:rPr>
          <w:lang w:val="en-GB"/>
        </w:rPr>
        <w:t>This can lead to spontaneous miscarriages, or to prenatal detection followed by termination of pregnancy.</w:t>
      </w:r>
    </w:p>
    <w:p w:rsidR="00F75377" w:rsidRPr="00F75377" w:rsidRDefault="00F75377" w:rsidP="00F75377">
      <w:pPr>
        <w:pStyle w:val="ListParagraph"/>
        <w:numPr>
          <w:ilvl w:val="0"/>
          <w:numId w:val="3"/>
        </w:numPr>
        <w:rPr>
          <w:lang w:val="en-GB"/>
        </w:rPr>
      </w:pPr>
      <w:r>
        <w:rPr>
          <w:lang w:val="en-GB"/>
        </w:rPr>
        <w:t xml:space="preserve">We do recommend that the Committee </w:t>
      </w:r>
      <w:proofErr w:type="gramStart"/>
      <w:r>
        <w:rPr>
          <w:lang w:val="en-GB"/>
        </w:rPr>
        <w:t>reconsiders</w:t>
      </w:r>
      <w:proofErr w:type="gramEnd"/>
      <w:r>
        <w:rPr>
          <w:lang w:val="en-GB"/>
        </w:rPr>
        <w:t xml:space="preserve"> its position with regard to the rights of developing children, as their health and well-being also determines the health and well-being of the future generation.</w:t>
      </w:r>
    </w:p>
    <w:sectPr w:rsidR="00F75377" w:rsidRPr="00F75377" w:rsidSect="006D7570">
      <w:headerReference w:type="even" r:id="rId9"/>
      <w:head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415" w:rsidRDefault="002F1415" w:rsidP="009D1DBE">
      <w:pPr>
        <w:spacing w:after="0" w:line="240" w:lineRule="auto"/>
      </w:pPr>
      <w:r>
        <w:separator/>
      </w:r>
    </w:p>
  </w:endnote>
  <w:endnote w:type="continuationSeparator" w:id="0">
    <w:p w:rsidR="002F1415" w:rsidRDefault="002F1415" w:rsidP="009D1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415" w:rsidRDefault="002F1415" w:rsidP="009D1DBE">
      <w:pPr>
        <w:spacing w:after="0" w:line="240" w:lineRule="auto"/>
      </w:pPr>
      <w:r>
        <w:separator/>
      </w:r>
    </w:p>
  </w:footnote>
  <w:footnote w:type="continuationSeparator" w:id="0">
    <w:p w:rsidR="002F1415" w:rsidRDefault="002F1415" w:rsidP="009D1DBE">
      <w:pPr>
        <w:spacing w:after="0" w:line="240" w:lineRule="auto"/>
      </w:pPr>
      <w:r>
        <w:continuationSeparator/>
      </w:r>
    </w:p>
  </w:footnote>
  <w:footnote w:id="1">
    <w:p w:rsidR="009D1DBE" w:rsidRPr="009D1DBE" w:rsidRDefault="009D1DBE">
      <w:pPr>
        <w:pStyle w:val="FootnoteText"/>
        <w:rPr>
          <w:lang w:val="en-GB"/>
        </w:rPr>
      </w:pPr>
      <w:r>
        <w:rPr>
          <w:rStyle w:val="FootnoteReference"/>
        </w:rPr>
        <w:footnoteRef/>
      </w:r>
      <w:r w:rsidRPr="009D1DBE">
        <w:rPr>
          <w:lang w:val="en-GB"/>
        </w:rPr>
        <w:t xml:space="preserve"> </w:t>
      </w:r>
      <w:hyperlink r:id="rId1" w:history="1">
        <w:r w:rsidRPr="009D1DBE">
          <w:rPr>
            <w:rStyle w:val="Hyperlink"/>
            <w:lang w:val="en-GB"/>
          </w:rPr>
          <w:t xml:space="preserve">Results of selective treatment of </w:t>
        </w:r>
        <w:proofErr w:type="spellStart"/>
        <w:r w:rsidRPr="009D1DBE">
          <w:rPr>
            <w:rStyle w:val="Hyperlink"/>
            <w:lang w:val="en-GB"/>
          </w:rPr>
          <w:t>spina</w:t>
        </w:r>
        <w:proofErr w:type="spellEnd"/>
        <w:r w:rsidRPr="009D1DBE">
          <w:rPr>
            <w:rStyle w:val="Hyperlink"/>
            <w:lang w:val="en-GB"/>
          </w:rPr>
          <w:t xml:space="preserve"> bifida </w:t>
        </w:r>
        <w:proofErr w:type="spellStart"/>
        <w:r w:rsidRPr="009D1DBE">
          <w:rPr>
            <w:rStyle w:val="Hyperlink"/>
            <w:lang w:val="en-GB"/>
          </w:rPr>
          <w:t>cystica</w:t>
        </w:r>
        <w:proofErr w:type="spellEnd"/>
      </w:hyperlink>
    </w:p>
  </w:footnote>
  <w:footnote w:id="2">
    <w:p w:rsidR="00895311" w:rsidRPr="00895311" w:rsidRDefault="00895311">
      <w:pPr>
        <w:pStyle w:val="FootnoteText"/>
        <w:rPr>
          <w:lang w:val="en-GB"/>
        </w:rPr>
      </w:pPr>
      <w:r>
        <w:rPr>
          <w:rStyle w:val="FootnoteReference"/>
        </w:rPr>
        <w:footnoteRef/>
      </w:r>
      <w:r w:rsidRPr="00895311">
        <w:rPr>
          <w:lang w:val="en-GB"/>
        </w:rPr>
        <w:t xml:space="preserve"> </w:t>
      </w:r>
      <w:hyperlink r:id="rId2" w:history="1">
        <w:r w:rsidRPr="00895311">
          <w:rPr>
            <w:rStyle w:val="Hyperlink"/>
            <w:lang w:val="en-GB"/>
          </w:rPr>
          <w:t>IF Resolution on prenatal diagnosis and the right to be different</w:t>
        </w:r>
      </w:hyperlink>
    </w:p>
  </w:footnote>
  <w:footnote w:id="3">
    <w:p w:rsidR="00586589" w:rsidRPr="00586589" w:rsidRDefault="00586589">
      <w:pPr>
        <w:pStyle w:val="FootnoteText"/>
        <w:rPr>
          <w:lang w:val="en-GB"/>
        </w:rPr>
      </w:pPr>
      <w:r>
        <w:rPr>
          <w:rStyle w:val="FootnoteReference"/>
        </w:rPr>
        <w:footnoteRef/>
      </w:r>
      <w:r w:rsidRPr="00586589">
        <w:rPr>
          <w:lang w:val="en-GB"/>
        </w:rPr>
        <w:t xml:space="preserve"> </w:t>
      </w:r>
      <w:hyperlink r:id="rId3" w:history="1">
        <w:r w:rsidRPr="00586589">
          <w:rPr>
            <w:rStyle w:val="Hyperlink"/>
            <w:lang w:val="en-GB"/>
          </w:rPr>
          <w:t>Sustainable Development Goal 16</w:t>
        </w:r>
      </w:hyperlink>
    </w:p>
  </w:footnote>
  <w:footnote w:id="4">
    <w:p w:rsidR="00586589" w:rsidRPr="00586589" w:rsidRDefault="00586589">
      <w:pPr>
        <w:pStyle w:val="FootnoteText"/>
        <w:rPr>
          <w:lang w:val="en-GB"/>
        </w:rPr>
      </w:pPr>
      <w:r>
        <w:rPr>
          <w:rStyle w:val="FootnoteReference"/>
        </w:rPr>
        <w:footnoteRef/>
      </w:r>
      <w:r w:rsidRPr="00586589">
        <w:rPr>
          <w:lang w:val="en-GB"/>
        </w:rPr>
        <w:t xml:space="preserve"> </w:t>
      </w:r>
      <w:hyperlink r:id="rId4" w:history="1">
        <w:r>
          <w:rPr>
            <w:rStyle w:val="Hyperlink"/>
            <w:lang w:val="en-GB"/>
          </w:rPr>
          <w:t>UN C</w:t>
        </w:r>
        <w:r w:rsidRPr="00092EA3">
          <w:rPr>
            <w:rStyle w:val="Hyperlink"/>
            <w:lang w:val="en-GB"/>
          </w:rPr>
          <w:t>onvention on the Rights of Persons with Disabilities</w:t>
        </w:r>
      </w:hyperlink>
    </w:p>
  </w:footnote>
  <w:footnote w:id="5">
    <w:p w:rsidR="00E478B4" w:rsidRPr="00E478B4" w:rsidRDefault="00E478B4">
      <w:pPr>
        <w:pStyle w:val="FootnoteText"/>
        <w:rPr>
          <w:lang w:val="en-GB"/>
        </w:rPr>
      </w:pPr>
      <w:r>
        <w:rPr>
          <w:rStyle w:val="FootnoteReference"/>
        </w:rPr>
        <w:footnoteRef/>
      </w:r>
      <w:r w:rsidRPr="00E478B4">
        <w:rPr>
          <w:lang w:val="en-GB"/>
        </w:rPr>
        <w:t xml:space="preserve"> </w:t>
      </w:r>
      <w:hyperlink r:id="rId5" w:history="1">
        <w:r w:rsidR="00092EA3">
          <w:rPr>
            <w:rStyle w:val="Hyperlink"/>
            <w:lang w:val="en-GB"/>
          </w:rPr>
          <w:t>World Report on Disability (2011)</w:t>
        </w:r>
      </w:hyperlink>
      <w:r>
        <w:rPr>
          <w:lang w:val="en-GB"/>
        </w:rPr>
        <w:t xml:space="preserve"> </w:t>
      </w:r>
    </w:p>
  </w:footnote>
  <w:footnote w:id="6">
    <w:p w:rsidR="004B7F60" w:rsidRPr="00984A55" w:rsidRDefault="004B7F60" w:rsidP="004B7F60">
      <w:pPr>
        <w:pStyle w:val="FootnoteText"/>
        <w:rPr>
          <w:lang w:val="en-GB"/>
        </w:rPr>
      </w:pPr>
      <w:r>
        <w:rPr>
          <w:rStyle w:val="FootnoteReference"/>
        </w:rPr>
        <w:footnoteRef/>
      </w:r>
      <w:r w:rsidRPr="00984A55">
        <w:rPr>
          <w:lang w:val="en-GB"/>
        </w:rPr>
        <w:t xml:space="preserve"> </w:t>
      </w:r>
      <w:hyperlink r:id="rId6" w:history="1">
        <w:r>
          <w:rPr>
            <w:rStyle w:val="Hyperlink"/>
            <w:lang w:val="en-GB"/>
          </w:rPr>
          <w:t>Groningen Protocol (2005)</w:t>
        </w:r>
      </w:hyperlink>
      <w:r>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F7F" w:rsidRDefault="004D5F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F7F" w:rsidRDefault="004D5F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F7F" w:rsidRDefault="004D5F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4519D"/>
    <w:multiLevelType w:val="hybridMultilevel"/>
    <w:tmpl w:val="629EA56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1E08F8"/>
    <w:multiLevelType w:val="hybridMultilevel"/>
    <w:tmpl w:val="AA9C8ED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D40BC7"/>
    <w:multiLevelType w:val="hybridMultilevel"/>
    <w:tmpl w:val="635E775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8714FF7"/>
    <w:multiLevelType w:val="hybridMultilevel"/>
    <w:tmpl w:val="8BA0107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6C04D4"/>
    <w:rsid w:val="00004D1C"/>
    <w:rsid w:val="00006D9C"/>
    <w:rsid w:val="000379AB"/>
    <w:rsid w:val="00041DCA"/>
    <w:rsid w:val="00071434"/>
    <w:rsid w:val="00092EA3"/>
    <w:rsid w:val="000A2D48"/>
    <w:rsid w:val="000A7E71"/>
    <w:rsid w:val="000B1171"/>
    <w:rsid w:val="000C4B31"/>
    <w:rsid w:val="000C78C3"/>
    <w:rsid w:val="000E0962"/>
    <w:rsid w:val="000E1518"/>
    <w:rsid w:val="000F0530"/>
    <w:rsid w:val="00107B50"/>
    <w:rsid w:val="00120505"/>
    <w:rsid w:val="001260EE"/>
    <w:rsid w:val="001264C7"/>
    <w:rsid w:val="00132353"/>
    <w:rsid w:val="001357D3"/>
    <w:rsid w:val="00141290"/>
    <w:rsid w:val="001A53F1"/>
    <w:rsid w:val="001A5521"/>
    <w:rsid w:val="001A7831"/>
    <w:rsid w:val="001B54B0"/>
    <w:rsid w:val="001C33A9"/>
    <w:rsid w:val="001C4463"/>
    <w:rsid w:val="001C6D93"/>
    <w:rsid w:val="001D1F0E"/>
    <w:rsid w:val="001E7779"/>
    <w:rsid w:val="001F18A7"/>
    <w:rsid w:val="001F3FEE"/>
    <w:rsid w:val="001F4F61"/>
    <w:rsid w:val="001F5080"/>
    <w:rsid w:val="00224F04"/>
    <w:rsid w:val="002465FC"/>
    <w:rsid w:val="0025149F"/>
    <w:rsid w:val="00254E29"/>
    <w:rsid w:val="002562B2"/>
    <w:rsid w:val="00272ED5"/>
    <w:rsid w:val="00276715"/>
    <w:rsid w:val="00276D0C"/>
    <w:rsid w:val="002815A9"/>
    <w:rsid w:val="002864DB"/>
    <w:rsid w:val="00286A3B"/>
    <w:rsid w:val="002870AB"/>
    <w:rsid w:val="002956B1"/>
    <w:rsid w:val="00295828"/>
    <w:rsid w:val="002A2D44"/>
    <w:rsid w:val="002B0983"/>
    <w:rsid w:val="002B5942"/>
    <w:rsid w:val="002C238C"/>
    <w:rsid w:val="002E52D1"/>
    <w:rsid w:val="002F0489"/>
    <w:rsid w:val="002F1415"/>
    <w:rsid w:val="002F1EB6"/>
    <w:rsid w:val="003005ED"/>
    <w:rsid w:val="00306CAF"/>
    <w:rsid w:val="00307176"/>
    <w:rsid w:val="00317C09"/>
    <w:rsid w:val="00321E76"/>
    <w:rsid w:val="00327798"/>
    <w:rsid w:val="0034737B"/>
    <w:rsid w:val="00350A19"/>
    <w:rsid w:val="00367576"/>
    <w:rsid w:val="003761C3"/>
    <w:rsid w:val="00377738"/>
    <w:rsid w:val="00381669"/>
    <w:rsid w:val="00383A80"/>
    <w:rsid w:val="00385553"/>
    <w:rsid w:val="00390178"/>
    <w:rsid w:val="00397F12"/>
    <w:rsid w:val="003A12E0"/>
    <w:rsid w:val="003C0094"/>
    <w:rsid w:val="003C56F9"/>
    <w:rsid w:val="003E7F8B"/>
    <w:rsid w:val="003F14D0"/>
    <w:rsid w:val="003F45D9"/>
    <w:rsid w:val="004019E3"/>
    <w:rsid w:val="0041706B"/>
    <w:rsid w:val="00462070"/>
    <w:rsid w:val="00466C2B"/>
    <w:rsid w:val="00476B90"/>
    <w:rsid w:val="004873E3"/>
    <w:rsid w:val="00487A76"/>
    <w:rsid w:val="004A100E"/>
    <w:rsid w:val="004B0316"/>
    <w:rsid w:val="004B4F90"/>
    <w:rsid w:val="004B7F60"/>
    <w:rsid w:val="004C5FDA"/>
    <w:rsid w:val="004D13BE"/>
    <w:rsid w:val="004D4198"/>
    <w:rsid w:val="004D5F7F"/>
    <w:rsid w:val="004E3403"/>
    <w:rsid w:val="004F112E"/>
    <w:rsid w:val="004F3D33"/>
    <w:rsid w:val="004F62CF"/>
    <w:rsid w:val="00513307"/>
    <w:rsid w:val="00513B75"/>
    <w:rsid w:val="00520FE2"/>
    <w:rsid w:val="005235F4"/>
    <w:rsid w:val="00537969"/>
    <w:rsid w:val="005414D3"/>
    <w:rsid w:val="00547014"/>
    <w:rsid w:val="00550C44"/>
    <w:rsid w:val="00553ECF"/>
    <w:rsid w:val="0055781E"/>
    <w:rsid w:val="00567608"/>
    <w:rsid w:val="00573516"/>
    <w:rsid w:val="00586589"/>
    <w:rsid w:val="00597B9D"/>
    <w:rsid w:val="005A29CC"/>
    <w:rsid w:val="005A6223"/>
    <w:rsid w:val="005C7495"/>
    <w:rsid w:val="005D71F3"/>
    <w:rsid w:val="005F6BFF"/>
    <w:rsid w:val="00601E21"/>
    <w:rsid w:val="0060754C"/>
    <w:rsid w:val="00614CBF"/>
    <w:rsid w:val="00670BEF"/>
    <w:rsid w:val="006739B8"/>
    <w:rsid w:val="00676F30"/>
    <w:rsid w:val="00681F02"/>
    <w:rsid w:val="006854D6"/>
    <w:rsid w:val="00697920"/>
    <w:rsid w:val="006A2F1A"/>
    <w:rsid w:val="006A63D6"/>
    <w:rsid w:val="006A72D3"/>
    <w:rsid w:val="006B2CAC"/>
    <w:rsid w:val="006B655B"/>
    <w:rsid w:val="006C04D4"/>
    <w:rsid w:val="006C0FC8"/>
    <w:rsid w:val="006C4AEB"/>
    <w:rsid w:val="006D42A0"/>
    <w:rsid w:val="006D7570"/>
    <w:rsid w:val="006E20FE"/>
    <w:rsid w:val="006E2E30"/>
    <w:rsid w:val="006E41CA"/>
    <w:rsid w:val="00701D60"/>
    <w:rsid w:val="00703119"/>
    <w:rsid w:val="00712450"/>
    <w:rsid w:val="00716B29"/>
    <w:rsid w:val="00720BC8"/>
    <w:rsid w:val="0073765F"/>
    <w:rsid w:val="00743581"/>
    <w:rsid w:val="00766A1C"/>
    <w:rsid w:val="00772EBA"/>
    <w:rsid w:val="007946BC"/>
    <w:rsid w:val="007948F9"/>
    <w:rsid w:val="007A19DF"/>
    <w:rsid w:val="007A680C"/>
    <w:rsid w:val="007A6C12"/>
    <w:rsid w:val="007D245F"/>
    <w:rsid w:val="007E3618"/>
    <w:rsid w:val="007F0DD6"/>
    <w:rsid w:val="007F501F"/>
    <w:rsid w:val="007F72AF"/>
    <w:rsid w:val="008140D2"/>
    <w:rsid w:val="0082010A"/>
    <w:rsid w:val="00823230"/>
    <w:rsid w:val="00840640"/>
    <w:rsid w:val="00842B13"/>
    <w:rsid w:val="00843971"/>
    <w:rsid w:val="00843980"/>
    <w:rsid w:val="00850097"/>
    <w:rsid w:val="00850CCD"/>
    <w:rsid w:val="00851021"/>
    <w:rsid w:val="008629DA"/>
    <w:rsid w:val="00867BD4"/>
    <w:rsid w:val="00895311"/>
    <w:rsid w:val="008A2069"/>
    <w:rsid w:val="008A63EE"/>
    <w:rsid w:val="008B4857"/>
    <w:rsid w:val="008C4114"/>
    <w:rsid w:val="008C4CFD"/>
    <w:rsid w:val="008D7BF6"/>
    <w:rsid w:val="008F4FB6"/>
    <w:rsid w:val="008F657B"/>
    <w:rsid w:val="00900DF6"/>
    <w:rsid w:val="00916D8B"/>
    <w:rsid w:val="009173A1"/>
    <w:rsid w:val="0092027D"/>
    <w:rsid w:val="009355FD"/>
    <w:rsid w:val="009418A4"/>
    <w:rsid w:val="009418FB"/>
    <w:rsid w:val="00960646"/>
    <w:rsid w:val="00974E30"/>
    <w:rsid w:val="00981300"/>
    <w:rsid w:val="009824A1"/>
    <w:rsid w:val="00982583"/>
    <w:rsid w:val="00984A55"/>
    <w:rsid w:val="00995CDA"/>
    <w:rsid w:val="009C0C57"/>
    <w:rsid w:val="009D1DBE"/>
    <w:rsid w:val="009D2681"/>
    <w:rsid w:val="009D737B"/>
    <w:rsid w:val="009E3339"/>
    <w:rsid w:val="009E5B05"/>
    <w:rsid w:val="00A1207E"/>
    <w:rsid w:val="00A24DC3"/>
    <w:rsid w:val="00A2671A"/>
    <w:rsid w:val="00A32F1B"/>
    <w:rsid w:val="00A42A30"/>
    <w:rsid w:val="00A54F4A"/>
    <w:rsid w:val="00A7310A"/>
    <w:rsid w:val="00A750F3"/>
    <w:rsid w:val="00A97AB2"/>
    <w:rsid w:val="00AA6FF9"/>
    <w:rsid w:val="00AB278E"/>
    <w:rsid w:val="00AB7D64"/>
    <w:rsid w:val="00AC083C"/>
    <w:rsid w:val="00AC73EC"/>
    <w:rsid w:val="00AF070A"/>
    <w:rsid w:val="00AF4A68"/>
    <w:rsid w:val="00B07370"/>
    <w:rsid w:val="00B0770B"/>
    <w:rsid w:val="00B22E78"/>
    <w:rsid w:val="00B23763"/>
    <w:rsid w:val="00B23914"/>
    <w:rsid w:val="00B464A6"/>
    <w:rsid w:val="00B56601"/>
    <w:rsid w:val="00B568F9"/>
    <w:rsid w:val="00B57256"/>
    <w:rsid w:val="00B654A6"/>
    <w:rsid w:val="00B7296A"/>
    <w:rsid w:val="00B857EE"/>
    <w:rsid w:val="00B87C1A"/>
    <w:rsid w:val="00B942EE"/>
    <w:rsid w:val="00B97C3F"/>
    <w:rsid w:val="00BA66A0"/>
    <w:rsid w:val="00BB4C11"/>
    <w:rsid w:val="00BC6402"/>
    <w:rsid w:val="00BF477F"/>
    <w:rsid w:val="00C000E0"/>
    <w:rsid w:val="00C02000"/>
    <w:rsid w:val="00C0676D"/>
    <w:rsid w:val="00C06A41"/>
    <w:rsid w:val="00C10660"/>
    <w:rsid w:val="00C11635"/>
    <w:rsid w:val="00C23176"/>
    <w:rsid w:val="00C50844"/>
    <w:rsid w:val="00C538A3"/>
    <w:rsid w:val="00C732AC"/>
    <w:rsid w:val="00CB0679"/>
    <w:rsid w:val="00CD7610"/>
    <w:rsid w:val="00CD7ED8"/>
    <w:rsid w:val="00CE3C2A"/>
    <w:rsid w:val="00CE6AAB"/>
    <w:rsid w:val="00D035EB"/>
    <w:rsid w:val="00D23545"/>
    <w:rsid w:val="00D44689"/>
    <w:rsid w:val="00D659AE"/>
    <w:rsid w:val="00D67738"/>
    <w:rsid w:val="00D728C6"/>
    <w:rsid w:val="00D75F38"/>
    <w:rsid w:val="00D80A3F"/>
    <w:rsid w:val="00D9282F"/>
    <w:rsid w:val="00D929FB"/>
    <w:rsid w:val="00DA01AC"/>
    <w:rsid w:val="00DB5EA9"/>
    <w:rsid w:val="00DC00E8"/>
    <w:rsid w:val="00DC72FC"/>
    <w:rsid w:val="00DD483B"/>
    <w:rsid w:val="00DD6A28"/>
    <w:rsid w:val="00DE08FC"/>
    <w:rsid w:val="00DE3154"/>
    <w:rsid w:val="00DE63FF"/>
    <w:rsid w:val="00DF0413"/>
    <w:rsid w:val="00DF1976"/>
    <w:rsid w:val="00DF361B"/>
    <w:rsid w:val="00DF4D8B"/>
    <w:rsid w:val="00DF5371"/>
    <w:rsid w:val="00DF7D27"/>
    <w:rsid w:val="00E0026A"/>
    <w:rsid w:val="00E04077"/>
    <w:rsid w:val="00E043FB"/>
    <w:rsid w:val="00E1490D"/>
    <w:rsid w:val="00E168D9"/>
    <w:rsid w:val="00E20F74"/>
    <w:rsid w:val="00E35BF2"/>
    <w:rsid w:val="00E4633F"/>
    <w:rsid w:val="00E478B4"/>
    <w:rsid w:val="00E624E2"/>
    <w:rsid w:val="00E652CD"/>
    <w:rsid w:val="00E70E60"/>
    <w:rsid w:val="00E8470C"/>
    <w:rsid w:val="00E85427"/>
    <w:rsid w:val="00E90F19"/>
    <w:rsid w:val="00E952F4"/>
    <w:rsid w:val="00E9721B"/>
    <w:rsid w:val="00EB6C73"/>
    <w:rsid w:val="00ED5112"/>
    <w:rsid w:val="00EE75F4"/>
    <w:rsid w:val="00F21E28"/>
    <w:rsid w:val="00F23E00"/>
    <w:rsid w:val="00F31977"/>
    <w:rsid w:val="00F41996"/>
    <w:rsid w:val="00F44F14"/>
    <w:rsid w:val="00F6214B"/>
    <w:rsid w:val="00F73325"/>
    <w:rsid w:val="00F75377"/>
    <w:rsid w:val="00F77C4D"/>
    <w:rsid w:val="00F83934"/>
    <w:rsid w:val="00F93C40"/>
    <w:rsid w:val="00F95BF9"/>
    <w:rsid w:val="00FA4633"/>
    <w:rsid w:val="00FA75A9"/>
    <w:rsid w:val="00FA7CC6"/>
    <w:rsid w:val="00FB21E2"/>
    <w:rsid w:val="00FB3D46"/>
    <w:rsid w:val="00FD1BFD"/>
    <w:rsid w:val="00FD6829"/>
    <w:rsid w:val="00FD6A22"/>
    <w:rsid w:val="00FF16C5"/>
    <w:rsid w:val="00FF6D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07E2D23-C90C-4651-867B-708DEBA3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D1D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1DBE"/>
    <w:rPr>
      <w:sz w:val="20"/>
      <w:szCs w:val="20"/>
    </w:rPr>
  </w:style>
  <w:style w:type="character" w:styleId="FootnoteReference">
    <w:name w:val="footnote reference"/>
    <w:basedOn w:val="DefaultParagraphFont"/>
    <w:uiPriority w:val="99"/>
    <w:semiHidden/>
    <w:unhideWhenUsed/>
    <w:rsid w:val="009D1DBE"/>
    <w:rPr>
      <w:vertAlign w:val="superscript"/>
    </w:rPr>
  </w:style>
  <w:style w:type="character" w:styleId="Hyperlink">
    <w:name w:val="Hyperlink"/>
    <w:basedOn w:val="DefaultParagraphFont"/>
    <w:uiPriority w:val="99"/>
    <w:unhideWhenUsed/>
    <w:rsid w:val="009D1DBE"/>
    <w:rPr>
      <w:color w:val="0000FF" w:themeColor="hyperlink"/>
      <w:u w:val="single"/>
    </w:rPr>
  </w:style>
  <w:style w:type="paragraph" w:styleId="BalloonText">
    <w:name w:val="Balloon Text"/>
    <w:basedOn w:val="Normal"/>
    <w:link w:val="BalloonTextChar"/>
    <w:uiPriority w:val="99"/>
    <w:semiHidden/>
    <w:unhideWhenUsed/>
    <w:rsid w:val="00CD7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610"/>
    <w:rPr>
      <w:rFonts w:ascii="Tahoma" w:hAnsi="Tahoma" w:cs="Tahoma"/>
      <w:sz w:val="16"/>
      <w:szCs w:val="16"/>
    </w:rPr>
  </w:style>
  <w:style w:type="paragraph" w:customStyle="1" w:styleId="ContactInformation">
    <w:name w:val="Contact Information"/>
    <w:basedOn w:val="Normal"/>
    <w:rsid w:val="00CD7610"/>
    <w:pPr>
      <w:spacing w:before="40" w:after="0" w:line="220" w:lineRule="atLeast"/>
      <w:jc w:val="right"/>
    </w:pPr>
    <w:rPr>
      <w:rFonts w:eastAsiaTheme="minorEastAsia"/>
      <w:color w:val="EEECE1" w:themeColor="background2"/>
      <w:sz w:val="16"/>
      <w:lang w:val="en-US"/>
    </w:rPr>
  </w:style>
  <w:style w:type="paragraph" w:styleId="ListParagraph">
    <w:name w:val="List Paragraph"/>
    <w:basedOn w:val="Normal"/>
    <w:uiPriority w:val="34"/>
    <w:qFormat/>
    <w:rsid w:val="00272ED5"/>
    <w:pPr>
      <w:ind w:left="720"/>
      <w:contextualSpacing/>
    </w:pPr>
  </w:style>
  <w:style w:type="paragraph" w:styleId="Header">
    <w:name w:val="header"/>
    <w:basedOn w:val="Normal"/>
    <w:link w:val="HeaderChar"/>
    <w:uiPriority w:val="99"/>
    <w:semiHidden/>
    <w:unhideWhenUsed/>
    <w:rsid w:val="004D5F7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4D5F7F"/>
  </w:style>
  <w:style w:type="paragraph" w:styleId="Footer">
    <w:name w:val="footer"/>
    <w:basedOn w:val="Normal"/>
    <w:link w:val="FooterChar"/>
    <w:uiPriority w:val="99"/>
    <w:semiHidden/>
    <w:unhideWhenUsed/>
    <w:rsid w:val="004D5F7F"/>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4D5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129356">
      <w:bodyDiv w:val="1"/>
      <w:marLeft w:val="0"/>
      <w:marRight w:val="0"/>
      <w:marTop w:val="0"/>
      <w:marBottom w:val="0"/>
      <w:divBdr>
        <w:top w:val="none" w:sz="0" w:space="0" w:color="auto"/>
        <w:left w:val="none" w:sz="0" w:space="0" w:color="auto"/>
        <w:bottom w:val="none" w:sz="0" w:space="0" w:color="auto"/>
        <w:right w:val="none" w:sz="0" w:space="0" w:color="auto"/>
      </w:divBdr>
      <w:divsChild>
        <w:div w:id="1652903998">
          <w:marLeft w:val="0"/>
          <w:marRight w:val="0"/>
          <w:marTop w:val="0"/>
          <w:marBottom w:val="0"/>
          <w:divBdr>
            <w:top w:val="none" w:sz="0" w:space="0" w:color="auto"/>
            <w:left w:val="none" w:sz="0" w:space="0" w:color="auto"/>
            <w:bottom w:val="none" w:sz="0" w:space="0" w:color="auto"/>
            <w:right w:val="none" w:sz="0" w:space="0" w:color="auto"/>
          </w:divBdr>
        </w:div>
        <w:div w:id="199904401">
          <w:marLeft w:val="0"/>
          <w:marRight w:val="0"/>
          <w:marTop w:val="0"/>
          <w:marBottom w:val="0"/>
          <w:divBdr>
            <w:top w:val="none" w:sz="0" w:space="0" w:color="auto"/>
            <w:left w:val="none" w:sz="0" w:space="0" w:color="auto"/>
            <w:bottom w:val="none" w:sz="0" w:space="0" w:color="auto"/>
            <w:right w:val="none" w:sz="0" w:space="0" w:color="auto"/>
          </w:divBdr>
        </w:div>
        <w:div w:id="2077244281">
          <w:marLeft w:val="0"/>
          <w:marRight w:val="0"/>
          <w:marTop w:val="0"/>
          <w:marBottom w:val="0"/>
          <w:divBdr>
            <w:top w:val="none" w:sz="0" w:space="0" w:color="auto"/>
            <w:left w:val="none" w:sz="0" w:space="0" w:color="auto"/>
            <w:bottom w:val="none" w:sz="0" w:space="0" w:color="auto"/>
            <w:right w:val="none" w:sz="0" w:space="0" w:color="auto"/>
          </w:divBdr>
        </w:div>
        <w:div w:id="625627532">
          <w:marLeft w:val="0"/>
          <w:marRight w:val="0"/>
          <w:marTop w:val="0"/>
          <w:marBottom w:val="0"/>
          <w:divBdr>
            <w:top w:val="none" w:sz="0" w:space="0" w:color="auto"/>
            <w:left w:val="none" w:sz="0" w:space="0" w:color="auto"/>
            <w:bottom w:val="none" w:sz="0" w:space="0" w:color="auto"/>
            <w:right w:val="none" w:sz="0" w:space="0" w:color="auto"/>
          </w:divBdr>
        </w:div>
        <w:div w:id="2020934827">
          <w:marLeft w:val="0"/>
          <w:marRight w:val="0"/>
          <w:marTop w:val="0"/>
          <w:marBottom w:val="0"/>
          <w:divBdr>
            <w:top w:val="none" w:sz="0" w:space="0" w:color="auto"/>
            <w:left w:val="none" w:sz="0" w:space="0" w:color="auto"/>
            <w:bottom w:val="none" w:sz="0" w:space="0" w:color="auto"/>
            <w:right w:val="none" w:sz="0" w:space="0" w:color="auto"/>
          </w:divBdr>
        </w:div>
        <w:div w:id="364713353">
          <w:marLeft w:val="0"/>
          <w:marRight w:val="0"/>
          <w:marTop w:val="0"/>
          <w:marBottom w:val="0"/>
          <w:divBdr>
            <w:top w:val="none" w:sz="0" w:space="0" w:color="auto"/>
            <w:left w:val="none" w:sz="0" w:space="0" w:color="auto"/>
            <w:bottom w:val="none" w:sz="0" w:space="0" w:color="auto"/>
            <w:right w:val="none" w:sz="0" w:space="0" w:color="auto"/>
          </w:divBdr>
        </w:div>
        <w:div w:id="662440214">
          <w:marLeft w:val="0"/>
          <w:marRight w:val="0"/>
          <w:marTop w:val="0"/>
          <w:marBottom w:val="0"/>
          <w:divBdr>
            <w:top w:val="none" w:sz="0" w:space="0" w:color="auto"/>
            <w:left w:val="none" w:sz="0" w:space="0" w:color="auto"/>
            <w:bottom w:val="none" w:sz="0" w:space="0" w:color="auto"/>
            <w:right w:val="none" w:sz="0" w:space="0" w:color="auto"/>
          </w:divBdr>
        </w:div>
        <w:div w:id="522592298">
          <w:marLeft w:val="0"/>
          <w:marRight w:val="0"/>
          <w:marTop w:val="0"/>
          <w:marBottom w:val="0"/>
          <w:divBdr>
            <w:top w:val="none" w:sz="0" w:space="0" w:color="auto"/>
            <w:left w:val="none" w:sz="0" w:space="0" w:color="auto"/>
            <w:bottom w:val="none" w:sz="0" w:space="0" w:color="auto"/>
            <w:right w:val="none" w:sz="0" w:space="0" w:color="auto"/>
          </w:divBdr>
        </w:div>
        <w:div w:id="34820197">
          <w:marLeft w:val="0"/>
          <w:marRight w:val="0"/>
          <w:marTop w:val="0"/>
          <w:marBottom w:val="0"/>
          <w:divBdr>
            <w:top w:val="none" w:sz="0" w:space="0" w:color="auto"/>
            <w:left w:val="none" w:sz="0" w:space="0" w:color="auto"/>
            <w:bottom w:val="none" w:sz="0" w:space="0" w:color="auto"/>
            <w:right w:val="none" w:sz="0" w:space="0" w:color="auto"/>
          </w:divBdr>
        </w:div>
        <w:div w:id="1492328243">
          <w:marLeft w:val="0"/>
          <w:marRight w:val="0"/>
          <w:marTop w:val="0"/>
          <w:marBottom w:val="0"/>
          <w:divBdr>
            <w:top w:val="none" w:sz="0" w:space="0" w:color="auto"/>
            <w:left w:val="none" w:sz="0" w:space="0" w:color="auto"/>
            <w:bottom w:val="none" w:sz="0" w:space="0" w:color="auto"/>
            <w:right w:val="none" w:sz="0" w:space="0" w:color="auto"/>
          </w:divBdr>
        </w:div>
        <w:div w:id="1739161240">
          <w:marLeft w:val="0"/>
          <w:marRight w:val="0"/>
          <w:marTop w:val="0"/>
          <w:marBottom w:val="0"/>
          <w:divBdr>
            <w:top w:val="none" w:sz="0" w:space="0" w:color="auto"/>
            <w:left w:val="none" w:sz="0" w:space="0" w:color="auto"/>
            <w:bottom w:val="none" w:sz="0" w:space="0" w:color="auto"/>
            <w:right w:val="none" w:sz="0" w:space="0" w:color="auto"/>
          </w:divBdr>
        </w:div>
        <w:div w:id="1094015546">
          <w:marLeft w:val="0"/>
          <w:marRight w:val="0"/>
          <w:marTop w:val="0"/>
          <w:marBottom w:val="0"/>
          <w:divBdr>
            <w:top w:val="none" w:sz="0" w:space="0" w:color="auto"/>
            <w:left w:val="none" w:sz="0" w:space="0" w:color="auto"/>
            <w:bottom w:val="none" w:sz="0" w:space="0" w:color="auto"/>
            <w:right w:val="none" w:sz="0" w:space="0" w:color="auto"/>
          </w:divBdr>
        </w:div>
        <w:div w:id="150828769">
          <w:marLeft w:val="0"/>
          <w:marRight w:val="0"/>
          <w:marTop w:val="0"/>
          <w:marBottom w:val="0"/>
          <w:divBdr>
            <w:top w:val="none" w:sz="0" w:space="0" w:color="auto"/>
            <w:left w:val="none" w:sz="0" w:space="0" w:color="auto"/>
            <w:bottom w:val="none" w:sz="0" w:space="0" w:color="auto"/>
            <w:right w:val="none" w:sz="0" w:space="0" w:color="auto"/>
          </w:divBdr>
        </w:div>
        <w:div w:id="1187056417">
          <w:marLeft w:val="0"/>
          <w:marRight w:val="0"/>
          <w:marTop w:val="0"/>
          <w:marBottom w:val="0"/>
          <w:divBdr>
            <w:top w:val="none" w:sz="0" w:space="0" w:color="auto"/>
            <w:left w:val="none" w:sz="0" w:space="0" w:color="auto"/>
            <w:bottom w:val="none" w:sz="0" w:space="0" w:color="auto"/>
            <w:right w:val="none" w:sz="0" w:space="0" w:color="auto"/>
          </w:divBdr>
        </w:div>
        <w:div w:id="1852571772">
          <w:marLeft w:val="0"/>
          <w:marRight w:val="0"/>
          <w:marTop w:val="0"/>
          <w:marBottom w:val="0"/>
          <w:divBdr>
            <w:top w:val="none" w:sz="0" w:space="0" w:color="auto"/>
            <w:left w:val="none" w:sz="0" w:space="0" w:color="auto"/>
            <w:bottom w:val="none" w:sz="0" w:space="0" w:color="auto"/>
            <w:right w:val="none" w:sz="0" w:space="0" w:color="auto"/>
          </w:divBdr>
        </w:div>
        <w:div w:id="707801308">
          <w:marLeft w:val="0"/>
          <w:marRight w:val="0"/>
          <w:marTop w:val="0"/>
          <w:marBottom w:val="0"/>
          <w:divBdr>
            <w:top w:val="none" w:sz="0" w:space="0" w:color="auto"/>
            <w:left w:val="none" w:sz="0" w:space="0" w:color="auto"/>
            <w:bottom w:val="none" w:sz="0" w:space="0" w:color="auto"/>
            <w:right w:val="none" w:sz="0" w:space="0" w:color="auto"/>
          </w:divBdr>
        </w:div>
        <w:div w:id="2034728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sustainabledevelopment.un.org/sdg16" TargetMode="External"/><Relationship Id="rId2" Type="http://schemas.openxmlformats.org/officeDocument/2006/relationships/hyperlink" Target="https://www.ifglobal.org/images/stories/pregnancy/toulouse-resolution-right-to-be-different.pdf" TargetMode="External"/><Relationship Id="rId1" Type="http://schemas.openxmlformats.org/officeDocument/2006/relationships/hyperlink" Target="https://www.ncbi.nlm.nih.gov/pmc/articles/PMC1627397/" TargetMode="External"/><Relationship Id="rId6" Type="http://schemas.openxmlformats.org/officeDocument/2006/relationships/hyperlink" Target="http://www.nejm.org/doi/full/10.1056/NEJMp058026" TargetMode="External"/><Relationship Id="rId5" Type="http://schemas.openxmlformats.org/officeDocument/2006/relationships/hyperlink" Target="http://www.who.int/disabilities/world_report/2011/en/" TargetMode="External"/><Relationship Id="rId4" Type="http://schemas.openxmlformats.org/officeDocument/2006/relationships/hyperlink" Target="https://www.un.org/development/desa/disabilities/convention-on-the-rights-of-persons-with-disabilities.htm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CA4967-E676-4ABB-BFB2-8EE69027CBD5}">
  <ds:schemaRefs>
    <ds:schemaRef ds:uri="http://schemas.openxmlformats.org/officeDocument/2006/bibliography"/>
  </ds:schemaRefs>
</ds:datastoreItem>
</file>

<file path=customXml/itemProps2.xml><?xml version="1.0" encoding="utf-8"?>
<ds:datastoreItem xmlns:ds="http://schemas.openxmlformats.org/officeDocument/2006/customXml" ds:itemID="{4E408BEE-16D9-4A25-991B-3339F8548538}"/>
</file>

<file path=customXml/itemProps3.xml><?xml version="1.0" encoding="utf-8"?>
<ds:datastoreItem xmlns:ds="http://schemas.openxmlformats.org/officeDocument/2006/customXml" ds:itemID="{74489710-BFD7-4EE1-9FD2-28FA940D434B}"/>
</file>

<file path=customXml/itemProps4.xml><?xml version="1.0" encoding="utf-8"?>
<ds:datastoreItem xmlns:ds="http://schemas.openxmlformats.org/officeDocument/2006/customXml" ds:itemID="{681F05D7-7E44-4DFF-8B30-70395BD9809F}"/>
</file>

<file path=docProps/app.xml><?xml version="1.0" encoding="utf-8"?>
<Properties xmlns="http://schemas.openxmlformats.org/officeDocument/2006/extended-properties" xmlns:vt="http://schemas.openxmlformats.org/officeDocument/2006/docPropsVTypes">
  <Template>Normal.dotm</Template>
  <TotalTime>0</TotalTime>
  <Pages>5</Pages>
  <Words>2054</Words>
  <Characters>11712</Characters>
  <Application>Microsoft Office Word</Application>
  <DocSecurity>0</DocSecurity>
  <Lines>97</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Durnescu Lilian</cp:lastModifiedBy>
  <cp:revision>2</cp:revision>
  <dcterms:created xsi:type="dcterms:W3CDTF">2017-10-05T12:21:00Z</dcterms:created>
  <dcterms:modified xsi:type="dcterms:W3CDTF">2017-10-05T12:21:00Z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