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71" w:rsidRPr="00A6582D" w:rsidRDefault="008C4771" w:rsidP="00D2724E">
      <w:pPr>
        <w:pStyle w:val="Default"/>
        <w:spacing w:line="276" w:lineRule="auto"/>
      </w:pPr>
      <w:bookmarkStart w:id="0" w:name="_GoBack"/>
      <w:bookmarkEnd w:id="0"/>
    </w:p>
    <w:p w:rsidR="008C4771" w:rsidRPr="00A6582D" w:rsidRDefault="00851E43" w:rsidP="00D2724E">
      <w:pPr>
        <w:pStyle w:val="Default"/>
        <w:spacing w:line="276" w:lineRule="auto"/>
        <w:jc w:val="center"/>
      </w:pPr>
      <w:r w:rsidRPr="00A6582D">
        <w:rPr>
          <w:b/>
          <w:bCs/>
        </w:rPr>
        <w:t>Observations of the United States of America</w:t>
      </w:r>
    </w:p>
    <w:p w:rsidR="003007AA" w:rsidRPr="00A6582D" w:rsidRDefault="00851E43" w:rsidP="00D2724E">
      <w:pPr>
        <w:pStyle w:val="Default"/>
        <w:spacing w:line="276" w:lineRule="auto"/>
        <w:jc w:val="center"/>
        <w:rPr>
          <w:b/>
          <w:bCs/>
        </w:rPr>
      </w:pPr>
      <w:r w:rsidRPr="00A6582D">
        <w:rPr>
          <w:b/>
          <w:bCs/>
        </w:rPr>
        <w:t>On the Human Rights Committee’s Draft General Comment No. 36</w:t>
      </w:r>
    </w:p>
    <w:p w:rsidR="003007AA" w:rsidRPr="00A6582D" w:rsidRDefault="00851E43" w:rsidP="00D2724E">
      <w:pPr>
        <w:pStyle w:val="Default"/>
        <w:spacing w:line="276" w:lineRule="auto"/>
        <w:jc w:val="center"/>
        <w:rPr>
          <w:b/>
          <w:bCs/>
        </w:rPr>
      </w:pPr>
      <w:r w:rsidRPr="00A6582D">
        <w:rPr>
          <w:b/>
          <w:bCs/>
        </w:rPr>
        <w:t>On Article 6 - Right to Life</w:t>
      </w:r>
    </w:p>
    <w:p w:rsidR="008C4771" w:rsidRPr="00A6582D" w:rsidRDefault="008C4771" w:rsidP="00D2724E">
      <w:pPr>
        <w:pStyle w:val="Default"/>
        <w:spacing w:line="276" w:lineRule="auto"/>
        <w:jc w:val="center"/>
      </w:pPr>
    </w:p>
    <w:p w:rsidR="008C4771" w:rsidRPr="00A6582D" w:rsidRDefault="00851E43" w:rsidP="00D2724E">
      <w:pPr>
        <w:pStyle w:val="Default"/>
        <w:spacing w:line="276" w:lineRule="auto"/>
        <w:jc w:val="center"/>
      </w:pPr>
      <w:r w:rsidRPr="00A6582D">
        <w:t xml:space="preserve">October </w:t>
      </w:r>
      <w:r w:rsidR="003B27AD">
        <w:t>6</w:t>
      </w:r>
      <w:r w:rsidRPr="00A6582D">
        <w:t>, 2017</w:t>
      </w:r>
    </w:p>
    <w:p w:rsidR="008C4771" w:rsidRPr="00A6582D" w:rsidRDefault="008C4771" w:rsidP="00D2724E">
      <w:pPr>
        <w:pStyle w:val="Default"/>
        <w:spacing w:line="276" w:lineRule="auto"/>
        <w:jc w:val="center"/>
      </w:pPr>
    </w:p>
    <w:p w:rsidR="008C4771" w:rsidRPr="006C0693" w:rsidRDefault="00851E43" w:rsidP="006C0693">
      <w:pPr>
        <w:pStyle w:val="Default"/>
        <w:spacing w:line="276" w:lineRule="auto"/>
      </w:pPr>
      <w:r w:rsidRPr="006C0693">
        <w:t>1.  The United States welcomes the opportunity to respond to draft General Comment No.</w:t>
      </w:r>
      <w:r w:rsidR="00173DD5" w:rsidRPr="006C0693">
        <w:t xml:space="preserve"> </w:t>
      </w:r>
      <w:r w:rsidRPr="006C0693">
        <w:t>36 regarding Article 6 of the International Covenant on Civil and Political Rights (ICCPR) and the right to life,</w:t>
      </w:r>
      <w:r w:rsidR="00E47427" w:rsidRPr="006C0693">
        <w:rPr>
          <w:rStyle w:val="FootnoteReference"/>
        </w:rPr>
        <w:footnoteReference w:id="1"/>
      </w:r>
      <w:r w:rsidRPr="006C0693">
        <w:t xml:space="preserve"> and it appreciates the important work that the Human Rights Committee performs </w:t>
      </w:r>
      <w:r w:rsidR="00B8384C" w:rsidRPr="006C0693">
        <w:t>under its</w:t>
      </w:r>
      <w:r w:rsidRPr="006C0693">
        <w:t xml:space="preserve"> mandate as set out in the ICCPR and related Protocols.  The United States is firmly committed to carrying out its obligations under the ICCPR and under other human rights treaties to which it is Party.  The obligations of </w:t>
      </w:r>
      <w:r w:rsidR="00207056" w:rsidRPr="006C0693">
        <w:t xml:space="preserve">a </w:t>
      </w:r>
      <w:r w:rsidRPr="006C0693">
        <w:t>State Part</w:t>
      </w:r>
      <w:r w:rsidR="00207056" w:rsidRPr="006C0693">
        <w:t>y</w:t>
      </w:r>
      <w:r w:rsidRPr="006C0693">
        <w:t xml:space="preserve"> under Article 6 provide important protections for individuals within </w:t>
      </w:r>
      <w:r w:rsidR="00207056" w:rsidRPr="006C0693">
        <w:t>its</w:t>
      </w:r>
      <w:r w:rsidR="00B5474B" w:rsidRPr="006C0693">
        <w:t xml:space="preserve"> territory and subject to its</w:t>
      </w:r>
      <w:r w:rsidRPr="006C0693">
        <w:t xml:space="preserve"> jurisdiction, and the United States supports </w:t>
      </w:r>
      <w:r w:rsidR="00173DD5" w:rsidRPr="006C0693">
        <w:t xml:space="preserve">the </w:t>
      </w:r>
      <w:r w:rsidRPr="006C0693">
        <w:t>Committee</w:t>
      </w:r>
      <w:r w:rsidR="00173DD5" w:rsidRPr="006C0693">
        <w:t>’s</w:t>
      </w:r>
      <w:r w:rsidRPr="006C0693">
        <w:t xml:space="preserve"> effort</w:t>
      </w:r>
      <w:r w:rsidR="00207056" w:rsidRPr="006C0693">
        <w:t>s</w:t>
      </w:r>
      <w:r w:rsidRPr="006C0693">
        <w:t xml:space="preserve"> to assist and facilitate States Parties’ implementation of their </w:t>
      </w:r>
      <w:r w:rsidR="00207056" w:rsidRPr="006C0693">
        <w:t xml:space="preserve">ICCPR </w:t>
      </w:r>
      <w:r w:rsidRPr="006C0693">
        <w:t xml:space="preserve">obligations. </w:t>
      </w:r>
    </w:p>
    <w:p w:rsidR="008C4771" w:rsidRPr="00834D8C" w:rsidRDefault="00851E43" w:rsidP="006C0693">
      <w:pPr>
        <w:pStyle w:val="Default"/>
        <w:spacing w:before="240" w:line="276" w:lineRule="auto"/>
        <w:rPr>
          <w:b/>
        </w:rPr>
      </w:pPr>
      <w:r w:rsidRPr="006C0693">
        <w:t xml:space="preserve">2.  </w:t>
      </w:r>
      <w:r w:rsidR="00207056" w:rsidRPr="006C0693">
        <w:t>T</w:t>
      </w:r>
      <w:r w:rsidRPr="006C0693">
        <w:t xml:space="preserve">he observations of the United States </w:t>
      </w:r>
      <w:r w:rsidR="00207056" w:rsidRPr="006C0693">
        <w:t xml:space="preserve">reflect general observations </w:t>
      </w:r>
      <w:r w:rsidR="00B8384C" w:rsidRPr="006C0693">
        <w:t>of</w:t>
      </w:r>
      <w:r w:rsidR="00207056" w:rsidRPr="006C0693">
        <w:t xml:space="preserve"> overarching concern</w:t>
      </w:r>
      <w:r w:rsidR="00E97BF2" w:rsidRPr="006C0693">
        <w:t xml:space="preserve"> and do not include a comprehensive catalogue of all </w:t>
      </w:r>
      <w:r w:rsidR="00173DD5" w:rsidRPr="006C0693">
        <w:t xml:space="preserve">issues in the draft comment </w:t>
      </w:r>
      <w:r w:rsidR="00E97BF2" w:rsidRPr="006C0693">
        <w:t>on which we disagree.</w:t>
      </w:r>
      <w:r w:rsidR="00AA1845" w:rsidRPr="006C0693">
        <w:t xml:space="preserve"> </w:t>
      </w:r>
      <w:r w:rsidR="00800303" w:rsidRPr="006C0693">
        <w:t xml:space="preserve"> </w:t>
      </w:r>
      <w:r w:rsidR="00AA1845" w:rsidRPr="006C0693">
        <w:t>With</w:t>
      </w:r>
      <w:r w:rsidR="00B302D0" w:rsidRPr="006C0693">
        <w:t xml:space="preserve"> the limited time that the Committee has </w:t>
      </w:r>
      <w:r w:rsidR="00EA281C" w:rsidRPr="006C0693">
        <w:t>provided for</w:t>
      </w:r>
      <w:r w:rsidR="00B302D0" w:rsidRPr="006C0693">
        <w:t xml:space="preserve"> States </w:t>
      </w:r>
      <w:r w:rsidR="004D35AF" w:rsidRPr="006C0693">
        <w:t>P</w:t>
      </w:r>
      <w:r w:rsidR="00B302D0" w:rsidRPr="006C0693">
        <w:t xml:space="preserve">arties to respond, it is not feasible to </w:t>
      </w:r>
      <w:r w:rsidR="00173DD5" w:rsidRPr="006C0693">
        <w:t xml:space="preserve">address fully </w:t>
      </w:r>
      <w:r w:rsidR="00B5474B" w:rsidRPr="006C0693">
        <w:t>in our response each of the issues raised</w:t>
      </w:r>
      <w:r w:rsidR="00B302D0" w:rsidRPr="006C0693">
        <w:t xml:space="preserve">, although we </w:t>
      </w:r>
      <w:r w:rsidR="00165304" w:rsidRPr="006C0693">
        <w:t xml:space="preserve">do </w:t>
      </w:r>
      <w:r w:rsidR="00B302D0" w:rsidRPr="006C0693">
        <w:t xml:space="preserve">highlight by example some of </w:t>
      </w:r>
      <w:r w:rsidR="009367ED" w:rsidRPr="006C0693">
        <w:t xml:space="preserve">our </w:t>
      </w:r>
      <w:r w:rsidR="00B302D0" w:rsidRPr="006C0693">
        <w:t xml:space="preserve">most </w:t>
      </w:r>
      <w:r w:rsidR="00E97BF2" w:rsidRPr="006C0693">
        <w:t xml:space="preserve">serious concerns.  </w:t>
      </w:r>
      <w:r w:rsidRPr="006C0693">
        <w:t>The United States</w:t>
      </w:r>
      <w:r w:rsidR="0020109D" w:rsidRPr="006C0693">
        <w:t xml:space="preserve"> urges </w:t>
      </w:r>
      <w:r w:rsidRPr="006C0693">
        <w:t xml:space="preserve">the Committee </w:t>
      </w:r>
      <w:r w:rsidR="0020109D" w:rsidRPr="006C0693">
        <w:t xml:space="preserve">to </w:t>
      </w:r>
      <w:r w:rsidR="00207056" w:rsidRPr="006C0693">
        <w:t>take</w:t>
      </w:r>
      <w:r w:rsidR="0020109D" w:rsidRPr="006C0693">
        <w:t xml:space="preserve"> the United States’ views</w:t>
      </w:r>
      <w:r w:rsidR="00207056" w:rsidRPr="006C0693">
        <w:t xml:space="preserve"> into consideration</w:t>
      </w:r>
      <w:r w:rsidR="00277FC9" w:rsidRPr="006C0693">
        <w:t xml:space="preserve"> in its final g</w:t>
      </w:r>
      <w:r w:rsidRPr="006C0693">
        <w:t xml:space="preserve">eneral </w:t>
      </w:r>
      <w:r w:rsidR="00277FC9" w:rsidRPr="006C0693">
        <w:t>c</w:t>
      </w:r>
      <w:r w:rsidRPr="006C0693">
        <w:t xml:space="preserve">omment on Article 6. </w:t>
      </w:r>
    </w:p>
    <w:p w:rsidR="0089100B" w:rsidRPr="006C0693" w:rsidRDefault="00834D8C" w:rsidP="002826A1">
      <w:pPr>
        <w:pStyle w:val="ListParagraph"/>
        <w:spacing w:before="240"/>
        <w:ind w:left="0"/>
        <w:rPr>
          <w:rFonts w:ascii="Times New Roman" w:hAnsi="Times New Roman" w:cs="Times New Roman"/>
          <w:bCs/>
          <w:sz w:val="24"/>
          <w:szCs w:val="24"/>
          <w:u w:val="single"/>
        </w:rPr>
      </w:pPr>
      <w:r>
        <w:rPr>
          <w:rFonts w:ascii="Times New Roman" w:hAnsi="Times New Roman" w:cs="Times New Roman"/>
          <w:b/>
          <w:bCs/>
          <w:sz w:val="24"/>
          <w:szCs w:val="24"/>
        </w:rPr>
        <w:t>I.</w:t>
      </w:r>
      <w:r>
        <w:rPr>
          <w:rFonts w:ascii="Times New Roman" w:hAnsi="Times New Roman" w:cs="Times New Roman"/>
          <w:b/>
          <w:bCs/>
          <w:sz w:val="24"/>
          <w:szCs w:val="24"/>
        </w:rPr>
        <w:tab/>
      </w:r>
      <w:r w:rsidR="00851E43" w:rsidRPr="006C0693">
        <w:rPr>
          <w:rFonts w:ascii="Times New Roman" w:hAnsi="Times New Roman" w:cs="Times New Roman"/>
          <w:b/>
          <w:bCs/>
          <w:sz w:val="24"/>
          <w:szCs w:val="24"/>
        </w:rPr>
        <w:t>General Observations</w:t>
      </w:r>
    </w:p>
    <w:p w:rsidR="007B2069" w:rsidRPr="006C0693" w:rsidRDefault="002D28D1" w:rsidP="006C0693">
      <w:pPr>
        <w:autoSpaceDE w:val="0"/>
        <w:autoSpaceDN w:val="0"/>
        <w:adjustRightInd w:val="0"/>
        <w:spacing w:after="0"/>
        <w:rPr>
          <w:rFonts w:ascii="Times New Roman" w:hAnsi="Times New Roman" w:cs="Times New Roman"/>
          <w:sz w:val="24"/>
          <w:szCs w:val="24"/>
        </w:rPr>
      </w:pPr>
      <w:r w:rsidRPr="006C0693">
        <w:rPr>
          <w:rFonts w:ascii="Times New Roman" w:hAnsi="Times New Roman" w:cs="Times New Roman"/>
          <w:sz w:val="24"/>
          <w:szCs w:val="24"/>
        </w:rPr>
        <w:t>3</w:t>
      </w:r>
      <w:r w:rsidR="007B2069" w:rsidRPr="006C0693">
        <w:rPr>
          <w:rFonts w:ascii="Times New Roman" w:hAnsi="Times New Roman" w:cs="Times New Roman"/>
          <w:sz w:val="24"/>
          <w:szCs w:val="24"/>
        </w:rPr>
        <w:t xml:space="preserve">.  </w:t>
      </w:r>
      <w:r w:rsidR="00D8221E" w:rsidRPr="006C0693">
        <w:rPr>
          <w:rFonts w:ascii="Times New Roman" w:hAnsi="Times New Roman" w:cs="Times New Roman"/>
          <w:sz w:val="24"/>
          <w:szCs w:val="24"/>
        </w:rPr>
        <w:t>As discussed below, t</w:t>
      </w:r>
      <w:r w:rsidR="007B2069" w:rsidRPr="006C0693">
        <w:rPr>
          <w:rFonts w:ascii="Times New Roman" w:hAnsi="Times New Roman" w:cs="Times New Roman"/>
          <w:sz w:val="24"/>
          <w:szCs w:val="24"/>
        </w:rPr>
        <w:t xml:space="preserve">he range of issues the Committee considers to fall within the scope of the inherent right to life and the obligations of States Parties under Article 6 is </w:t>
      </w:r>
      <w:r w:rsidR="00D8221E" w:rsidRPr="006C0693">
        <w:rPr>
          <w:rFonts w:ascii="Times New Roman" w:hAnsi="Times New Roman" w:cs="Times New Roman"/>
          <w:sz w:val="24"/>
          <w:szCs w:val="24"/>
        </w:rPr>
        <w:t xml:space="preserve">overly </w:t>
      </w:r>
      <w:r w:rsidR="007B2069" w:rsidRPr="006C0693">
        <w:rPr>
          <w:rFonts w:ascii="Times New Roman" w:hAnsi="Times New Roman" w:cs="Times New Roman"/>
          <w:sz w:val="24"/>
          <w:szCs w:val="24"/>
        </w:rPr>
        <w:t>expansive</w:t>
      </w:r>
      <w:r w:rsidR="00A164A3" w:rsidRPr="006C0693">
        <w:rPr>
          <w:rFonts w:ascii="Times New Roman" w:hAnsi="Times New Roman" w:cs="Times New Roman"/>
          <w:sz w:val="24"/>
          <w:szCs w:val="24"/>
        </w:rPr>
        <w:t xml:space="preserve"> and </w:t>
      </w:r>
      <w:r w:rsidR="007B2069" w:rsidRPr="006C0693">
        <w:rPr>
          <w:rFonts w:ascii="Times New Roman" w:hAnsi="Times New Roman" w:cs="Times New Roman"/>
          <w:sz w:val="24"/>
          <w:szCs w:val="24"/>
        </w:rPr>
        <w:t>the</w:t>
      </w:r>
      <w:r w:rsidR="00A164A3" w:rsidRPr="006C0693">
        <w:rPr>
          <w:rFonts w:ascii="Times New Roman" w:hAnsi="Times New Roman" w:cs="Times New Roman"/>
          <w:sz w:val="24"/>
          <w:szCs w:val="24"/>
        </w:rPr>
        <w:t xml:space="preserve"> Committee provides </w:t>
      </w:r>
      <w:r w:rsidR="00D8221E" w:rsidRPr="006C0693">
        <w:rPr>
          <w:rFonts w:ascii="Times New Roman" w:hAnsi="Times New Roman" w:cs="Times New Roman"/>
          <w:sz w:val="24"/>
          <w:szCs w:val="24"/>
        </w:rPr>
        <w:t xml:space="preserve">little or </w:t>
      </w:r>
      <w:r w:rsidR="007B2069" w:rsidRPr="006C0693">
        <w:rPr>
          <w:rFonts w:ascii="Times New Roman" w:hAnsi="Times New Roman" w:cs="Times New Roman"/>
          <w:sz w:val="24"/>
          <w:szCs w:val="24"/>
        </w:rPr>
        <w:t xml:space="preserve">no authoritative legal support or treaty analysis grounded in </w:t>
      </w:r>
      <w:r w:rsidR="009A7302" w:rsidRPr="006C0693">
        <w:rPr>
          <w:rFonts w:ascii="Times New Roman" w:hAnsi="Times New Roman" w:cs="Times New Roman"/>
          <w:color w:val="000000"/>
          <w:sz w:val="24"/>
          <w:szCs w:val="24"/>
        </w:rPr>
        <w:t xml:space="preserve">established </w:t>
      </w:r>
      <w:r w:rsidR="007B2069" w:rsidRPr="006C0693">
        <w:rPr>
          <w:rFonts w:ascii="Times New Roman" w:hAnsi="Times New Roman" w:cs="Times New Roman"/>
          <w:color w:val="000000"/>
          <w:sz w:val="24"/>
          <w:szCs w:val="24"/>
        </w:rPr>
        <w:t>rules of treaty interpretation under international law</w:t>
      </w:r>
      <w:r w:rsidR="00173DD5" w:rsidRPr="006C0693">
        <w:rPr>
          <w:rFonts w:ascii="Times New Roman" w:hAnsi="Times New Roman" w:cs="Times New Roman"/>
          <w:color w:val="000000"/>
          <w:sz w:val="24"/>
          <w:szCs w:val="24"/>
        </w:rPr>
        <w:t xml:space="preserve"> to support</w:t>
      </w:r>
      <w:r w:rsidR="00D8221E" w:rsidRPr="006C0693">
        <w:rPr>
          <w:rFonts w:ascii="Times New Roman" w:hAnsi="Times New Roman" w:cs="Times New Roman"/>
          <w:color w:val="000000"/>
          <w:sz w:val="24"/>
          <w:szCs w:val="24"/>
        </w:rPr>
        <w:t xml:space="preserve"> </w:t>
      </w:r>
      <w:r w:rsidR="00A164A3" w:rsidRPr="006C0693">
        <w:rPr>
          <w:rFonts w:ascii="Times New Roman" w:hAnsi="Times New Roman" w:cs="Times New Roman"/>
          <w:color w:val="000000"/>
          <w:sz w:val="24"/>
          <w:szCs w:val="24"/>
        </w:rPr>
        <w:t xml:space="preserve">many of its positions.  </w:t>
      </w:r>
      <w:r w:rsidR="003B27AD" w:rsidRPr="006C0693">
        <w:rPr>
          <w:rFonts w:ascii="Times New Roman" w:hAnsi="Times New Roman" w:cs="Times New Roman"/>
          <w:sz w:val="24"/>
          <w:szCs w:val="24"/>
        </w:rPr>
        <w:t>T</w:t>
      </w:r>
      <w:r w:rsidR="00631634" w:rsidRPr="006C0693">
        <w:rPr>
          <w:rFonts w:ascii="Times New Roman" w:hAnsi="Times New Roman" w:cs="Times New Roman"/>
          <w:sz w:val="24"/>
          <w:szCs w:val="24"/>
        </w:rPr>
        <w:t>he Committee’s citation</w:t>
      </w:r>
      <w:r w:rsidR="007B7D7C" w:rsidRPr="006C0693">
        <w:rPr>
          <w:rFonts w:ascii="Times New Roman" w:hAnsi="Times New Roman" w:cs="Times New Roman"/>
          <w:sz w:val="24"/>
          <w:szCs w:val="24"/>
        </w:rPr>
        <w:t>s</w:t>
      </w:r>
      <w:r w:rsidR="00631634" w:rsidRPr="006C0693">
        <w:rPr>
          <w:rFonts w:ascii="Times New Roman" w:hAnsi="Times New Roman" w:cs="Times New Roman"/>
          <w:sz w:val="24"/>
          <w:szCs w:val="24"/>
        </w:rPr>
        <w:t xml:space="preserve"> to its own work products, whether in the form of general comments, concluding observations and recommendations, or “views” on Protocol communications, do not </w:t>
      </w:r>
      <w:r w:rsidR="007B7D7C" w:rsidRPr="006C0693">
        <w:rPr>
          <w:rFonts w:ascii="Times New Roman" w:hAnsi="Times New Roman" w:cs="Times New Roman"/>
          <w:sz w:val="24"/>
          <w:szCs w:val="24"/>
        </w:rPr>
        <w:t xml:space="preserve">in and of themselves </w:t>
      </w:r>
      <w:r w:rsidR="00631634" w:rsidRPr="006C0693">
        <w:rPr>
          <w:rFonts w:ascii="Times New Roman" w:hAnsi="Times New Roman" w:cs="Times New Roman"/>
          <w:sz w:val="24"/>
          <w:szCs w:val="24"/>
        </w:rPr>
        <w:t xml:space="preserve">provide legal support under international law.  They merely represent a collection </w:t>
      </w:r>
      <w:r w:rsidR="00E5282F" w:rsidRPr="006C0693">
        <w:rPr>
          <w:rFonts w:ascii="Times New Roman" w:hAnsi="Times New Roman" w:cs="Times New Roman"/>
          <w:sz w:val="24"/>
          <w:szCs w:val="24"/>
        </w:rPr>
        <w:t xml:space="preserve">of </w:t>
      </w:r>
      <w:r w:rsidR="00631634" w:rsidRPr="006C0693">
        <w:rPr>
          <w:rFonts w:ascii="Times New Roman" w:hAnsi="Times New Roman" w:cs="Times New Roman"/>
          <w:sz w:val="24"/>
          <w:szCs w:val="24"/>
        </w:rPr>
        <w:t>the Committee’s prior consistent, non-binding views and carry no greater weight or authority than when first published.</w:t>
      </w:r>
      <w:r w:rsidR="00631634" w:rsidRPr="006C0693">
        <w:rPr>
          <w:rStyle w:val="FootnoteReference"/>
          <w:rFonts w:ascii="Times New Roman" w:hAnsi="Times New Roman" w:cs="Times New Roman"/>
          <w:sz w:val="24"/>
          <w:szCs w:val="24"/>
        </w:rPr>
        <w:footnoteReference w:id="2"/>
      </w:r>
      <w:r w:rsidR="00631634" w:rsidRPr="006C0693">
        <w:rPr>
          <w:rFonts w:ascii="Times New Roman" w:hAnsi="Times New Roman" w:cs="Times New Roman"/>
          <w:sz w:val="24"/>
          <w:szCs w:val="24"/>
        </w:rPr>
        <w:t xml:space="preserve">  </w:t>
      </w:r>
    </w:p>
    <w:p w:rsidR="0003552B" w:rsidRPr="006C0693" w:rsidRDefault="0003552B" w:rsidP="006C0693">
      <w:pPr>
        <w:pStyle w:val="Default"/>
        <w:spacing w:line="276" w:lineRule="auto"/>
        <w:rPr>
          <w:bCs/>
          <w:u w:val="single"/>
        </w:rPr>
      </w:pPr>
    </w:p>
    <w:p w:rsidR="00B25CBE" w:rsidRPr="006C0693" w:rsidRDefault="00B25CBE" w:rsidP="006C0693">
      <w:pPr>
        <w:pStyle w:val="Default"/>
        <w:spacing w:line="276" w:lineRule="auto"/>
        <w:rPr>
          <w:bCs/>
          <w:u w:val="single"/>
        </w:rPr>
      </w:pPr>
    </w:p>
    <w:p w:rsidR="003007AA" w:rsidRPr="006C0693" w:rsidRDefault="00851E43" w:rsidP="006C0693">
      <w:pPr>
        <w:pStyle w:val="Default"/>
        <w:spacing w:line="276" w:lineRule="auto"/>
        <w:rPr>
          <w:bCs/>
          <w:u w:val="single"/>
        </w:rPr>
      </w:pPr>
      <w:r w:rsidRPr="006C0693">
        <w:rPr>
          <w:bCs/>
          <w:u w:val="single"/>
        </w:rPr>
        <w:lastRenderedPageBreak/>
        <w:t xml:space="preserve">Treaty Interpretation </w:t>
      </w:r>
    </w:p>
    <w:p w:rsidR="003950E5" w:rsidRPr="006C0693" w:rsidRDefault="003115EC" w:rsidP="006C0693">
      <w:pPr>
        <w:autoSpaceDE w:val="0"/>
        <w:autoSpaceDN w:val="0"/>
        <w:adjustRightInd w:val="0"/>
        <w:spacing w:before="240" w:after="0"/>
        <w:rPr>
          <w:rFonts w:ascii="Times New Roman" w:hAnsi="Times New Roman" w:cs="Times New Roman"/>
          <w:sz w:val="24"/>
          <w:szCs w:val="24"/>
        </w:rPr>
      </w:pPr>
      <w:r w:rsidRPr="006C0693">
        <w:rPr>
          <w:rFonts w:ascii="Times New Roman" w:hAnsi="Times New Roman" w:cs="Times New Roman"/>
          <w:color w:val="000000"/>
          <w:sz w:val="24"/>
          <w:szCs w:val="24"/>
        </w:rPr>
        <w:t>4</w:t>
      </w:r>
      <w:r w:rsidR="001E7040" w:rsidRPr="006C0693">
        <w:rPr>
          <w:rFonts w:ascii="Times New Roman" w:hAnsi="Times New Roman" w:cs="Times New Roman"/>
          <w:color w:val="000000"/>
          <w:sz w:val="24"/>
          <w:szCs w:val="24"/>
        </w:rPr>
        <w:t xml:space="preserve">.  </w:t>
      </w:r>
      <w:r w:rsidR="00790543" w:rsidRPr="006C0693">
        <w:rPr>
          <w:rFonts w:ascii="Times New Roman" w:hAnsi="Times New Roman" w:cs="Times New Roman"/>
          <w:color w:val="000000"/>
          <w:sz w:val="24"/>
          <w:szCs w:val="24"/>
        </w:rPr>
        <w:t xml:space="preserve">As with any treaty provision, a sound interpretation of </w:t>
      </w:r>
      <w:r w:rsidR="007C04AF" w:rsidRPr="006C0693">
        <w:rPr>
          <w:rFonts w:ascii="Times New Roman" w:hAnsi="Times New Roman" w:cs="Times New Roman"/>
          <w:color w:val="000000"/>
          <w:sz w:val="24"/>
          <w:szCs w:val="24"/>
        </w:rPr>
        <w:t xml:space="preserve">Article 6 </w:t>
      </w:r>
      <w:r w:rsidR="00790543" w:rsidRPr="006C0693">
        <w:rPr>
          <w:rFonts w:ascii="Times New Roman" w:hAnsi="Times New Roman" w:cs="Times New Roman"/>
          <w:color w:val="000000"/>
          <w:sz w:val="24"/>
          <w:szCs w:val="24"/>
        </w:rPr>
        <w:t xml:space="preserve">must be based on established rules of international law regarding treaty interpretation, as </w:t>
      </w:r>
      <w:r w:rsidR="007C04AF" w:rsidRPr="006C0693">
        <w:rPr>
          <w:rFonts w:ascii="Times New Roman" w:hAnsi="Times New Roman" w:cs="Times New Roman"/>
          <w:color w:val="000000"/>
          <w:sz w:val="24"/>
          <w:szCs w:val="24"/>
        </w:rPr>
        <w:t>reflected in Articles 31 and 32 of the Vienna Convention on the Law of Treaties</w:t>
      </w:r>
      <w:r w:rsidR="00903B38" w:rsidRPr="006C0693">
        <w:rPr>
          <w:rFonts w:ascii="Times New Roman" w:hAnsi="Times New Roman" w:cs="Times New Roman"/>
          <w:color w:val="000000"/>
          <w:sz w:val="24"/>
          <w:szCs w:val="24"/>
        </w:rPr>
        <w:t xml:space="preserve"> (VCLT).</w:t>
      </w:r>
      <w:r w:rsidR="00903B38" w:rsidRPr="006C0693">
        <w:rPr>
          <w:rStyle w:val="FootnoteReference"/>
          <w:rFonts w:ascii="Times New Roman" w:hAnsi="Times New Roman" w:cs="Times New Roman"/>
          <w:color w:val="000000"/>
          <w:sz w:val="24"/>
          <w:szCs w:val="24"/>
        </w:rPr>
        <w:footnoteReference w:id="3"/>
      </w:r>
      <w:r w:rsidR="00903B38" w:rsidRPr="006C0693">
        <w:rPr>
          <w:rFonts w:ascii="Times New Roman" w:hAnsi="Times New Roman" w:cs="Times New Roman"/>
          <w:color w:val="000000"/>
          <w:sz w:val="24"/>
          <w:szCs w:val="24"/>
        </w:rPr>
        <w:t xml:space="preserve">  Of primary importance, under Article 31(1): </w:t>
      </w:r>
      <w:r w:rsidR="00B114C2" w:rsidRPr="006C0693">
        <w:rPr>
          <w:rFonts w:ascii="Times New Roman" w:hAnsi="Times New Roman" w:cs="Times New Roman"/>
          <w:color w:val="000000"/>
          <w:sz w:val="24"/>
          <w:szCs w:val="24"/>
        </w:rPr>
        <w:t>“</w:t>
      </w:r>
      <w:r w:rsidR="00903B38" w:rsidRPr="006C0693">
        <w:rPr>
          <w:rFonts w:ascii="Times New Roman" w:hAnsi="Times New Roman" w:cs="Times New Roman"/>
          <w:sz w:val="24"/>
          <w:szCs w:val="24"/>
        </w:rPr>
        <w:t xml:space="preserve">A treaty shall be interpreted </w:t>
      </w:r>
      <w:r w:rsidR="00B114C2" w:rsidRPr="006C0693">
        <w:rPr>
          <w:rFonts w:ascii="Times New Roman" w:hAnsi="Times New Roman" w:cs="Times New Roman"/>
          <w:sz w:val="24"/>
          <w:szCs w:val="24"/>
        </w:rPr>
        <w:t>in good faith in accordance with the ordinary meaning to be given to the terms of the treaty in their context and in the light of its object and purpose</w:t>
      </w:r>
      <w:r w:rsidR="007C04AF" w:rsidRPr="006C0693">
        <w:rPr>
          <w:rFonts w:ascii="Times New Roman" w:hAnsi="Times New Roman" w:cs="Times New Roman"/>
          <w:color w:val="000000"/>
          <w:sz w:val="24"/>
          <w:szCs w:val="24"/>
        </w:rPr>
        <w:t>.</w:t>
      </w:r>
      <w:r w:rsidR="001B3ED4" w:rsidRPr="006C0693">
        <w:rPr>
          <w:rFonts w:ascii="Times New Roman" w:hAnsi="Times New Roman" w:cs="Times New Roman"/>
          <w:color w:val="000000"/>
          <w:sz w:val="24"/>
          <w:szCs w:val="24"/>
        </w:rPr>
        <w:t>”</w:t>
      </w:r>
      <w:r w:rsidR="007C04AF" w:rsidRPr="006C0693">
        <w:rPr>
          <w:rFonts w:ascii="Times New Roman" w:hAnsi="Times New Roman" w:cs="Times New Roman"/>
          <w:color w:val="000000"/>
          <w:sz w:val="24"/>
          <w:szCs w:val="24"/>
        </w:rPr>
        <w:t xml:space="preserve">  </w:t>
      </w:r>
      <w:r w:rsidR="001B3ED4" w:rsidRPr="006C0693">
        <w:rPr>
          <w:rFonts w:ascii="Times New Roman" w:hAnsi="Times New Roman" w:cs="Times New Roman"/>
          <w:color w:val="000000"/>
          <w:sz w:val="24"/>
          <w:szCs w:val="24"/>
        </w:rPr>
        <w:t>Furthermore, u</w:t>
      </w:r>
      <w:r w:rsidR="007C04AF" w:rsidRPr="006C0693">
        <w:rPr>
          <w:rFonts w:ascii="Times New Roman" w:hAnsi="Times New Roman" w:cs="Times New Roman"/>
          <w:color w:val="000000"/>
          <w:sz w:val="24"/>
          <w:szCs w:val="24"/>
        </w:rPr>
        <w:t xml:space="preserve">nder </w:t>
      </w:r>
      <w:r w:rsidR="0020109D" w:rsidRPr="006C0693">
        <w:rPr>
          <w:rFonts w:ascii="Times New Roman" w:hAnsi="Times New Roman" w:cs="Times New Roman"/>
          <w:color w:val="000000"/>
          <w:sz w:val="24"/>
          <w:szCs w:val="24"/>
        </w:rPr>
        <w:t>these rules</w:t>
      </w:r>
      <w:r w:rsidR="00BC6206" w:rsidRPr="006C0693">
        <w:rPr>
          <w:rFonts w:ascii="Times New Roman" w:hAnsi="Times New Roman" w:cs="Times New Roman"/>
          <w:color w:val="000000"/>
          <w:sz w:val="24"/>
          <w:szCs w:val="24"/>
        </w:rPr>
        <w:t>,</w:t>
      </w:r>
      <w:r w:rsidR="00A07EDD" w:rsidRPr="006C0693">
        <w:rPr>
          <w:rFonts w:ascii="Times New Roman" w:hAnsi="Times New Roman" w:cs="Times New Roman"/>
          <w:color w:val="000000"/>
          <w:sz w:val="24"/>
          <w:szCs w:val="24"/>
        </w:rPr>
        <w:t xml:space="preserve"> </w:t>
      </w:r>
      <w:r w:rsidR="00BC6206" w:rsidRPr="006C0693">
        <w:rPr>
          <w:rFonts w:ascii="Times New Roman" w:hAnsi="Times New Roman" w:cs="Times New Roman"/>
          <w:color w:val="000000"/>
          <w:sz w:val="24"/>
          <w:szCs w:val="24"/>
        </w:rPr>
        <w:t xml:space="preserve">as </w:t>
      </w:r>
      <w:r w:rsidR="00A07EDD" w:rsidRPr="006C0693">
        <w:rPr>
          <w:rFonts w:ascii="Times New Roman" w:hAnsi="Times New Roman" w:cs="Times New Roman"/>
          <w:color w:val="000000"/>
          <w:sz w:val="24"/>
          <w:szCs w:val="24"/>
        </w:rPr>
        <w:t xml:space="preserve">reflected in </w:t>
      </w:r>
      <w:r w:rsidR="00BC6206" w:rsidRPr="006C0693">
        <w:rPr>
          <w:rFonts w:ascii="Times New Roman" w:hAnsi="Times New Roman" w:cs="Times New Roman"/>
          <w:color w:val="000000"/>
          <w:sz w:val="24"/>
          <w:szCs w:val="24"/>
        </w:rPr>
        <w:t>Articles 31 and 32</w:t>
      </w:r>
      <w:r w:rsidR="007C04AF" w:rsidRPr="006C0693">
        <w:rPr>
          <w:rFonts w:ascii="Times New Roman" w:hAnsi="Times New Roman" w:cs="Times New Roman"/>
          <w:color w:val="000000"/>
          <w:sz w:val="24"/>
          <w:szCs w:val="24"/>
        </w:rPr>
        <w:t>,</w:t>
      </w:r>
      <w:r w:rsidR="00CE5CAE" w:rsidRPr="006C0693">
        <w:rPr>
          <w:rFonts w:ascii="Times New Roman" w:hAnsi="Times New Roman" w:cs="Times New Roman"/>
          <w:color w:val="000000"/>
          <w:sz w:val="24"/>
          <w:szCs w:val="24"/>
        </w:rPr>
        <w:t xml:space="preserve"> treaties are authoritatively interpreted by the </w:t>
      </w:r>
      <w:r w:rsidR="001B3ED4" w:rsidRPr="006C0693">
        <w:rPr>
          <w:rFonts w:ascii="Times New Roman" w:hAnsi="Times New Roman" w:cs="Times New Roman"/>
          <w:color w:val="000000"/>
          <w:sz w:val="24"/>
          <w:szCs w:val="24"/>
        </w:rPr>
        <w:t xml:space="preserve">parties </w:t>
      </w:r>
      <w:r w:rsidR="00CE5CAE" w:rsidRPr="006C0693">
        <w:rPr>
          <w:rFonts w:ascii="Times New Roman" w:hAnsi="Times New Roman" w:cs="Times New Roman"/>
          <w:color w:val="000000"/>
          <w:sz w:val="24"/>
          <w:szCs w:val="24"/>
        </w:rPr>
        <w:t>themselves through mutual agreement</w:t>
      </w:r>
      <w:r w:rsidR="00831BF0" w:rsidRPr="006C0693">
        <w:rPr>
          <w:rFonts w:ascii="Times New Roman" w:hAnsi="Times New Roman" w:cs="Times New Roman"/>
          <w:color w:val="000000"/>
          <w:sz w:val="24"/>
          <w:szCs w:val="24"/>
        </w:rPr>
        <w:t xml:space="preserve"> by </w:t>
      </w:r>
      <w:r w:rsidR="001B3ED4" w:rsidRPr="006C0693">
        <w:rPr>
          <w:rFonts w:ascii="Times New Roman" w:hAnsi="Times New Roman" w:cs="Times New Roman"/>
          <w:color w:val="000000"/>
          <w:sz w:val="24"/>
          <w:szCs w:val="24"/>
        </w:rPr>
        <w:t xml:space="preserve">them </w:t>
      </w:r>
      <w:r w:rsidR="00831BF0" w:rsidRPr="006C0693">
        <w:rPr>
          <w:rFonts w:ascii="Times New Roman" w:hAnsi="Times New Roman" w:cs="Times New Roman"/>
          <w:color w:val="000000"/>
          <w:sz w:val="24"/>
          <w:szCs w:val="24"/>
        </w:rPr>
        <w:t>all, either in connection with the conclusion of the treaty or subsequently in a manner that</w:t>
      </w:r>
      <w:r w:rsidR="00831BF0" w:rsidRPr="006C0693">
        <w:rPr>
          <w:rFonts w:ascii="Times New Roman" w:hAnsi="Times New Roman" w:cs="Times New Roman"/>
          <w:sz w:val="24"/>
          <w:szCs w:val="24"/>
        </w:rPr>
        <w:t xml:space="preserve"> establishes </w:t>
      </w:r>
      <w:r w:rsidR="001B3ED4" w:rsidRPr="006C0693">
        <w:rPr>
          <w:rFonts w:ascii="Times New Roman" w:hAnsi="Times New Roman" w:cs="Times New Roman"/>
          <w:sz w:val="24"/>
          <w:szCs w:val="24"/>
        </w:rPr>
        <w:t>all parties’</w:t>
      </w:r>
      <w:r w:rsidR="00831BF0" w:rsidRPr="006C0693">
        <w:rPr>
          <w:rFonts w:ascii="Times New Roman" w:hAnsi="Times New Roman" w:cs="Times New Roman"/>
          <w:sz w:val="24"/>
          <w:szCs w:val="24"/>
        </w:rPr>
        <w:t xml:space="preserve"> agreement regarding its interpretation</w:t>
      </w:r>
      <w:r w:rsidR="00CE5CAE" w:rsidRPr="006C0693">
        <w:rPr>
          <w:rFonts w:ascii="Times New Roman" w:hAnsi="Times New Roman" w:cs="Times New Roman"/>
          <w:sz w:val="24"/>
          <w:szCs w:val="24"/>
        </w:rPr>
        <w:t>.</w:t>
      </w:r>
      <w:r w:rsidR="00CE5CAE" w:rsidRPr="006C0693">
        <w:rPr>
          <w:rStyle w:val="FootnoteReference"/>
          <w:rFonts w:ascii="Times New Roman" w:hAnsi="Times New Roman" w:cs="Times New Roman"/>
          <w:sz w:val="24"/>
          <w:szCs w:val="24"/>
        </w:rPr>
        <w:footnoteReference w:id="4"/>
      </w:r>
      <w:r w:rsidR="00CE5CAE" w:rsidRPr="006C0693">
        <w:rPr>
          <w:rFonts w:ascii="Times New Roman" w:hAnsi="Times New Roman" w:cs="Times New Roman"/>
          <w:sz w:val="24"/>
          <w:szCs w:val="24"/>
        </w:rPr>
        <w:t xml:space="preserve"> </w:t>
      </w:r>
      <w:r w:rsidR="00903B38" w:rsidRPr="006C0693">
        <w:rPr>
          <w:rFonts w:ascii="Times New Roman" w:hAnsi="Times New Roman" w:cs="Times New Roman"/>
          <w:sz w:val="24"/>
          <w:szCs w:val="24"/>
        </w:rPr>
        <w:t xml:space="preserve"> The Committee has</w:t>
      </w:r>
      <w:r w:rsidR="00A13E8E" w:rsidRPr="006C0693">
        <w:rPr>
          <w:rFonts w:ascii="Times New Roman" w:hAnsi="Times New Roman" w:cs="Times New Roman"/>
          <w:sz w:val="24"/>
          <w:szCs w:val="24"/>
        </w:rPr>
        <w:t>, however,</w:t>
      </w:r>
      <w:r w:rsidR="00903B38" w:rsidRPr="006C0693">
        <w:rPr>
          <w:rFonts w:ascii="Times New Roman" w:hAnsi="Times New Roman" w:cs="Times New Roman"/>
          <w:sz w:val="24"/>
          <w:szCs w:val="24"/>
        </w:rPr>
        <w:t xml:space="preserve"> failed to support its </w:t>
      </w:r>
      <w:r w:rsidR="00CB46B0" w:rsidRPr="006C0693">
        <w:rPr>
          <w:rFonts w:ascii="Times New Roman" w:hAnsi="Times New Roman" w:cs="Times New Roman"/>
          <w:sz w:val="24"/>
          <w:szCs w:val="24"/>
        </w:rPr>
        <w:t>views regarding the meaning</w:t>
      </w:r>
      <w:r w:rsidR="00A13E8E" w:rsidRPr="006C0693">
        <w:rPr>
          <w:rFonts w:ascii="Times New Roman" w:hAnsi="Times New Roman" w:cs="Times New Roman"/>
          <w:sz w:val="24"/>
          <w:szCs w:val="24"/>
        </w:rPr>
        <w:t xml:space="preserve"> </w:t>
      </w:r>
      <w:r w:rsidR="00903B38" w:rsidRPr="006C0693">
        <w:rPr>
          <w:rFonts w:ascii="Times New Roman" w:hAnsi="Times New Roman" w:cs="Times New Roman"/>
          <w:sz w:val="24"/>
          <w:szCs w:val="24"/>
        </w:rPr>
        <w:t>of the ICCPR with any treaty analysis grounded in VCLT Articles 31 and 32</w:t>
      </w:r>
      <w:r w:rsidR="009367ED" w:rsidRPr="006C0693">
        <w:rPr>
          <w:rFonts w:ascii="Times New Roman" w:hAnsi="Times New Roman" w:cs="Times New Roman"/>
          <w:sz w:val="24"/>
          <w:szCs w:val="24"/>
        </w:rPr>
        <w:t xml:space="preserve">, </w:t>
      </w:r>
      <w:r w:rsidR="00903B38" w:rsidRPr="006C0693">
        <w:rPr>
          <w:rFonts w:ascii="Times New Roman" w:hAnsi="Times New Roman" w:cs="Times New Roman"/>
          <w:sz w:val="24"/>
          <w:szCs w:val="24"/>
        </w:rPr>
        <w:t>and no such support exists.</w:t>
      </w:r>
      <w:r w:rsidR="00831BF0" w:rsidRPr="006C0693">
        <w:rPr>
          <w:rFonts w:ascii="Times New Roman" w:hAnsi="Times New Roman" w:cs="Times New Roman"/>
          <w:sz w:val="24"/>
          <w:szCs w:val="24"/>
        </w:rPr>
        <w:t xml:space="preserve"> </w:t>
      </w:r>
      <w:r w:rsidR="00CE5CAE" w:rsidRPr="006C0693">
        <w:rPr>
          <w:rFonts w:ascii="Times New Roman" w:hAnsi="Times New Roman" w:cs="Times New Roman"/>
          <w:sz w:val="24"/>
          <w:szCs w:val="24"/>
        </w:rPr>
        <w:t xml:space="preserve"> </w:t>
      </w:r>
    </w:p>
    <w:p w:rsidR="0089100B" w:rsidRPr="006C0693" w:rsidRDefault="003115EC" w:rsidP="006C0693">
      <w:pPr>
        <w:spacing w:before="240"/>
        <w:rPr>
          <w:rFonts w:ascii="Times New Roman" w:hAnsi="Times New Roman" w:cs="Times New Roman"/>
          <w:color w:val="000000"/>
          <w:sz w:val="24"/>
          <w:szCs w:val="24"/>
        </w:rPr>
      </w:pPr>
      <w:r w:rsidRPr="006C0693">
        <w:rPr>
          <w:rFonts w:ascii="Times New Roman" w:hAnsi="Times New Roman" w:cs="Times New Roman"/>
          <w:color w:val="000000"/>
          <w:sz w:val="24"/>
          <w:szCs w:val="24"/>
        </w:rPr>
        <w:t>5</w:t>
      </w:r>
      <w:r w:rsidR="003950E5" w:rsidRPr="006C0693">
        <w:rPr>
          <w:rFonts w:ascii="Times New Roman" w:hAnsi="Times New Roman" w:cs="Times New Roman"/>
          <w:color w:val="000000"/>
          <w:sz w:val="24"/>
          <w:szCs w:val="24"/>
        </w:rPr>
        <w:t xml:space="preserve">.  </w:t>
      </w:r>
      <w:r w:rsidR="003B27AD" w:rsidRPr="006C0693">
        <w:rPr>
          <w:rFonts w:ascii="Times New Roman" w:hAnsi="Times New Roman" w:cs="Times New Roman"/>
          <w:color w:val="000000"/>
          <w:sz w:val="24"/>
          <w:szCs w:val="24"/>
        </w:rPr>
        <w:t>As the United States has stated previously, it</w:t>
      </w:r>
      <w:r w:rsidR="00903B38" w:rsidRPr="006C0693">
        <w:rPr>
          <w:rFonts w:ascii="Times New Roman" w:hAnsi="Times New Roman" w:cs="Times New Roman"/>
          <w:color w:val="000000"/>
          <w:sz w:val="24"/>
          <w:szCs w:val="24"/>
        </w:rPr>
        <w:t xml:space="preserve"> is for each State to decide as an exercise of its sovereignty to assume treaty obligations which, once entered into, it has a legal obligation to fulfill.</w:t>
      </w:r>
      <w:r w:rsidR="00903B38" w:rsidRPr="006C0693">
        <w:rPr>
          <w:rStyle w:val="FootnoteReference"/>
          <w:rFonts w:ascii="Times New Roman" w:hAnsi="Times New Roman" w:cs="Times New Roman"/>
          <w:color w:val="000000"/>
          <w:sz w:val="24"/>
          <w:szCs w:val="24"/>
        </w:rPr>
        <w:footnoteReference w:id="5"/>
      </w:r>
      <w:r w:rsidR="00903B38" w:rsidRPr="006C0693">
        <w:rPr>
          <w:rFonts w:ascii="Times New Roman" w:hAnsi="Times New Roman" w:cs="Times New Roman"/>
          <w:color w:val="000000"/>
          <w:sz w:val="24"/>
          <w:szCs w:val="24"/>
        </w:rPr>
        <w:t xml:space="preserve">  The United States, for example, becomes bound to treaty obligations</w:t>
      </w:r>
      <w:r w:rsidR="00173DD5" w:rsidRPr="006C0693">
        <w:rPr>
          <w:rFonts w:ascii="Times New Roman" w:hAnsi="Times New Roman" w:cs="Times New Roman"/>
          <w:color w:val="000000"/>
          <w:sz w:val="24"/>
          <w:szCs w:val="24"/>
        </w:rPr>
        <w:t xml:space="preserve"> that have entered into force</w:t>
      </w:r>
      <w:r w:rsidR="00903B38" w:rsidRPr="006C0693">
        <w:rPr>
          <w:rFonts w:ascii="Times New Roman" w:hAnsi="Times New Roman" w:cs="Times New Roman"/>
          <w:color w:val="000000"/>
          <w:sz w:val="24"/>
          <w:szCs w:val="24"/>
        </w:rPr>
        <w:t xml:space="preserve"> at the time it becomes a party by operation of its Constitutional processes. </w:t>
      </w:r>
      <w:r w:rsidR="0020109D" w:rsidRPr="006C0693">
        <w:rPr>
          <w:rFonts w:ascii="Times New Roman" w:hAnsi="Times New Roman" w:cs="Times New Roman"/>
          <w:color w:val="000000"/>
          <w:sz w:val="24"/>
          <w:szCs w:val="24"/>
        </w:rPr>
        <w:t xml:space="preserve"> </w:t>
      </w:r>
      <w:r w:rsidR="00903B38" w:rsidRPr="006C0693">
        <w:rPr>
          <w:rFonts w:ascii="Times New Roman" w:hAnsi="Times New Roman" w:cs="Times New Roman"/>
          <w:color w:val="000000"/>
          <w:sz w:val="24"/>
          <w:szCs w:val="24"/>
        </w:rPr>
        <w:t>The process involved in the United States’ becoming party to a treaty is closely related to the way the United States approaches questions of how its treaty obligations are to be interpreted and how those obligations might be changed.</w:t>
      </w:r>
      <w:r w:rsidR="00903B38" w:rsidRPr="006C0693">
        <w:rPr>
          <w:rStyle w:val="FootnoteReference"/>
          <w:rFonts w:ascii="Times New Roman" w:hAnsi="Times New Roman" w:cs="Times New Roman"/>
          <w:color w:val="000000"/>
          <w:sz w:val="24"/>
          <w:szCs w:val="24"/>
        </w:rPr>
        <w:footnoteReference w:id="6"/>
      </w:r>
      <w:r w:rsidR="00903B38" w:rsidRPr="006C0693">
        <w:rPr>
          <w:rFonts w:ascii="Times New Roman" w:hAnsi="Times New Roman" w:cs="Times New Roman"/>
          <w:color w:val="000000"/>
          <w:sz w:val="24"/>
          <w:szCs w:val="24"/>
        </w:rPr>
        <w:t xml:space="preserve"> </w:t>
      </w:r>
      <w:r w:rsidR="0020109D" w:rsidRPr="006C0693">
        <w:rPr>
          <w:rFonts w:ascii="Times New Roman" w:hAnsi="Times New Roman" w:cs="Times New Roman"/>
          <w:color w:val="000000"/>
          <w:sz w:val="24"/>
          <w:szCs w:val="24"/>
        </w:rPr>
        <w:t xml:space="preserve"> </w:t>
      </w:r>
      <w:r w:rsidR="00851E43" w:rsidRPr="006C0693">
        <w:rPr>
          <w:rFonts w:ascii="Times New Roman" w:hAnsi="Times New Roman" w:cs="Times New Roman"/>
          <w:color w:val="000000"/>
          <w:sz w:val="24"/>
          <w:szCs w:val="24"/>
        </w:rPr>
        <w:t>As a general matter</w:t>
      </w:r>
      <w:r w:rsidR="0045037E" w:rsidRPr="006C0693">
        <w:rPr>
          <w:rFonts w:ascii="Times New Roman" w:hAnsi="Times New Roman" w:cs="Times New Roman"/>
          <w:color w:val="000000"/>
          <w:sz w:val="24"/>
          <w:szCs w:val="24"/>
        </w:rPr>
        <w:t>,</w:t>
      </w:r>
      <w:r w:rsidR="00851E43" w:rsidRPr="006C0693">
        <w:rPr>
          <w:rFonts w:ascii="Times New Roman" w:hAnsi="Times New Roman" w:cs="Times New Roman"/>
          <w:color w:val="000000"/>
          <w:sz w:val="24"/>
          <w:szCs w:val="24"/>
        </w:rPr>
        <w:t xml:space="preserve"> under international treaty law, treaty parties could</w:t>
      </w:r>
      <w:r w:rsidR="00F06CEC" w:rsidRPr="006C0693">
        <w:rPr>
          <w:rFonts w:ascii="Times New Roman" w:hAnsi="Times New Roman" w:cs="Times New Roman"/>
          <w:color w:val="000000"/>
          <w:sz w:val="24"/>
          <w:szCs w:val="24"/>
        </w:rPr>
        <w:t>,</w:t>
      </w:r>
      <w:r w:rsidR="00851E43" w:rsidRPr="006C0693">
        <w:rPr>
          <w:rFonts w:ascii="Times New Roman" w:hAnsi="Times New Roman" w:cs="Times New Roman"/>
          <w:color w:val="000000"/>
          <w:sz w:val="24"/>
          <w:szCs w:val="24"/>
        </w:rPr>
        <w:t xml:space="preserve"> through provisions in the treaty</w:t>
      </w:r>
      <w:r w:rsidR="00F06CEC" w:rsidRPr="006C0693">
        <w:rPr>
          <w:rFonts w:ascii="Times New Roman" w:hAnsi="Times New Roman" w:cs="Times New Roman"/>
          <w:color w:val="000000"/>
          <w:sz w:val="24"/>
          <w:szCs w:val="24"/>
        </w:rPr>
        <w:t>,</w:t>
      </w:r>
      <w:r w:rsidR="00851E43" w:rsidRPr="006C0693">
        <w:rPr>
          <w:rFonts w:ascii="Times New Roman" w:hAnsi="Times New Roman" w:cs="Times New Roman"/>
          <w:color w:val="000000"/>
          <w:sz w:val="24"/>
          <w:szCs w:val="24"/>
        </w:rPr>
        <w:t xml:space="preserve"> agree to allow another entity to </w:t>
      </w:r>
      <w:r w:rsidR="00C07BC4" w:rsidRPr="006C0693">
        <w:rPr>
          <w:rFonts w:ascii="Times New Roman" w:hAnsi="Times New Roman" w:cs="Times New Roman"/>
          <w:color w:val="000000"/>
          <w:sz w:val="24"/>
          <w:szCs w:val="24"/>
        </w:rPr>
        <w:t xml:space="preserve">render authoritative treaty </w:t>
      </w:r>
      <w:r w:rsidR="00851E43" w:rsidRPr="006C0693">
        <w:rPr>
          <w:rFonts w:ascii="Times New Roman" w:hAnsi="Times New Roman" w:cs="Times New Roman"/>
          <w:color w:val="000000"/>
          <w:sz w:val="24"/>
          <w:szCs w:val="24"/>
        </w:rPr>
        <w:t>interpret</w:t>
      </w:r>
      <w:r w:rsidR="00C07BC4" w:rsidRPr="006C0693">
        <w:rPr>
          <w:rFonts w:ascii="Times New Roman" w:hAnsi="Times New Roman" w:cs="Times New Roman"/>
          <w:color w:val="000000"/>
          <w:sz w:val="24"/>
          <w:szCs w:val="24"/>
        </w:rPr>
        <w:t>ation</w:t>
      </w:r>
      <w:r w:rsidR="00851E43" w:rsidRPr="006C0693">
        <w:rPr>
          <w:rFonts w:ascii="Times New Roman" w:hAnsi="Times New Roman" w:cs="Times New Roman"/>
          <w:color w:val="000000"/>
          <w:sz w:val="24"/>
          <w:szCs w:val="24"/>
        </w:rPr>
        <w:t xml:space="preserve"> or </w:t>
      </w:r>
      <w:r w:rsidR="00C07BC4" w:rsidRPr="006C0693">
        <w:rPr>
          <w:rFonts w:ascii="Times New Roman" w:hAnsi="Times New Roman" w:cs="Times New Roman"/>
          <w:color w:val="000000"/>
          <w:sz w:val="24"/>
          <w:szCs w:val="24"/>
        </w:rPr>
        <w:t xml:space="preserve">to </w:t>
      </w:r>
      <w:r w:rsidR="00851E43" w:rsidRPr="006C0693">
        <w:rPr>
          <w:rFonts w:ascii="Times New Roman" w:hAnsi="Times New Roman" w:cs="Times New Roman"/>
          <w:color w:val="000000"/>
          <w:sz w:val="24"/>
          <w:szCs w:val="24"/>
        </w:rPr>
        <w:t xml:space="preserve">resolve </w:t>
      </w:r>
      <w:r w:rsidR="00173DD5" w:rsidRPr="006C0693">
        <w:rPr>
          <w:rFonts w:ascii="Times New Roman" w:hAnsi="Times New Roman" w:cs="Times New Roman"/>
          <w:color w:val="000000"/>
          <w:sz w:val="24"/>
          <w:szCs w:val="24"/>
        </w:rPr>
        <w:t xml:space="preserve">definitively </w:t>
      </w:r>
      <w:r w:rsidR="00C07BC4" w:rsidRPr="006C0693">
        <w:rPr>
          <w:rFonts w:ascii="Times New Roman" w:hAnsi="Times New Roman" w:cs="Times New Roman"/>
          <w:color w:val="000000"/>
          <w:sz w:val="24"/>
          <w:szCs w:val="24"/>
        </w:rPr>
        <w:t xml:space="preserve">legal disputes or </w:t>
      </w:r>
      <w:r w:rsidR="00851E43" w:rsidRPr="006C0693">
        <w:rPr>
          <w:rFonts w:ascii="Times New Roman" w:hAnsi="Times New Roman" w:cs="Times New Roman"/>
          <w:color w:val="000000"/>
          <w:sz w:val="24"/>
          <w:szCs w:val="24"/>
        </w:rPr>
        <w:t>questions relating to their obligations</w:t>
      </w:r>
      <w:r w:rsidR="00AA5E6B" w:rsidRPr="006C0693">
        <w:rPr>
          <w:rFonts w:ascii="Times New Roman" w:hAnsi="Times New Roman" w:cs="Times New Roman"/>
          <w:color w:val="000000"/>
          <w:sz w:val="24"/>
          <w:szCs w:val="24"/>
        </w:rPr>
        <w:t>, but this is not the case for the ICCPR</w:t>
      </w:r>
      <w:r w:rsidR="00CF1738">
        <w:rPr>
          <w:rFonts w:ascii="Times New Roman" w:hAnsi="Times New Roman" w:cs="Times New Roman"/>
          <w:color w:val="000000"/>
          <w:sz w:val="24"/>
          <w:szCs w:val="24"/>
        </w:rPr>
        <w:t>.</w:t>
      </w:r>
      <w:r w:rsidR="0097306F" w:rsidRPr="006C0693">
        <w:rPr>
          <w:rStyle w:val="FootnoteReference"/>
          <w:rFonts w:ascii="Times New Roman" w:hAnsi="Times New Roman" w:cs="Times New Roman"/>
          <w:color w:val="000000"/>
          <w:sz w:val="24"/>
          <w:szCs w:val="24"/>
        </w:rPr>
        <w:footnoteReference w:id="7"/>
      </w:r>
      <w:r w:rsidR="00AA5E6B" w:rsidRPr="006C0693">
        <w:rPr>
          <w:rFonts w:ascii="Times New Roman" w:hAnsi="Times New Roman" w:cs="Times New Roman"/>
          <w:color w:val="000000"/>
          <w:sz w:val="24"/>
          <w:szCs w:val="24"/>
        </w:rPr>
        <w:t xml:space="preserve"> </w:t>
      </w:r>
      <w:r w:rsidR="00C07BC4" w:rsidRPr="006C0693">
        <w:rPr>
          <w:rFonts w:ascii="Times New Roman" w:hAnsi="Times New Roman" w:cs="Times New Roman"/>
          <w:color w:val="000000"/>
          <w:sz w:val="24"/>
          <w:szCs w:val="24"/>
        </w:rPr>
        <w:t xml:space="preserve"> </w:t>
      </w:r>
      <w:r w:rsidR="00851E43" w:rsidRPr="006C0693">
        <w:rPr>
          <w:rFonts w:ascii="Times New Roman" w:hAnsi="Times New Roman" w:cs="Times New Roman"/>
          <w:color w:val="000000"/>
          <w:sz w:val="24"/>
          <w:szCs w:val="24"/>
        </w:rPr>
        <w:t xml:space="preserve">States Parties to the </w:t>
      </w:r>
      <w:r w:rsidR="00FC2D2A" w:rsidRPr="006C0693">
        <w:rPr>
          <w:rFonts w:ascii="Times New Roman" w:hAnsi="Times New Roman" w:cs="Times New Roman"/>
          <w:color w:val="000000"/>
          <w:sz w:val="24"/>
          <w:szCs w:val="24"/>
        </w:rPr>
        <w:t>ICCPR</w:t>
      </w:r>
      <w:r w:rsidR="00851E43" w:rsidRPr="006C0693">
        <w:rPr>
          <w:rFonts w:ascii="Times New Roman" w:hAnsi="Times New Roman" w:cs="Times New Roman"/>
          <w:color w:val="000000"/>
          <w:sz w:val="24"/>
          <w:szCs w:val="24"/>
        </w:rPr>
        <w:t xml:space="preserve"> have not given authority to the </w:t>
      </w:r>
      <w:r w:rsidR="00FC2D2A" w:rsidRPr="006C0693">
        <w:rPr>
          <w:rFonts w:ascii="Times New Roman" w:hAnsi="Times New Roman" w:cs="Times New Roman"/>
          <w:color w:val="000000"/>
          <w:sz w:val="24"/>
          <w:szCs w:val="24"/>
        </w:rPr>
        <w:t xml:space="preserve">Human Rights </w:t>
      </w:r>
      <w:r w:rsidR="00851E43" w:rsidRPr="006C0693">
        <w:rPr>
          <w:rFonts w:ascii="Times New Roman" w:hAnsi="Times New Roman" w:cs="Times New Roman"/>
          <w:color w:val="000000"/>
          <w:sz w:val="24"/>
          <w:szCs w:val="24"/>
        </w:rPr>
        <w:t xml:space="preserve">Committee or </w:t>
      </w:r>
      <w:r w:rsidR="003950E5" w:rsidRPr="006C0693">
        <w:rPr>
          <w:rFonts w:ascii="Times New Roman" w:hAnsi="Times New Roman" w:cs="Times New Roman"/>
          <w:color w:val="000000"/>
          <w:sz w:val="24"/>
          <w:szCs w:val="24"/>
        </w:rPr>
        <w:t xml:space="preserve">to </w:t>
      </w:r>
      <w:r w:rsidR="00851E43" w:rsidRPr="006C0693">
        <w:rPr>
          <w:rFonts w:ascii="Times New Roman" w:hAnsi="Times New Roman" w:cs="Times New Roman"/>
          <w:color w:val="000000"/>
          <w:sz w:val="24"/>
          <w:szCs w:val="24"/>
        </w:rPr>
        <w:t>any other entity to fashion or otherwise de</w:t>
      </w:r>
      <w:r w:rsidR="006F1C98" w:rsidRPr="006C0693">
        <w:rPr>
          <w:rFonts w:ascii="Times New Roman" w:hAnsi="Times New Roman" w:cs="Times New Roman"/>
          <w:color w:val="000000"/>
          <w:sz w:val="24"/>
          <w:szCs w:val="24"/>
        </w:rPr>
        <w:t xml:space="preserve">termine </w:t>
      </w:r>
      <w:r w:rsidR="00AC53E7" w:rsidRPr="006C0693">
        <w:rPr>
          <w:rFonts w:ascii="Times New Roman" w:hAnsi="Times New Roman" w:cs="Times New Roman"/>
          <w:color w:val="000000"/>
          <w:sz w:val="24"/>
          <w:szCs w:val="24"/>
        </w:rPr>
        <w:t>their</w:t>
      </w:r>
      <w:r w:rsidR="001B3ED4" w:rsidRPr="006C0693">
        <w:rPr>
          <w:rFonts w:ascii="Times New Roman" w:hAnsi="Times New Roman" w:cs="Times New Roman"/>
          <w:color w:val="000000"/>
          <w:sz w:val="24"/>
          <w:szCs w:val="24"/>
        </w:rPr>
        <w:t xml:space="preserve"> treaty obligations.</w:t>
      </w:r>
      <w:r w:rsidR="0097306F" w:rsidRPr="006C0693">
        <w:rPr>
          <w:rStyle w:val="FootnoteReference"/>
          <w:rFonts w:ascii="Times New Roman" w:hAnsi="Times New Roman" w:cs="Times New Roman"/>
          <w:color w:val="000000"/>
          <w:sz w:val="24"/>
          <w:szCs w:val="24"/>
        </w:rPr>
        <w:footnoteReference w:id="8"/>
      </w:r>
      <w:r w:rsidR="00794D5B" w:rsidRPr="006C0693">
        <w:rPr>
          <w:rFonts w:ascii="Times New Roman" w:hAnsi="Times New Roman" w:cs="Times New Roman"/>
          <w:color w:val="000000"/>
          <w:sz w:val="24"/>
          <w:szCs w:val="24"/>
        </w:rPr>
        <w:t xml:space="preserve">  </w:t>
      </w:r>
    </w:p>
    <w:p w:rsidR="003007AA" w:rsidRPr="006C0693" w:rsidRDefault="00805406" w:rsidP="006C0693">
      <w:pPr>
        <w:rPr>
          <w:rFonts w:ascii="Times New Roman" w:hAnsi="Times New Roman" w:cs="Times New Roman"/>
          <w:color w:val="000000"/>
          <w:sz w:val="24"/>
          <w:szCs w:val="24"/>
        </w:rPr>
      </w:pPr>
      <w:r w:rsidRPr="006C0693">
        <w:rPr>
          <w:rFonts w:ascii="Times New Roman" w:hAnsi="Times New Roman" w:cs="Times New Roman"/>
          <w:color w:val="000000"/>
          <w:sz w:val="24"/>
          <w:szCs w:val="24"/>
        </w:rPr>
        <w:t>6</w:t>
      </w:r>
      <w:r w:rsidR="001E7040" w:rsidRPr="006C0693">
        <w:rPr>
          <w:rFonts w:ascii="Times New Roman" w:hAnsi="Times New Roman" w:cs="Times New Roman"/>
          <w:color w:val="000000"/>
          <w:sz w:val="24"/>
          <w:szCs w:val="24"/>
        </w:rPr>
        <w:t xml:space="preserve">.  </w:t>
      </w:r>
      <w:r w:rsidR="00851E43" w:rsidRPr="006C0693">
        <w:rPr>
          <w:rFonts w:ascii="Times New Roman" w:hAnsi="Times New Roman" w:cs="Times New Roman"/>
          <w:color w:val="000000"/>
          <w:sz w:val="24"/>
          <w:szCs w:val="24"/>
        </w:rPr>
        <w:t xml:space="preserve">The United States has </w:t>
      </w:r>
      <w:r w:rsidR="006F1C98" w:rsidRPr="006C0693">
        <w:rPr>
          <w:rFonts w:ascii="Times New Roman" w:hAnsi="Times New Roman" w:cs="Times New Roman"/>
          <w:color w:val="000000"/>
          <w:sz w:val="24"/>
          <w:szCs w:val="24"/>
        </w:rPr>
        <w:t>previously</w:t>
      </w:r>
      <w:r w:rsidR="00851E43" w:rsidRPr="006C0693">
        <w:rPr>
          <w:rFonts w:ascii="Times New Roman" w:hAnsi="Times New Roman" w:cs="Times New Roman"/>
          <w:color w:val="000000"/>
          <w:sz w:val="24"/>
          <w:szCs w:val="24"/>
        </w:rPr>
        <w:t xml:space="preserve"> </w:t>
      </w:r>
      <w:r w:rsidR="005A53F2" w:rsidRPr="006C0693">
        <w:rPr>
          <w:rFonts w:ascii="Times New Roman" w:hAnsi="Times New Roman" w:cs="Times New Roman"/>
          <w:color w:val="000000"/>
          <w:sz w:val="24"/>
          <w:szCs w:val="24"/>
        </w:rPr>
        <w:t>observed in its dialogue with the Committee</w:t>
      </w:r>
      <w:r w:rsidR="00851E43" w:rsidRPr="006C0693">
        <w:rPr>
          <w:rFonts w:ascii="Times New Roman" w:hAnsi="Times New Roman" w:cs="Times New Roman"/>
          <w:color w:val="000000"/>
          <w:sz w:val="24"/>
          <w:szCs w:val="24"/>
        </w:rPr>
        <w:t xml:space="preserve"> that many of the Committee’s more ambitious opinions </w:t>
      </w:r>
      <w:r w:rsidR="005A53F2" w:rsidRPr="006C0693">
        <w:rPr>
          <w:rFonts w:ascii="Times New Roman" w:hAnsi="Times New Roman" w:cs="Times New Roman"/>
          <w:color w:val="000000"/>
          <w:sz w:val="24"/>
          <w:szCs w:val="24"/>
        </w:rPr>
        <w:t xml:space="preserve">appear to </w:t>
      </w:r>
      <w:r w:rsidR="00851E43" w:rsidRPr="006C0693">
        <w:rPr>
          <w:rFonts w:ascii="Times New Roman" w:hAnsi="Times New Roman" w:cs="Times New Roman"/>
          <w:color w:val="000000"/>
          <w:sz w:val="24"/>
          <w:szCs w:val="24"/>
        </w:rPr>
        <w:t xml:space="preserve">reflect an attempt to fill what it may </w:t>
      </w:r>
      <w:r w:rsidR="00851E43" w:rsidRPr="006C0693">
        <w:rPr>
          <w:rFonts w:ascii="Times New Roman" w:hAnsi="Times New Roman" w:cs="Times New Roman"/>
          <w:color w:val="000000"/>
          <w:sz w:val="24"/>
          <w:szCs w:val="24"/>
        </w:rPr>
        <w:lastRenderedPageBreak/>
        <w:t>consider to be gaps in the reach and coverage of the Covenant.</w:t>
      </w:r>
      <w:r w:rsidR="0097306F" w:rsidRPr="006C0693">
        <w:rPr>
          <w:rStyle w:val="FootnoteReference"/>
          <w:rFonts w:ascii="Times New Roman" w:hAnsi="Times New Roman" w:cs="Times New Roman"/>
          <w:color w:val="000000"/>
          <w:sz w:val="24"/>
          <w:szCs w:val="24"/>
        </w:rPr>
        <w:footnoteReference w:id="9"/>
      </w:r>
      <w:r w:rsidR="00994BEA" w:rsidRPr="006C0693">
        <w:rPr>
          <w:rFonts w:ascii="Times New Roman" w:hAnsi="Times New Roman" w:cs="Times New Roman"/>
          <w:color w:val="000000"/>
          <w:sz w:val="24"/>
          <w:szCs w:val="24"/>
        </w:rPr>
        <w:t xml:space="preserve">  </w:t>
      </w:r>
      <w:r w:rsidR="00851E43" w:rsidRPr="006C0693">
        <w:rPr>
          <w:rFonts w:ascii="Times New Roman" w:hAnsi="Times New Roman" w:cs="Times New Roman"/>
          <w:color w:val="000000"/>
          <w:sz w:val="24"/>
          <w:szCs w:val="24"/>
        </w:rPr>
        <w:t xml:space="preserve">And indeed, as </w:t>
      </w:r>
      <w:r w:rsidR="007F7A4D" w:rsidRPr="006C0693">
        <w:rPr>
          <w:rFonts w:ascii="Times New Roman" w:hAnsi="Times New Roman" w:cs="Times New Roman"/>
          <w:color w:val="000000"/>
          <w:sz w:val="24"/>
          <w:szCs w:val="24"/>
        </w:rPr>
        <w:t xml:space="preserve">noted </w:t>
      </w:r>
      <w:r w:rsidR="00851E43" w:rsidRPr="006C0693">
        <w:rPr>
          <w:rFonts w:ascii="Times New Roman" w:hAnsi="Times New Roman" w:cs="Times New Roman"/>
          <w:color w:val="000000"/>
          <w:sz w:val="24"/>
          <w:szCs w:val="24"/>
        </w:rPr>
        <w:t xml:space="preserve">below, some of the positions advanced in </w:t>
      </w:r>
      <w:r w:rsidR="001B3ED4" w:rsidRPr="006C0693">
        <w:rPr>
          <w:rFonts w:ascii="Times New Roman" w:hAnsi="Times New Roman" w:cs="Times New Roman"/>
          <w:color w:val="000000"/>
          <w:sz w:val="24"/>
          <w:szCs w:val="24"/>
        </w:rPr>
        <w:t>d</w:t>
      </w:r>
      <w:r w:rsidR="00851E43" w:rsidRPr="006C0693">
        <w:rPr>
          <w:rFonts w:ascii="Times New Roman" w:hAnsi="Times New Roman" w:cs="Times New Roman"/>
          <w:color w:val="000000"/>
          <w:sz w:val="24"/>
          <w:szCs w:val="24"/>
        </w:rPr>
        <w:t xml:space="preserve">raft General Comment 36 purport to interpret </w:t>
      </w:r>
      <w:r w:rsidR="001B3ED4" w:rsidRPr="006C0693">
        <w:rPr>
          <w:rFonts w:ascii="Times New Roman" w:hAnsi="Times New Roman" w:cs="Times New Roman"/>
          <w:color w:val="000000"/>
          <w:sz w:val="24"/>
          <w:szCs w:val="24"/>
        </w:rPr>
        <w:t>A</w:t>
      </w:r>
      <w:r w:rsidR="00851E43" w:rsidRPr="006C0693">
        <w:rPr>
          <w:rFonts w:ascii="Times New Roman" w:hAnsi="Times New Roman" w:cs="Times New Roman"/>
          <w:color w:val="000000"/>
          <w:sz w:val="24"/>
          <w:szCs w:val="24"/>
        </w:rPr>
        <w:t xml:space="preserve">rticle 6 in ways </w:t>
      </w:r>
      <w:r w:rsidR="00254641" w:rsidRPr="006C0693">
        <w:rPr>
          <w:rFonts w:ascii="Times New Roman" w:hAnsi="Times New Roman" w:cs="Times New Roman"/>
          <w:color w:val="000000"/>
          <w:sz w:val="24"/>
          <w:szCs w:val="24"/>
        </w:rPr>
        <w:t xml:space="preserve">that </w:t>
      </w:r>
      <w:r w:rsidR="0045037E" w:rsidRPr="006C0693">
        <w:rPr>
          <w:rFonts w:ascii="Times New Roman" w:hAnsi="Times New Roman" w:cs="Times New Roman"/>
          <w:color w:val="000000"/>
          <w:sz w:val="24"/>
          <w:szCs w:val="24"/>
        </w:rPr>
        <w:t>were</w:t>
      </w:r>
      <w:r w:rsidR="00254641" w:rsidRPr="006C0693">
        <w:rPr>
          <w:rFonts w:ascii="Times New Roman" w:hAnsi="Times New Roman" w:cs="Times New Roman"/>
          <w:color w:val="000000"/>
          <w:sz w:val="24"/>
          <w:szCs w:val="24"/>
        </w:rPr>
        <w:t xml:space="preserve"> </w:t>
      </w:r>
      <w:r w:rsidR="00851E43" w:rsidRPr="006C0693">
        <w:rPr>
          <w:rFonts w:ascii="Times New Roman" w:hAnsi="Times New Roman" w:cs="Times New Roman"/>
          <w:color w:val="000000"/>
          <w:sz w:val="24"/>
          <w:szCs w:val="24"/>
        </w:rPr>
        <w:t xml:space="preserve">proposed </w:t>
      </w:r>
      <w:r w:rsidR="00AA5E6B" w:rsidRPr="006C0693">
        <w:rPr>
          <w:rFonts w:ascii="Times New Roman" w:hAnsi="Times New Roman" w:cs="Times New Roman"/>
          <w:color w:val="000000"/>
          <w:sz w:val="24"/>
          <w:szCs w:val="24"/>
        </w:rPr>
        <w:t xml:space="preserve">and debated </w:t>
      </w:r>
      <w:r w:rsidR="00851E43" w:rsidRPr="006C0693">
        <w:rPr>
          <w:rFonts w:ascii="Times New Roman" w:hAnsi="Times New Roman" w:cs="Times New Roman"/>
          <w:color w:val="000000"/>
          <w:sz w:val="24"/>
          <w:szCs w:val="24"/>
        </w:rPr>
        <w:t>by various negotiating delegation</w:t>
      </w:r>
      <w:r w:rsidR="00D10E4C" w:rsidRPr="006C0693">
        <w:rPr>
          <w:rFonts w:ascii="Times New Roman" w:hAnsi="Times New Roman" w:cs="Times New Roman"/>
          <w:color w:val="000000"/>
          <w:sz w:val="24"/>
          <w:szCs w:val="24"/>
        </w:rPr>
        <w:t>s</w:t>
      </w:r>
      <w:r w:rsidR="007F7A4D" w:rsidRPr="006C0693">
        <w:rPr>
          <w:rFonts w:ascii="Times New Roman" w:hAnsi="Times New Roman" w:cs="Times New Roman"/>
          <w:color w:val="000000"/>
          <w:sz w:val="24"/>
          <w:szCs w:val="24"/>
        </w:rPr>
        <w:t xml:space="preserve">, </w:t>
      </w:r>
      <w:r w:rsidR="00AA5E6B" w:rsidRPr="006C0693">
        <w:rPr>
          <w:rFonts w:ascii="Times New Roman" w:hAnsi="Times New Roman" w:cs="Times New Roman"/>
          <w:color w:val="000000"/>
          <w:sz w:val="24"/>
          <w:szCs w:val="24"/>
        </w:rPr>
        <w:t>but were</w:t>
      </w:r>
      <w:r w:rsidR="007F7A4D" w:rsidRPr="006C0693">
        <w:rPr>
          <w:rFonts w:ascii="Times New Roman" w:hAnsi="Times New Roman" w:cs="Times New Roman"/>
          <w:color w:val="000000"/>
          <w:sz w:val="24"/>
          <w:szCs w:val="24"/>
        </w:rPr>
        <w:t xml:space="preserve"> excluded </w:t>
      </w:r>
      <w:r w:rsidR="0045037E" w:rsidRPr="006C0693">
        <w:rPr>
          <w:rFonts w:ascii="Times New Roman" w:hAnsi="Times New Roman" w:cs="Times New Roman"/>
          <w:color w:val="000000"/>
          <w:sz w:val="24"/>
          <w:szCs w:val="24"/>
        </w:rPr>
        <w:t xml:space="preserve">from </w:t>
      </w:r>
      <w:r w:rsidR="007F7A4D" w:rsidRPr="006C0693">
        <w:rPr>
          <w:rFonts w:ascii="Times New Roman" w:hAnsi="Times New Roman" w:cs="Times New Roman"/>
          <w:color w:val="000000"/>
          <w:sz w:val="24"/>
          <w:szCs w:val="24"/>
        </w:rPr>
        <w:t>the final text when agreement could not be reached.</w:t>
      </w:r>
      <w:r w:rsidR="00851E43" w:rsidRPr="006C0693">
        <w:rPr>
          <w:rFonts w:ascii="Times New Roman" w:hAnsi="Times New Roman" w:cs="Times New Roman"/>
          <w:color w:val="000000"/>
          <w:sz w:val="24"/>
          <w:szCs w:val="24"/>
        </w:rPr>
        <w:t xml:space="preserve">  </w:t>
      </w:r>
      <w:r w:rsidR="00A92051" w:rsidRPr="006C0693">
        <w:rPr>
          <w:rFonts w:ascii="Times New Roman" w:hAnsi="Times New Roman" w:cs="Times New Roman"/>
          <w:color w:val="000000"/>
          <w:sz w:val="24"/>
          <w:szCs w:val="24"/>
        </w:rPr>
        <w:t>If</w:t>
      </w:r>
      <w:r w:rsidR="00851E43" w:rsidRPr="006C0693">
        <w:rPr>
          <w:rFonts w:ascii="Times New Roman" w:hAnsi="Times New Roman" w:cs="Times New Roman"/>
          <w:color w:val="000000"/>
          <w:sz w:val="24"/>
          <w:szCs w:val="24"/>
        </w:rPr>
        <w:t xml:space="preserve"> </w:t>
      </w:r>
      <w:r w:rsidR="00173DD5" w:rsidRPr="006C0693">
        <w:rPr>
          <w:rFonts w:ascii="Times New Roman" w:hAnsi="Times New Roman" w:cs="Times New Roman"/>
          <w:color w:val="000000"/>
          <w:sz w:val="24"/>
          <w:szCs w:val="24"/>
        </w:rPr>
        <w:t>one believes there to be</w:t>
      </w:r>
      <w:r w:rsidR="00851E43" w:rsidRPr="006C0693">
        <w:rPr>
          <w:rFonts w:ascii="Times New Roman" w:hAnsi="Times New Roman" w:cs="Times New Roman"/>
          <w:color w:val="000000"/>
          <w:sz w:val="24"/>
          <w:szCs w:val="24"/>
        </w:rPr>
        <w:t xml:space="preserve"> gaps in a treaty, the proper approach to take under international treaty law is to </w:t>
      </w:r>
      <w:r w:rsidR="00851E43" w:rsidRPr="006C0693">
        <w:rPr>
          <w:rFonts w:ascii="Times New Roman" w:hAnsi="Times New Roman" w:cs="Times New Roman"/>
          <w:i/>
          <w:iCs/>
          <w:color w:val="000000"/>
          <w:sz w:val="24"/>
          <w:szCs w:val="24"/>
        </w:rPr>
        <w:t>amend</w:t>
      </w:r>
      <w:r w:rsidR="00851E43" w:rsidRPr="006C0693">
        <w:rPr>
          <w:rFonts w:ascii="Times New Roman" w:hAnsi="Times New Roman" w:cs="Times New Roman"/>
          <w:color w:val="000000"/>
          <w:sz w:val="24"/>
          <w:szCs w:val="24"/>
        </w:rPr>
        <w:t xml:space="preserve"> </w:t>
      </w:r>
      <w:r w:rsidR="00C07BC4" w:rsidRPr="006C0693">
        <w:rPr>
          <w:rFonts w:ascii="Times New Roman" w:hAnsi="Times New Roman" w:cs="Times New Roman"/>
          <w:color w:val="000000"/>
          <w:sz w:val="24"/>
          <w:szCs w:val="24"/>
        </w:rPr>
        <w:t>the treaty to fill those gaps.</w:t>
      </w:r>
      <w:r w:rsidR="00323249" w:rsidRPr="006C0693">
        <w:rPr>
          <w:rStyle w:val="FootnoteReference"/>
          <w:rFonts w:ascii="Times New Roman" w:hAnsi="Times New Roman" w:cs="Times New Roman"/>
          <w:color w:val="000000"/>
          <w:sz w:val="24"/>
          <w:szCs w:val="24"/>
        </w:rPr>
        <w:footnoteReference w:id="10"/>
      </w:r>
      <w:r w:rsidR="00C07BC4" w:rsidRPr="006C0693">
        <w:rPr>
          <w:rFonts w:ascii="Times New Roman" w:hAnsi="Times New Roman" w:cs="Times New Roman"/>
          <w:color w:val="000000"/>
          <w:sz w:val="24"/>
          <w:szCs w:val="24"/>
        </w:rPr>
        <w:t xml:space="preserve">  </w:t>
      </w:r>
      <w:r w:rsidR="00A92051" w:rsidRPr="006C0693">
        <w:rPr>
          <w:rFonts w:ascii="Times New Roman" w:hAnsi="Times New Roman" w:cs="Times New Roman"/>
          <w:color w:val="000000"/>
          <w:sz w:val="24"/>
          <w:szCs w:val="24"/>
        </w:rPr>
        <w:t xml:space="preserve">It is for </w:t>
      </w:r>
      <w:r w:rsidR="005566CD" w:rsidRPr="006C0693">
        <w:rPr>
          <w:rFonts w:ascii="Times New Roman" w:hAnsi="Times New Roman" w:cs="Times New Roman"/>
          <w:color w:val="000000"/>
          <w:sz w:val="24"/>
          <w:szCs w:val="24"/>
        </w:rPr>
        <w:t xml:space="preserve">each </w:t>
      </w:r>
      <w:r w:rsidR="00A92051" w:rsidRPr="006C0693">
        <w:rPr>
          <w:rFonts w:ascii="Times New Roman" w:hAnsi="Times New Roman" w:cs="Times New Roman"/>
          <w:color w:val="000000"/>
          <w:sz w:val="24"/>
          <w:szCs w:val="24"/>
        </w:rPr>
        <w:t>P</w:t>
      </w:r>
      <w:r w:rsidR="00851E43" w:rsidRPr="006C0693">
        <w:rPr>
          <w:rFonts w:ascii="Times New Roman" w:hAnsi="Times New Roman" w:cs="Times New Roman"/>
          <w:color w:val="000000"/>
          <w:sz w:val="24"/>
          <w:szCs w:val="24"/>
        </w:rPr>
        <w:t>art</w:t>
      </w:r>
      <w:r w:rsidR="005566CD" w:rsidRPr="006C0693">
        <w:rPr>
          <w:rFonts w:ascii="Times New Roman" w:hAnsi="Times New Roman" w:cs="Times New Roman"/>
          <w:color w:val="000000"/>
          <w:sz w:val="24"/>
          <w:szCs w:val="24"/>
        </w:rPr>
        <w:t>y</w:t>
      </w:r>
      <w:r w:rsidR="00851E43" w:rsidRPr="006C0693">
        <w:rPr>
          <w:rFonts w:ascii="Times New Roman" w:hAnsi="Times New Roman" w:cs="Times New Roman"/>
          <w:color w:val="000000"/>
          <w:sz w:val="24"/>
          <w:szCs w:val="24"/>
        </w:rPr>
        <w:t xml:space="preserve"> </w:t>
      </w:r>
      <w:r w:rsidR="00A92051" w:rsidRPr="006C0693">
        <w:rPr>
          <w:rFonts w:ascii="Times New Roman" w:hAnsi="Times New Roman" w:cs="Times New Roman"/>
          <w:color w:val="000000"/>
          <w:sz w:val="24"/>
          <w:szCs w:val="24"/>
        </w:rPr>
        <w:t>to decide</w:t>
      </w:r>
      <w:r w:rsidR="00851E43" w:rsidRPr="006C0693">
        <w:rPr>
          <w:rFonts w:ascii="Times New Roman" w:hAnsi="Times New Roman" w:cs="Times New Roman"/>
          <w:color w:val="000000"/>
          <w:sz w:val="24"/>
          <w:szCs w:val="24"/>
        </w:rPr>
        <w:t xml:space="preserve"> for </w:t>
      </w:r>
      <w:r w:rsidR="005566CD" w:rsidRPr="006C0693">
        <w:rPr>
          <w:rFonts w:ascii="Times New Roman" w:hAnsi="Times New Roman" w:cs="Times New Roman"/>
          <w:color w:val="000000"/>
          <w:sz w:val="24"/>
          <w:szCs w:val="24"/>
        </w:rPr>
        <w:t>itself</w:t>
      </w:r>
      <w:r w:rsidR="00A92051" w:rsidRPr="006C0693">
        <w:rPr>
          <w:rFonts w:ascii="Times New Roman" w:hAnsi="Times New Roman" w:cs="Times New Roman"/>
          <w:color w:val="000000"/>
          <w:sz w:val="24"/>
          <w:szCs w:val="24"/>
        </w:rPr>
        <w:t xml:space="preserve">, as an exercise of </w:t>
      </w:r>
      <w:r w:rsidR="005566CD" w:rsidRPr="006C0693">
        <w:rPr>
          <w:rFonts w:ascii="Times New Roman" w:hAnsi="Times New Roman" w:cs="Times New Roman"/>
          <w:color w:val="000000"/>
          <w:sz w:val="24"/>
          <w:szCs w:val="24"/>
        </w:rPr>
        <w:t xml:space="preserve">its </w:t>
      </w:r>
      <w:r w:rsidR="00A92051" w:rsidRPr="006C0693">
        <w:rPr>
          <w:rFonts w:ascii="Times New Roman" w:hAnsi="Times New Roman" w:cs="Times New Roman"/>
          <w:color w:val="000000"/>
          <w:sz w:val="24"/>
          <w:szCs w:val="24"/>
        </w:rPr>
        <w:t xml:space="preserve">sovereignty, </w:t>
      </w:r>
      <w:r w:rsidR="00851E43" w:rsidRPr="006C0693">
        <w:rPr>
          <w:rFonts w:ascii="Times New Roman" w:hAnsi="Times New Roman" w:cs="Times New Roman"/>
          <w:color w:val="000000"/>
          <w:sz w:val="24"/>
          <w:szCs w:val="24"/>
        </w:rPr>
        <w:t xml:space="preserve">whether </w:t>
      </w:r>
      <w:r w:rsidR="005566CD" w:rsidRPr="006C0693">
        <w:rPr>
          <w:rFonts w:ascii="Times New Roman" w:hAnsi="Times New Roman" w:cs="Times New Roman"/>
          <w:color w:val="000000"/>
          <w:sz w:val="24"/>
          <w:szCs w:val="24"/>
        </w:rPr>
        <w:t xml:space="preserve">it </w:t>
      </w:r>
      <w:r w:rsidR="00851E43" w:rsidRPr="006C0693">
        <w:rPr>
          <w:rFonts w:ascii="Times New Roman" w:hAnsi="Times New Roman" w:cs="Times New Roman"/>
          <w:color w:val="000000"/>
          <w:sz w:val="24"/>
          <w:szCs w:val="24"/>
        </w:rPr>
        <w:t>will be bound by what are, in</w:t>
      </w:r>
      <w:r w:rsidR="00C07BC4" w:rsidRPr="006C0693">
        <w:rPr>
          <w:rFonts w:ascii="Times New Roman" w:hAnsi="Times New Roman" w:cs="Times New Roman"/>
          <w:color w:val="000000"/>
          <w:sz w:val="24"/>
          <w:szCs w:val="24"/>
        </w:rPr>
        <w:t xml:space="preserve"> fact, new treaty obligations</w:t>
      </w:r>
      <w:r w:rsidR="00313716" w:rsidRPr="006C0693">
        <w:rPr>
          <w:rFonts w:ascii="Times New Roman" w:hAnsi="Times New Roman" w:cs="Times New Roman"/>
          <w:color w:val="000000"/>
          <w:sz w:val="24"/>
          <w:szCs w:val="24"/>
        </w:rPr>
        <w:t>.</w:t>
      </w:r>
      <w:r w:rsidR="00323249" w:rsidRPr="006C0693">
        <w:rPr>
          <w:rStyle w:val="FootnoteReference"/>
          <w:rFonts w:ascii="Times New Roman" w:hAnsi="Times New Roman" w:cs="Times New Roman"/>
          <w:color w:val="000000"/>
          <w:sz w:val="24"/>
          <w:szCs w:val="24"/>
        </w:rPr>
        <w:footnoteReference w:id="11"/>
      </w:r>
    </w:p>
    <w:p w:rsidR="00303E0A" w:rsidRPr="006C0693" w:rsidRDefault="00805406" w:rsidP="006C0693">
      <w:pPr>
        <w:rPr>
          <w:rFonts w:ascii="Times New Roman" w:hAnsi="Times New Roman" w:cs="Times New Roman"/>
          <w:color w:val="000000"/>
          <w:sz w:val="24"/>
          <w:szCs w:val="24"/>
        </w:rPr>
      </w:pPr>
      <w:r w:rsidRPr="006C0693">
        <w:rPr>
          <w:rFonts w:ascii="Times New Roman" w:hAnsi="Times New Roman" w:cs="Times New Roman"/>
          <w:color w:val="000000"/>
          <w:sz w:val="24"/>
          <w:szCs w:val="24"/>
        </w:rPr>
        <w:t>7</w:t>
      </w:r>
      <w:r w:rsidR="002D28D1" w:rsidRPr="006C0693">
        <w:rPr>
          <w:rFonts w:ascii="Times New Roman" w:hAnsi="Times New Roman" w:cs="Times New Roman"/>
          <w:color w:val="000000"/>
          <w:sz w:val="24"/>
          <w:szCs w:val="24"/>
        </w:rPr>
        <w:t>.</w:t>
      </w:r>
      <w:r w:rsidR="001E7040" w:rsidRPr="006C0693">
        <w:rPr>
          <w:rFonts w:ascii="Times New Roman" w:hAnsi="Times New Roman" w:cs="Times New Roman"/>
          <w:color w:val="000000"/>
          <w:sz w:val="24"/>
          <w:szCs w:val="24"/>
        </w:rPr>
        <w:t xml:space="preserve">  </w:t>
      </w:r>
      <w:r w:rsidR="00FC2D2A" w:rsidRPr="006C0693">
        <w:rPr>
          <w:rFonts w:ascii="Times New Roman" w:hAnsi="Times New Roman" w:cs="Times New Roman"/>
          <w:color w:val="000000"/>
          <w:sz w:val="24"/>
          <w:szCs w:val="24"/>
        </w:rPr>
        <w:t>In this regard</w:t>
      </w:r>
      <w:r w:rsidR="0045037E" w:rsidRPr="006C0693">
        <w:rPr>
          <w:rFonts w:ascii="Times New Roman" w:hAnsi="Times New Roman" w:cs="Times New Roman"/>
          <w:color w:val="000000"/>
          <w:sz w:val="24"/>
          <w:szCs w:val="24"/>
        </w:rPr>
        <w:t>,</w:t>
      </w:r>
      <w:r w:rsidR="00FC2D2A" w:rsidRPr="006C0693">
        <w:rPr>
          <w:rFonts w:ascii="Times New Roman" w:hAnsi="Times New Roman" w:cs="Times New Roman"/>
          <w:color w:val="000000"/>
          <w:sz w:val="24"/>
          <w:szCs w:val="24"/>
        </w:rPr>
        <w:t xml:space="preserve"> it is </w:t>
      </w:r>
      <w:r w:rsidR="006D580C" w:rsidRPr="006C0693">
        <w:rPr>
          <w:rFonts w:ascii="Times New Roman" w:hAnsi="Times New Roman" w:cs="Times New Roman"/>
          <w:color w:val="000000"/>
          <w:sz w:val="24"/>
          <w:szCs w:val="24"/>
        </w:rPr>
        <w:t xml:space="preserve">also of </w:t>
      </w:r>
      <w:r w:rsidR="00B612D3" w:rsidRPr="006C0693">
        <w:rPr>
          <w:rFonts w:ascii="Times New Roman" w:hAnsi="Times New Roman" w:cs="Times New Roman"/>
          <w:color w:val="000000"/>
          <w:sz w:val="24"/>
          <w:szCs w:val="24"/>
        </w:rPr>
        <w:t>concern that</w:t>
      </w:r>
      <w:r w:rsidR="00FC2D2A" w:rsidRPr="006C0693">
        <w:rPr>
          <w:rFonts w:ascii="Times New Roman" w:hAnsi="Times New Roman" w:cs="Times New Roman"/>
          <w:color w:val="000000"/>
          <w:sz w:val="24"/>
          <w:szCs w:val="24"/>
        </w:rPr>
        <w:t xml:space="preserve"> the Committee </w:t>
      </w:r>
      <w:r w:rsidR="00E268AE" w:rsidRPr="006C0693">
        <w:rPr>
          <w:rFonts w:ascii="Times New Roman" w:hAnsi="Times New Roman" w:cs="Times New Roman"/>
          <w:color w:val="000000"/>
          <w:sz w:val="24"/>
          <w:szCs w:val="24"/>
        </w:rPr>
        <w:t xml:space="preserve">has </w:t>
      </w:r>
      <w:r w:rsidR="00B612D3" w:rsidRPr="006C0693">
        <w:rPr>
          <w:rFonts w:ascii="Times New Roman" w:hAnsi="Times New Roman" w:cs="Times New Roman"/>
          <w:color w:val="000000"/>
          <w:sz w:val="24"/>
          <w:szCs w:val="24"/>
        </w:rPr>
        <w:t xml:space="preserve">looked to interpret or fill </w:t>
      </w:r>
      <w:r w:rsidR="005566CD" w:rsidRPr="006C0693">
        <w:rPr>
          <w:rFonts w:ascii="Times New Roman" w:hAnsi="Times New Roman" w:cs="Times New Roman"/>
          <w:color w:val="000000"/>
          <w:sz w:val="24"/>
          <w:szCs w:val="24"/>
        </w:rPr>
        <w:t xml:space="preserve">what it may consider to be </w:t>
      </w:r>
      <w:r w:rsidR="00B612D3" w:rsidRPr="006C0693">
        <w:rPr>
          <w:rFonts w:ascii="Times New Roman" w:hAnsi="Times New Roman" w:cs="Times New Roman"/>
          <w:color w:val="000000"/>
          <w:sz w:val="24"/>
          <w:szCs w:val="24"/>
        </w:rPr>
        <w:t>gaps</w:t>
      </w:r>
      <w:r w:rsidR="002C0D5B" w:rsidRPr="006C0693">
        <w:rPr>
          <w:rFonts w:ascii="Times New Roman" w:hAnsi="Times New Roman" w:cs="Times New Roman"/>
          <w:color w:val="000000"/>
          <w:sz w:val="24"/>
          <w:szCs w:val="24"/>
        </w:rPr>
        <w:t xml:space="preserve"> </w:t>
      </w:r>
      <w:r w:rsidR="00FC2D2A" w:rsidRPr="006C0693">
        <w:rPr>
          <w:rFonts w:ascii="Times New Roman" w:hAnsi="Times New Roman" w:cs="Times New Roman"/>
          <w:color w:val="000000"/>
          <w:sz w:val="24"/>
          <w:szCs w:val="24"/>
        </w:rPr>
        <w:t xml:space="preserve">in </w:t>
      </w:r>
      <w:r w:rsidR="002C0D5B" w:rsidRPr="006C0693">
        <w:rPr>
          <w:rFonts w:ascii="Times New Roman" w:hAnsi="Times New Roman" w:cs="Times New Roman"/>
          <w:color w:val="000000"/>
          <w:sz w:val="24"/>
          <w:szCs w:val="24"/>
        </w:rPr>
        <w:t xml:space="preserve">the </w:t>
      </w:r>
      <w:r w:rsidR="00FC2D2A" w:rsidRPr="006C0693">
        <w:rPr>
          <w:rFonts w:ascii="Times New Roman" w:hAnsi="Times New Roman" w:cs="Times New Roman"/>
          <w:color w:val="000000"/>
          <w:sz w:val="24"/>
          <w:szCs w:val="24"/>
        </w:rPr>
        <w:t xml:space="preserve">ICCPR by </w:t>
      </w:r>
      <w:r w:rsidR="00D761A1" w:rsidRPr="006C0693">
        <w:rPr>
          <w:rFonts w:ascii="Times New Roman" w:hAnsi="Times New Roman" w:cs="Times New Roman"/>
          <w:color w:val="000000"/>
          <w:sz w:val="24"/>
          <w:szCs w:val="24"/>
        </w:rPr>
        <w:t xml:space="preserve">importing </w:t>
      </w:r>
      <w:r w:rsidR="002C0D5B" w:rsidRPr="006C0693">
        <w:rPr>
          <w:rFonts w:ascii="Times New Roman" w:hAnsi="Times New Roman" w:cs="Times New Roman"/>
          <w:color w:val="000000"/>
          <w:sz w:val="24"/>
          <w:szCs w:val="24"/>
        </w:rPr>
        <w:t xml:space="preserve">requirements from other </w:t>
      </w:r>
      <w:r w:rsidR="0084250B" w:rsidRPr="006C0693">
        <w:rPr>
          <w:rFonts w:ascii="Times New Roman" w:hAnsi="Times New Roman" w:cs="Times New Roman"/>
          <w:color w:val="000000"/>
          <w:sz w:val="24"/>
          <w:szCs w:val="24"/>
        </w:rPr>
        <w:t xml:space="preserve">human rights </w:t>
      </w:r>
      <w:r w:rsidR="002C0D5B" w:rsidRPr="006C0693">
        <w:rPr>
          <w:rFonts w:ascii="Times New Roman" w:hAnsi="Times New Roman" w:cs="Times New Roman"/>
          <w:color w:val="000000"/>
          <w:sz w:val="24"/>
          <w:szCs w:val="24"/>
        </w:rPr>
        <w:t>treaties</w:t>
      </w:r>
      <w:r w:rsidR="006D580C" w:rsidRPr="006C0693">
        <w:rPr>
          <w:rFonts w:ascii="Times New Roman" w:hAnsi="Times New Roman" w:cs="Times New Roman"/>
          <w:color w:val="000000"/>
          <w:sz w:val="24"/>
          <w:szCs w:val="24"/>
        </w:rPr>
        <w:t>.</w:t>
      </w:r>
      <w:r w:rsidR="002C0D5B" w:rsidRPr="006C0693">
        <w:rPr>
          <w:rFonts w:ascii="Times New Roman" w:hAnsi="Times New Roman" w:cs="Times New Roman"/>
          <w:color w:val="000000"/>
          <w:sz w:val="24"/>
          <w:szCs w:val="24"/>
        </w:rPr>
        <w:t xml:space="preserve">  </w:t>
      </w:r>
      <w:r w:rsidR="0065590C" w:rsidRPr="006C0693">
        <w:rPr>
          <w:rFonts w:ascii="Times New Roman" w:hAnsi="Times New Roman" w:cs="Times New Roman"/>
          <w:color w:val="000000"/>
          <w:sz w:val="24"/>
          <w:szCs w:val="24"/>
        </w:rPr>
        <w:t>Any such Committee interpretation</w:t>
      </w:r>
      <w:r w:rsidR="00D42182" w:rsidRPr="006C0693">
        <w:rPr>
          <w:rFonts w:ascii="Times New Roman" w:hAnsi="Times New Roman" w:cs="Times New Roman"/>
          <w:color w:val="000000"/>
          <w:sz w:val="24"/>
          <w:szCs w:val="24"/>
        </w:rPr>
        <w:t>,</w:t>
      </w:r>
      <w:r w:rsidR="00085BB5" w:rsidRPr="006C0693">
        <w:rPr>
          <w:rFonts w:ascii="Times New Roman" w:hAnsi="Times New Roman" w:cs="Times New Roman"/>
          <w:color w:val="000000"/>
          <w:sz w:val="24"/>
          <w:szCs w:val="24"/>
        </w:rPr>
        <w:t xml:space="preserve"> expanding on the terms of the ICCPR</w:t>
      </w:r>
      <w:r w:rsidR="00D42182" w:rsidRPr="006C0693">
        <w:rPr>
          <w:rFonts w:ascii="Times New Roman" w:hAnsi="Times New Roman" w:cs="Times New Roman"/>
          <w:color w:val="000000"/>
          <w:sz w:val="24"/>
          <w:szCs w:val="24"/>
        </w:rPr>
        <w:t xml:space="preserve"> itself,</w:t>
      </w:r>
      <w:r w:rsidR="0065590C" w:rsidRPr="006C0693">
        <w:rPr>
          <w:rFonts w:ascii="Times New Roman" w:hAnsi="Times New Roman" w:cs="Times New Roman"/>
          <w:color w:val="000000"/>
          <w:sz w:val="24"/>
          <w:szCs w:val="24"/>
        </w:rPr>
        <w:t xml:space="preserve"> is inconsistent with a proper interpretive analysis under VCLT Article</w:t>
      </w:r>
      <w:r w:rsidR="00E254AC" w:rsidRPr="006C0693">
        <w:rPr>
          <w:rFonts w:ascii="Times New Roman" w:hAnsi="Times New Roman" w:cs="Times New Roman"/>
          <w:color w:val="000000"/>
          <w:sz w:val="24"/>
          <w:szCs w:val="24"/>
        </w:rPr>
        <w:t>s</w:t>
      </w:r>
      <w:r w:rsidR="0065590C" w:rsidRPr="006C0693">
        <w:rPr>
          <w:rFonts w:ascii="Times New Roman" w:hAnsi="Times New Roman" w:cs="Times New Roman"/>
          <w:color w:val="000000"/>
          <w:sz w:val="24"/>
          <w:szCs w:val="24"/>
        </w:rPr>
        <w:t xml:space="preserve"> 31 and 32</w:t>
      </w:r>
      <w:r w:rsidR="00E254AC" w:rsidRPr="006C0693">
        <w:rPr>
          <w:rFonts w:ascii="Times New Roman" w:hAnsi="Times New Roman" w:cs="Times New Roman"/>
          <w:color w:val="000000"/>
          <w:sz w:val="24"/>
          <w:szCs w:val="24"/>
        </w:rPr>
        <w:t>,</w:t>
      </w:r>
      <w:r w:rsidR="002C0D5B" w:rsidRPr="006C0693">
        <w:rPr>
          <w:rFonts w:ascii="Times New Roman" w:hAnsi="Times New Roman" w:cs="Times New Roman"/>
          <w:color w:val="000000"/>
          <w:sz w:val="24"/>
          <w:szCs w:val="24"/>
        </w:rPr>
        <w:t xml:space="preserve"> </w:t>
      </w:r>
      <w:r w:rsidR="00922291" w:rsidRPr="006C0693">
        <w:rPr>
          <w:rFonts w:ascii="Times New Roman" w:hAnsi="Times New Roman" w:cs="Times New Roman"/>
          <w:color w:val="000000"/>
          <w:sz w:val="24"/>
          <w:szCs w:val="24"/>
        </w:rPr>
        <w:t>ignores the</w:t>
      </w:r>
      <w:r w:rsidR="002C0D5B" w:rsidRPr="006C0693">
        <w:rPr>
          <w:rFonts w:ascii="Times New Roman" w:hAnsi="Times New Roman" w:cs="Times New Roman"/>
          <w:color w:val="000000"/>
          <w:sz w:val="24"/>
          <w:szCs w:val="24"/>
        </w:rPr>
        <w:t xml:space="preserve"> </w:t>
      </w:r>
      <w:r w:rsidR="00477D56" w:rsidRPr="006C0693">
        <w:rPr>
          <w:rFonts w:ascii="Times New Roman" w:hAnsi="Times New Roman" w:cs="Times New Roman"/>
          <w:color w:val="000000"/>
          <w:sz w:val="24"/>
          <w:szCs w:val="24"/>
        </w:rPr>
        <w:t xml:space="preserve">express </w:t>
      </w:r>
      <w:r w:rsidR="00181069" w:rsidRPr="006C0693">
        <w:rPr>
          <w:rFonts w:ascii="Times New Roman" w:hAnsi="Times New Roman" w:cs="Times New Roman"/>
          <w:color w:val="000000"/>
          <w:sz w:val="24"/>
          <w:szCs w:val="24"/>
        </w:rPr>
        <w:t>terms</w:t>
      </w:r>
      <w:r w:rsidR="002C0D5B" w:rsidRPr="006C0693">
        <w:rPr>
          <w:rFonts w:ascii="Times New Roman" w:hAnsi="Times New Roman" w:cs="Times New Roman"/>
          <w:color w:val="000000"/>
          <w:sz w:val="24"/>
          <w:szCs w:val="24"/>
        </w:rPr>
        <w:t xml:space="preserve"> of</w:t>
      </w:r>
      <w:r w:rsidR="0049530B" w:rsidRPr="006C0693">
        <w:rPr>
          <w:rFonts w:ascii="Times New Roman" w:hAnsi="Times New Roman" w:cs="Times New Roman"/>
          <w:color w:val="000000"/>
          <w:sz w:val="24"/>
          <w:szCs w:val="24"/>
        </w:rPr>
        <w:t xml:space="preserve"> the</w:t>
      </w:r>
      <w:r w:rsidR="002C0D5B" w:rsidRPr="006C0693">
        <w:rPr>
          <w:rFonts w:ascii="Times New Roman" w:hAnsi="Times New Roman" w:cs="Times New Roman"/>
          <w:color w:val="000000"/>
          <w:sz w:val="24"/>
          <w:szCs w:val="24"/>
        </w:rPr>
        <w:t xml:space="preserve"> ICCPR</w:t>
      </w:r>
      <w:r w:rsidR="0045037E" w:rsidRPr="006C0693">
        <w:rPr>
          <w:rFonts w:ascii="Times New Roman" w:hAnsi="Times New Roman" w:cs="Times New Roman"/>
          <w:color w:val="000000"/>
          <w:sz w:val="24"/>
          <w:szCs w:val="24"/>
        </w:rPr>
        <w:t>,</w:t>
      </w:r>
      <w:r w:rsidR="002C0D5B" w:rsidRPr="006C0693">
        <w:rPr>
          <w:rFonts w:ascii="Times New Roman" w:hAnsi="Times New Roman" w:cs="Times New Roman"/>
          <w:color w:val="000000"/>
          <w:sz w:val="24"/>
          <w:szCs w:val="24"/>
        </w:rPr>
        <w:t xml:space="preserve"> </w:t>
      </w:r>
      <w:r w:rsidR="000A707A" w:rsidRPr="006C0693">
        <w:rPr>
          <w:rFonts w:ascii="Times New Roman" w:hAnsi="Times New Roman" w:cs="Times New Roman"/>
          <w:color w:val="000000"/>
          <w:sz w:val="24"/>
          <w:szCs w:val="24"/>
        </w:rPr>
        <w:t xml:space="preserve">and </w:t>
      </w:r>
      <w:r w:rsidR="0065590C" w:rsidRPr="006C0693">
        <w:rPr>
          <w:rFonts w:ascii="Times New Roman" w:hAnsi="Times New Roman" w:cs="Times New Roman"/>
          <w:color w:val="000000"/>
          <w:sz w:val="24"/>
          <w:szCs w:val="24"/>
        </w:rPr>
        <w:t xml:space="preserve">fails to </w:t>
      </w:r>
      <w:r w:rsidR="000A707A" w:rsidRPr="006C0693">
        <w:rPr>
          <w:rFonts w:ascii="Times New Roman" w:hAnsi="Times New Roman" w:cs="Times New Roman"/>
          <w:color w:val="000000"/>
          <w:sz w:val="24"/>
          <w:szCs w:val="24"/>
        </w:rPr>
        <w:t xml:space="preserve">consider </w:t>
      </w:r>
      <w:r w:rsidR="00332B04" w:rsidRPr="006C0693">
        <w:rPr>
          <w:rFonts w:ascii="Times New Roman" w:hAnsi="Times New Roman" w:cs="Times New Roman"/>
          <w:color w:val="000000"/>
          <w:sz w:val="24"/>
          <w:szCs w:val="24"/>
        </w:rPr>
        <w:t>that not all ICCPR State</w:t>
      </w:r>
      <w:r w:rsidR="005A08B3" w:rsidRPr="006C0693">
        <w:rPr>
          <w:rFonts w:ascii="Times New Roman" w:hAnsi="Times New Roman" w:cs="Times New Roman"/>
          <w:color w:val="000000"/>
          <w:sz w:val="24"/>
          <w:szCs w:val="24"/>
        </w:rPr>
        <w:t>s</w:t>
      </w:r>
      <w:r w:rsidR="00332B04" w:rsidRPr="006C0693">
        <w:rPr>
          <w:rFonts w:ascii="Times New Roman" w:hAnsi="Times New Roman" w:cs="Times New Roman"/>
          <w:color w:val="000000"/>
          <w:sz w:val="24"/>
          <w:szCs w:val="24"/>
        </w:rPr>
        <w:t xml:space="preserve"> Parties have ratified these </w:t>
      </w:r>
      <w:r w:rsidR="005566CD" w:rsidRPr="006C0693">
        <w:rPr>
          <w:rFonts w:ascii="Times New Roman" w:hAnsi="Times New Roman" w:cs="Times New Roman"/>
          <w:color w:val="000000"/>
          <w:sz w:val="24"/>
          <w:szCs w:val="24"/>
        </w:rPr>
        <w:t>other treaties</w:t>
      </w:r>
      <w:r w:rsidR="00332B04" w:rsidRPr="006C0693">
        <w:rPr>
          <w:rFonts w:ascii="Times New Roman" w:hAnsi="Times New Roman" w:cs="Times New Roman"/>
          <w:color w:val="000000"/>
          <w:sz w:val="24"/>
          <w:szCs w:val="24"/>
        </w:rPr>
        <w:t xml:space="preserve"> or otherwise consented to such obligations</w:t>
      </w:r>
      <w:r w:rsidR="005D02F4" w:rsidRPr="006C0693">
        <w:rPr>
          <w:rFonts w:ascii="Times New Roman" w:hAnsi="Times New Roman" w:cs="Times New Roman"/>
          <w:color w:val="000000"/>
          <w:sz w:val="24"/>
          <w:szCs w:val="24"/>
        </w:rPr>
        <w:t xml:space="preserve">. </w:t>
      </w:r>
      <w:r w:rsidR="008A2016" w:rsidRPr="006C0693">
        <w:rPr>
          <w:rFonts w:ascii="Times New Roman" w:hAnsi="Times New Roman" w:cs="Times New Roman"/>
          <w:color w:val="000000"/>
          <w:sz w:val="24"/>
          <w:szCs w:val="24"/>
        </w:rPr>
        <w:t xml:space="preserve"> For example, t</w:t>
      </w:r>
      <w:r w:rsidR="005D02F4" w:rsidRPr="006C0693">
        <w:rPr>
          <w:rFonts w:ascii="Times New Roman" w:hAnsi="Times New Roman" w:cs="Times New Roman"/>
          <w:color w:val="000000"/>
          <w:sz w:val="24"/>
          <w:szCs w:val="24"/>
        </w:rPr>
        <w:t xml:space="preserve">he Committee’s importation in paragraph 8 of requirements under the International Convention for the Protection of All Persons from Enforced Disappearance and in paragraph 28 of requirements under the Convention on the Rights of Persons with Disabilities, however they may also contribute to the right to life, ignores the terms and scope of application of those treaties. </w:t>
      </w:r>
      <w:r w:rsidR="008A2016" w:rsidRPr="006C0693">
        <w:rPr>
          <w:rFonts w:ascii="Times New Roman" w:hAnsi="Times New Roman" w:cs="Times New Roman"/>
          <w:color w:val="000000"/>
          <w:sz w:val="24"/>
          <w:szCs w:val="24"/>
        </w:rPr>
        <w:t xml:space="preserve"> </w:t>
      </w:r>
      <w:r w:rsidR="005D02F4" w:rsidRPr="006C0693">
        <w:rPr>
          <w:rFonts w:ascii="Times New Roman" w:hAnsi="Times New Roman" w:cs="Times New Roman"/>
          <w:color w:val="000000"/>
          <w:sz w:val="24"/>
          <w:szCs w:val="24"/>
        </w:rPr>
        <w:t>And it is unclear on what basis the Committee would suggest in paragraph 30 an implied duty under Article 6 to address “the general conditions in society that may eventually give rise to direct threats to life” or other health-related measures</w:t>
      </w:r>
      <w:r w:rsidR="008A2016" w:rsidRPr="006C0693">
        <w:rPr>
          <w:rFonts w:ascii="Times New Roman" w:hAnsi="Times New Roman" w:cs="Times New Roman"/>
          <w:color w:val="000000"/>
          <w:sz w:val="24"/>
          <w:szCs w:val="24"/>
        </w:rPr>
        <w:t>,</w:t>
      </w:r>
      <w:r w:rsidR="005D02F4" w:rsidRPr="006C0693">
        <w:rPr>
          <w:rFonts w:ascii="Times New Roman" w:hAnsi="Times New Roman" w:cs="Times New Roman"/>
          <w:color w:val="000000"/>
          <w:sz w:val="24"/>
          <w:szCs w:val="24"/>
        </w:rPr>
        <w:t xml:space="preserve"> </w:t>
      </w:r>
      <w:r w:rsidR="008A2016" w:rsidRPr="006C0693">
        <w:rPr>
          <w:rFonts w:ascii="Times New Roman" w:hAnsi="Times New Roman" w:cs="Times New Roman"/>
          <w:color w:val="000000"/>
          <w:sz w:val="24"/>
          <w:szCs w:val="24"/>
        </w:rPr>
        <w:t xml:space="preserve">as characterized by the Committee </w:t>
      </w:r>
      <w:r w:rsidR="005D02F4" w:rsidRPr="006C0693">
        <w:rPr>
          <w:rFonts w:ascii="Times New Roman" w:hAnsi="Times New Roman" w:cs="Times New Roman"/>
          <w:color w:val="000000"/>
          <w:sz w:val="24"/>
          <w:szCs w:val="24"/>
        </w:rPr>
        <w:t xml:space="preserve">under paragraphs 9, 10, and 20 of its draft general comment.  State Party obligations with respect to health-related rights, for example, are set forth in the International Covenant on Economic, Social and Cultural Rights (ICESCR), which establishes in its Article 12 the right to the enjoyment of the highest attainable standard of physical and mental health. </w:t>
      </w:r>
      <w:r w:rsidR="00CF1738">
        <w:rPr>
          <w:rFonts w:ascii="Times New Roman" w:hAnsi="Times New Roman" w:cs="Times New Roman"/>
          <w:color w:val="000000"/>
          <w:sz w:val="24"/>
          <w:szCs w:val="24"/>
        </w:rPr>
        <w:t xml:space="preserve"> </w:t>
      </w:r>
      <w:r w:rsidR="005D02F4" w:rsidRPr="006C0693">
        <w:rPr>
          <w:rFonts w:ascii="Times New Roman" w:hAnsi="Times New Roman" w:cs="Times New Roman"/>
          <w:color w:val="000000"/>
          <w:sz w:val="24"/>
          <w:szCs w:val="24"/>
        </w:rPr>
        <w:t xml:space="preserve">Given that ICESCR was negotiated and concluded in parallel with the ICCPR specifically to address such rights separately and that States party to ICESCR agreed, pursuant to Article 2 of that Covenant, to take steps “with a view to achieving progressively the full realization” of such rights, there is no basis to infer that the negotiators would have considered such measures to be required or necessary to also give effect to the right to life within the meaning of Article 6.  Thus, </w:t>
      </w:r>
      <w:r w:rsidR="005D02F4" w:rsidRPr="006C0693">
        <w:rPr>
          <w:rFonts w:ascii="Times New Roman" w:hAnsi="Times New Roman" w:cs="Times New Roman"/>
          <w:sz w:val="24"/>
          <w:szCs w:val="24"/>
        </w:rPr>
        <w:t xml:space="preserve">in the context of the right to health contained in the ICESCR, which is the proper lens by which to examine </w:t>
      </w:r>
      <w:r w:rsidR="008A2016" w:rsidRPr="006C0693">
        <w:rPr>
          <w:rFonts w:ascii="Times New Roman" w:hAnsi="Times New Roman" w:cs="Times New Roman"/>
          <w:sz w:val="24"/>
          <w:szCs w:val="24"/>
        </w:rPr>
        <w:t xml:space="preserve">rights characterized as </w:t>
      </w:r>
      <w:r w:rsidR="005D02F4" w:rsidRPr="006C0693">
        <w:rPr>
          <w:rFonts w:ascii="Times New Roman" w:hAnsi="Times New Roman" w:cs="Times New Roman"/>
          <w:sz w:val="24"/>
          <w:szCs w:val="24"/>
        </w:rPr>
        <w:t xml:space="preserve">health-related human rights, there is no obligation as part of that right to give effect to the right to life.  The right to the enjoyment of the highest attainable standard of health is not commensurate with a right to be healthy or a right not to succumb to disease.  It is, instead, oriented toward the progressive realization, in accordance with a State’s available resources, of the right for an individual to enjoy the </w:t>
      </w:r>
      <w:r w:rsidR="005D02F4" w:rsidRPr="006C0693">
        <w:rPr>
          <w:rFonts w:ascii="Times New Roman" w:hAnsi="Times New Roman" w:cs="Times New Roman"/>
          <w:i/>
          <w:sz w:val="24"/>
          <w:szCs w:val="24"/>
        </w:rPr>
        <w:t>highest attainable standard</w:t>
      </w:r>
      <w:r w:rsidR="005D02F4" w:rsidRPr="006C0693">
        <w:rPr>
          <w:rFonts w:ascii="Times New Roman" w:hAnsi="Times New Roman" w:cs="Times New Roman"/>
          <w:sz w:val="24"/>
          <w:szCs w:val="24"/>
        </w:rPr>
        <w:t xml:space="preserve"> of health.  For these reasons, and bearing in mind the history of the negotiations of the two Covenants, any issues concerning access to abortion (paragraph 9 of the Committee’s draft) are outside the scope of Article 6. </w:t>
      </w:r>
      <w:r w:rsidR="008A2016" w:rsidRPr="006C0693">
        <w:rPr>
          <w:rFonts w:ascii="Times New Roman" w:hAnsi="Times New Roman" w:cs="Times New Roman"/>
          <w:sz w:val="24"/>
          <w:szCs w:val="24"/>
        </w:rPr>
        <w:t xml:space="preserve"> </w:t>
      </w:r>
      <w:r w:rsidR="005566CD" w:rsidRPr="006C0693">
        <w:rPr>
          <w:rFonts w:ascii="Times New Roman" w:hAnsi="Times New Roman" w:cs="Times New Roman"/>
          <w:color w:val="000000"/>
          <w:sz w:val="24"/>
          <w:szCs w:val="24"/>
        </w:rPr>
        <w:t>Although</w:t>
      </w:r>
      <w:r w:rsidR="006A233F" w:rsidRPr="006C0693">
        <w:rPr>
          <w:rFonts w:ascii="Times New Roman" w:hAnsi="Times New Roman" w:cs="Times New Roman"/>
          <w:color w:val="000000"/>
          <w:sz w:val="24"/>
          <w:szCs w:val="24"/>
        </w:rPr>
        <w:t xml:space="preserve"> </w:t>
      </w:r>
      <w:r w:rsidR="00085BB5" w:rsidRPr="006C0693">
        <w:rPr>
          <w:rFonts w:ascii="Times New Roman" w:hAnsi="Times New Roman" w:cs="Times New Roman"/>
          <w:sz w:val="24"/>
          <w:szCs w:val="24"/>
        </w:rPr>
        <w:t xml:space="preserve">the </w:t>
      </w:r>
      <w:r w:rsidR="00085BB5" w:rsidRPr="006C0693">
        <w:rPr>
          <w:rFonts w:ascii="Times New Roman" w:hAnsi="Times New Roman" w:cs="Times New Roman"/>
          <w:sz w:val="24"/>
          <w:szCs w:val="24"/>
        </w:rPr>
        <w:lastRenderedPageBreak/>
        <w:t>United States agrees that human rights</w:t>
      </w:r>
      <w:r w:rsidR="005566CD" w:rsidRPr="006C0693">
        <w:rPr>
          <w:rFonts w:ascii="Times New Roman" w:hAnsi="Times New Roman" w:cs="Times New Roman"/>
          <w:sz w:val="24"/>
          <w:szCs w:val="24"/>
        </w:rPr>
        <w:t xml:space="preserve"> treaties</w:t>
      </w:r>
      <w:r w:rsidR="00085BB5" w:rsidRPr="006C0693">
        <w:rPr>
          <w:rFonts w:ascii="Times New Roman" w:hAnsi="Times New Roman" w:cs="Times New Roman"/>
          <w:sz w:val="24"/>
          <w:szCs w:val="24"/>
        </w:rPr>
        <w:t xml:space="preserve"> </w:t>
      </w:r>
      <w:r w:rsidR="009A7302" w:rsidRPr="006C0693">
        <w:rPr>
          <w:rFonts w:ascii="Times New Roman" w:hAnsi="Times New Roman" w:cs="Times New Roman"/>
          <w:sz w:val="24"/>
          <w:szCs w:val="24"/>
        </w:rPr>
        <w:t xml:space="preserve">may be </w:t>
      </w:r>
      <w:r w:rsidR="00085BB5" w:rsidRPr="006C0693">
        <w:rPr>
          <w:rFonts w:ascii="Times New Roman" w:hAnsi="Times New Roman" w:cs="Times New Roman"/>
          <w:sz w:val="24"/>
          <w:szCs w:val="24"/>
        </w:rPr>
        <w:t>mutually reinforcing, this does not mean that the contents of obligations contained within one human right</w:t>
      </w:r>
      <w:r w:rsidR="005566CD" w:rsidRPr="006C0693">
        <w:rPr>
          <w:rFonts w:ascii="Times New Roman" w:hAnsi="Times New Roman" w:cs="Times New Roman"/>
          <w:sz w:val="24"/>
          <w:szCs w:val="24"/>
        </w:rPr>
        <w:t>s treaty</w:t>
      </w:r>
      <w:r w:rsidR="00B612D3" w:rsidRPr="006C0693">
        <w:rPr>
          <w:rFonts w:ascii="Times New Roman" w:hAnsi="Times New Roman" w:cs="Times New Roman"/>
          <w:sz w:val="24"/>
          <w:szCs w:val="24"/>
        </w:rPr>
        <w:t xml:space="preserve"> </w:t>
      </w:r>
      <w:r w:rsidR="00961E6F" w:rsidRPr="006C0693">
        <w:rPr>
          <w:rFonts w:ascii="Times New Roman" w:hAnsi="Times New Roman" w:cs="Times New Roman"/>
          <w:sz w:val="24"/>
          <w:szCs w:val="24"/>
        </w:rPr>
        <w:t>can</w:t>
      </w:r>
      <w:r w:rsidR="00085BB5" w:rsidRPr="006C0693">
        <w:rPr>
          <w:rFonts w:ascii="Times New Roman" w:hAnsi="Times New Roman" w:cs="Times New Roman"/>
          <w:sz w:val="24"/>
          <w:szCs w:val="24"/>
        </w:rPr>
        <w:t xml:space="preserve"> be imputed or read into other human rights</w:t>
      </w:r>
      <w:r w:rsidR="005566CD" w:rsidRPr="006C0693">
        <w:rPr>
          <w:rFonts w:ascii="Times New Roman" w:hAnsi="Times New Roman" w:cs="Times New Roman"/>
          <w:sz w:val="24"/>
          <w:szCs w:val="24"/>
        </w:rPr>
        <w:t xml:space="preserve"> treaties</w:t>
      </w:r>
      <w:r w:rsidR="00085BB5" w:rsidRPr="006C0693">
        <w:rPr>
          <w:rFonts w:ascii="Times New Roman" w:hAnsi="Times New Roman" w:cs="Times New Roman"/>
          <w:sz w:val="24"/>
          <w:szCs w:val="24"/>
        </w:rPr>
        <w:t xml:space="preserve">.  </w:t>
      </w:r>
      <w:r w:rsidR="009A7302" w:rsidRPr="006C0693">
        <w:rPr>
          <w:rFonts w:ascii="Times New Roman" w:hAnsi="Times New Roman" w:cs="Times New Roman"/>
          <w:sz w:val="24"/>
          <w:szCs w:val="24"/>
        </w:rPr>
        <w:t xml:space="preserve">Doing so would render meaningless the right of each </w:t>
      </w:r>
      <w:r w:rsidR="0049530B" w:rsidRPr="006C0693">
        <w:rPr>
          <w:rFonts w:ascii="Times New Roman" w:hAnsi="Times New Roman" w:cs="Times New Roman"/>
          <w:sz w:val="24"/>
          <w:szCs w:val="24"/>
        </w:rPr>
        <w:t>S</w:t>
      </w:r>
      <w:r w:rsidR="009A7302" w:rsidRPr="006C0693">
        <w:rPr>
          <w:rFonts w:ascii="Times New Roman" w:hAnsi="Times New Roman" w:cs="Times New Roman"/>
          <w:sz w:val="24"/>
          <w:szCs w:val="24"/>
        </w:rPr>
        <w:t xml:space="preserve">tate to decide for itself whether to accept particular legal obligations associated with particular human rights </w:t>
      </w:r>
      <w:r w:rsidRPr="006C0693">
        <w:rPr>
          <w:rFonts w:ascii="Times New Roman" w:hAnsi="Times New Roman" w:cs="Times New Roman"/>
          <w:sz w:val="24"/>
          <w:szCs w:val="24"/>
        </w:rPr>
        <w:t>treaties</w:t>
      </w:r>
      <w:r w:rsidR="009A7302" w:rsidRPr="006C0693">
        <w:rPr>
          <w:rFonts w:ascii="Times New Roman" w:hAnsi="Times New Roman" w:cs="Times New Roman"/>
          <w:sz w:val="24"/>
          <w:szCs w:val="24"/>
        </w:rPr>
        <w:t>.</w:t>
      </w:r>
      <w:r w:rsidR="00B612D3" w:rsidRPr="006C0693">
        <w:rPr>
          <w:rFonts w:ascii="Times New Roman" w:hAnsi="Times New Roman" w:cs="Times New Roman"/>
          <w:sz w:val="24"/>
          <w:szCs w:val="24"/>
        </w:rPr>
        <w:t xml:space="preserve"> </w:t>
      </w:r>
    </w:p>
    <w:p w:rsidR="00626161" w:rsidRPr="006C0693" w:rsidRDefault="00805406" w:rsidP="006C0693">
      <w:pPr>
        <w:rPr>
          <w:rFonts w:ascii="Times New Roman" w:hAnsi="Times New Roman" w:cs="Times New Roman"/>
          <w:color w:val="000000"/>
          <w:sz w:val="24"/>
          <w:szCs w:val="24"/>
        </w:rPr>
      </w:pPr>
      <w:r w:rsidRPr="006C0693">
        <w:rPr>
          <w:rFonts w:ascii="Times New Roman" w:hAnsi="Times New Roman" w:cs="Times New Roman"/>
          <w:color w:val="000000"/>
          <w:sz w:val="24"/>
          <w:szCs w:val="24"/>
        </w:rPr>
        <w:t>8</w:t>
      </w:r>
      <w:r w:rsidR="00303E0A" w:rsidRPr="006C0693">
        <w:rPr>
          <w:rFonts w:ascii="Times New Roman" w:hAnsi="Times New Roman" w:cs="Times New Roman"/>
          <w:color w:val="000000"/>
          <w:sz w:val="24"/>
          <w:szCs w:val="24"/>
        </w:rPr>
        <w:t xml:space="preserve">.  </w:t>
      </w:r>
      <w:r w:rsidR="005C1450" w:rsidRPr="006C0693">
        <w:rPr>
          <w:rFonts w:ascii="Times New Roman" w:hAnsi="Times New Roman" w:cs="Times New Roman"/>
          <w:color w:val="000000"/>
          <w:sz w:val="24"/>
          <w:szCs w:val="24"/>
        </w:rPr>
        <w:t>We a</w:t>
      </w:r>
      <w:r w:rsidR="007408CB" w:rsidRPr="006C0693">
        <w:rPr>
          <w:rFonts w:ascii="Times New Roman" w:hAnsi="Times New Roman" w:cs="Times New Roman"/>
          <w:color w:val="000000"/>
          <w:sz w:val="24"/>
          <w:szCs w:val="24"/>
        </w:rPr>
        <w:t>re particularly concerned about</w:t>
      </w:r>
      <w:r w:rsidR="00626161" w:rsidRPr="006C0693">
        <w:rPr>
          <w:rFonts w:ascii="Times New Roman" w:hAnsi="Times New Roman" w:cs="Times New Roman"/>
          <w:color w:val="000000"/>
          <w:sz w:val="24"/>
          <w:szCs w:val="24"/>
        </w:rPr>
        <w:t xml:space="preserve"> the suggestion in paragraph 65 that</w:t>
      </w:r>
      <w:r w:rsidR="00626161" w:rsidRPr="006C0693">
        <w:rPr>
          <w:rFonts w:ascii="Times New Roman" w:hAnsi="Times New Roman" w:cs="Times New Roman"/>
          <w:sz w:val="24"/>
          <w:szCs w:val="24"/>
        </w:rPr>
        <w:t xml:space="preserve"> </w:t>
      </w:r>
      <w:r w:rsidR="00626161" w:rsidRPr="006C0693">
        <w:rPr>
          <w:rFonts w:ascii="Times New Roman" w:eastAsia="Calibri" w:hAnsi="Times New Roman" w:cs="Times New Roman"/>
          <w:sz w:val="24"/>
          <w:szCs w:val="24"/>
          <w:lang w:bidi="he-IL"/>
        </w:rPr>
        <w:t xml:space="preserve">obligations of </w:t>
      </w:r>
      <w:r w:rsidR="00626161" w:rsidRPr="006C0693">
        <w:rPr>
          <w:rFonts w:ascii="Times New Roman" w:eastAsia="Calibri" w:hAnsi="Times New Roman" w:cs="Times New Roman"/>
          <w:sz w:val="24"/>
          <w:szCs w:val="24"/>
        </w:rPr>
        <w:t xml:space="preserve">States under </w:t>
      </w:r>
      <w:r w:rsidR="0049530B" w:rsidRPr="006C0693">
        <w:rPr>
          <w:rFonts w:ascii="Times New Roman" w:eastAsia="Calibri" w:hAnsi="Times New Roman" w:cs="Times New Roman"/>
          <w:sz w:val="24"/>
          <w:szCs w:val="24"/>
        </w:rPr>
        <w:t xml:space="preserve">the </w:t>
      </w:r>
      <w:r w:rsidR="00626161" w:rsidRPr="006C0693">
        <w:rPr>
          <w:rFonts w:ascii="Times New Roman" w:eastAsia="Calibri" w:hAnsi="Times New Roman" w:cs="Times New Roman"/>
          <w:sz w:val="24"/>
          <w:szCs w:val="24"/>
        </w:rPr>
        <w:t xml:space="preserve">ICCPR and international environmental law depend on each other or are changed by each other in their interpretation or application.  </w:t>
      </w:r>
      <w:r w:rsidR="005C1450" w:rsidRPr="006C0693">
        <w:rPr>
          <w:rFonts w:ascii="Times New Roman" w:eastAsia="Calibri" w:hAnsi="Times New Roman" w:cs="Times New Roman"/>
          <w:sz w:val="24"/>
          <w:szCs w:val="24"/>
        </w:rPr>
        <w:t>T</w:t>
      </w:r>
      <w:r w:rsidR="00626161" w:rsidRPr="006C0693">
        <w:rPr>
          <w:rFonts w:ascii="Times New Roman" w:eastAsia="Calibri" w:hAnsi="Times New Roman" w:cs="Times New Roman"/>
          <w:sz w:val="24"/>
          <w:szCs w:val="24"/>
        </w:rPr>
        <w:t xml:space="preserve">he Committee </w:t>
      </w:r>
      <w:r w:rsidR="0049530B" w:rsidRPr="006C0693">
        <w:rPr>
          <w:rFonts w:ascii="Times New Roman" w:eastAsia="Calibri" w:hAnsi="Times New Roman" w:cs="Times New Roman"/>
          <w:sz w:val="24"/>
          <w:szCs w:val="24"/>
        </w:rPr>
        <w:t>has no</w:t>
      </w:r>
      <w:r w:rsidR="005C1450" w:rsidRPr="006C0693">
        <w:rPr>
          <w:rFonts w:ascii="Times New Roman" w:eastAsia="Calibri" w:hAnsi="Times New Roman" w:cs="Times New Roman"/>
          <w:sz w:val="24"/>
          <w:szCs w:val="24"/>
        </w:rPr>
        <w:t xml:space="preserve"> mandate </w:t>
      </w:r>
      <w:r w:rsidR="00626161" w:rsidRPr="006C0693">
        <w:rPr>
          <w:rFonts w:ascii="Times New Roman" w:eastAsia="Calibri" w:hAnsi="Times New Roman" w:cs="Times New Roman"/>
          <w:sz w:val="24"/>
          <w:szCs w:val="24"/>
        </w:rPr>
        <w:t xml:space="preserve">to suggest that Article 6(1) obligations “must reinforce” </w:t>
      </w:r>
      <w:r w:rsidR="0049530B" w:rsidRPr="006C0693">
        <w:rPr>
          <w:rFonts w:ascii="Times New Roman" w:eastAsia="Calibri" w:hAnsi="Times New Roman" w:cs="Times New Roman"/>
          <w:sz w:val="24"/>
          <w:szCs w:val="24"/>
        </w:rPr>
        <w:t>States’</w:t>
      </w:r>
      <w:r w:rsidR="00626161" w:rsidRPr="006C0693">
        <w:rPr>
          <w:rFonts w:ascii="Times New Roman" w:eastAsia="Calibri" w:hAnsi="Times New Roman" w:cs="Times New Roman"/>
          <w:sz w:val="24"/>
          <w:szCs w:val="24"/>
        </w:rPr>
        <w:t xml:space="preserve"> relevant obligations under international environmental law, or that international environmental law should necessarily “inform the contents” of States Parties’ obligations under Article 6(1)</w:t>
      </w:r>
      <w:r w:rsidR="00BF6D5F" w:rsidRPr="006C0693">
        <w:rPr>
          <w:rFonts w:ascii="Times New Roman" w:eastAsia="Calibri" w:hAnsi="Times New Roman" w:cs="Times New Roman"/>
          <w:sz w:val="24"/>
          <w:szCs w:val="24"/>
        </w:rPr>
        <w:t>.</w:t>
      </w:r>
      <w:r w:rsidR="00E254AC" w:rsidRPr="006C0693">
        <w:rPr>
          <w:rFonts w:ascii="Times New Roman" w:eastAsia="Calibri" w:hAnsi="Times New Roman" w:cs="Times New Roman"/>
          <w:sz w:val="24"/>
          <w:szCs w:val="24"/>
        </w:rPr>
        <w:t xml:space="preserve"> </w:t>
      </w:r>
      <w:r w:rsidR="00BF6D5F" w:rsidRPr="006C0693">
        <w:rPr>
          <w:rFonts w:ascii="Times New Roman" w:eastAsia="Calibri" w:hAnsi="Times New Roman" w:cs="Times New Roman"/>
          <w:sz w:val="24"/>
          <w:szCs w:val="24"/>
        </w:rPr>
        <w:t xml:space="preserve"> Nor can such an interpretation of Article 6(1) find any support in accepted principles of treaty interpretation reflected in </w:t>
      </w:r>
      <w:r w:rsidR="00E254AC" w:rsidRPr="006C0693">
        <w:rPr>
          <w:rFonts w:ascii="Times New Roman" w:hAnsi="Times New Roman" w:cs="Times New Roman"/>
          <w:color w:val="000000"/>
          <w:sz w:val="24"/>
          <w:szCs w:val="24"/>
        </w:rPr>
        <w:t>VCLT Articles 31 and 32</w:t>
      </w:r>
      <w:r w:rsidR="00626161" w:rsidRPr="006C0693">
        <w:rPr>
          <w:rFonts w:ascii="Times New Roman" w:hAnsi="Times New Roman" w:cs="Times New Roman"/>
          <w:sz w:val="24"/>
          <w:szCs w:val="24"/>
        </w:rPr>
        <w:t>.  This would set up an inaccurate description of the legal relationship between the ICCPR and international environmental law, and it would create significant legal uncertainty about the scope and meaning of important environmental obligations if they were reinterpreted based on a separate area of law like the ICCPR.  The relevant treaties cover wholly distinct areas (one of which barely existed at the time the ICCPR was negotiated) and do so with different and varied approaches that are tailored to the particular goals of each treaty.  Obligations in environmental treaties, for example, generally do not take a human rights-based approach</w:t>
      </w:r>
      <w:r w:rsidR="007B2069" w:rsidRPr="006C0693">
        <w:rPr>
          <w:rFonts w:ascii="Times New Roman" w:hAnsi="Times New Roman" w:cs="Times New Roman"/>
          <w:sz w:val="24"/>
          <w:szCs w:val="24"/>
        </w:rPr>
        <w:t>.  The ICCPR thus cannot be a lens through which environmental obligations must be viewed, nor vice versa; that would be beyond the intent of the negotiators that created the ICCPR and particular environmental obligations in various agreements</w:t>
      </w:r>
      <w:r w:rsidR="00626161" w:rsidRPr="006C0693">
        <w:rPr>
          <w:rFonts w:ascii="Times New Roman" w:hAnsi="Times New Roman" w:cs="Times New Roman"/>
          <w:sz w:val="24"/>
          <w:szCs w:val="24"/>
        </w:rPr>
        <w:t>.</w:t>
      </w:r>
      <w:r w:rsidR="00623680" w:rsidRPr="006C0693">
        <w:rPr>
          <w:rFonts w:ascii="Times New Roman" w:hAnsi="Times New Roman" w:cs="Times New Roman"/>
          <w:sz w:val="24"/>
          <w:szCs w:val="24"/>
          <w:vertAlign w:val="superscript"/>
        </w:rPr>
        <w:footnoteReference w:id="12"/>
      </w:r>
      <w:r w:rsidR="00623680" w:rsidRPr="006C0693">
        <w:rPr>
          <w:rFonts w:ascii="Times New Roman" w:hAnsi="Times New Roman" w:cs="Times New Roman"/>
          <w:sz w:val="24"/>
          <w:szCs w:val="24"/>
        </w:rPr>
        <w:t xml:space="preserve">  </w:t>
      </w:r>
      <w:r w:rsidR="00626161" w:rsidRPr="006C0693">
        <w:rPr>
          <w:rFonts w:ascii="Times New Roman" w:hAnsi="Times New Roman" w:cs="Times New Roman"/>
          <w:sz w:val="24"/>
          <w:szCs w:val="24"/>
        </w:rPr>
        <w:t xml:space="preserve"> </w:t>
      </w:r>
    </w:p>
    <w:p w:rsidR="00D2724E" w:rsidRPr="006C0693" w:rsidRDefault="00805406" w:rsidP="006C0693">
      <w:pPr>
        <w:spacing w:after="0"/>
        <w:rPr>
          <w:rFonts w:ascii="Times New Roman" w:hAnsi="Times New Roman" w:cs="Times New Roman"/>
          <w:color w:val="000000"/>
          <w:sz w:val="24"/>
          <w:szCs w:val="24"/>
        </w:rPr>
      </w:pPr>
      <w:r w:rsidRPr="006C0693">
        <w:rPr>
          <w:rFonts w:ascii="Times New Roman" w:hAnsi="Times New Roman" w:cs="Times New Roman"/>
          <w:color w:val="000000"/>
          <w:sz w:val="24"/>
          <w:szCs w:val="24"/>
        </w:rPr>
        <w:t>9</w:t>
      </w:r>
      <w:r w:rsidR="001E7040" w:rsidRPr="006C0693">
        <w:rPr>
          <w:rFonts w:ascii="Times New Roman" w:hAnsi="Times New Roman" w:cs="Times New Roman"/>
          <w:color w:val="000000"/>
          <w:sz w:val="24"/>
          <w:szCs w:val="24"/>
        </w:rPr>
        <w:t xml:space="preserve">.  </w:t>
      </w:r>
      <w:r w:rsidR="009367ED" w:rsidRPr="006C0693">
        <w:rPr>
          <w:rFonts w:ascii="Times New Roman" w:hAnsi="Times New Roman" w:cs="Times New Roman"/>
          <w:color w:val="000000"/>
          <w:sz w:val="24"/>
          <w:szCs w:val="24"/>
        </w:rPr>
        <w:t>The United States</w:t>
      </w:r>
      <w:r w:rsidR="00F17C98" w:rsidRPr="006C0693">
        <w:rPr>
          <w:rFonts w:ascii="Times New Roman" w:hAnsi="Times New Roman" w:cs="Times New Roman"/>
          <w:color w:val="000000"/>
          <w:sz w:val="24"/>
          <w:szCs w:val="24"/>
        </w:rPr>
        <w:t xml:space="preserve"> also</w:t>
      </w:r>
      <w:r w:rsidR="00DB1009" w:rsidRPr="006C0693">
        <w:rPr>
          <w:rFonts w:ascii="Times New Roman" w:hAnsi="Times New Roman" w:cs="Times New Roman"/>
          <w:color w:val="000000"/>
          <w:sz w:val="24"/>
          <w:szCs w:val="24"/>
        </w:rPr>
        <w:t xml:space="preserve"> believe</w:t>
      </w:r>
      <w:r w:rsidR="009367ED" w:rsidRPr="006C0693">
        <w:rPr>
          <w:rFonts w:ascii="Times New Roman" w:hAnsi="Times New Roman" w:cs="Times New Roman"/>
          <w:color w:val="000000"/>
          <w:sz w:val="24"/>
          <w:szCs w:val="24"/>
        </w:rPr>
        <w:t>s</w:t>
      </w:r>
      <w:r w:rsidR="00DB1009" w:rsidRPr="006C0693">
        <w:rPr>
          <w:rFonts w:ascii="Times New Roman" w:hAnsi="Times New Roman" w:cs="Times New Roman"/>
          <w:color w:val="000000"/>
          <w:sz w:val="24"/>
          <w:szCs w:val="24"/>
        </w:rPr>
        <w:t xml:space="preserve"> t</w:t>
      </w:r>
      <w:r w:rsidR="00FC2D2A" w:rsidRPr="006C0693">
        <w:rPr>
          <w:rFonts w:ascii="Times New Roman" w:hAnsi="Times New Roman" w:cs="Times New Roman"/>
          <w:color w:val="000000"/>
          <w:sz w:val="24"/>
          <w:szCs w:val="24"/>
        </w:rPr>
        <w:t xml:space="preserve">he Committee </w:t>
      </w:r>
      <w:r w:rsidR="00E268AE" w:rsidRPr="006C0693">
        <w:rPr>
          <w:rFonts w:ascii="Times New Roman" w:hAnsi="Times New Roman" w:cs="Times New Roman"/>
          <w:color w:val="000000"/>
          <w:sz w:val="24"/>
          <w:szCs w:val="24"/>
        </w:rPr>
        <w:t>is mistaken</w:t>
      </w:r>
      <w:r w:rsidR="00E00CD9" w:rsidRPr="006C0693">
        <w:rPr>
          <w:rFonts w:ascii="Times New Roman" w:hAnsi="Times New Roman" w:cs="Times New Roman"/>
          <w:color w:val="000000"/>
          <w:sz w:val="24"/>
          <w:szCs w:val="24"/>
        </w:rPr>
        <w:t xml:space="preserve"> </w:t>
      </w:r>
      <w:r w:rsidR="00D2724E" w:rsidRPr="006C0693">
        <w:rPr>
          <w:rFonts w:ascii="Times New Roman" w:hAnsi="Times New Roman" w:cs="Times New Roman"/>
          <w:color w:val="000000"/>
          <w:sz w:val="24"/>
          <w:szCs w:val="24"/>
        </w:rPr>
        <w:t xml:space="preserve">in paragraph 69 </w:t>
      </w:r>
      <w:r w:rsidR="00C86CBB" w:rsidRPr="006C0693">
        <w:rPr>
          <w:rFonts w:ascii="Times New Roman" w:hAnsi="Times New Roman" w:cs="Times New Roman"/>
          <w:color w:val="000000"/>
          <w:sz w:val="24"/>
          <w:szCs w:val="24"/>
        </w:rPr>
        <w:t xml:space="preserve">in </w:t>
      </w:r>
      <w:r w:rsidR="00E00CD9" w:rsidRPr="006C0693">
        <w:rPr>
          <w:rFonts w:ascii="Times New Roman" w:hAnsi="Times New Roman" w:cs="Times New Roman"/>
          <w:color w:val="000000"/>
          <w:sz w:val="24"/>
          <w:szCs w:val="24"/>
        </w:rPr>
        <w:t>its view</w:t>
      </w:r>
      <w:r w:rsidR="005A3A43" w:rsidRPr="006C0693">
        <w:rPr>
          <w:rFonts w:ascii="Times New Roman" w:hAnsi="Times New Roman" w:cs="Times New Roman"/>
          <w:color w:val="000000"/>
          <w:sz w:val="24"/>
          <w:szCs w:val="24"/>
        </w:rPr>
        <w:t xml:space="preserve"> </w:t>
      </w:r>
      <w:r w:rsidR="00E00CD9" w:rsidRPr="006C0693">
        <w:rPr>
          <w:rFonts w:ascii="Times New Roman" w:hAnsi="Times New Roman" w:cs="Times New Roman"/>
          <w:color w:val="000000"/>
          <w:sz w:val="24"/>
          <w:szCs w:val="24"/>
        </w:rPr>
        <w:t xml:space="preserve">that entry of a reservation with respect to </w:t>
      </w:r>
      <w:r w:rsidR="005A3A43" w:rsidRPr="006C0693">
        <w:rPr>
          <w:rFonts w:ascii="Times New Roman" w:hAnsi="Times New Roman" w:cs="Times New Roman"/>
          <w:color w:val="000000"/>
          <w:sz w:val="24"/>
          <w:szCs w:val="24"/>
        </w:rPr>
        <w:t>A</w:t>
      </w:r>
      <w:r w:rsidR="00E00CD9" w:rsidRPr="006C0693">
        <w:rPr>
          <w:rFonts w:ascii="Times New Roman" w:hAnsi="Times New Roman" w:cs="Times New Roman"/>
          <w:color w:val="000000"/>
          <w:sz w:val="24"/>
          <w:szCs w:val="24"/>
        </w:rPr>
        <w:t>rticle 6 would be incompatible with the object and purpose of the ICCPR</w:t>
      </w:r>
      <w:r w:rsidR="00794D5B" w:rsidRPr="006C0693">
        <w:rPr>
          <w:rFonts w:ascii="Times New Roman" w:hAnsi="Times New Roman" w:cs="Times New Roman"/>
          <w:color w:val="000000"/>
          <w:sz w:val="24"/>
          <w:szCs w:val="24"/>
        </w:rPr>
        <w:t>,</w:t>
      </w:r>
      <w:r w:rsidR="00E00CD9" w:rsidRPr="006C0693">
        <w:rPr>
          <w:rFonts w:ascii="Times New Roman" w:hAnsi="Times New Roman" w:cs="Times New Roman"/>
          <w:color w:val="000000"/>
          <w:sz w:val="24"/>
          <w:szCs w:val="24"/>
        </w:rPr>
        <w:t xml:space="preserve"> </w:t>
      </w:r>
      <w:r w:rsidR="00E254AC" w:rsidRPr="006C0693">
        <w:rPr>
          <w:rFonts w:ascii="Times New Roman" w:hAnsi="Times New Roman" w:cs="Times New Roman"/>
          <w:color w:val="000000"/>
          <w:sz w:val="24"/>
          <w:szCs w:val="24"/>
        </w:rPr>
        <w:t>especially in light</w:t>
      </w:r>
      <w:r w:rsidR="00380B11" w:rsidRPr="006C0693">
        <w:rPr>
          <w:rFonts w:ascii="Times New Roman" w:hAnsi="Times New Roman" w:cs="Times New Roman"/>
          <w:color w:val="000000"/>
          <w:sz w:val="24"/>
          <w:szCs w:val="24"/>
        </w:rPr>
        <w:t xml:space="preserve"> </w:t>
      </w:r>
      <w:r w:rsidR="006A233F" w:rsidRPr="006C0693">
        <w:rPr>
          <w:rFonts w:ascii="Times New Roman" w:hAnsi="Times New Roman" w:cs="Times New Roman"/>
          <w:color w:val="000000"/>
          <w:sz w:val="24"/>
          <w:szCs w:val="24"/>
        </w:rPr>
        <w:t xml:space="preserve">of </w:t>
      </w:r>
      <w:r w:rsidR="00DB1009" w:rsidRPr="006C0693">
        <w:rPr>
          <w:rFonts w:ascii="Times New Roman" w:hAnsi="Times New Roman" w:cs="Times New Roman"/>
          <w:color w:val="000000"/>
          <w:sz w:val="24"/>
          <w:szCs w:val="24"/>
        </w:rPr>
        <w:t xml:space="preserve">the article’s </w:t>
      </w:r>
      <w:r w:rsidR="00E00CD9" w:rsidRPr="006C0693">
        <w:rPr>
          <w:rFonts w:ascii="Times New Roman" w:hAnsi="Times New Roman" w:cs="Times New Roman"/>
          <w:color w:val="000000"/>
          <w:sz w:val="24"/>
          <w:szCs w:val="24"/>
        </w:rPr>
        <w:t>peremptory and non-derogable nature</w:t>
      </w:r>
      <w:r w:rsidR="00D2724E" w:rsidRPr="006C0693">
        <w:rPr>
          <w:rFonts w:ascii="Times New Roman" w:hAnsi="Times New Roman" w:cs="Times New Roman"/>
          <w:color w:val="000000"/>
          <w:sz w:val="24"/>
          <w:szCs w:val="24"/>
        </w:rPr>
        <w:t>.</w:t>
      </w:r>
      <w:r w:rsidR="00F15130" w:rsidRPr="006C0693">
        <w:rPr>
          <w:rFonts w:ascii="Times New Roman" w:hAnsi="Times New Roman" w:cs="Times New Roman"/>
          <w:sz w:val="24"/>
          <w:szCs w:val="24"/>
        </w:rPr>
        <w:t xml:space="preserve">  </w:t>
      </w:r>
      <w:r w:rsidR="00C86CBB" w:rsidRPr="006C0693">
        <w:rPr>
          <w:rFonts w:ascii="Times New Roman" w:hAnsi="Times New Roman" w:cs="Times New Roman"/>
          <w:sz w:val="24"/>
          <w:szCs w:val="24"/>
        </w:rPr>
        <w:t xml:space="preserve">The Committee relies solely </w:t>
      </w:r>
      <w:r w:rsidR="00C86CBB" w:rsidRPr="006C0693">
        <w:rPr>
          <w:rFonts w:ascii="Times New Roman" w:hAnsi="Times New Roman" w:cs="Times New Roman"/>
          <w:color w:val="000000"/>
          <w:sz w:val="24"/>
          <w:szCs w:val="24"/>
        </w:rPr>
        <w:t>on its previous General Comment No. 24</w:t>
      </w:r>
      <w:r w:rsidR="00ED53AD" w:rsidRPr="006C0693">
        <w:rPr>
          <w:rFonts w:ascii="Times New Roman" w:hAnsi="Times New Roman" w:cs="Times New Roman"/>
          <w:color w:val="000000"/>
          <w:sz w:val="24"/>
          <w:szCs w:val="24"/>
        </w:rPr>
        <w:t xml:space="preserve"> for this position</w:t>
      </w:r>
      <w:r w:rsidR="002D28D1" w:rsidRPr="006C0693">
        <w:rPr>
          <w:rFonts w:ascii="Times New Roman" w:hAnsi="Times New Roman" w:cs="Times New Roman"/>
          <w:color w:val="000000"/>
          <w:sz w:val="24"/>
          <w:szCs w:val="24"/>
        </w:rPr>
        <w:t>.</w:t>
      </w:r>
      <w:r w:rsidR="00C86CBB" w:rsidRPr="006C0693">
        <w:rPr>
          <w:rFonts w:ascii="Times New Roman" w:hAnsi="Times New Roman" w:cs="Times New Roman"/>
          <w:color w:val="000000"/>
          <w:sz w:val="24"/>
          <w:szCs w:val="24"/>
        </w:rPr>
        <w:t xml:space="preserve"> </w:t>
      </w:r>
      <w:r w:rsidR="00ED53AD" w:rsidRPr="006C0693">
        <w:rPr>
          <w:rFonts w:ascii="Times New Roman" w:hAnsi="Times New Roman" w:cs="Times New Roman"/>
          <w:color w:val="000000"/>
          <w:sz w:val="24"/>
          <w:szCs w:val="24"/>
        </w:rPr>
        <w:t xml:space="preserve"> We </w:t>
      </w:r>
      <w:r w:rsidR="00A46100" w:rsidRPr="006C0693">
        <w:rPr>
          <w:rFonts w:ascii="Times New Roman" w:hAnsi="Times New Roman" w:cs="Times New Roman"/>
          <w:color w:val="000000"/>
          <w:sz w:val="24"/>
          <w:szCs w:val="24"/>
        </w:rPr>
        <w:t>refer the Committee to the United States’ Obs</w:t>
      </w:r>
      <w:r w:rsidR="00C605FC" w:rsidRPr="006C0693">
        <w:rPr>
          <w:rFonts w:ascii="Times New Roman" w:hAnsi="Times New Roman" w:cs="Times New Roman"/>
          <w:color w:val="000000"/>
          <w:sz w:val="24"/>
          <w:szCs w:val="24"/>
        </w:rPr>
        <w:t xml:space="preserve">ervations on General Comment </w:t>
      </w:r>
      <w:r w:rsidR="0062536E" w:rsidRPr="006C0693">
        <w:rPr>
          <w:rFonts w:ascii="Times New Roman" w:hAnsi="Times New Roman" w:cs="Times New Roman"/>
          <w:color w:val="000000"/>
          <w:sz w:val="24"/>
          <w:szCs w:val="24"/>
        </w:rPr>
        <w:t xml:space="preserve">No. </w:t>
      </w:r>
      <w:r w:rsidR="00C605FC" w:rsidRPr="006C0693">
        <w:rPr>
          <w:rFonts w:ascii="Times New Roman" w:hAnsi="Times New Roman" w:cs="Times New Roman"/>
          <w:color w:val="000000"/>
          <w:sz w:val="24"/>
          <w:szCs w:val="24"/>
        </w:rPr>
        <w:t>24</w:t>
      </w:r>
      <w:r w:rsidR="003843E4" w:rsidRPr="006C0693">
        <w:rPr>
          <w:rStyle w:val="FootnoteReference"/>
          <w:rFonts w:ascii="Times New Roman" w:hAnsi="Times New Roman" w:cs="Times New Roman"/>
          <w:color w:val="000000"/>
          <w:sz w:val="24"/>
          <w:szCs w:val="24"/>
        </w:rPr>
        <w:footnoteReference w:id="13"/>
      </w:r>
      <w:r w:rsidR="00A46100" w:rsidRPr="006C0693">
        <w:rPr>
          <w:rFonts w:ascii="Times New Roman" w:hAnsi="Times New Roman" w:cs="Times New Roman"/>
          <w:color w:val="000000"/>
          <w:sz w:val="24"/>
          <w:szCs w:val="24"/>
        </w:rPr>
        <w:t xml:space="preserve"> </w:t>
      </w:r>
      <w:r w:rsidR="00F15130" w:rsidRPr="006C0693">
        <w:rPr>
          <w:rFonts w:ascii="Times New Roman" w:hAnsi="Times New Roman" w:cs="Times New Roman"/>
          <w:color w:val="000000"/>
          <w:sz w:val="24"/>
          <w:szCs w:val="24"/>
        </w:rPr>
        <w:t>for a</w:t>
      </w:r>
      <w:r w:rsidR="004C766E" w:rsidRPr="006C0693">
        <w:rPr>
          <w:rFonts w:ascii="Times New Roman" w:hAnsi="Times New Roman" w:cs="Times New Roman"/>
          <w:color w:val="000000"/>
          <w:sz w:val="24"/>
          <w:szCs w:val="24"/>
        </w:rPr>
        <w:t xml:space="preserve"> </w:t>
      </w:r>
      <w:r w:rsidR="00277FC9" w:rsidRPr="006C0693">
        <w:rPr>
          <w:rFonts w:ascii="Times New Roman" w:hAnsi="Times New Roman" w:cs="Times New Roman"/>
          <w:color w:val="000000"/>
          <w:sz w:val="24"/>
          <w:szCs w:val="24"/>
        </w:rPr>
        <w:t>detailed explanation</w:t>
      </w:r>
      <w:r w:rsidR="00F15130" w:rsidRPr="006C0693">
        <w:rPr>
          <w:rFonts w:ascii="Times New Roman" w:hAnsi="Times New Roman" w:cs="Times New Roman"/>
          <w:color w:val="000000"/>
          <w:sz w:val="24"/>
          <w:szCs w:val="24"/>
        </w:rPr>
        <w:t xml:space="preserve"> </w:t>
      </w:r>
      <w:r w:rsidR="00C605FC" w:rsidRPr="006C0693">
        <w:rPr>
          <w:rFonts w:ascii="Times New Roman" w:hAnsi="Times New Roman" w:cs="Times New Roman"/>
          <w:color w:val="000000"/>
          <w:sz w:val="24"/>
          <w:szCs w:val="24"/>
        </w:rPr>
        <w:t xml:space="preserve">of why the assertion is </w:t>
      </w:r>
      <w:r w:rsidR="00553DB2" w:rsidRPr="006C0693">
        <w:rPr>
          <w:rFonts w:ascii="Times New Roman" w:hAnsi="Times New Roman" w:cs="Times New Roman"/>
          <w:color w:val="000000"/>
          <w:sz w:val="24"/>
          <w:szCs w:val="24"/>
        </w:rPr>
        <w:t>contrary to the Covenant and international law</w:t>
      </w:r>
      <w:r w:rsidR="00D2724E" w:rsidRPr="006C0693">
        <w:rPr>
          <w:rFonts w:ascii="Times New Roman" w:hAnsi="Times New Roman" w:cs="Times New Roman"/>
          <w:color w:val="000000"/>
          <w:sz w:val="24"/>
          <w:szCs w:val="24"/>
        </w:rPr>
        <w:t>.</w:t>
      </w:r>
      <w:r w:rsidR="00865AD0" w:rsidRPr="006C0693">
        <w:rPr>
          <w:rFonts w:ascii="Times New Roman" w:hAnsi="Times New Roman" w:cs="Times New Roman"/>
          <w:color w:val="000000"/>
          <w:sz w:val="24"/>
          <w:szCs w:val="24"/>
        </w:rPr>
        <w:t xml:space="preserve"> </w:t>
      </w:r>
    </w:p>
    <w:p w:rsidR="003007AA" w:rsidRPr="006C0693" w:rsidRDefault="00254641" w:rsidP="006C0693">
      <w:pPr>
        <w:pStyle w:val="CommentText"/>
        <w:spacing w:before="240" w:line="276" w:lineRule="auto"/>
        <w:rPr>
          <w:rFonts w:ascii="Times New Roman" w:hAnsi="Times New Roman" w:cs="Times New Roman"/>
          <w:color w:val="000000"/>
          <w:sz w:val="24"/>
          <w:szCs w:val="24"/>
        </w:rPr>
      </w:pPr>
      <w:r w:rsidRPr="006C0693">
        <w:rPr>
          <w:rFonts w:ascii="Times New Roman" w:hAnsi="Times New Roman" w:cs="Times New Roman"/>
          <w:bCs/>
          <w:sz w:val="24"/>
          <w:szCs w:val="24"/>
          <w:u w:val="single"/>
        </w:rPr>
        <w:lastRenderedPageBreak/>
        <w:t>Committee Mandate</w:t>
      </w:r>
    </w:p>
    <w:p w:rsidR="009D329F" w:rsidRPr="006C0693" w:rsidRDefault="002D28D1" w:rsidP="006C0693">
      <w:pPr>
        <w:autoSpaceDE w:val="0"/>
        <w:autoSpaceDN w:val="0"/>
        <w:adjustRightInd w:val="0"/>
        <w:spacing w:after="0"/>
        <w:rPr>
          <w:rFonts w:ascii="Times New Roman" w:hAnsi="Times New Roman" w:cs="Times New Roman"/>
          <w:sz w:val="24"/>
          <w:szCs w:val="24"/>
        </w:rPr>
      </w:pPr>
      <w:r w:rsidRPr="006C0693">
        <w:rPr>
          <w:rFonts w:ascii="Times New Roman" w:hAnsi="Times New Roman" w:cs="Times New Roman"/>
          <w:sz w:val="24"/>
          <w:szCs w:val="24"/>
        </w:rPr>
        <w:t>1</w:t>
      </w:r>
      <w:r w:rsidR="00805406" w:rsidRPr="006C0693">
        <w:rPr>
          <w:rFonts w:ascii="Times New Roman" w:hAnsi="Times New Roman" w:cs="Times New Roman"/>
          <w:sz w:val="24"/>
          <w:szCs w:val="24"/>
        </w:rPr>
        <w:t>0</w:t>
      </w:r>
      <w:r w:rsidRPr="006C0693">
        <w:rPr>
          <w:rFonts w:ascii="Times New Roman" w:hAnsi="Times New Roman" w:cs="Times New Roman"/>
          <w:sz w:val="24"/>
          <w:szCs w:val="24"/>
        </w:rPr>
        <w:t xml:space="preserve">. </w:t>
      </w:r>
      <w:r w:rsidR="00CF1738">
        <w:rPr>
          <w:rFonts w:ascii="Times New Roman" w:hAnsi="Times New Roman" w:cs="Times New Roman"/>
          <w:sz w:val="24"/>
          <w:szCs w:val="24"/>
        </w:rPr>
        <w:t xml:space="preserve"> </w:t>
      </w:r>
      <w:r w:rsidR="005566CD" w:rsidRPr="006C0693">
        <w:rPr>
          <w:rFonts w:ascii="Times New Roman" w:hAnsi="Times New Roman" w:cs="Times New Roman"/>
          <w:sz w:val="24"/>
          <w:szCs w:val="24"/>
        </w:rPr>
        <w:t>In response to a number of prior general comments, t</w:t>
      </w:r>
      <w:r w:rsidR="00C07BC4" w:rsidRPr="006C0693">
        <w:rPr>
          <w:rFonts w:ascii="Times New Roman" w:hAnsi="Times New Roman" w:cs="Times New Roman"/>
          <w:sz w:val="24"/>
          <w:szCs w:val="24"/>
        </w:rPr>
        <w:t xml:space="preserve">he United States has </w:t>
      </w:r>
      <w:r w:rsidR="00B4355D" w:rsidRPr="006C0693">
        <w:rPr>
          <w:rFonts w:ascii="Times New Roman" w:hAnsi="Times New Roman" w:cs="Times New Roman"/>
          <w:sz w:val="24"/>
          <w:szCs w:val="24"/>
        </w:rPr>
        <w:t xml:space="preserve">expressed concerns with </w:t>
      </w:r>
      <w:r w:rsidR="00274912" w:rsidRPr="006C0693">
        <w:rPr>
          <w:rFonts w:ascii="Times New Roman" w:hAnsi="Times New Roman" w:cs="Times New Roman"/>
          <w:sz w:val="24"/>
          <w:szCs w:val="24"/>
        </w:rPr>
        <w:t xml:space="preserve">the </w:t>
      </w:r>
      <w:r w:rsidR="001C40E1" w:rsidRPr="006C0693">
        <w:rPr>
          <w:rFonts w:ascii="Times New Roman" w:hAnsi="Times New Roman" w:cs="Times New Roman"/>
          <w:sz w:val="24"/>
          <w:szCs w:val="24"/>
        </w:rPr>
        <w:t xml:space="preserve">Committee’s </w:t>
      </w:r>
      <w:r w:rsidRPr="006C0693">
        <w:rPr>
          <w:rFonts w:ascii="Times New Roman" w:hAnsi="Times New Roman" w:cs="Times New Roman"/>
          <w:sz w:val="24"/>
          <w:szCs w:val="24"/>
        </w:rPr>
        <w:t>interpretive practice</w:t>
      </w:r>
      <w:r w:rsidR="0051552D" w:rsidRPr="006C0693">
        <w:rPr>
          <w:rFonts w:ascii="Times New Roman" w:hAnsi="Times New Roman" w:cs="Times New Roman"/>
          <w:sz w:val="24"/>
          <w:szCs w:val="24"/>
        </w:rPr>
        <w:t xml:space="preserve"> generally</w:t>
      </w:r>
      <w:r w:rsidR="00E907E5" w:rsidRPr="006C0693">
        <w:rPr>
          <w:rFonts w:ascii="Times New Roman" w:hAnsi="Times New Roman" w:cs="Times New Roman"/>
          <w:sz w:val="24"/>
          <w:szCs w:val="24"/>
        </w:rPr>
        <w:t>,</w:t>
      </w:r>
      <w:r w:rsidR="00F83F84" w:rsidRPr="006C0693">
        <w:rPr>
          <w:rFonts w:ascii="Times New Roman" w:hAnsi="Times New Roman" w:cs="Times New Roman"/>
          <w:sz w:val="24"/>
          <w:szCs w:val="24"/>
        </w:rPr>
        <w:t xml:space="preserve"> </w:t>
      </w:r>
      <w:r w:rsidR="00B4355D" w:rsidRPr="006C0693">
        <w:rPr>
          <w:rFonts w:ascii="Times New Roman" w:hAnsi="Times New Roman" w:cs="Times New Roman"/>
          <w:sz w:val="24"/>
          <w:szCs w:val="24"/>
        </w:rPr>
        <w:t xml:space="preserve">explaining in detail </w:t>
      </w:r>
      <w:r w:rsidR="0076684A" w:rsidRPr="006C0693">
        <w:rPr>
          <w:rFonts w:ascii="Times New Roman" w:hAnsi="Times New Roman" w:cs="Times New Roman"/>
          <w:sz w:val="24"/>
          <w:szCs w:val="24"/>
        </w:rPr>
        <w:t xml:space="preserve">our view that </w:t>
      </w:r>
      <w:r w:rsidRPr="006C0693">
        <w:rPr>
          <w:rFonts w:ascii="Times New Roman" w:hAnsi="Times New Roman" w:cs="Times New Roman"/>
          <w:sz w:val="24"/>
          <w:szCs w:val="24"/>
        </w:rPr>
        <w:t>it</w:t>
      </w:r>
      <w:r w:rsidR="00883CC2" w:rsidRPr="006C0693">
        <w:rPr>
          <w:rFonts w:ascii="Times New Roman" w:hAnsi="Times New Roman" w:cs="Times New Roman"/>
          <w:sz w:val="24"/>
          <w:szCs w:val="24"/>
        </w:rPr>
        <w:t xml:space="preserve"> is beyond </w:t>
      </w:r>
      <w:r w:rsidR="00EA5B26" w:rsidRPr="006C0693">
        <w:rPr>
          <w:rFonts w:ascii="Times New Roman" w:hAnsi="Times New Roman" w:cs="Times New Roman"/>
          <w:sz w:val="24"/>
          <w:szCs w:val="24"/>
        </w:rPr>
        <w:t xml:space="preserve">the Committee’s </w:t>
      </w:r>
      <w:r w:rsidR="00883CC2" w:rsidRPr="006C0693">
        <w:rPr>
          <w:rFonts w:ascii="Times New Roman" w:hAnsi="Times New Roman" w:cs="Times New Roman"/>
          <w:sz w:val="24"/>
          <w:szCs w:val="24"/>
        </w:rPr>
        <w:t>authority and mandate</w:t>
      </w:r>
      <w:r w:rsidR="001C40E1" w:rsidRPr="006C0693">
        <w:rPr>
          <w:rFonts w:ascii="Times New Roman" w:hAnsi="Times New Roman" w:cs="Times New Roman"/>
          <w:sz w:val="24"/>
          <w:szCs w:val="24"/>
        </w:rPr>
        <w:t xml:space="preserve"> and contrary to international law</w:t>
      </w:r>
      <w:r w:rsidR="00241961" w:rsidRPr="006C0693">
        <w:rPr>
          <w:rFonts w:ascii="Times New Roman" w:hAnsi="Times New Roman" w:cs="Times New Roman"/>
          <w:sz w:val="24"/>
          <w:szCs w:val="24"/>
        </w:rPr>
        <w:t>.</w:t>
      </w:r>
      <w:r w:rsidRPr="006C0693">
        <w:rPr>
          <w:rStyle w:val="FootnoteReference"/>
          <w:rFonts w:ascii="Times New Roman" w:hAnsi="Times New Roman" w:cs="Times New Roman"/>
          <w:sz w:val="24"/>
          <w:szCs w:val="24"/>
        </w:rPr>
        <w:footnoteReference w:id="14"/>
      </w:r>
      <w:r w:rsidR="001D3B1D" w:rsidRPr="006C0693">
        <w:rPr>
          <w:rFonts w:ascii="Times New Roman" w:hAnsi="Times New Roman" w:cs="Times New Roman"/>
          <w:sz w:val="24"/>
          <w:szCs w:val="24"/>
        </w:rPr>
        <w:t xml:space="preserve"> </w:t>
      </w:r>
      <w:r w:rsidR="00BF2CCD" w:rsidRPr="006C0693">
        <w:rPr>
          <w:rFonts w:ascii="Times New Roman" w:hAnsi="Times New Roman" w:cs="Times New Roman"/>
          <w:sz w:val="24"/>
          <w:szCs w:val="24"/>
        </w:rPr>
        <w:t xml:space="preserve"> </w:t>
      </w:r>
      <w:r w:rsidR="006A663B" w:rsidRPr="006C0693">
        <w:rPr>
          <w:rFonts w:ascii="Times New Roman" w:hAnsi="Times New Roman" w:cs="Times New Roman"/>
          <w:sz w:val="24"/>
          <w:szCs w:val="24"/>
        </w:rPr>
        <w:t>The United</w:t>
      </w:r>
      <w:r w:rsidR="00C01F65" w:rsidRPr="006C0693">
        <w:rPr>
          <w:rFonts w:ascii="Times New Roman" w:hAnsi="Times New Roman" w:cs="Times New Roman"/>
          <w:sz w:val="24"/>
          <w:szCs w:val="24"/>
        </w:rPr>
        <w:t xml:space="preserve"> </w:t>
      </w:r>
      <w:r w:rsidR="006A663B" w:rsidRPr="006C0693">
        <w:rPr>
          <w:rFonts w:ascii="Times New Roman" w:hAnsi="Times New Roman" w:cs="Times New Roman"/>
          <w:sz w:val="24"/>
          <w:szCs w:val="24"/>
        </w:rPr>
        <w:t>States reiterates those concerns here with regard to draft General Comment No. 36.</w:t>
      </w:r>
      <w:r w:rsidR="00066E2A" w:rsidRPr="006C0693">
        <w:rPr>
          <w:rStyle w:val="FootnoteReference"/>
          <w:rFonts w:ascii="Times New Roman" w:hAnsi="Times New Roman" w:cs="Times New Roman"/>
          <w:sz w:val="24"/>
          <w:szCs w:val="24"/>
        </w:rPr>
        <w:footnoteReference w:id="15"/>
      </w:r>
    </w:p>
    <w:p w:rsidR="00FC0DCA" w:rsidRPr="006C0693" w:rsidRDefault="00FC0DCA" w:rsidP="006C0693">
      <w:pPr>
        <w:autoSpaceDE w:val="0"/>
        <w:autoSpaceDN w:val="0"/>
        <w:adjustRightInd w:val="0"/>
        <w:spacing w:before="240" w:after="0"/>
        <w:rPr>
          <w:rFonts w:ascii="Times New Roman" w:hAnsi="Times New Roman" w:cs="Times New Roman"/>
          <w:sz w:val="24"/>
          <w:szCs w:val="24"/>
        </w:rPr>
      </w:pPr>
      <w:r w:rsidRPr="006C0693">
        <w:rPr>
          <w:rFonts w:ascii="Times New Roman" w:hAnsi="Times New Roman" w:cs="Times New Roman"/>
          <w:sz w:val="24"/>
          <w:szCs w:val="24"/>
        </w:rPr>
        <w:t>1</w:t>
      </w:r>
      <w:r w:rsidR="00B25CBE" w:rsidRPr="006C0693">
        <w:rPr>
          <w:rFonts w:ascii="Times New Roman" w:hAnsi="Times New Roman" w:cs="Times New Roman"/>
          <w:sz w:val="24"/>
          <w:szCs w:val="24"/>
        </w:rPr>
        <w:t>1</w:t>
      </w:r>
      <w:r w:rsidRPr="006C0693">
        <w:rPr>
          <w:rFonts w:ascii="Times New Roman" w:hAnsi="Times New Roman" w:cs="Times New Roman"/>
          <w:sz w:val="24"/>
          <w:szCs w:val="24"/>
        </w:rPr>
        <w:t xml:space="preserve">.  Most recently in 2014, in our </w:t>
      </w:r>
      <w:r w:rsidR="00E7672C" w:rsidRPr="006C0693">
        <w:rPr>
          <w:rFonts w:ascii="Times New Roman" w:hAnsi="Times New Roman" w:cs="Times New Roman"/>
          <w:sz w:val="24"/>
          <w:szCs w:val="24"/>
        </w:rPr>
        <w:t>observations</w:t>
      </w:r>
      <w:r w:rsidRPr="006C0693">
        <w:rPr>
          <w:rFonts w:ascii="Times New Roman" w:hAnsi="Times New Roman" w:cs="Times New Roman"/>
          <w:sz w:val="24"/>
          <w:szCs w:val="24"/>
        </w:rPr>
        <w:t xml:space="preserve"> </w:t>
      </w:r>
      <w:r w:rsidR="00E7672C" w:rsidRPr="006C0693">
        <w:rPr>
          <w:rFonts w:ascii="Times New Roman" w:hAnsi="Times New Roman" w:cs="Times New Roman"/>
          <w:sz w:val="24"/>
          <w:szCs w:val="24"/>
        </w:rPr>
        <w:t>on</w:t>
      </w:r>
      <w:r w:rsidRPr="006C0693">
        <w:rPr>
          <w:rFonts w:ascii="Times New Roman" w:hAnsi="Times New Roman" w:cs="Times New Roman"/>
          <w:sz w:val="24"/>
          <w:szCs w:val="24"/>
        </w:rPr>
        <w:t xml:space="preserve"> draft General Comment No. 35</w:t>
      </w:r>
      <w:r w:rsidR="00566B61" w:rsidRPr="006C0693">
        <w:rPr>
          <w:rFonts w:ascii="Times New Roman" w:hAnsi="Times New Roman" w:cs="Times New Roman"/>
          <w:sz w:val="24"/>
          <w:szCs w:val="24"/>
        </w:rPr>
        <w:t>,</w:t>
      </w:r>
      <w:r w:rsidRPr="006C0693">
        <w:rPr>
          <w:rFonts w:ascii="Times New Roman" w:hAnsi="Times New Roman" w:cs="Times New Roman"/>
          <w:sz w:val="24"/>
          <w:szCs w:val="24"/>
        </w:rPr>
        <w:t xml:space="preserve"> we stated</w:t>
      </w:r>
      <w:r w:rsidR="009367ED" w:rsidRPr="006C0693">
        <w:rPr>
          <w:rFonts w:ascii="Times New Roman" w:hAnsi="Times New Roman" w:cs="Times New Roman"/>
          <w:sz w:val="24"/>
          <w:szCs w:val="24"/>
        </w:rPr>
        <w:t>,</w:t>
      </w:r>
      <w:r w:rsidRPr="006C0693">
        <w:rPr>
          <w:rFonts w:ascii="Times New Roman" w:hAnsi="Times New Roman" w:cs="Times New Roman"/>
          <w:sz w:val="24"/>
          <w:szCs w:val="24"/>
        </w:rPr>
        <w:t xml:space="preserve"> “The United States believes the views of the Committee should be carefully considered by the States Parties.  Nevertheless, they are neither primary nor authoritative sources of law and the impression should not be given that they are being cited as such.</w:t>
      </w:r>
      <w:r w:rsidR="00DF5C91" w:rsidRPr="006C0693">
        <w:rPr>
          <w:rFonts w:ascii="Times New Roman" w:hAnsi="Times New Roman" w:cs="Times New Roman"/>
          <w:sz w:val="24"/>
          <w:szCs w:val="24"/>
        </w:rPr>
        <w:t>”</w:t>
      </w:r>
      <w:r w:rsidRPr="006C0693">
        <w:rPr>
          <w:rFonts w:ascii="Times New Roman" w:hAnsi="Times New Roman" w:cs="Times New Roman"/>
          <w:sz w:val="24"/>
          <w:szCs w:val="24"/>
        </w:rPr>
        <w:t xml:space="preserve">  The United States encouraged the </w:t>
      </w:r>
      <w:r w:rsidR="00274912" w:rsidRPr="006C0693">
        <w:rPr>
          <w:rFonts w:ascii="Times New Roman" w:hAnsi="Times New Roman" w:cs="Times New Roman"/>
          <w:sz w:val="24"/>
          <w:szCs w:val="24"/>
        </w:rPr>
        <w:t>Committee at</w:t>
      </w:r>
      <w:r w:rsidRPr="006C0693">
        <w:rPr>
          <w:rFonts w:ascii="Times New Roman" w:hAnsi="Times New Roman" w:cs="Times New Roman"/>
          <w:sz w:val="24"/>
          <w:szCs w:val="24"/>
        </w:rPr>
        <w:t xml:space="preserve"> that time “to refrain from categorical statements regarding State Party obligations unless grounded in and referring to the specific text of the Covenant or other sources of treaty interpretation, rather than being based only on observations and comments of the Committee.”</w:t>
      </w:r>
      <w:r w:rsidRPr="006C0693">
        <w:rPr>
          <w:rStyle w:val="FootnoteReference"/>
          <w:rFonts w:ascii="Times New Roman" w:hAnsi="Times New Roman" w:cs="Times New Roman"/>
          <w:sz w:val="24"/>
          <w:szCs w:val="24"/>
        </w:rPr>
        <w:footnoteReference w:id="16"/>
      </w:r>
      <w:r w:rsidRPr="006C0693">
        <w:rPr>
          <w:rFonts w:ascii="Times New Roman" w:hAnsi="Times New Roman" w:cs="Times New Roman"/>
          <w:sz w:val="24"/>
          <w:szCs w:val="24"/>
        </w:rPr>
        <w:t xml:space="preserve">  </w:t>
      </w:r>
    </w:p>
    <w:p w:rsidR="00F92646" w:rsidRPr="006C0693" w:rsidRDefault="00B40FC5" w:rsidP="006C0693">
      <w:pPr>
        <w:autoSpaceDE w:val="0"/>
        <w:autoSpaceDN w:val="0"/>
        <w:adjustRightInd w:val="0"/>
        <w:spacing w:before="240" w:after="0"/>
        <w:rPr>
          <w:rFonts w:ascii="Times New Roman" w:hAnsi="Times New Roman" w:cs="Times New Roman"/>
          <w:color w:val="000000"/>
          <w:sz w:val="24"/>
          <w:szCs w:val="24"/>
          <w:shd w:val="clear" w:color="auto" w:fill="FFFFFF"/>
        </w:rPr>
      </w:pPr>
      <w:r w:rsidRPr="006C0693">
        <w:rPr>
          <w:rFonts w:ascii="Times New Roman" w:hAnsi="Times New Roman" w:cs="Times New Roman"/>
          <w:color w:val="000000"/>
          <w:sz w:val="24"/>
          <w:szCs w:val="24"/>
        </w:rPr>
        <w:t>1</w:t>
      </w:r>
      <w:r w:rsidR="00B25CBE" w:rsidRPr="006C0693">
        <w:rPr>
          <w:rFonts w:ascii="Times New Roman" w:hAnsi="Times New Roman" w:cs="Times New Roman"/>
          <w:color w:val="000000"/>
          <w:sz w:val="24"/>
          <w:szCs w:val="24"/>
        </w:rPr>
        <w:t>2</w:t>
      </w:r>
      <w:r w:rsidR="0019412B" w:rsidRPr="006C0693">
        <w:rPr>
          <w:rFonts w:ascii="Times New Roman" w:hAnsi="Times New Roman" w:cs="Times New Roman"/>
          <w:color w:val="000000"/>
          <w:sz w:val="24"/>
          <w:szCs w:val="24"/>
        </w:rPr>
        <w:t xml:space="preserve">.  </w:t>
      </w:r>
      <w:r w:rsidR="00F92646" w:rsidRPr="006C0693">
        <w:rPr>
          <w:rFonts w:ascii="Times New Roman" w:hAnsi="Times New Roman" w:cs="Times New Roman"/>
          <w:sz w:val="24"/>
          <w:szCs w:val="24"/>
        </w:rPr>
        <w:t xml:space="preserve">At minimum, </w:t>
      </w:r>
      <w:r w:rsidR="009367ED" w:rsidRPr="006C0693">
        <w:rPr>
          <w:rFonts w:ascii="Times New Roman" w:hAnsi="Times New Roman" w:cs="Times New Roman"/>
          <w:sz w:val="24"/>
          <w:szCs w:val="24"/>
        </w:rPr>
        <w:t xml:space="preserve">the United States </w:t>
      </w:r>
      <w:r w:rsidR="00F4704C" w:rsidRPr="006C0693">
        <w:rPr>
          <w:rFonts w:ascii="Times New Roman" w:hAnsi="Times New Roman" w:cs="Times New Roman"/>
          <w:sz w:val="24"/>
          <w:szCs w:val="24"/>
        </w:rPr>
        <w:t>would urge</w:t>
      </w:r>
      <w:r w:rsidR="00F92646" w:rsidRPr="006C0693">
        <w:rPr>
          <w:rFonts w:ascii="Times New Roman" w:hAnsi="Times New Roman" w:cs="Times New Roman"/>
          <w:sz w:val="24"/>
          <w:szCs w:val="24"/>
        </w:rPr>
        <w:t xml:space="preserve"> the Committee to make explicit at the beginning of any final general comment that it reflects the</w:t>
      </w:r>
      <w:r w:rsidR="00113210" w:rsidRPr="006C0693">
        <w:rPr>
          <w:rFonts w:ascii="Times New Roman" w:hAnsi="Times New Roman" w:cs="Times New Roman"/>
          <w:sz w:val="24"/>
          <w:szCs w:val="24"/>
        </w:rPr>
        <w:t xml:space="preserve"> Committee’s </w:t>
      </w:r>
      <w:r w:rsidR="00F92646" w:rsidRPr="006C0693">
        <w:rPr>
          <w:rFonts w:ascii="Times New Roman" w:hAnsi="Times New Roman" w:cs="Times New Roman"/>
          <w:sz w:val="24"/>
          <w:szCs w:val="24"/>
        </w:rPr>
        <w:t>views</w:t>
      </w:r>
      <w:r w:rsidR="00113210" w:rsidRPr="006C0693">
        <w:rPr>
          <w:rFonts w:ascii="Times New Roman" w:hAnsi="Times New Roman" w:cs="Times New Roman"/>
          <w:sz w:val="24"/>
          <w:szCs w:val="24"/>
        </w:rPr>
        <w:t>,</w:t>
      </w:r>
      <w:r w:rsidR="00F92646" w:rsidRPr="006C0693">
        <w:rPr>
          <w:rFonts w:ascii="Times New Roman" w:hAnsi="Times New Roman" w:cs="Times New Roman"/>
          <w:sz w:val="24"/>
          <w:szCs w:val="24"/>
        </w:rPr>
        <w:t xml:space="preserve"> which are not </w:t>
      </w:r>
      <w:r w:rsidR="00113210" w:rsidRPr="006C0693">
        <w:rPr>
          <w:rFonts w:ascii="Times New Roman" w:hAnsi="Times New Roman" w:cs="Times New Roman"/>
          <w:sz w:val="24"/>
          <w:szCs w:val="24"/>
        </w:rPr>
        <w:t>legally-</w:t>
      </w:r>
      <w:r w:rsidR="00F92646" w:rsidRPr="006C0693">
        <w:rPr>
          <w:rFonts w:ascii="Times New Roman" w:hAnsi="Times New Roman" w:cs="Times New Roman"/>
          <w:sz w:val="24"/>
          <w:szCs w:val="24"/>
        </w:rPr>
        <w:t xml:space="preserve">binding, and that the purpose of the </w:t>
      </w:r>
      <w:r w:rsidR="00277FC9" w:rsidRPr="006C0693">
        <w:rPr>
          <w:rFonts w:ascii="Times New Roman" w:hAnsi="Times New Roman" w:cs="Times New Roman"/>
          <w:sz w:val="24"/>
          <w:szCs w:val="24"/>
        </w:rPr>
        <w:t>g</w:t>
      </w:r>
      <w:r w:rsidR="00F92646" w:rsidRPr="006C0693">
        <w:rPr>
          <w:rFonts w:ascii="Times New Roman" w:hAnsi="Times New Roman" w:cs="Times New Roman"/>
          <w:sz w:val="24"/>
          <w:szCs w:val="24"/>
        </w:rPr>
        <w:t xml:space="preserve">eneral </w:t>
      </w:r>
      <w:r w:rsidR="00277FC9" w:rsidRPr="006C0693">
        <w:rPr>
          <w:rFonts w:ascii="Times New Roman" w:hAnsi="Times New Roman" w:cs="Times New Roman"/>
          <w:sz w:val="24"/>
          <w:szCs w:val="24"/>
        </w:rPr>
        <w:t>c</w:t>
      </w:r>
      <w:r w:rsidR="00F92646" w:rsidRPr="006C0693">
        <w:rPr>
          <w:rFonts w:ascii="Times New Roman" w:hAnsi="Times New Roman" w:cs="Times New Roman"/>
          <w:sz w:val="24"/>
          <w:szCs w:val="24"/>
        </w:rPr>
        <w:t xml:space="preserve">omment is to </w:t>
      </w:r>
      <w:r w:rsidR="00790543" w:rsidRPr="006C0693">
        <w:rPr>
          <w:rFonts w:ascii="Times New Roman" w:hAnsi="Times New Roman" w:cs="Times New Roman"/>
          <w:sz w:val="24"/>
          <w:szCs w:val="24"/>
        </w:rPr>
        <w:t xml:space="preserve">provide recommendations to </w:t>
      </w:r>
      <w:r w:rsidR="00F92646" w:rsidRPr="006C0693">
        <w:rPr>
          <w:rFonts w:ascii="Times New Roman" w:hAnsi="Times New Roman" w:cs="Times New Roman"/>
          <w:sz w:val="24"/>
          <w:szCs w:val="24"/>
        </w:rPr>
        <w:t xml:space="preserve">States Parties </w:t>
      </w:r>
      <w:r w:rsidR="00790543" w:rsidRPr="006C0693">
        <w:rPr>
          <w:rFonts w:ascii="Times New Roman" w:hAnsi="Times New Roman" w:cs="Times New Roman"/>
          <w:sz w:val="24"/>
          <w:szCs w:val="24"/>
        </w:rPr>
        <w:t xml:space="preserve">with regard to their </w:t>
      </w:r>
      <w:r w:rsidR="00F92646" w:rsidRPr="006C0693">
        <w:rPr>
          <w:rFonts w:ascii="Times New Roman" w:hAnsi="Times New Roman" w:cs="Times New Roman"/>
          <w:sz w:val="24"/>
          <w:szCs w:val="24"/>
        </w:rPr>
        <w:t xml:space="preserve">implementation of the Covenant and in fulfilling their periodic </w:t>
      </w:r>
      <w:r w:rsidR="00F92646" w:rsidRPr="006C0693">
        <w:rPr>
          <w:rFonts w:ascii="Times New Roman" w:hAnsi="Times New Roman" w:cs="Times New Roman"/>
          <w:sz w:val="24"/>
          <w:szCs w:val="24"/>
        </w:rPr>
        <w:lastRenderedPageBreak/>
        <w:t>reporting requirements under Article 40.  In keeping with its advisory mandate, the Committee should refrain from providing its recommendations in imperative (“must”) or mandatory (“required”) terms.  To the extent that the Committee undertakes to express its views regarding States Parties’ obligations or how it believes a provision should be interpreted beyond the terms contained in the treaty text, we urge the Committee to frame any such interpretation as Committee views regarding best practices</w:t>
      </w:r>
      <w:r w:rsidR="00887E42" w:rsidRPr="006C0693">
        <w:rPr>
          <w:rFonts w:ascii="Times New Roman" w:hAnsi="Times New Roman" w:cs="Times New Roman"/>
          <w:sz w:val="24"/>
          <w:szCs w:val="24"/>
        </w:rPr>
        <w:t>,</w:t>
      </w:r>
      <w:r w:rsidR="00F92646" w:rsidRPr="006C0693">
        <w:rPr>
          <w:rFonts w:ascii="Times New Roman" w:hAnsi="Times New Roman" w:cs="Times New Roman"/>
          <w:sz w:val="24"/>
          <w:szCs w:val="24"/>
        </w:rPr>
        <w:t xml:space="preserve"> and </w:t>
      </w:r>
      <w:r w:rsidR="009367ED" w:rsidRPr="006C0693">
        <w:rPr>
          <w:rFonts w:ascii="Times New Roman" w:hAnsi="Times New Roman" w:cs="Times New Roman"/>
          <w:sz w:val="24"/>
          <w:szCs w:val="24"/>
        </w:rPr>
        <w:t xml:space="preserve">to </w:t>
      </w:r>
      <w:r w:rsidR="00F92646" w:rsidRPr="006C0693">
        <w:rPr>
          <w:rFonts w:ascii="Times New Roman" w:hAnsi="Times New Roman" w:cs="Times New Roman"/>
          <w:sz w:val="24"/>
          <w:szCs w:val="24"/>
        </w:rPr>
        <w:t>ensure that the opposing views of States Parties, including the United States, are als</w:t>
      </w:r>
      <w:r w:rsidR="00277FC9" w:rsidRPr="006C0693">
        <w:rPr>
          <w:rFonts w:ascii="Times New Roman" w:hAnsi="Times New Roman" w:cs="Times New Roman"/>
          <w:sz w:val="24"/>
          <w:szCs w:val="24"/>
        </w:rPr>
        <w:t>o reflected in the text of the g</w:t>
      </w:r>
      <w:r w:rsidR="00F92646" w:rsidRPr="006C0693">
        <w:rPr>
          <w:rFonts w:ascii="Times New Roman" w:hAnsi="Times New Roman" w:cs="Times New Roman"/>
          <w:sz w:val="24"/>
          <w:szCs w:val="24"/>
        </w:rPr>
        <w:t xml:space="preserve">eneral </w:t>
      </w:r>
      <w:r w:rsidR="00277FC9" w:rsidRPr="006C0693">
        <w:rPr>
          <w:rFonts w:ascii="Times New Roman" w:hAnsi="Times New Roman" w:cs="Times New Roman"/>
          <w:sz w:val="24"/>
          <w:szCs w:val="24"/>
        </w:rPr>
        <w:t>c</w:t>
      </w:r>
      <w:r w:rsidR="00F92646" w:rsidRPr="006C0693">
        <w:rPr>
          <w:rFonts w:ascii="Times New Roman" w:hAnsi="Times New Roman" w:cs="Times New Roman"/>
          <w:sz w:val="24"/>
          <w:szCs w:val="24"/>
        </w:rPr>
        <w:t>omment, in order to avoid the impression that the interpretation advanced is authoritative, legally</w:t>
      </w:r>
      <w:r w:rsidR="00887E42" w:rsidRPr="006C0693">
        <w:rPr>
          <w:rFonts w:ascii="Times New Roman" w:hAnsi="Times New Roman" w:cs="Times New Roman"/>
          <w:sz w:val="24"/>
          <w:szCs w:val="24"/>
        </w:rPr>
        <w:t>-</w:t>
      </w:r>
      <w:r w:rsidR="00F92646" w:rsidRPr="006C0693">
        <w:rPr>
          <w:rFonts w:ascii="Times New Roman" w:hAnsi="Times New Roman" w:cs="Times New Roman"/>
          <w:sz w:val="24"/>
          <w:szCs w:val="24"/>
        </w:rPr>
        <w:t>binding</w:t>
      </w:r>
      <w:r w:rsidR="00113210" w:rsidRPr="006C0693">
        <w:rPr>
          <w:rFonts w:ascii="Times New Roman" w:hAnsi="Times New Roman" w:cs="Times New Roman"/>
          <w:sz w:val="24"/>
          <w:szCs w:val="24"/>
        </w:rPr>
        <w:t>,</w:t>
      </w:r>
      <w:r w:rsidR="00F92646" w:rsidRPr="006C0693">
        <w:rPr>
          <w:rFonts w:ascii="Times New Roman" w:hAnsi="Times New Roman" w:cs="Times New Roman"/>
          <w:sz w:val="24"/>
          <w:szCs w:val="24"/>
        </w:rPr>
        <w:t xml:space="preserve"> or </w:t>
      </w:r>
      <w:r w:rsidR="00566B61" w:rsidRPr="006C0693">
        <w:rPr>
          <w:rFonts w:ascii="Times New Roman" w:hAnsi="Times New Roman" w:cs="Times New Roman"/>
          <w:sz w:val="24"/>
          <w:szCs w:val="24"/>
        </w:rPr>
        <w:t xml:space="preserve">otherwise </w:t>
      </w:r>
      <w:r w:rsidR="00F4704C" w:rsidRPr="006C0693">
        <w:rPr>
          <w:rFonts w:ascii="Times New Roman" w:hAnsi="Times New Roman" w:cs="Times New Roman"/>
          <w:sz w:val="24"/>
          <w:szCs w:val="24"/>
        </w:rPr>
        <w:t>accepted by the States Parties</w:t>
      </w:r>
      <w:r w:rsidR="00F4704C" w:rsidRPr="006C0693">
        <w:rPr>
          <w:rFonts w:ascii="Times New Roman" w:hAnsi="Times New Roman" w:cs="Times New Roman"/>
          <w:color w:val="000000"/>
          <w:sz w:val="24"/>
          <w:szCs w:val="24"/>
        </w:rPr>
        <w:t xml:space="preserve">.  </w:t>
      </w:r>
      <w:r w:rsidR="00FB0A28" w:rsidRPr="006C0693">
        <w:rPr>
          <w:rFonts w:ascii="Times New Roman" w:hAnsi="Times New Roman" w:cs="Times New Roman"/>
          <w:color w:val="000000"/>
          <w:sz w:val="24"/>
          <w:szCs w:val="24"/>
        </w:rPr>
        <w:t xml:space="preserve"> </w:t>
      </w:r>
    </w:p>
    <w:p w:rsidR="00C300D9" w:rsidRPr="006C0693" w:rsidRDefault="00C300D9" w:rsidP="006C0693">
      <w:pPr>
        <w:autoSpaceDE w:val="0"/>
        <w:autoSpaceDN w:val="0"/>
        <w:adjustRightInd w:val="0"/>
        <w:spacing w:after="0"/>
        <w:rPr>
          <w:rFonts w:ascii="Times New Roman" w:hAnsi="Times New Roman" w:cs="Times New Roman"/>
          <w:sz w:val="24"/>
          <w:szCs w:val="24"/>
        </w:rPr>
      </w:pPr>
    </w:p>
    <w:p w:rsidR="00991624" w:rsidRPr="006C0693" w:rsidRDefault="00991624" w:rsidP="006C0693">
      <w:pPr>
        <w:rPr>
          <w:rFonts w:ascii="Times New Roman" w:hAnsi="Times New Roman" w:cs="Times New Roman"/>
          <w:b/>
          <w:sz w:val="24"/>
          <w:szCs w:val="24"/>
        </w:rPr>
      </w:pPr>
      <w:r w:rsidRPr="006C0693">
        <w:rPr>
          <w:rFonts w:ascii="Times New Roman" w:hAnsi="Times New Roman" w:cs="Times New Roman"/>
          <w:b/>
          <w:sz w:val="24"/>
          <w:szCs w:val="24"/>
        </w:rPr>
        <w:t>II.</w:t>
      </w:r>
      <w:r w:rsidR="00993DCF">
        <w:rPr>
          <w:rFonts w:ascii="Times New Roman" w:hAnsi="Times New Roman" w:cs="Times New Roman"/>
          <w:b/>
          <w:sz w:val="24"/>
          <w:szCs w:val="24"/>
        </w:rPr>
        <w:tab/>
      </w:r>
      <w:r w:rsidRPr="006C0693">
        <w:rPr>
          <w:rFonts w:ascii="Times New Roman" w:hAnsi="Times New Roman" w:cs="Times New Roman"/>
          <w:b/>
          <w:sz w:val="24"/>
          <w:szCs w:val="24"/>
        </w:rPr>
        <w:t>General Issues of Overarching Concern</w:t>
      </w:r>
    </w:p>
    <w:p w:rsidR="003007AA" w:rsidRPr="006C0693" w:rsidRDefault="00851E43" w:rsidP="006C0693">
      <w:pPr>
        <w:pStyle w:val="Default"/>
        <w:spacing w:line="276" w:lineRule="auto"/>
        <w:rPr>
          <w:bCs/>
          <w:u w:val="single"/>
        </w:rPr>
      </w:pPr>
      <w:r w:rsidRPr="006C0693">
        <w:rPr>
          <w:bCs/>
          <w:u w:val="single"/>
        </w:rPr>
        <w:t>Territorial Scope</w:t>
      </w:r>
    </w:p>
    <w:p w:rsidR="00991624" w:rsidRPr="006C0693" w:rsidRDefault="00D94B5F" w:rsidP="006C0693">
      <w:pPr>
        <w:spacing w:before="240"/>
        <w:rPr>
          <w:rFonts w:ascii="Times New Roman" w:hAnsi="Times New Roman" w:cs="Times New Roman"/>
          <w:sz w:val="24"/>
          <w:szCs w:val="24"/>
        </w:rPr>
      </w:pPr>
      <w:r w:rsidRPr="006C0693">
        <w:rPr>
          <w:rFonts w:ascii="Times New Roman" w:hAnsi="Times New Roman" w:cs="Times New Roman"/>
          <w:sz w:val="24"/>
          <w:szCs w:val="24"/>
        </w:rPr>
        <w:t>1</w:t>
      </w:r>
      <w:r w:rsidR="00B25CBE" w:rsidRPr="006C0693">
        <w:rPr>
          <w:rFonts w:ascii="Times New Roman" w:hAnsi="Times New Roman" w:cs="Times New Roman"/>
          <w:sz w:val="24"/>
          <w:szCs w:val="24"/>
        </w:rPr>
        <w:t>3</w:t>
      </w:r>
      <w:r w:rsidRPr="006C0693">
        <w:rPr>
          <w:rFonts w:ascii="Times New Roman" w:hAnsi="Times New Roman" w:cs="Times New Roman"/>
          <w:sz w:val="24"/>
          <w:szCs w:val="24"/>
        </w:rPr>
        <w:t xml:space="preserve">.  </w:t>
      </w:r>
      <w:r w:rsidR="00766AA8" w:rsidRPr="006C0693">
        <w:rPr>
          <w:rFonts w:ascii="Times New Roman" w:hAnsi="Times New Roman" w:cs="Times New Roman"/>
          <w:sz w:val="24"/>
          <w:szCs w:val="24"/>
        </w:rPr>
        <w:t>Throughout the draft general c</w:t>
      </w:r>
      <w:r w:rsidR="00991624" w:rsidRPr="006C0693">
        <w:rPr>
          <w:rFonts w:ascii="Times New Roman" w:hAnsi="Times New Roman" w:cs="Times New Roman"/>
          <w:sz w:val="24"/>
          <w:szCs w:val="24"/>
        </w:rPr>
        <w:t xml:space="preserve">omment, references are made to the application of the Covenant to actions outside the territory of a State Party.  Particularly </w:t>
      </w:r>
      <w:r w:rsidR="00B40FC5" w:rsidRPr="006C0693">
        <w:rPr>
          <w:rFonts w:ascii="Times New Roman" w:hAnsi="Times New Roman" w:cs="Times New Roman"/>
          <w:sz w:val="24"/>
          <w:szCs w:val="24"/>
        </w:rPr>
        <w:t>problematic</w:t>
      </w:r>
      <w:r w:rsidR="00991624" w:rsidRPr="006C0693">
        <w:rPr>
          <w:rFonts w:ascii="Times New Roman" w:hAnsi="Times New Roman" w:cs="Times New Roman"/>
          <w:sz w:val="24"/>
          <w:szCs w:val="24"/>
        </w:rPr>
        <w:t xml:space="preserve"> is the assertion in paragraph 66 that Covenant obligations extend to “persons located </w:t>
      </w:r>
      <w:r w:rsidR="00991624" w:rsidRPr="006C0693">
        <w:rPr>
          <w:rFonts w:ascii="Times New Roman" w:hAnsi="Times New Roman" w:cs="Times New Roman"/>
          <w:sz w:val="24"/>
          <w:szCs w:val="24"/>
          <w:lang w:bidi="he-IL"/>
        </w:rPr>
        <w:t>outside any territory</w:t>
      </w:r>
      <w:r w:rsidR="00991624" w:rsidRPr="006C0693">
        <w:rPr>
          <w:rFonts w:ascii="Times New Roman" w:hAnsi="Times New Roman" w:cs="Times New Roman"/>
          <w:sz w:val="24"/>
          <w:szCs w:val="24"/>
        </w:rPr>
        <w:t xml:space="preserve"> effectively controlled by the State who are nonetheless impacted by its military or other activities </w:t>
      </w:r>
      <w:r w:rsidR="00991624" w:rsidRPr="006C0693">
        <w:rPr>
          <w:rFonts w:ascii="Times New Roman" w:hAnsi="Times New Roman" w:cs="Times New Roman"/>
          <w:sz w:val="24"/>
          <w:szCs w:val="24"/>
          <w:lang w:bidi="he-IL"/>
        </w:rPr>
        <w:t xml:space="preserve">in a [direct], significant and foreseeable </w:t>
      </w:r>
      <w:r w:rsidR="009D329F" w:rsidRPr="006C0693">
        <w:rPr>
          <w:rFonts w:ascii="Times New Roman" w:hAnsi="Times New Roman" w:cs="Times New Roman"/>
          <w:sz w:val="24"/>
          <w:szCs w:val="24"/>
          <w:lang w:bidi="he-IL"/>
        </w:rPr>
        <w:t xml:space="preserve">manner.” </w:t>
      </w:r>
      <w:r w:rsidR="00113210" w:rsidRPr="006C0693">
        <w:rPr>
          <w:rFonts w:ascii="Times New Roman" w:hAnsi="Times New Roman" w:cs="Times New Roman"/>
          <w:sz w:val="24"/>
          <w:szCs w:val="24"/>
          <w:lang w:bidi="he-IL"/>
        </w:rPr>
        <w:t xml:space="preserve"> </w:t>
      </w:r>
      <w:r w:rsidR="00991624" w:rsidRPr="006C0693">
        <w:rPr>
          <w:rFonts w:ascii="Times New Roman" w:hAnsi="Times New Roman" w:cs="Times New Roman"/>
          <w:sz w:val="24"/>
          <w:szCs w:val="24"/>
        </w:rPr>
        <w:t xml:space="preserve">As the United States has previously advised, the Covenant applies only to individuals who are both within the territory of a State Party </w:t>
      </w:r>
      <w:r w:rsidR="00991624" w:rsidRPr="006C0693">
        <w:rPr>
          <w:rFonts w:ascii="Times New Roman" w:hAnsi="Times New Roman" w:cs="Times New Roman"/>
          <w:sz w:val="24"/>
          <w:szCs w:val="24"/>
          <w:u w:val="single"/>
        </w:rPr>
        <w:t>and</w:t>
      </w:r>
      <w:r w:rsidR="00991624" w:rsidRPr="006C0693">
        <w:rPr>
          <w:rFonts w:ascii="Times New Roman" w:hAnsi="Times New Roman" w:cs="Times New Roman"/>
          <w:sz w:val="24"/>
          <w:szCs w:val="24"/>
        </w:rPr>
        <w:t xml:space="preserve"> subject to its jurisdiction.  This </w:t>
      </w:r>
      <w:r w:rsidR="00BB691C" w:rsidRPr="006C0693">
        <w:rPr>
          <w:rFonts w:ascii="Times New Roman" w:hAnsi="Times New Roman" w:cs="Times New Roman"/>
          <w:sz w:val="24"/>
          <w:szCs w:val="24"/>
        </w:rPr>
        <w:t xml:space="preserve">interpretation </w:t>
      </w:r>
      <w:r w:rsidR="00991624" w:rsidRPr="006C0693">
        <w:rPr>
          <w:rFonts w:ascii="Times New Roman" w:hAnsi="Times New Roman" w:cs="Times New Roman"/>
          <w:sz w:val="24"/>
          <w:szCs w:val="24"/>
        </w:rPr>
        <w:t xml:space="preserve">is the most consistent with the ordinary meaning of Covenant text and its negotiating history, and also accords with longstanding international legal principles of treaty interpretation.  The United States has explained the legal basis for this position on a number of occasions and in considerable detail, including in response to the Committee’s General Comment </w:t>
      </w:r>
      <w:r w:rsidR="00E8677C" w:rsidRPr="006C0693">
        <w:rPr>
          <w:rFonts w:ascii="Times New Roman" w:hAnsi="Times New Roman" w:cs="Times New Roman"/>
          <w:sz w:val="24"/>
          <w:szCs w:val="24"/>
        </w:rPr>
        <w:t xml:space="preserve">No. </w:t>
      </w:r>
      <w:r w:rsidR="00991624" w:rsidRPr="006C0693">
        <w:rPr>
          <w:rFonts w:ascii="Times New Roman" w:hAnsi="Times New Roman" w:cs="Times New Roman"/>
          <w:sz w:val="24"/>
          <w:szCs w:val="24"/>
        </w:rPr>
        <w:t>31</w:t>
      </w:r>
      <w:r w:rsidR="00004B36" w:rsidRPr="006C0693">
        <w:rPr>
          <w:rStyle w:val="FootnoteReference"/>
          <w:rFonts w:ascii="Times New Roman" w:hAnsi="Times New Roman" w:cs="Times New Roman"/>
          <w:sz w:val="24"/>
          <w:szCs w:val="24"/>
        </w:rPr>
        <w:footnoteReference w:id="17"/>
      </w:r>
      <w:r w:rsidR="00991624" w:rsidRPr="006C0693">
        <w:rPr>
          <w:rFonts w:ascii="Times New Roman" w:hAnsi="Times New Roman" w:cs="Times New Roman"/>
          <w:sz w:val="24"/>
          <w:szCs w:val="24"/>
        </w:rPr>
        <w:t xml:space="preserve"> and draft General Comment </w:t>
      </w:r>
      <w:r w:rsidR="00E8677C" w:rsidRPr="006C0693">
        <w:rPr>
          <w:rFonts w:ascii="Times New Roman" w:hAnsi="Times New Roman" w:cs="Times New Roman"/>
          <w:sz w:val="24"/>
          <w:szCs w:val="24"/>
        </w:rPr>
        <w:t xml:space="preserve">No. </w:t>
      </w:r>
      <w:r w:rsidR="00991624" w:rsidRPr="006C0693">
        <w:rPr>
          <w:rFonts w:ascii="Times New Roman" w:hAnsi="Times New Roman" w:cs="Times New Roman"/>
          <w:sz w:val="24"/>
          <w:szCs w:val="24"/>
        </w:rPr>
        <w:t>35,</w:t>
      </w:r>
      <w:r w:rsidR="00004B36" w:rsidRPr="006C0693">
        <w:rPr>
          <w:rStyle w:val="FootnoteReference"/>
          <w:rFonts w:ascii="Times New Roman" w:hAnsi="Times New Roman" w:cs="Times New Roman"/>
          <w:sz w:val="24"/>
          <w:szCs w:val="24"/>
        </w:rPr>
        <w:footnoteReference w:id="18"/>
      </w:r>
      <w:r w:rsidR="00991624" w:rsidRPr="006C0693">
        <w:rPr>
          <w:rFonts w:ascii="Times New Roman" w:hAnsi="Times New Roman" w:cs="Times New Roman"/>
          <w:sz w:val="24"/>
          <w:szCs w:val="24"/>
        </w:rPr>
        <w:t xml:space="preserve"> and during dialogues with the Committee in March 1995, July 2006, and March 2014.  The United States refers the Committee to these Observations and to these prior dialogues for further information on this point. </w:t>
      </w:r>
    </w:p>
    <w:p w:rsidR="009838DE" w:rsidRPr="006C0693" w:rsidRDefault="00D94B5F" w:rsidP="006C0693">
      <w:pPr>
        <w:rPr>
          <w:rFonts w:ascii="Times New Roman" w:hAnsi="Times New Roman" w:cs="Times New Roman"/>
          <w:sz w:val="24"/>
          <w:szCs w:val="24"/>
        </w:rPr>
      </w:pPr>
      <w:r w:rsidRPr="006C0693">
        <w:rPr>
          <w:rFonts w:ascii="Times New Roman" w:hAnsi="Times New Roman" w:cs="Times New Roman"/>
          <w:sz w:val="24"/>
          <w:szCs w:val="24"/>
        </w:rPr>
        <w:t>1</w:t>
      </w:r>
      <w:r w:rsidR="003E63C4" w:rsidRPr="006C0693">
        <w:rPr>
          <w:rFonts w:ascii="Times New Roman" w:hAnsi="Times New Roman" w:cs="Times New Roman"/>
          <w:sz w:val="24"/>
          <w:szCs w:val="24"/>
        </w:rPr>
        <w:t>4</w:t>
      </w:r>
      <w:r w:rsidRPr="006C0693">
        <w:rPr>
          <w:rFonts w:ascii="Times New Roman" w:hAnsi="Times New Roman" w:cs="Times New Roman"/>
          <w:sz w:val="24"/>
          <w:szCs w:val="24"/>
        </w:rPr>
        <w:t xml:space="preserve">.  </w:t>
      </w:r>
      <w:r w:rsidR="009838DE" w:rsidRPr="006C0693">
        <w:rPr>
          <w:rFonts w:ascii="Times New Roman" w:hAnsi="Times New Roman" w:cs="Times New Roman"/>
          <w:sz w:val="24"/>
          <w:szCs w:val="24"/>
        </w:rPr>
        <w:t xml:space="preserve">We likewise </w:t>
      </w:r>
      <w:r w:rsidR="009F7849" w:rsidRPr="006C0693">
        <w:rPr>
          <w:rFonts w:ascii="Times New Roman" w:hAnsi="Times New Roman" w:cs="Times New Roman"/>
          <w:sz w:val="24"/>
          <w:szCs w:val="24"/>
        </w:rPr>
        <w:t>do not</w:t>
      </w:r>
      <w:r w:rsidR="009838DE" w:rsidRPr="006C0693">
        <w:rPr>
          <w:rFonts w:ascii="Times New Roman" w:hAnsi="Times New Roman" w:cs="Times New Roman"/>
          <w:sz w:val="24"/>
          <w:szCs w:val="24"/>
        </w:rPr>
        <w:t xml:space="preserve"> agree that an individual on State-Party-registered ships located beyond that State Party’s territorial sea, or </w:t>
      </w:r>
      <w:r w:rsidR="007A01B1" w:rsidRPr="006C0693">
        <w:rPr>
          <w:rFonts w:ascii="Times New Roman" w:hAnsi="Times New Roman" w:cs="Times New Roman"/>
          <w:sz w:val="24"/>
          <w:szCs w:val="24"/>
        </w:rPr>
        <w:t xml:space="preserve">on State Party-registered aircraft </w:t>
      </w:r>
      <w:r w:rsidR="009838DE" w:rsidRPr="006C0693">
        <w:rPr>
          <w:rFonts w:ascii="Times New Roman" w:hAnsi="Times New Roman" w:cs="Times New Roman"/>
          <w:sz w:val="24"/>
          <w:szCs w:val="24"/>
        </w:rPr>
        <w:t xml:space="preserve">flying in international airspace (or in another State’s airspace), would be located within the territory of that State Party for purposes of application of ICCPR rights.  Merely being on a ship or aircraft registered in a </w:t>
      </w:r>
      <w:r w:rsidR="007A01B1" w:rsidRPr="006C0693">
        <w:rPr>
          <w:rFonts w:ascii="Times New Roman" w:hAnsi="Times New Roman" w:cs="Times New Roman"/>
          <w:sz w:val="24"/>
          <w:szCs w:val="24"/>
        </w:rPr>
        <w:t>S</w:t>
      </w:r>
      <w:r w:rsidR="009838DE" w:rsidRPr="006C0693">
        <w:rPr>
          <w:rFonts w:ascii="Times New Roman" w:hAnsi="Times New Roman" w:cs="Times New Roman"/>
          <w:sz w:val="24"/>
          <w:szCs w:val="24"/>
        </w:rPr>
        <w:t xml:space="preserve">tate (and thereby being generally subject to its exclusive jurisdiction on the high seas, for example) does not constitute being </w:t>
      </w:r>
      <w:r w:rsidR="00A00BDB" w:rsidRPr="006C0693">
        <w:rPr>
          <w:rFonts w:ascii="Times New Roman" w:hAnsi="Times New Roman" w:cs="Times New Roman"/>
          <w:sz w:val="24"/>
          <w:szCs w:val="24"/>
        </w:rPr>
        <w:t xml:space="preserve">in </w:t>
      </w:r>
      <w:r w:rsidR="009838DE" w:rsidRPr="006C0693">
        <w:rPr>
          <w:rFonts w:ascii="Times New Roman" w:hAnsi="Times New Roman" w:cs="Times New Roman"/>
          <w:sz w:val="24"/>
          <w:szCs w:val="24"/>
        </w:rPr>
        <w:t xml:space="preserve">a </w:t>
      </w:r>
      <w:r w:rsidR="007A01B1" w:rsidRPr="006C0693">
        <w:rPr>
          <w:rFonts w:ascii="Times New Roman" w:hAnsi="Times New Roman" w:cs="Times New Roman"/>
          <w:sz w:val="24"/>
          <w:szCs w:val="24"/>
        </w:rPr>
        <w:t>S</w:t>
      </w:r>
      <w:r w:rsidR="009838DE" w:rsidRPr="006C0693">
        <w:rPr>
          <w:rFonts w:ascii="Times New Roman" w:hAnsi="Times New Roman" w:cs="Times New Roman"/>
          <w:sz w:val="24"/>
          <w:szCs w:val="24"/>
        </w:rPr>
        <w:t xml:space="preserve">tate’s territory.  And with respect to individuals in distress, search and rescue regions are expressly distinct from questions of jurisdiction and </w:t>
      </w:r>
      <w:r w:rsidR="009838DE" w:rsidRPr="006C0693">
        <w:rPr>
          <w:rFonts w:ascii="Times New Roman" w:hAnsi="Times New Roman" w:cs="Times New Roman"/>
          <w:sz w:val="24"/>
          <w:szCs w:val="24"/>
        </w:rPr>
        <w:lastRenderedPageBreak/>
        <w:t>control.</w:t>
      </w:r>
      <w:r w:rsidR="00CB2177" w:rsidRPr="006C0693">
        <w:rPr>
          <w:rStyle w:val="FootnoteReference"/>
          <w:rFonts w:ascii="Times New Roman" w:hAnsi="Times New Roman" w:cs="Times New Roman"/>
          <w:sz w:val="24"/>
          <w:szCs w:val="24"/>
        </w:rPr>
        <w:footnoteReference w:id="19"/>
      </w:r>
      <w:r w:rsidR="009838DE" w:rsidRPr="006C0693">
        <w:rPr>
          <w:rFonts w:ascii="Times New Roman" w:hAnsi="Times New Roman" w:cs="Times New Roman"/>
          <w:sz w:val="24"/>
          <w:szCs w:val="24"/>
        </w:rPr>
        <w:t xml:space="preserve">  Even the reliance on the concept that there are “areas of the high seas over which particular States Parties have assumed </w:t>
      </w:r>
      <w:r w:rsidR="009838DE" w:rsidRPr="006C0693">
        <w:rPr>
          <w:rFonts w:ascii="Times New Roman" w:hAnsi="Times New Roman" w:cs="Times New Roman"/>
          <w:i/>
          <w:sz w:val="24"/>
          <w:szCs w:val="24"/>
        </w:rPr>
        <w:t>de facto</w:t>
      </w:r>
      <w:r w:rsidR="009838DE" w:rsidRPr="006C0693">
        <w:rPr>
          <w:rFonts w:ascii="Times New Roman" w:hAnsi="Times New Roman" w:cs="Times New Roman"/>
          <w:sz w:val="24"/>
          <w:szCs w:val="24"/>
        </w:rPr>
        <w:t xml:space="preserve"> responsibility</w:t>
      </w:r>
      <w:r w:rsidR="007A01B1" w:rsidRPr="006C0693">
        <w:rPr>
          <w:rFonts w:ascii="Times New Roman" w:hAnsi="Times New Roman" w:cs="Times New Roman"/>
          <w:sz w:val="24"/>
          <w:szCs w:val="24"/>
        </w:rPr>
        <w:t>”</w:t>
      </w:r>
      <w:r w:rsidR="009838DE" w:rsidRPr="006C0693">
        <w:rPr>
          <w:rFonts w:ascii="Times New Roman" w:hAnsi="Times New Roman" w:cs="Times New Roman"/>
          <w:sz w:val="24"/>
          <w:szCs w:val="24"/>
        </w:rPr>
        <w:t xml:space="preserve"> is at odds with fundamental law of the sea principles.  We therefore urge deletion of these assertions.</w:t>
      </w:r>
    </w:p>
    <w:p w:rsidR="00FB5C05" w:rsidRPr="006C0693" w:rsidRDefault="00DD6A9B" w:rsidP="006C0693">
      <w:pPr>
        <w:rPr>
          <w:rFonts w:ascii="Times New Roman" w:hAnsi="Times New Roman" w:cs="Times New Roman"/>
          <w:sz w:val="24"/>
          <w:szCs w:val="24"/>
        </w:rPr>
      </w:pPr>
      <w:r w:rsidRPr="006C0693">
        <w:rPr>
          <w:rFonts w:ascii="Times New Roman" w:hAnsi="Times New Roman" w:cs="Times New Roman"/>
          <w:sz w:val="24"/>
          <w:szCs w:val="24"/>
        </w:rPr>
        <w:t>1</w:t>
      </w:r>
      <w:r w:rsidR="003E63C4" w:rsidRPr="006C0693">
        <w:rPr>
          <w:rFonts w:ascii="Times New Roman" w:hAnsi="Times New Roman" w:cs="Times New Roman"/>
          <w:sz w:val="24"/>
          <w:szCs w:val="24"/>
        </w:rPr>
        <w:t>5</w:t>
      </w:r>
      <w:r w:rsidR="00D94B5F" w:rsidRPr="006C0693">
        <w:rPr>
          <w:rFonts w:ascii="Times New Roman" w:hAnsi="Times New Roman" w:cs="Times New Roman"/>
          <w:sz w:val="24"/>
          <w:szCs w:val="24"/>
        </w:rPr>
        <w:t xml:space="preserve">.  </w:t>
      </w:r>
      <w:r w:rsidR="007A01B1" w:rsidRPr="006C0693">
        <w:rPr>
          <w:rFonts w:ascii="Times New Roman" w:hAnsi="Times New Roman" w:cs="Times New Roman"/>
          <w:sz w:val="24"/>
          <w:szCs w:val="24"/>
        </w:rPr>
        <w:t xml:space="preserve">Although </w:t>
      </w:r>
      <w:r w:rsidR="00991624" w:rsidRPr="006C0693">
        <w:rPr>
          <w:rFonts w:ascii="Times New Roman" w:hAnsi="Times New Roman" w:cs="Times New Roman"/>
          <w:sz w:val="24"/>
          <w:szCs w:val="24"/>
        </w:rPr>
        <w:t xml:space="preserve">some States Parties may have accepted somewhat broader jurisdictional obligations as </w:t>
      </w:r>
      <w:r w:rsidR="00CB2177" w:rsidRPr="006C0693">
        <w:rPr>
          <w:rFonts w:ascii="Times New Roman" w:hAnsi="Times New Roman" w:cs="Times New Roman"/>
          <w:sz w:val="24"/>
          <w:szCs w:val="24"/>
        </w:rPr>
        <w:t>p</w:t>
      </w:r>
      <w:r w:rsidR="00991624" w:rsidRPr="006C0693">
        <w:rPr>
          <w:rFonts w:ascii="Times New Roman" w:hAnsi="Times New Roman" w:cs="Times New Roman"/>
          <w:sz w:val="24"/>
          <w:szCs w:val="24"/>
        </w:rPr>
        <w:t xml:space="preserve">arties to regional </w:t>
      </w:r>
      <w:r w:rsidR="00A00BDB" w:rsidRPr="006C0693">
        <w:rPr>
          <w:rFonts w:ascii="Times New Roman" w:hAnsi="Times New Roman" w:cs="Times New Roman"/>
          <w:sz w:val="24"/>
          <w:szCs w:val="24"/>
        </w:rPr>
        <w:t>h</w:t>
      </w:r>
      <w:r w:rsidR="00991624" w:rsidRPr="006C0693">
        <w:rPr>
          <w:rFonts w:ascii="Times New Roman" w:hAnsi="Times New Roman" w:cs="Times New Roman"/>
          <w:sz w:val="24"/>
          <w:szCs w:val="24"/>
        </w:rPr>
        <w:t xml:space="preserve">uman </w:t>
      </w:r>
      <w:r w:rsidR="00A00BDB" w:rsidRPr="006C0693">
        <w:rPr>
          <w:rFonts w:ascii="Times New Roman" w:hAnsi="Times New Roman" w:cs="Times New Roman"/>
          <w:sz w:val="24"/>
          <w:szCs w:val="24"/>
        </w:rPr>
        <w:t>r</w:t>
      </w:r>
      <w:r w:rsidR="00991624" w:rsidRPr="006C0693">
        <w:rPr>
          <w:rFonts w:ascii="Times New Roman" w:hAnsi="Times New Roman" w:cs="Times New Roman"/>
          <w:sz w:val="24"/>
          <w:szCs w:val="24"/>
        </w:rPr>
        <w:t xml:space="preserve">ights </w:t>
      </w:r>
      <w:r w:rsidR="00A00BDB" w:rsidRPr="006C0693">
        <w:rPr>
          <w:rFonts w:ascii="Times New Roman" w:hAnsi="Times New Roman" w:cs="Times New Roman"/>
          <w:sz w:val="24"/>
          <w:szCs w:val="24"/>
        </w:rPr>
        <w:t>c</w:t>
      </w:r>
      <w:r w:rsidR="00991624" w:rsidRPr="006C0693">
        <w:rPr>
          <w:rFonts w:ascii="Times New Roman" w:hAnsi="Times New Roman" w:cs="Times New Roman"/>
          <w:sz w:val="24"/>
          <w:szCs w:val="24"/>
        </w:rPr>
        <w:t>onventions</w:t>
      </w:r>
      <w:r w:rsidR="003146E4" w:rsidRPr="006C0693">
        <w:rPr>
          <w:rFonts w:ascii="Times New Roman" w:hAnsi="Times New Roman" w:cs="Times New Roman"/>
          <w:sz w:val="24"/>
          <w:szCs w:val="24"/>
        </w:rPr>
        <w:t>,</w:t>
      </w:r>
      <w:r w:rsidR="00991624" w:rsidRPr="006C0693">
        <w:rPr>
          <w:rStyle w:val="FootnoteReference"/>
          <w:rFonts w:ascii="Times New Roman" w:hAnsi="Times New Roman" w:cs="Times New Roman"/>
          <w:sz w:val="24"/>
          <w:szCs w:val="24"/>
        </w:rPr>
        <w:footnoteReference w:id="20"/>
      </w:r>
      <w:r w:rsidR="00991624" w:rsidRPr="006C0693">
        <w:rPr>
          <w:rFonts w:ascii="Times New Roman" w:hAnsi="Times New Roman" w:cs="Times New Roman"/>
          <w:sz w:val="24"/>
          <w:szCs w:val="24"/>
        </w:rPr>
        <w:t xml:space="preserve"> </w:t>
      </w:r>
      <w:r w:rsidR="00D94B5F" w:rsidRPr="006C0693">
        <w:rPr>
          <w:rFonts w:ascii="Times New Roman" w:hAnsi="Times New Roman" w:cs="Times New Roman"/>
          <w:sz w:val="24"/>
          <w:szCs w:val="24"/>
        </w:rPr>
        <w:t xml:space="preserve">or because doing so might correspond with their domestic laws, </w:t>
      </w:r>
      <w:r w:rsidR="00991624" w:rsidRPr="006C0693">
        <w:rPr>
          <w:rFonts w:ascii="Times New Roman" w:hAnsi="Times New Roman" w:cs="Times New Roman"/>
          <w:sz w:val="24"/>
          <w:szCs w:val="24"/>
        </w:rPr>
        <w:t>the United States has not</w:t>
      </w:r>
      <w:r w:rsidR="003146E4" w:rsidRPr="006C0693">
        <w:rPr>
          <w:rFonts w:ascii="Times New Roman" w:hAnsi="Times New Roman" w:cs="Times New Roman"/>
          <w:sz w:val="24"/>
          <w:szCs w:val="24"/>
        </w:rPr>
        <w:t xml:space="preserve"> done so</w:t>
      </w:r>
      <w:r w:rsidR="00991624" w:rsidRPr="006C0693">
        <w:rPr>
          <w:rFonts w:ascii="Times New Roman" w:hAnsi="Times New Roman" w:cs="Times New Roman"/>
          <w:sz w:val="24"/>
          <w:szCs w:val="24"/>
        </w:rPr>
        <w:t xml:space="preserve">.  To the extent that there are differing views among States Parties, the Committee has no mandate to resolve them or </w:t>
      </w:r>
      <w:r w:rsidR="007A01B1" w:rsidRPr="006C0693">
        <w:rPr>
          <w:rFonts w:ascii="Times New Roman" w:hAnsi="Times New Roman" w:cs="Times New Roman"/>
          <w:sz w:val="24"/>
          <w:szCs w:val="24"/>
        </w:rPr>
        <w:t xml:space="preserve">to </w:t>
      </w:r>
      <w:r w:rsidR="00991624" w:rsidRPr="006C0693">
        <w:rPr>
          <w:rFonts w:ascii="Times New Roman" w:hAnsi="Times New Roman" w:cs="Times New Roman"/>
          <w:sz w:val="24"/>
          <w:szCs w:val="24"/>
        </w:rPr>
        <w:t xml:space="preserve">interpret </w:t>
      </w:r>
      <w:r w:rsidR="007A01B1" w:rsidRPr="006C0693">
        <w:rPr>
          <w:rFonts w:ascii="Times New Roman" w:hAnsi="Times New Roman" w:cs="Times New Roman"/>
          <w:sz w:val="24"/>
          <w:szCs w:val="24"/>
        </w:rPr>
        <w:t xml:space="preserve">authoritatively </w:t>
      </w:r>
      <w:r w:rsidR="00991624" w:rsidRPr="006C0693">
        <w:rPr>
          <w:rFonts w:ascii="Times New Roman" w:hAnsi="Times New Roman" w:cs="Times New Roman"/>
          <w:sz w:val="24"/>
          <w:szCs w:val="24"/>
        </w:rPr>
        <w:t>the Convention</w:t>
      </w:r>
      <w:r w:rsidR="007A01B1" w:rsidRPr="006C0693">
        <w:rPr>
          <w:rFonts w:ascii="Times New Roman" w:hAnsi="Times New Roman" w:cs="Times New Roman"/>
          <w:sz w:val="24"/>
          <w:szCs w:val="24"/>
        </w:rPr>
        <w:t>’s</w:t>
      </w:r>
      <w:r w:rsidR="00991624" w:rsidRPr="006C0693">
        <w:rPr>
          <w:rFonts w:ascii="Times New Roman" w:hAnsi="Times New Roman" w:cs="Times New Roman"/>
          <w:sz w:val="24"/>
          <w:szCs w:val="24"/>
        </w:rPr>
        <w:t xml:space="preserve"> terms.  </w:t>
      </w:r>
      <w:r w:rsidR="00B74844" w:rsidRPr="006C0693">
        <w:rPr>
          <w:rFonts w:ascii="Times New Roman" w:hAnsi="Times New Roman" w:cs="Times New Roman"/>
          <w:sz w:val="24"/>
          <w:szCs w:val="24"/>
        </w:rPr>
        <w:t xml:space="preserve">Thus, </w:t>
      </w:r>
      <w:r w:rsidR="007A01B1" w:rsidRPr="006C0693">
        <w:rPr>
          <w:rFonts w:ascii="Times New Roman" w:hAnsi="Times New Roman" w:cs="Times New Roman"/>
          <w:sz w:val="24"/>
          <w:szCs w:val="24"/>
        </w:rPr>
        <w:t>w</w:t>
      </w:r>
      <w:r w:rsidR="00991624" w:rsidRPr="006C0693">
        <w:rPr>
          <w:rFonts w:ascii="Times New Roman" w:hAnsi="Times New Roman" w:cs="Times New Roman"/>
          <w:sz w:val="24"/>
          <w:szCs w:val="24"/>
        </w:rPr>
        <w:t xml:space="preserve">e urge the Committee to refrain from any </w:t>
      </w:r>
      <w:r w:rsidR="00D94B5F" w:rsidRPr="006C0693">
        <w:rPr>
          <w:rFonts w:ascii="Times New Roman" w:hAnsi="Times New Roman" w:cs="Times New Roman"/>
          <w:sz w:val="24"/>
          <w:szCs w:val="24"/>
        </w:rPr>
        <w:t>characterization of the</w:t>
      </w:r>
      <w:r w:rsidR="00991624" w:rsidRPr="006C0693">
        <w:rPr>
          <w:rFonts w:ascii="Times New Roman" w:hAnsi="Times New Roman" w:cs="Times New Roman"/>
          <w:sz w:val="24"/>
          <w:szCs w:val="24"/>
        </w:rPr>
        <w:t xml:space="preserve"> jurisdiction</w:t>
      </w:r>
      <w:r w:rsidR="00BB6B5A" w:rsidRPr="006C0693">
        <w:rPr>
          <w:rFonts w:ascii="Times New Roman" w:hAnsi="Times New Roman" w:cs="Times New Roman"/>
          <w:sz w:val="24"/>
          <w:szCs w:val="24"/>
        </w:rPr>
        <w:t>al</w:t>
      </w:r>
      <w:r w:rsidR="00991624" w:rsidRPr="006C0693">
        <w:rPr>
          <w:rFonts w:ascii="Times New Roman" w:hAnsi="Times New Roman" w:cs="Times New Roman"/>
          <w:sz w:val="24"/>
          <w:szCs w:val="24"/>
        </w:rPr>
        <w:t xml:space="preserve"> and territorial scope of ICCPR obligations </w:t>
      </w:r>
      <w:r w:rsidR="00D94B5F" w:rsidRPr="006C0693">
        <w:rPr>
          <w:rFonts w:ascii="Times New Roman" w:hAnsi="Times New Roman" w:cs="Times New Roman"/>
          <w:sz w:val="24"/>
          <w:szCs w:val="24"/>
        </w:rPr>
        <w:t xml:space="preserve">that </w:t>
      </w:r>
      <w:r w:rsidR="00991624" w:rsidRPr="006C0693">
        <w:rPr>
          <w:rFonts w:ascii="Times New Roman" w:hAnsi="Times New Roman" w:cs="Times New Roman"/>
          <w:sz w:val="24"/>
          <w:szCs w:val="24"/>
        </w:rPr>
        <w:t>deviate</w:t>
      </w:r>
      <w:r w:rsidR="00D94B5F" w:rsidRPr="006C0693">
        <w:rPr>
          <w:rFonts w:ascii="Times New Roman" w:hAnsi="Times New Roman" w:cs="Times New Roman"/>
          <w:sz w:val="24"/>
          <w:szCs w:val="24"/>
        </w:rPr>
        <w:t>s</w:t>
      </w:r>
      <w:r w:rsidR="00991624" w:rsidRPr="006C0693">
        <w:rPr>
          <w:rFonts w:ascii="Times New Roman" w:hAnsi="Times New Roman" w:cs="Times New Roman"/>
          <w:sz w:val="24"/>
          <w:szCs w:val="24"/>
        </w:rPr>
        <w:t xml:space="preserve"> from the express treaty text. </w:t>
      </w:r>
    </w:p>
    <w:p w:rsidR="0015505C" w:rsidRPr="006C0693" w:rsidRDefault="0015505C" w:rsidP="006C0693">
      <w:pPr>
        <w:rPr>
          <w:rFonts w:ascii="Times New Roman" w:hAnsi="Times New Roman" w:cs="Times New Roman"/>
          <w:sz w:val="24"/>
          <w:szCs w:val="24"/>
          <w:u w:val="single"/>
        </w:rPr>
      </w:pPr>
      <w:r w:rsidRPr="006C0693">
        <w:rPr>
          <w:rFonts w:ascii="Times New Roman" w:hAnsi="Times New Roman" w:cs="Times New Roman"/>
          <w:sz w:val="24"/>
          <w:szCs w:val="24"/>
          <w:u w:val="single"/>
        </w:rPr>
        <w:t xml:space="preserve">Armed Conflict </w:t>
      </w:r>
    </w:p>
    <w:p w:rsidR="00F96FAE" w:rsidRPr="006C0693" w:rsidRDefault="003E63C4" w:rsidP="006C0693">
      <w:pPr>
        <w:rPr>
          <w:rFonts w:ascii="Times New Roman" w:hAnsi="Times New Roman" w:cs="Times New Roman"/>
          <w:sz w:val="24"/>
          <w:szCs w:val="24"/>
        </w:rPr>
      </w:pPr>
      <w:r w:rsidRPr="006C0693">
        <w:rPr>
          <w:rFonts w:ascii="Times New Roman" w:hAnsi="Times New Roman" w:cs="Times New Roman"/>
          <w:sz w:val="24"/>
          <w:szCs w:val="24"/>
        </w:rPr>
        <w:t>16</w:t>
      </w:r>
      <w:r w:rsidR="00BF732D" w:rsidRPr="006C0693">
        <w:rPr>
          <w:rFonts w:ascii="Times New Roman" w:hAnsi="Times New Roman" w:cs="Times New Roman"/>
          <w:sz w:val="24"/>
          <w:szCs w:val="24"/>
        </w:rPr>
        <w:t>.</w:t>
      </w:r>
      <w:r w:rsidR="00D94B5F" w:rsidRPr="006C0693">
        <w:rPr>
          <w:rFonts w:ascii="Times New Roman" w:hAnsi="Times New Roman" w:cs="Times New Roman"/>
          <w:sz w:val="24"/>
          <w:szCs w:val="24"/>
        </w:rPr>
        <w:t xml:space="preserve">  </w:t>
      </w:r>
      <w:r w:rsidR="00F96FAE" w:rsidRPr="006C0693">
        <w:rPr>
          <w:rFonts w:ascii="Times New Roman" w:hAnsi="Times New Roman" w:cs="Times New Roman"/>
          <w:sz w:val="24"/>
          <w:szCs w:val="24"/>
        </w:rPr>
        <w:t xml:space="preserve">Paragraph 67 of the Committee’s draft states:  “Like the rest of the Covenant, article 6 continues to apply also [to the conduct of hostilities] in situations of armed conflict to which the rules of international humanitarian law are applicable. </w:t>
      </w:r>
      <w:r w:rsidR="00CB2177" w:rsidRPr="006C0693">
        <w:rPr>
          <w:rFonts w:ascii="Times New Roman" w:hAnsi="Times New Roman" w:cs="Times New Roman"/>
          <w:sz w:val="24"/>
          <w:szCs w:val="24"/>
        </w:rPr>
        <w:t xml:space="preserve"> </w:t>
      </w:r>
      <w:r w:rsidR="00F96FAE" w:rsidRPr="006C0693">
        <w:rPr>
          <w:rFonts w:ascii="Times New Roman" w:hAnsi="Times New Roman" w:cs="Times New Roman"/>
          <w:sz w:val="24"/>
          <w:szCs w:val="24"/>
        </w:rPr>
        <w:t xml:space="preserve">While rules of international humanitarian law may be relevant for the interpretation and application of article 6, both spheres of law are complementary, not mutually exclusive.  </w:t>
      </w:r>
      <w:r w:rsidR="005276F0" w:rsidRPr="006C0693">
        <w:rPr>
          <w:rFonts w:ascii="Times New Roman" w:hAnsi="Times New Roman" w:cs="Times New Roman"/>
          <w:sz w:val="24"/>
          <w:szCs w:val="24"/>
        </w:rPr>
        <w:t xml:space="preserve">Uses of lethal force authorized and regulated by and complying with international humanitarian law are, in principle, not arbitrary. </w:t>
      </w:r>
      <w:r w:rsidR="00D94B5F" w:rsidRPr="006C0693">
        <w:rPr>
          <w:rFonts w:ascii="Times New Roman" w:hAnsi="Times New Roman" w:cs="Times New Roman"/>
          <w:sz w:val="24"/>
          <w:szCs w:val="24"/>
        </w:rPr>
        <w:t xml:space="preserve"> </w:t>
      </w:r>
      <w:r w:rsidR="005276F0" w:rsidRPr="006C0693">
        <w:rPr>
          <w:rFonts w:ascii="Times New Roman" w:hAnsi="Times New Roman" w:cs="Times New Roman"/>
          <w:sz w:val="24"/>
          <w:szCs w:val="24"/>
        </w:rPr>
        <w:t>By contrast, practices inconsistent with international humanitarian law, entailing a risk to the lives of civilians and persons hors de combat, including the targeting of civilians and civilian objects, indiscriminate attacks, failure to apply adequate measures of precaution to prevent collateral death of civilians, and the use of human shields, violate article 6 of the Covenant.”</w:t>
      </w:r>
    </w:p>
    <w:p w:rsidR="0015505C" w:rsidRPr="006C0693" w:rsidRDefault="003E63C4" w:rsidP="006C0693">
      <w:pPr>
        <w:rPr>
          <w:rFonts w:ascii="Times New Roman" w:hAnsi="Times New Roman" w:cs="Times New Roman"/>
          <w:bCs/>
          <w:sz w:val="24"/>
          <w:szCs w:val="24"/>
        </w:rPr>
      </w:pPr>
      <w:r w:rsidRPr="006C0693">
        <w:rPr>
          <w:rFonts w:ascii="Times New Roman" w:hAnsi="Times New Roman" w:cs="Times New Roman"/>
          <w:bCs/>
          <w:sz w:val="24"/>
          <w:szCs w:val="24"/>
        </w:rPr>
        <w:t>17</w:t>
      </w:r>
      <w:r w:rsidR="00D94B5F" w:rsidRPr="006C0693">
        <w:rPr>
          <w:rFonts w:ascii="Times New Roman" w:hAnsi="Times New Roman" w:cs="Times New Roman"/>
          <w:bCs/>
          <w:sz w:val="24"/>
          <w:szCs w:val="24"/>
        </w:rPr>
        <w:t>.  The United States disagrees</w:t>
      </w:r>
      <w:r w:rsidR="00EF533F" w:rsidRPr="006C0693">
        <w:rPr>
          <w:rFonts w:ascii="Times New Roman" w:hAnsi="Times New Roman" w:cs="Times New Roman"/>
          <w:bCs/>
          <w:sz w:val="24"/>
          <w:szCs w:val="24"/>
        </w:rPr>
        <w:t xml:space="preserve">.  </w:t>
      </w:r>
      <w:r w:rsidR="005276F0" w:rsidRPr="006C0693">
        <w:rPr>
          <w:rFonts w:ascii="Times New Roman" w:hAnsi="Times New Roman" w:cs="Times New Roman"/>
          <w:bCs/>
          <w:sz w:val="24"/>
          <w:szCs w:val="24"/>
        </w:rPr>
        <w:t xml:space="preserve">Although the United States </w:t>
      </w:r>
      <w:r w:rsidR="00E8677C" w:rsidRPr="006C0693">
        <w:rPr>
          <w:rFonts w:ascii="Times New Roman" w:hAnsi="Times New Roman" w:cs="Times New Roman"/>
          <w:bCs/>
          <w:sz w:val="24"/>
          <w:szCs w:val="24"/>
        </w:rPr>
        <w:t xml:space="preserve">would </w:t>
      </w:r>
      <w:r w:rsidR="005276F0" w:rsidRPr="006C0693">
        <w:rPr>
          <w:rFonts w:ascii="Times New Roman" w:hAnsi="Times New Roman" w:cs="Times New Roman"/>
          <w:bCs/>
          <w:sz w:val="24"/>
          <w:szCs w:val="24"/>
        </w:rPr>
        <w:t>agree as a general matter that armed conflict does not suspend or terminate a State’s obligations under the Covenant within its scope of application, we do not believe that the Committee’s views</w:t>
      </w:r>
      <w:r w:rsidR="00BB6B5A" w:rsidRPr="006C0693">
        <w:rPr>
          <w:rFonts w:ascii="Times New Roman" w:hAnsi="Times New Roman" w:cs="Times New Roman"/>
          <w:bCs/>
          <w:sz w:val="24"/>
          <w:szCs w:val="24"/>
        </w:rPr>
        <w:t>,</w:t>
      </w:r>
      <w:r w:rsidR="005276F0" w:rsidRPr="006C0693">
        <w:rPr>
          <w:rFonts w:ascii="Times New Roman" w:hAnsi="Times New Roman" w:cs="Times New Roman"/>
          <w:bCs/>
          <w:sz w:val="24"/>
          <w:szCs w:val="24"/>
        </w:rPr>
        <w:t xml:space="preserve"> reflected </w:t>
      </w:r>
      <w:r w:rsidR="00EF533F" w:rsidRPr="006C0693">
        <w:rPr>
          <w:rFonts w:ascii="Times New Roman" w:hAnsi="Times New Roman" w:cs="Times New Roman"/>
          <w:bCs/>
          <w:sz w:val="24"/>
          <w:szCs w:val="24"/>
        </w:rPr>
        <w:t>here</w:t>
      </w:r>
      <w:r w:rsidR="005276F0" w:rsidRPr="006C0693">
        <w:rPr>
          <w:rFonts w:ascii="Times New Roman" w:hAnsi="Times New Roman" w:cs="Times New Roman"/>
          <w:bCs/>
          <w:sz w:val="24"/>
          <w:szCs w:val="24"/>
        </w:rPr>
        <w:t xml:space="preserve"> or </w:t>
      </w:r>
      <w:r w:rsidR="00EF533F" w:rsidRPr="006C0693">
        <w:rPr>
          <w:rFonts w:ascii="Times New Roman" w:hAnsi="Times New Roman" w:cs="Times New Roman"/>
          <w:bCs/>
          <w:sz w:val="24"/>
          <w:szCs w:val="24"/>
        </w:rPr>
        <w:t xml:space="preserve">in </w:t>
      </w:r>
      <w:r w:rsidR="005276F0" w:rsidRPr="006C0693">
        <w:rPr>
          <w:rFonts w:ascii="Times New Roman" w:hAnsi="Times New Roman" w:cs="Times New Roman"/>
          <w:bCs/>
          <w:sz w:val="24"/>
          <w:szCs w:val="24"/>
        </w:rPr>
        <w:t xml:space="preserve">prior </w:t>
      </w:r>
      <w:r w:rsidR="001935D7" w:rsidRPr="006C0693">
        <w:rPr>
          <w:rFonts w:ascii="Times New Roman" w:hAnsi="Times New Roman" w:cs="Times New Roman"/>
          <w:bCs/>
          <w:sz w:val="24"/>
          <w:szCs w:val="24"/>
        </w:rPr>
        <w:t>g</w:t>
      </w:r>
      <w:r w:rsidR="005276F0" w:rsidRPr="006C0693">
        <w:rPr>
          <w:rFonts w:ascii="Times New Roman" w:hAnsi="Times New Roman" w:cs="Times New Roman"/>
          <w:bCs/>
          <w:sz w:val="24"/>
          <w:szCs w:val="24"/>
        </w:rPr>
        <w:t xml:space="preserve">eneral </w:t>
      </w:r>
      <w:r w:rsidR="001935D7" w:rsidRPr="006C0693">
        <w:rPr>
          <w:rFonts w:ascii="Times New Roman" w:hAnsi="Times New Roman" w:cs="Times New Roman"/>
          <w:bCs/>
          <w:sz w:val="24"/>
          <w:szCs w:val="24"/>
        </w:rPr>
        <w:t>c</w:t>
      </w:r>
      <w:r w:rsidR="005276F0" w:rsidRPr="006C0693">
        <w:rPr>
          <w:rFonts w:ascii="Times New Roman" w:hAnsi="Times New Roman" w:cs="Times New Roman"/>
          <w:bCs/>
          <w:sz w:val="24"/>
          <w:szCs w:val="24"/>
        </w:rPr>
        <w:t xml:space="preserve">omments </w:t>
      </w:r>
      <w:r w:rsidR="00EF533F" w:rsidRPr="006C0693">
        <w:rPr>
          <w:rFonts w:ascii="Times New Roman" w:hAnsi="Times New Roman" w:cs="Times New Roman"/>
          <w:bCs/>
          <w:sz w:val="24"/>
          <w:szCs w:val="24"/>
        </w:rPr>
        <w:t>addressing</w:t>
      </w:r>
      <w:r w:rsidR="005276F0" w:rsidRPr="006C0693">
        <w:rPr>
          <w:rFonts w:ascii="Times New Roman" w:hAnsi="Times New Roman" w:cs="Times New Roman"/>
          <w:bCs/>
          <w:sz w:val="24"/>
          <w:szCs w:val="24"/>
        </w:rPr>
        <w:t xml:space="preserve"> military operations</w:t>
      </w:r>
      <w:r w:rsidR="00BB6B5A" w:rsidRPr="006C0693">
        <w:rPr>
          <w:rFonts w:ascii="Times New Roman" w:hAnsi="Times New Roman" w:cs="Times New Roman"/>
          <w:bCs/>
          <w:sz w:val="24"/>
          <w:szCs w:val="24"/>
        </w:rPr>
        <w:t>,</w:t>
      </w:r>
      <w:r w:rsidR="005276F0" w:rsidRPr="006C0693">
        <w:rPr>
          <w:rFonts w:ascii="Times New Roman" w:hAnsi="Times New Roman" w:cs="Times New Roman"/>
          <w:bCs/>
          <w:sz w:val="24"/>
          <w:szCs w:val="24"/>
        </w:rPr>
        <w:t xml:space="preserve"> accord sufficient weight to the well-established principle that </w:t>
      </w:r>
      <w:r w:rsidR="0015505C" w:rsidRPr="006C0693">
        <w:rPr>
          <w:rFonts w:ascii="Times New Roman" w:hAnsi="Times New Roman" w:cs="Times New Roman"/>
          <w:bCs/>
          <w:sz w:val="24"/>
          <w:szCs w:val="24"/>
        </w:rPr>
        <w:t xml:space="preserve">international humanitarian law (IHL) is the </w:t>
      </w:r>
      <w:r w:rsidR="0015505C" w:rsidRPr="006C0693">
        <w:rPr>
          <w:rFonts w:ascii="Times New Roman" w:hAnsi="Times New Roman" w:cs="Times New Roman"/>
          <w:bCs/>
          <w:i/>
          <w:sz w:val="24"/>
          <w:szCs w:val="24"/>
        </w:rPr>
        <w:t>lex specialis</w:t>
      </w:r>
      <w:r w:rsidR="0015505C" w:rsidRPr="006C0693">
        <w:rPr>
          <w:rFonts w:ascii="Times New Roman" w:hAnsi="Times New Roman" w:cs="Times New Roman"/>
          <w:bCs/>
          <w:sz w:val="24"/>
          <w:szCs w:val="24"/>
        </w:rPr>
        <w:t xml:space="preserve"> with respect to the conduct of hostilities</w:t>
      </w:r>
      <w:r w:rsidR="005B486E" w:rsidRPr="006C0693">
        <w:rPr>
          <w:rFonts w:ascii="Times New Roman" w:hAnsi="Times New Roman" w:cs="Times New Roman"/>
          <w:bCs/>
          <w:sz w:val="24"/>
          <w:szCs w:val="24"/>
        </w:rPr>
        <w:t xml:space="preserve"> and the protection of war victims (</w:t>
      </w:r>
      <w:r w:rsidR="005B486E" w:rsidRPr="006C0693">
        <w:rPr>
          <w:rFonts w:ascii="Times New Roman" w:hAnsi="Times New Roman" w:cs="Times New Roman"/>
          <w:bCs/>
          <w:i/>
          <w:sz w:val="24"/>
          <w:szCs w:val="24"/>
        </w:rPr>
        <w:t>e.g</w:t>
      </w:r>
      <w:r w:rsidR="005B486E" w:rsidRPr="006C0693">
        <w:rPr>
          <w:rFonts w:ascii="Times New Roman" w:hAnsi="Times New Roman" w:cs="Times New Roman"/>
          <w:bCs/>
          <w:sz w:val="24"/>
          <w:szCs w:val="24"/>
        </w:rPr>
        <w:t xml:space="preserve">., prisoners of war, civilian internees, persons placed </w:t>
      </w:r>
      <w:r w:rsidR="005B486E" w:rsidRPr="006C0693">
        <w:rPr>
          <w:rFonts w:ascii="Times New Roman" w:hAnsi="Times New Roman" w:cs="Times New Roman"/>
          <w:bCs/>
          <w:i/>
          <w:sz w:val="24"/>
          <w:szCs w:val="24"/>
        </w:rPr>
        <w:t>hors de combat</w:t>
      </w:r>
      <w:r w:rsidR="005B486E" w:rsidRPr="006C0693">
        <w:rPr>
          <w:rFonts w:ascii="Times New Roman" w:hAnsi="Times New Roman" w:cs="Times New Roman"/>
          <w:bCs/>
          <w:sz w:val="24"/>
          <w:szCs w:val="24"/>
        </w:rPr>
        <w:t>)</w:t>
      </w:r>
      <w:r w:rsidR="005276F0" w:rsidRPr="006C0693">
        <w:rPr>
          <w:rFonts w:ascii="Times New Roman" w:hAnsi="Times New Roman" w:cs="Times New Roman"/>
          <w:bCs/>
          <w:sz w:val="24"/>
          <w:szCs w:val="24"/>
        </w:rPr>
        <w:t xml:space="preserve"> in any armed conflict</w:t>
      </w:r>
      <w:r w:rsidR="0015505C" w:rsidRPr="006C0693">
        <w:rPr>
          <w:rFonts w:ascii="Times New Roman" w:hAnsi="Times New Roman" w:cs="Times New Roman"/>
          <w:bCs/>
          <w:sz w:val="24"/>
          <w:szCs w:val="24"/>
        </w:rPr>
        <w:t xml:space="preserve">.  </w:t>
      </w:r>
      <w:r w:rsidR="005276F0" w:rsidRPr="006C0693">
        <w:rPr>
          <w:rFonts w:ascii="Times New Roman" w:hAnsi="Times New Roman" w:cs="Times New Roman"/>
          <w:bCs/>
          <w:sz w:val="24"/>
          <w:szCs w:val="24"/>
        </w:rPr>
        <w:t>It would appear from the bracketing in the Committee’</w:t>
      </w:r>
      <w:r w:rsidR="00A6582D" w:rsidRPr="006C0693">
        <w:rPr>
          <w:rFonts w:ascii="Times New Roman" w:hAnsi="Times New Roman" w:cs="Times New Roman"/>
          <w:bCs/>
          <w:sz w:val="24"/>
          <w:szCs w:val="24"/>
        </w:rPr>
        <w:t xml:space="preserve">s draft </w:t>
      </w:r>
      <w:r w:rsidR="005276F0" w:rsidRPr="006C0693">
        <w:rPr>
          <w:rFonts w:ascii="Times New Roman" w:hAnsi="Times New Roman" w:cs="Times New Roman"/>
          <w:bCs/>
          <w:sz w:val="24"/>
          <w:szCs w:val="24"/>
        </w:rPr>
        <w:t>that not all Committee members agree</w:t>
      </w:r>
      <w:r w:rsidR="00A6582D" w:rsidRPr="006C0693">
        <w:rPr>
          <w:rFonts w:ascii="Times New Roman" w:hAnsi="Times New Roman" w:cs="Times New Roman"/>
          <w:bCs/>
          <w:sz w:val="24"/>
          <w:szCs w:val="24"/>
        </w:rPr>
        <w:t xml:space="preserve"> with the </w:t>
      </w:r>
      <w:r w:rsidR="00E8677C" w:rsidRPr="006C0693">
        <w:rPr>
          <w:rFonts w:ascii="Times New Roman" w:hAnsi="Times New Roman" w:cs="Times New Roman"/>
          <w:bCs/>
          <w:sz w:val="24"/>
          <w:szCs w:val="24"/>
        </w:rPr>
        <w:t xml:space="preserve">formulation </w:t>
      </w:r>
      <w:r w:rsidR="00EF533F" w:rsidRPr="006C0693">
        <w:rPr>
          <w:rFonts w:ascii="Times New Roman" w:hAnsi="Times New Roman" w:cs="Times New Roman"/>
          <w:bCs/>
          <w:sz w:val="24"/>
          <w:szCs w:val="24"/>
        </w:rPr>
        <w:t>either</w:t>
      </w:r>
      <w:r w:rsidR="005276F0" w:rsidRPr="006C0693">
        <w:rPr>
          <w:rFonts w:ascii="Times New Roman" w:hAnsi="Times New Roman" w:cs="Times New Roman"/>
          <w:bCs/>
          <w:sz w:val="24"/>
          <w:szCs w:val="24"/>
        </w:rPr>
        <w:t>.  We therefore commen</w:t>
      </w:r>
      <w:r w:rsidR="00A6582D" w:rsidRPr="006C0693">
        <w:rPr>
          <w:rFonts w:ascii="Times New Roman" w:hAnsi="Times New Roman" w:cs="Times New Roman"/>
          <w:bCs/>
          <w:sz w:val="24"/>
          <w:szCs w:val="24"/>
        </w:rPr>
        <w:t>d</w:t>
      </w:r>
      <w:r w:rsidR="005276F0" w:rsidRPr="006C0693">
        <w:rPr>
          <w:rFonts w:ascii="Times New Roman" w:hAnsi="Times New Roman" w:cs="Times New Roman"/>
          <w:bCs/>
          <w:sz w:val="24"/>
          <w:szCs w:val="24"/>
        </w:rPr>
        <w:t xml:space="preserve"> </w:t>
      </w:r>
      <w:r w:rsidR="00A6582D" w:rsidRPr="006C0693">
        <w:rPr>
          <w:rFonts w:ascii="Times New Roman" w:hAnsi="Times New Roman" w:cs="Times New Roman"/>
          <w:bCs/>
          <w:sz w:val="24"/>
          <w:szCs w:val="24"/>
        </w:rPr>
        <w:t>for</w:t>
      </w:r>
      <w:r w:rsidR="005276F0" w:rsidRPr="006C0693">
        <w:rPr>
          <w:rFonts w:ascii="Times New Roman" w:hAnsi="Times New Roman" w:cs="Times New Roman"/>
          <w:bCs/>
          <w:sz w:val="24"/>
          <w:szCs w:val="24"/>
        </w:rPr>
        <w:t xml:space="preserve"> the Committee’s</w:t>
      </w:r>
      <w:r w:rsidR="00BB6B5A" w:rsidRPr="006C0693">
        <w:rPr>
          <w:rFonts w:ascii="Times New Roman" w:hAnsi="Times New Roman" w:cs="Times New Roman"/>
          <w:bCs/>
          <w:sz w:val="24"/>
          <w:szCs w:val="24"/>
        </w:rPr>
        <w:t xml:space="preserve"> more careful</w:t>
      </w:r>
      <w:r w:rsidR="005276F0" w:rsidRPr="006C0693">
        <w:rPr>
          <w:rFonts w:ascii="Times New Roman" w:hAnsi="Times New Roman" w:cs="Times New Roman"/>
          <w:bCs/>
          <w:sz w:val="24"/>
          <w:szCs w:val="24"/>
        </w:rPr>
        <w:t xml:space="preserve"> consideration the views we submitted on this issue when it arose in connection with General Comment </w:t>
      </w:r>
      <w:r w:rsidR="00E8677C" w:rsidRPr="006C0693">
        <w:rPr>
          <w:rFonts w:ascii="Times New Roman" w:hAnsi="Times New Roman" w:cs="Times New Roman"/>
          <w:bCs/>
          <w:sz w:val="24"/>
          <w:szCs w:val="24"/>
        </w:rPr>
        <w:t xml:space="preserve">No. </w:t>
      </w:r>
      <w:r w:rsidR="005276F0" w:rsidRPr="006C0693">
        <w:rPr>
          <w:rFonts w:ascii="Times New Roman" w:hAnsi="Times New Roman" w:cs="Times New Roman"/>
          <w:bCs/>
          <w:sz w:val="24"/>
          <w:szCs w:val="24"/>
        </w:rPr>
        <w:t>31</w:t>
      </w:r>
      <w:r w:rsidR="00A00BDB" w:rsidRPr="006C0693">
        <w:rPr>
          <w:rFonts w:ascii="Times New Roman" w:hAnsi="Times New Roman" w:cs="Times New Roman"/>
          <w:bCs/>
          <w:sz w:val="24"/>
          <w:szCs w:val="24"/>
        </w:rPr>
        <w:t xml:space="preserve"> </w:t>
      </w:r>
      <w:r w:rsidR="005276F0" w:rsidRPr="006C0693">
        <w:rPr>
          <w:rFonts w:ascii="Times New Roman" w:hAnsi="Times New Roman" w:cs="Times New Roman"/>
          <w:bCs/>
          <w:sz w:val="24"/>
          <w:szCs w:val="24"/>
        </w:rPr>
        <w:t xml:space="preserve">and draft </w:t>
      </w:r>
      <w:r w:rsidR="005276F0" w:rsidRPr="006C0693">
        <w:rPr>
          <w:rFonts w:ascii="Times New Roman" w:hAnsi="Times New Roman" w:cs="Times New Roman"/>
          <w:bCs/>
          <w:sz w:val="24"/>
          <w:szCs w:val="24"/>
        </w:rPr>
        <w:lastRenderedPageBreak/>
        <w:t xml:space="preserve">General Comment </w:t>
      </w:r>
      <w:r w:rsidR="00E8677C" w:rsidRPr="006C0693">
        <w:rPr>
          <w:rFonts w:ascii="Times New Roman" w:hAnsi="Times New Roman" w:cs="Times New Roman"/>
          <w:bCs/>
          <w:sz w:val="24"/>
          <w:szCs w:val="24"/>
        </w:rPr>
        <w:t xml:space="preserve">No. </w:t>
      </w:r>
      <w:r w:rsidR="005276F0" w:rsidRPr="006C0693">
        <w:rPr>
          <w:rFonts w:ascii="Times New Roman" w:hAnsi="Times New Roman" w:cs="Times New Roman"/>
          <w:bCs/>
          <w:sz w:val="24"/>
          <w:szCs w:val="24"/>
        </w:rPr>
        <w:t>35</w:t>
      </w:r>
      <w:r w:rsidR="00A6582D" w:rsidRPr="006C0693">
        <w:rPr>
          <w:rFonts w:ascii="Times New Roman" w:hAnsi="Times New Roman" w:cs="Times New Roman"/>
          <w:bCs/>
          <w:sz w:val="24"/>
          <w:szCs w:val="24"/>
        </w:rPr>
        <w:t>,</w:t>
      </w:r>
      <w:r w:rsidR="00E237F2" w:rsidRPr="006C0693">
        <w:rPr>
          <w:rStyle w:val="FootnoteReference"/>
          <w:rFonts w:ascii="Times New Roman" w:hAnsi="Times New Roman" w:cs="Times New Roman"/>
          <w:bCs/>
          <w:sz w:val="24"/>
          <w:szCs w:val="24"/>
        </w:rPr>
        <w:footnoteReference w:id="21"/>
      </w:r>
      <w:r w:rsidR="00A6582D" w:rsidRPr="006C0693">
        <w:rPr>
          <w:rFonts w:ascii="Times New Roman" w:hAnsi="Times New Roman" w:cs="Times New Roman"/>
          <w:bCs/>
          <w:sz w:val="24"/>
          <w:szCs w:val="24"/>
        </w:rPr>
        <w:t xml:space="preserve"> and urge the Committee to refrain from expressing views regarding the applicability of the </w:t>
      </w:r>
      <w:r w:rsidR="00E8677C" w:rsidRPr="006C0693">
        <w:rPr>
          <w:rFonts w:ascii="Times New Roman" w:hAnsi="Times New Roman" w:cs="Times New Roman"/>
          <w:bCs/>
          <w:sz w:val="24"/>
          <w:szCs w:val="24"/>
        </w:rPr>
        <w:t>ICCPR</w:t>
      </w:r>
      <w:r w:rsidR="00A6582D" w:rsidRPr="006C0693">
        <w:rPr>
          <w:rFonts w:ascii="Times New Roman" w:hAnsi="Times New Roman" w:cs="Times New Roman"/>
          <w:bCs/>
          <w:sz w:val="24"/>
          <w:szCs w:val="24"/>
        </w:rPr>
        <w:t xml:space="preserve"> to any aspect of the conduct of hostilities</w:t>
      </w:r>
      <w:r w:rsidR="005B486E" w:rsidRPr="006C0693">
        <w:rPr>
          <w:rFonts w:ascii="Times New Roman" w:hAnsi="Times New Roman" w:cs="Times New Roman"/>
          <w:bCs/>
          <w:sz w:val="24"/>
          <w:szCs w:val="24"/>
        </w:rPr>
        <w:t xml:space="preserve"> and the protection of war victims</w:t>
      </w:r>
      <w:r w:rsidR="00A6582D" w:rsidRPr="006C0693">
        <w:rPr>
          <w:rFonts w:ascii="Times New Roman" w:hAnsi="Times New Roman" w:cs="Times New Roman"/>
          <w:bCs/>
          <w:sz w:val="24"/>
          <w:szCs w:val="24"/>
        </w:rPr>
        <w:t xml:space="preserve"> in an armed conflict, which fall</w:t>
      </w:r>
      <w:r w:rsidR="00A00BDB" w:rsidRPr="006C0693">
        <w:rPr>
          <w:rFonts w:ascii="Times New Roman" w:hAnsi="Times New Roman" w:cs="Times New Roman"/>
          <w:bCs/>
          <w:sz w:val="24"/>
          <w:szCs w:val="24"/>
        </w:rPr>
        <w:t>s</w:t>
      </w:r>
      <w:r w:rsidR="00A6582D" w:rsidRPr="006C0693">
        <w:rPr>
          <w:rFonts w:ascii="Times New Roman" w:hAnsi="Times New Roman" w:cs="Times New Roman"/>
          <w:bCs/>
          <w:sz w:val="24"/>
          <w:szCs w:val="24"/>
        </w:rPr>
        <w:t xml:space="preserve"> beyond </w:t>
      </w:r>
      <w:r w:rsidR="00EF533F" w:rsidRPr="006C0693">
        <w:rPr>
          <w:rFonts w:ascii="Times New Roman" w:hAnsi="Times New Roman" w:cs="Times New Roman"/>
          <w:bCs/>
          <w:sz w:val="24"/>
          <w:szCs w:val="24"/>
        </w:rPr>
        <w:t xml:space="preserve">its </w:t>
      </w:r>
      <w:r w:rsidR="00A6582D" w:rsidRPr="006C0693">
        <w:rPr>
          <w:rFonts w:ascii="Times New Roman" w:hAnsi="Times New Roman" w:cs="Times New Roman"/>
          <w:bCs/>
          <w:sz w:val="24"/>
          <w:szCs w:val="24"/>
        </w:rPr>
        <w:t>competence and mandate.</w:t>
      </w:r>
      <w:r w:rsidR="00E237F2" w:rsidRPr="006C0693">
        <w:rPr>
          <w:rFonts w:ascii="Times New Roman" w:hAnsi="Times New Roman" w:cs="Times New Roman"/>
          <w:bCs/>
          <w:sz w:val="24"/>
          <w:szCs w:val="24"/>
        </w:rPr>
        <w:t xml:space="preserve"> </w:t>
      </w:r>
    </w:p>
    <w:p w:rsidR="006C24BB" w:rsidRPr="006C0693" w:rsidRDefault="003E63C4" w:rsidP="006C0693">
      <w:pPr>
        <w:autoSpaceDE w:val="0"/>
        <w:autoSpaceDN w:val="0"/>
        <w:adjustRightInd w:val="0"/>
        <w:spacing w:after="0"/>
        <w:rPr>
          <w:rFonts w:ascii="Times New Roman" w:eastAsia="Cambria" w:hAnsi="Times New Roman" w:cs="Times New Roman"/>
          <w:sz w:val="24"/>
          <w:szCs w:val="24"/>
        </w:rPr>
      </w:pPr>
      <w:r w:rsidRPr="006C0693">
        <w:rPr>
          <w:rFonts w:ascii="Times New Roman" w:hAnsi="Times New Roman" w:cs="Times New Roman"/>
          <w:bCs/>
          <w:sz w:val="24"/>
          <w:szCs w:val="24"/>
        </w:rPr>
        <w:t>18</w:t>
      </w:r>
      <w:r w:rsidR="00E8677C" w:rsidRPr="006C0693">
        <w:rPr>
          <w:rFonts w:ascii="Times New Roman" w:hAnsi="Times New Roman" w:cs="Times New Roman"/>
          <w:bCs/>
          <w:sz w:val="24"/>
          <w:szCs w:val="24"/>
        </w:rPr>
        <w:t xml:space="preserve">.  </w:t>
      </w:r>
      <w:r w:rsidR="006C24BB" w:rsidRPr="006C0693">
        <w:rPr>
          <w:rFonts w:ascii="Times New Roman" w:hAnsi="Times New Roman" w:cs="Times New Roman"/>
          <w:bCs/>
          <w:sz w:val="24"/>
          <w:szCs w:val="24"/>
        </w:rPr>
        <w:t xml:space="preserve">In this regard, we </w:t>
      </w:r>
      <w:r w:rsidR="00E237F2" w:rsidRPr="006C0693">
        <w:rPr>
          <w:rFonts w:ascii="Times New Roman" w:hAnsi="Times New Roman" w:cs="Times New Roman"/>
          <w:bCs/>
          <w:sz w:val="24"/>
          <w:szCs w:val="24"/>
        </w:rPr>
        <w:t>reject</w:t>
      </w:r>
      <w:r w:rsidR="00BB6B5A" w:rsidRPr="006C0693">
        <w:rPr>
          <w:rFonts w:ascii="Times New Roman" w:eastAsia="Cambria" w:hAnsi="Times New Roman" w:cs="Times New Roman"/>
          <w:sz w:val="24"/>
          <w:szCs w:val="24"/>
        </w:rPr>
        <w:t xml:space="preserve"> </w:t>
      </w:r>
      <w:r w:rsidR="00EB6827" w:rsidRPr="006C0693">
        <w:rPr>
          <w:rFonts w:ascii="Times New Roman" w:hAnsi="Times New Roman" w:cs="Times New Roman"/>
          <w:bCs/>
          <w:sz w:val="24"/>
          <w:szCs w:val="24"/>
        </w:rPr>
        <w:t xml:space="preserve">the </w:t>
      </w:r>
      <w:r w:rsidR="006C24BB" w:rsidRPr="006C0693">
        <w:rPr>
          <w:rFonts w:ascii="Times New Roman" w:eastAsia="Cambria" w:hAnsi="Times New Roman" w:cs="Times New Roman"/>
          <w:sz w:val="24"/>
          <w:szCs w:val="24"/>
        </w:rPr>
        <w:t xml:space="preserve">suggestions </w:t>
      </w:r>
      <w:r w:rsidR="005B486E" w:rsidRPr="006C0693">
        <w:rPr>
          <w:rFonts w:ascii="Times New Roman" w:eastAsia="Cambria" w:hAnsi="Times New Roman" w:cs="Times New Roman"/>
          <w:sz w:val="24"/>
          <w:szCs w:val="24"/>
        </w:rPr>
        <w:t xml:space="preserve">and assertions </w:t>
      </w:r>
      <w:r w:rsidR="006C24BB" w:rsidRPr="006C0693">
        <w:rPr>
          <w:rFonts w:ascii="Times New Roman" w:eastAsia="Cambria" w:hAnsi="Times New Roman" w:cs="Times New Roman"/>
          <w:sz w:val="24"/>
          <w:szCs w:val="24"/>
        </w:rPr>
        <w:t xml:space="preserve">in </w:t>
      </w:r>
      <w:r w:rsidR="00E8677C" w:rsidRPr="006C0693">
        <w:rPr>
          <w:rFonts w:ascii="Times New Roman" w:eastAsia="Cambria" w:hAnsi="Times New Roman" w:cs="Times New Roman"/>
          <w:sz w:val="24"/>
          <w:szCs w:val="24"/>
        </w:rPr>
        <w:t>p</w:t>
      </w:r>
      <w:r w:rsidR="006C24BB" w:rsidRPr="006C0693">
        <w:rPr>
          <w:rFonts w:ascii="Times New Roman" w:eastAsia="Cambria" w:hAnsi="Times New Roman" w:cs="Times New Roman"/>
          <w:sz w:val="24"/>
          <w:szCs w:val="24"/>
        </w:rPr>
        <w:t xml:space="preserve">aragraph </w:t>
      </w:r>
      <w:r w:rsidR="005B486E" w:rsidRPr="006C0693">
        <w:rPr>
          <w:rFonts w:ascii="Times New Roman" w:eastAsia="Cambria" w:hAnsi="Times New Roman" w:cs="Times New Roman"/>
          <w:sz w:val="24"/>
          <w:szCs w:val="24"/>
        </w:rPr>
        <w:t xml:space="preserve">67 </w:t>
      </w:r>
      <w:r w:rsidR="00E8677C" w:rsidRPr="006C0693">
        <w:rPr>
          <w:rFonts w:ascii="Times New Roman" w:eastAsia="Cambria" w:hAnsi="Times New Roman" w:cs="Times New Roman"/>
          <w:sz w:val="24"/>
          <w:szCs w:val="24"/>
        </w:rPr>
        <w:t>of the Committee’s draft</w:t>
      </w:r>
      <w:r w:rsidR="005B486E" w:rsidRPr="006C0693">
        <w:rPr>
          <w:rFonts w:ascii="Times New Roman" w:eastAsia="Cambria" w:hAnsi="Times New Roman" w:cs="Times New Roman"/>
          <w:sz w:val="24"/>
          <w:szCs w:val="24"/>
        </w:rPr>
        <w:t>, including</w:t>
      </w:r>
      <w:r w:rsidR="00E8677C" w:rsidRPr="006C0693">
        <w:rPr>
          <w:rFonts w:ascii="Times New Roman" w:eastAsia="Cambria" w:hAnsi="Times New Roman" w:cs="Times New Roman"/>
          <w:sz w:val="24"/>
          <w:szCs w:val="24"/>
        </w:rPr>
        <w:t xml:space="preserve"> </w:t>
      </w:r>
      <w:r w:rsidR="006C24BB" w:rsidRPr="006C0693">
        <w:rPr>
          <w:rFonts w:ascii="Times New Roman" w:eastAsia="Cambria" w:hAnsi="Times New Roman" w:cs="Times New Roman"/>
          <w:sz w:val="24"/>
          <w:szCs w:val="24"/>
        </w:rPr>
        <w:t xml:space="preserve">that States Parties should disclose information </w:t>
      </w:r>
      <w:r w:rsidR="00BB6B5A" w:rsidRPr="006C0693">
        <w:rPr>
          <w:rFonts w:ascii="Times New Roman" w:eastAsia="Cambria" w:hAnsi="Times New Roman" w:cs="Times New Roman"/>
          <w:sz w:val="24"/>
          <w:szCs w:val="24"/>
        </w:rPr>
        <w:t>on</w:t>
      </w:r>
      <w:r w:rsidR="006C24BB" w:rsidRPr="006C0693">
        <w:rPr>
          <w:rFonts w:ascii="Times New Roman" w:eastAsia="Cambria" w:hAnsi="Times New Roman" w:cs="Times New Roman"/>
          <w:sz w:val="24"/>
          <w:szCs w:val="24"/>
        </w:rPr>
        <w:t xml:space="preserve"> the use of weaponry and targeting, the process for identifying military targets</w:t>
      </w:r>
      <w:r w:rsidR="00EB6827" w:rsidRPr="006C0693">
        <w:rPr>
          <w:rFonts w:ascii="Times New Roman" w:eastAsia="Cambria" w:hAnsi="Times New Roman" w:cs="Times New Roman"/>
          <w:sz w:val="24"/>
          <w:szCs w:val="24"/>
        </w:rPr>
        <w:t xml:space="preserve">, </w:t>
      </w:r>
      <w:r w:rsidR="004D3D9C" w:rsidRPr="006C0693">
        <w:rPr>
          <w:rFonts w:ascii="Times New Roman" w:eastAsia="Cambria" w:hAnsi="Times New Roman" w:cs="Times New Roman"/>
          <w:sz w:val="24"/>
          <w:szCs w:val="24"/>
        </w:rPr>
        <w:t xml:space="preserve">the </w:t>
      </w:r>
      <w:r w:rsidR="00BB6B5A" w:rsidRPr="006C0693">
        <w:rPr>
          <w:rFonts w:ascii="Times New Roman" w:eastAsia="Cambria" w:hAnsi="Times New Roman" w:cs="Times New Roman"/>
          <w:sz w:val="24"/>
          <w:szCs w:val="24"/>
        </w:rPr>
        <w:t xml:space="preserve">degree to which it </w:t>
      </w:r>
      <w:r w:rsidR="00EB6827" w:rsidRPr="006C0693">
        <w:rPr>
          <w:rFonts w:ascii="Times New Roman" w:eastAsia="Cambria" w:hAnsi="Times New Roman" w:cs="Times New Roman"/>
          <w:sz w:val="24"/>
          <w:szCs w:val="24"/>
        </w:rPr>
        <w:t>consider</w:t>
      </w:r>
      <w:r w:rsidR="00BB6B5A" w:rsidRPr="006C0693">
        <w:rPr>
          <w:rFonts w:ascii="Times New Roman" w:eastAsia="Cambria" w:hAnsi="Times New Roman" w:cs="Times New Roman"/>
          <w:sz w:val="24"/>
          <w:szCs w:val="24"/>
        </w:rPr>
        <w:t>s</w:t>
      </w:r>
      <w:r w:rsidR="00EB6827" w:rsidRPr="006C0693">
        <w:rPr>
          <w:rFonts w:ascii="Times New Roman" w:eastAsia="Cambria" w:hAnsi="Times New Roman" w:cs="Times New Roman"/>
          <w:sz w:val="24"/>
          <w:szCs w:val="24"/>
        </w:rPr>
        <w:t xml:space="preserve"> non-lethal alternative</w:t>
      </w:r>
      <w:r w:rsidR="00BB6B5A" w:rsidRPr="006C0693">
        <w:rPr>
          <w:rFonts w:ascii="Times New Roman" w:eastAsia="Cambria" w:hAnsi="Times New Roman" w:cs="Times New Roman"/>
          <w:sz w:val="24"/>
          <w:szCs w:val="24"/>
        </w:rPr>
        <w:t>s</w:t>
      </w:r>
      <w:r w:rsidR="00A00BDB" w:rsidRPr="006C0693">
        <w:rPr>
          <w:rFonts w:ascii="Times New Roman" w:eastAsia="Cambria" w:hAnsi="Times New Roman" w:cs="Times New Roman"/>
          <w:sz w:val="24"/>
          <w:szCs w:val="24"/>
        </w:rPr>
        <w:t>,</w:t>
      </w:r>
      <w:r w:rsidR="00BB6B5A" w:rsidRPr="006C0693">
        <w:rPr>
          <w:rFonts w:ascii="Times New Roman" w:eastAsia="Cambria" w:hAnsi="Times New Roman" w:cs="Times New Roman"/>
          <w:sz w:val="24"/>
          <w:szCs w:val="24"/>
        </w:rPr>
        <w:t xml:space="preserve"> and other details concerning the means and methods of warfare</w:t>
      </w:r>
      <w:r w:rsidR="00E8677C" w:rsidRPr="006C0693">
        <w:rPr>
          <w:rFonts w:ascii="Times New Roman" w:eastAsia="Cambria" w:hAnsi="Times New Roman" w:cs="Times New Roman"/>
          <w:sz w:val="24"/>
          <w:szCs w:val="24"/>
        </w:rPr>
        <w:t>.</w:t>
      </w:r>
      <w:r w:rsidR="00BB6B5A" w:rsidRPr="006C0693">
        <w:rPr>
          <w:rFonts w:ascii="Times New Roman" w:eastAsia="Cambria" w:hAnsi="Times New Roman" w:cs="Times New Roman"/>
          <w:sz w:val="24"/>
          <w:szCs w:val="24"/>
        </w:rPr>
        <w:t xml:space="preserve">  </w:t>
      </w:r>
      <w:r w:rsidR="005B486E" w:rsidRPr="006C0693">
        <w:rPr>
          <w:rFonts w:ascii="Times New Roman" w:eastAsia="Cambria" w:hAnsi="Times New Roman" w:cs="Times New Roman"/>
          <w:sz w:val="24"/>
          <w:szCs w:val="24"/>
        </w:rPr>
        <w:t xml:space="preserve">Although </w:t>
      </w:r>
      <w:r w:rsidR="00826FFD" w:rsidRPr="006C0693">
        <w:rPr>
          <w:rFonts w:ascii="Times New Roman" w:eastAsia="Cambria" w:hAnsi="Times New Roman" w:cs="Times New Roman"/>
          <w:sz w:val="24"/>
          <w:szCs w:val="24"/>
        </w:rPr>
        <w:t xml:space="preserve">these </w:t>
      </w:r>
      <w:r w:rsidR="005B486E" w:rsidRPr="006C0693">
        <w:rPr>
          <w:rFonts w:ascii="Times New Roman" w:eastAsia="Cambria" w:hAnsi="Times New Roman" w:cs="Times New Roman"/>
          <w:sz w:val="24"/>
          <w:szCs w:val="24"/>
        </w:rPr>
        <w:t xml:space="preserve">particular </w:t>
      </w:r>
      <w:r w:rsidR="00826FFD" w:rsidRPr="006C0693">
        <w:rPr>
          <w:rFonts w:ascii="Times New Roman" w:eastAsia="Cambria" w:hAnsi="Times New Roman" w:cs="Times New Roman"/>
          <w:sz w:val="24"/>
          <w:szCs w:val="24"/>
        </w:rPr>
        <w:t>disclosure recommendations are framed in advisory terms, the Committee offers no support</w:t>
      </w:r>
      <w:r w:rsidR="005B486E" w:rsidRPr="006C0693">
        <w:rPr>
          <w:rFonts w:ascii="Times New Roman" w:eastAsia="Cambria" w:hAnsi="Times New Roman" w:cs="Times New Roman"/>
          <w:sz w:val="24"/>
          <w:szCs w:val="24"/>
        </w:rPr>
        <w:t xml:space="preserve"> for such suggestions or </w:t>
      </w:r>
      <w:r w:rsidR="00826FFD" w:rsidRPr="006C0693">
        <w:rPr>
          <w:rFonts w:ascii="Times New Roman" w:eastAsia="Cambria" w:hAnsi="Times New Roman" w:cs="Times New Roman"/>
          <w:sz w:val="24"/>
          <w:szCs w:val="24"/>
        </w:rPr>
        <w:t xml:space="preserve">in stating that States Parties </w:t>
      </w:r>
      <w:r w:rsidR="00826FFD" w:rsidRPr="006C0693">
        <w:rPr>
          <w:rFonts w:ascii="Times New Roman" w:hAnsi="Times New Roman" w:cs="Times New Roman"/>
          <w:sz w:val="24"/>
          <w:szCs w:val="24"/>
        </w:rPr>
        <w:t>“must also investigate allegations of violations of article 6 in situations of armed conflict in accordance with the relevant international standards</w:t>
      </w:r>
      <w:r w:rsidR="00EB6827" w:rsidRPr="006C0693">
        <w:rPr>
          <w:rFonts w:ascii="Times New Roman" w:eastAsia="Cambria" w:hAnsi="Times New Roman" w:cs="Times New Roman"/>
          <w:sz w:val="24"/>
          <w:szCs w:val="24"/>
        </w:rPr>
        <w:t>.</w:t>
      </w:r>
      <w:r w:rsidR="00826FFD" w:rsidRPr="006C0693">
        <w:rPr>
          <w:rFonts w:ascii="Times New Roman" w:eastAsia="Cambria" w:hAnsi="Times New Roman" w:cs="Times New Roman"/>
          <w:sz w:val="24"/>
          <w:szCs w:val="24"/>
        </w:rPr>
        <w:t>”</w:t>
      </w:r>
      <w:r w:rsidR="00614CBA" w:rsidRPr="006C0693">
        <w:rPr>
          <w:rStyle w:val="FootnoteReference"/>
          <w:rFonts w:ascii="Times New Roman" w:eastAsia="Cambria" w:hAnsi="Times New Roman" w:cs="Times New Roman"/>
          <w:sz w:val="24"/>
          <w:szCs w:val="24"/>
        </w:rPr>
        <w:footnoteReference w:id="22"/>
      </w:r>
      <w:r w:rsidR="006C24BB" w:rsidRPr="006C0693">
        <w:rPr>
          <w:rFonts w:ascii="Times New Roman" w:eastAsia="Cambria" w:hAnsi="Times New Roman" w:cs="Times New Roman"/>
          <w:sz w:val="24"/>
          <w:szCs w:val="24"/>
        </w:rPr>
        <w:t xml:space="preserve">  </w:t>
      </w:r>
    </w:p>
    <w:p w:rsidR="00851EAB" w:rsidRPr="006C0693" w:rsidRDefault="00F74A8F" w:rsidP="006C0693">
      <w:pPr>
        <w:autoSpaceDE w:val="0"/>
        <w:autoSpaceDN w:val="0"/>
        <w:adjustRightInd w:val="0"/>
        <w:spacing w:before="240" w:after="0"/>
        <w:rPr>
          <w:rFonts w:ascii="Times New Roman" w:eastAsia="Cambria" w:hAnsi="Times New Roman" w:cs="Times New Roman"/>
          <w:sz w:val="24"/>
          <w:szCs w:val="24"/>
        </w:rPr>
      </w:pPr>
      <w:r w:rsidRPr="006C0693">
        <w:rPr>
          <w:rFonts w:ascii="Times New Roman" w:eastAsia="Cambria" w:hAnsi="Times New Roman" w:cs="Times New Roman"/>
          <w:sz w:val="24"/>
          <w:szCs w:val="24"/>
        </w:rPr>
        <w:t>19</w:t>
      </w:r>
      <w:r w:rsidR="00851EAB" w:rsidRPr="006C0693">
        <w:rPr>
          <w:rFonts w:ascii="Times New Roman" w:eastAsia="Cambria" w:hAnsi="Times New Roman" w:cs="Times New Roman"/>
          <w:sz w:val="24"/>
          <w:szCs w:val="24"/>
        </w:rPr>
        <w:t xml:space="preserve">.  The Committee begins paragraph 13 </w:t>
      </w:r>
      <w:r w:rsidR="00707D48" w:rsidRPr="006C0693">
        <w:rPr>
          <w:rFonts w:ascii="Times New Roman" w:eastAsia="Cambria" w:hAnsi="Times New Roman" w:cs="Times New Roman"/>
          <w:sz w:val="24"/>
          <w:szCs w:val="24"/>
        </w:rPr>
        <w:t xml:space="preserve">of its draft </w:t>
      </w:r>
      <w:r w:rsidR="00851EAB" w:rsidRPr="006C0693">
        <w:rPr>
          <w:rFonts w:ascii="Times New Roman" w:eastAsia="Cambria" w:hAnsi="Times New Roman" w:cs="Times New Roman"/>
          <w:sz w:val="24"/>
          <w:szCs w:val="24"/>
        </w:rPr>
        <w:t>with th</w:t>
      </w:r>
      <w:r w:rsidR="009367ED" w:rsidRPr="006C0693">
        <w:rPr>
          <w:rFonts w:ascii="Times New Roman" w:eastAsia="Cambria" w:hAnsi="Times New Roman" w:cs="Times New Roman"/>
          <w:sz w:val="24"/>
          <w:szCs w:val="24"/>
        </w:rPr>
        <w:t>is</w:t>
      </w:r>
      <w:r w:rsidR="00851EAB" w:rsidRPr="006C0693">
        <w:rPr>
          <w:rFonts w:ascii="Times New Roman" w:eastAsia="Cambria" w:hAnsi="Times New Roman" w:cs="Times New Roman"/>
          <w:sz w:val="24"/>
          <w:szCs w:val="24"/>
        </w:rPr>
        <w:t xml:space="preserve"> unsupported statement:  “</w:t>
      </w:r>
      <w:r w:rsidR="00851EAB" w:rsidRPr="006C0693">
        <w:rPr>
          <w:rFonts w:ascii="Times New Roman" w:hAnsi="Times New Roman" w:cs="Times New Roman"/>
          <w:sz w:val="24"/>
          <w:szCs w:val="24"/>
        </w:rPr>
        <w:t xml:space="preserve">The [threat] or use of weapons of mass destruction, in particular nuclear weapons, which are indiscriminate in effect and can destroy human life on a catastrophic scale, is incompatible with respect for the right to life and may amount to a crime under international law.”  </w:t>
      </w:r>
      <w:r w:rsidR="00851EAB" w:rsidRPr="006C0693">
        <w:rPr>
          <w:rFonts w:ascii="Times New Roman" w:eastAsia="Cambria" w:hAnsi="Times New Roman" w:cs="Times New Roman"/>
          <w:sz w:val="24"/>
          <w:szCs w:val="24"/>
        </w:rPr>
        <w:t>As an initial note, the International Court of Justice (ICJ) acknowledged in its advisory opinion on the Legality of the Threat or Use of Nuclear Weapons that “[</w:t>
      </w:r>
      <w:r w:rsidR="00851EAB" w:rsidRPr="006C0693">
        <w:rPr>
          <w:rFonts w:ascii="Times New Roman" w:hAnsi="Times New Roman" w:cs="Times New Roman"/>
          <w:sz w:val="24"/>
          <w:szCs w:val="24"/>
        </w:rPr>
        <w:t>t]here is in neither customary nor conventional international law any comprehensive and universal prohibition of the threat or use”</w:t>
      </w:r>
      <w:r w:rsidR="00707D48" w:rsidRPr="006C0693">
        <w:rPr>
          <w:rFonts w:ascii="Times New Roman" w:hAnsi="Times New Roman" w:cs="Times New Roman"/>
          <w:sz w:val="24"/>
          <w:szCs w:val="24"/>
        </w:rPr>
        <w:t xml:space="preserve"> of nuclear weapons as such.”</w:t>
      </w:r>
      <w:r w:rsidR="00A00BDB" w:rsidRPr="006C0693">
        <w:rPr>
          <w:rStyle w:val="FootnoteReference"/>
          <w:rFonts w:ascii="Times New Roman" w:hAnsi="Times New Roman" w:cs="Times New Roman"/>
          <w:sz w:val="24"/>
          <w:szCs w:val="24"/>
        </w:rPr>
        <w:footnoteReference w:id="23"/>
      </w:r>
      <w:r w:rsidR="00707D48" w:rsidRPr="006C0693">
        <w:rPr>
          <w:rFonts w:ascii="Times New Roman" w:hAnsi="Times New Roman" w:cs="Times New Roman"/>
          <w:sz w:val="24"/>
          <w:szCs w:val="24"/>
        </w:rPr>
        <w:t xml:space="preserve"> </w:t>
      </w:r>
      <w:r w:rsidR="00993DCF">
        <w:rPr>
          <w:rFonts w:ascii="Times New Roman" w:hAnsi="Times New Roman" w:cs="Times New Roman"/>
          <w:sz w:val="24"/>
          <w:szCs w:val="24"/>
        </w:rPr>
        <w:t xml:space="preserve"> </w:t>
      </w:r>
      <w:r w:rsidR="00851EAB" w:rsidRPr="006C0693">
        <w:rPr>
          <w:rFonts w:ascii="Times New Roman" w:eastAsia="Cambria" w:hAnsi="Times New Roman" w:cs="Times New Roman"/>
          <w:sz w:val="24"/>
          <w:szCs w:val="24"/>
        </w:rPr>
        <w:t>The Committee provides no legal support for its speculation</w:t>
      </w:r>
      <w:r w:rsidR="009367ED" w:rsidRPr="006C0693">
        <w:rPr>
          <w:rFonts w:ascii="Times New Roman" w:eastAsia="Cambria" w:hAnsi="Times New Roman" w:cs="Times New Roman"/>
          <w:sz w:val="24"/>
          <w:szCs w:val="24"/>
        </w:rPr>
        <w:t>;</w:t>
      </w:r>
      <w:r w:rsidR="00851EAB" w:rsidRPr="006C0693">
        <w:rPr>
          <w:rFonts w:ascii="Times New Roman" w:eastAsia="Cambria" w:hAnsi="Times New Roman" w:cs="Times New Roman"/>
          <w:sz w:val="24"/>
          <w:szCs w:val="24"/>
        </w:rPr>
        <w:t xml:space="preserve"> to the contrary</w:t>
      </w:r>
      <w:r w:rsidR="00E24DB9" w:rsidRPr="006C0693">
        <w:rPr>
          <w:rFonts w:ascii="Times New Roman" w:eastAsia="Cambria" w:hAnsi="Times New Roman" w:cs="Times New Roman"/>
          <w:sz w:val="24"/>
          <w:szCs w:val="24"/>
        </w:rPr>
        <w:t>, and</w:t>
      </w:r>
      <w:r w:rsidR="00E237F2" w:rsidRPr="006C0693">
        <w:rPr>
          <w:rFonts w:ascii="Times New Roman" w:eastAsia="Cambria" w:hAnsi="Times New Roman" w:cs="Times New Roman"/>
          <w:sz w:val="24"/>
          <w:szCs w:val="24"/>
        </w:rPr>
        <w:t xml:space="preserve"> </w:t>
      </w:r>
      <w:r w:rsidR="00E24DB9" w:rsidRPr="006C0693">
        <w:rPr>
          <w:rFonts w:ascii="Times New Roman" w:eastAsia="Cambria" w:hAnsi="Times New Roman" w:cs="Times New Roman"/>
          <w:sz w:val="24"/>
          <w:szCs w:val="24"/>
        </w:rPr>
        <w:t>m</w:t>
      </w:r>
      <w:r w:rsidR="00851EAB" w:rsidRPr="006C0693">
        <w:rPr>
          <w:rFonts w:ascii="Times New Roman" w:eastAsia="Cambria" w:hAnsi="Times New Roman" w:cs="Times New Roman"/>
          <w:sz w:val="24"/>
          <w:szCs w:val="24"/>
        </w:rPr>
        <w:t>ore</w:t>
      </w:r>
      <w:r w:rsidR="00707D48" w:rsidRPr="006C0693">
        <w:rPr>
          <w:rFonts w:ascii="Times New Roman" w:eastAsia="Cambria" w:hAnsi="Times New Roman" w:cs="Times New Roman"/>
          <w:sz w:val="24"/>
          <w:szCs w:val="24"/>
        </w:rPr>
        <w:t>over, these views go far</w:t>
      </w:r>
      <w:r w:rsidR="00851EAB" w:rsidRPr="006C0693">
        <w:rPr>
          <w:rFonts w:ascii="Times New Roman" w:eastAsia="Cambria" w:hAnsi="Times New Roman" w:cs="Times New Roman"/>
          <w:sz w:val="24"/>
          <w:szCs w:val="24"/>
        </w:rPr>
        <w:t xml:space="preserve"> beyond the </w:t>
      </w:r>
      <w:r w:rsidR="00E24DB9" w:rsidRPr="006C0693">
        <w:rPr>
          <w:rFonts w:ascii="Times New Roman" w:eastAsia="Cambria" w:hAnsi="Times New Roman" w:cs="Times New Roman"/>
          <w:sz w:val="24"/>
          <w:szCs w:val="24"/>
        </w:rPr>
        <w:t xml:space="preserve">Committee’s </w:t>
      </w:r>
      <w:r w:rsidR="00707D48" w:rsidRPr="006C0693">
        <w:rPr>
          <w:rFonts w:ascii="Times New Roman" w:eastAsia="Cambria" w:hAnsi="Times New Roman" w:cs="Times New Roman"/>
          <w:sz w:val="24"/>
          <w:szCs w:val="24"/>
        </w:rPr>
        <w:t>mandate under</w:t>
      </w:r>
      <w:r w:rsidR="00851EAB" w:rsidRPr="006C0693">
        <w:rPr>
          <w:rFonts w:ascii="Times New Roman" w:eastAsia="Cambria" w:hAnsi="Times New Roman" w:cs="Times New Roman"/>
          <w:sz w:val="24"/>
          <w:szCs w:val="24"/>
        </w:rPr>
        <w:t xml:space="preserve"> the ICCPR.  The questions regarding legality of the threat or use of nuclear weapons or other weapons of mass destruction pertain to the conduct of hostilities</w:t>
      </w:r>
      <w:r w:rsidR="005B486E" w:rsidRPr="006C0693">
        <w:rPr>
          <w:rFonts w:ascii="Times New Roman" w:eastAsia="Cambria" w:hAnsi="Times New Roman" w:cs="Times New Roman"/>
          <w:sz w:val="24"/>
          <w:szCs w:val="24"/>
        </w:rPr>
        <w:t xml:space="preserve"> and the protection of war victims</w:t>
      </w:r>
      <w:r w:rsidR="00851EAB" w:rsidRPr="006C0693">
        <w:rPr>
          <w:rFonts w:ascii="Times New Roman" w:eastAsia="Cambria" w:hAnsi="Times New Roman" w:cs="Times New Roman"/>
          <w:sz w:val="24"/>
          <w:szCs w:val="24"/>
        </w:rPr>
        <w:t xml:space="preserve"> in an armed conflict and are therefore governed by IHL, as the ICJ indicated in that same advisory opinion (“</w:t>
      </w:r>
      <w:r w:rsidR="00A00BDB" w:rsidRPr="006C0693">
        <w:rPr>
          <w:rFonts w:ascii="Times New Roman" w:eastAsia="Cambria" w:hAnsi="Times New Roman" w:cs="Times New Roman"/>
          <w:sz w:val="24"/>
          <w:szCs w:val="24"/>
        </w:rPr>
        <w:t>W</w:t>
      </w:r>
      <w:r w:rsidR="00851EAB" w:rsidRPr="006C0693">
        <w:rPr>
          <w:rFonts w:ascii="Times New Roman" w:eastAsia="Cambria" w:hAnsi="Times New Roman" w:cs="Times New Roman"/>
          <w:sz w:val="24"/>
          <w:szCs w:val="24"/>
        </w:rPr>
        <w:t>hether a particular loss of life, through the use of a certain weapon in warfare, is to be considered an arbitrary deprivation of life contrary to Article 6 of the Covenant, can only be decided by reference to the law applicable in armed conflict and not deduced from the terms of the Covenant itself”).</w:t>
      </w:r>
      <w:r w:rsidR="00A00BDB" w:rsidRPr="006C0693">
        <w:rPr>
          <w:rStyle w:val="FootnoteReference"/>
          <w:rFonts w:ascii="Times New Roman" w:eastAsia="Cambria" w:hAnsi="Times New Roman" w:cs="Times New Roman"/>
          <w:sz w:val="24"/>
          <w:szCs w:val="24"/>
        </w:rPr>
        <w:footnoteReference w:id="24"/>
      </w:r>
      <w:r w:rsidR="00851EAB" w:rsidRPr="006C0693">
        <w:rPr>
          <w:rFonts w:ascii="Times New Roman" w:eastAsia="Cambria" w:hAnsi="Times New Roman" w:cs="Times New Roman"/>
          <w:sz w:val="24"/>
          <w:szCs w:val="24"/>
        </w:rPr>
        <w:t xml:space="preserve">  The Committee should not seek to opine on </w:t>
      </w:r>
      <w:r w:rsidR="005B486E" w:rsidRPr="006C0693">
        <w:rPr>
          <w:rFonts w:ascii="Times New Roman" w:eastAsia="Cambria" w:hAnsi="Times New Roman" w:cs="Times New Roman"/>
          <w:sz w:val="24"/>
          <w:szCs w:val="24"/>
        </w:rPr>
        <w:t xml:space="preserve">issues related to </w:t>
      </w:r>
      <w:r w:rsidR="00851EAB" w:rsidRPr="006C0693">
        <w:rPr>
          <w:rFonts w:ascii="Times New Roman" w:eastAsia="Cambria" w:hAnsi="Times New Roman" w:cs="Times New Roman"/>
          <w:sz w:val="24"/>
          <w:szCs w:val="24"/>
        </w:rPr>
        <w:t xml:space="preserve">IHL with respect to </w:t>
      </w:r>
      <w:r w:rsidR="005B486E" w:rsidRPr="006C0693">
        <w:rPr>
          <w:rFonts w:ascii="Times New Roman" w:eastAsia="Cambria" w:hAnsi="Times New Roman" w:cs="Times New Roman"/>
          <w:sz w:val="24"/>
          <w:szCs w:val="24"/>
        </w:rPr>
        <w:t xml:space="preserve">the study, development, acquisition, adoption, or use of </w:t>
      </w:r>
      <w:r w:rsidR="00851EAB" w:rsidRPr="006C0693">
        <w:rPr>
          <w:rFonts w:ascii="Times New Roman" w:eastAsia="Cambria" w:hAnsi="Times New Roman" w:cs="Times New Roman"/>
          <w:sz w:val="24"/>
          <w:szCs w:val="24"/>
        </w:rPr>
        <w:t xml:space="preserve">various types of </w:t>
      </w:r>
      <w:r w:rsidR="00851EAB" w:rsidRPr="006C0693">
        <w:rPr>
          <w:rFonts w:ascii="Times New Roman" w:eastAsia="Cambria" w:hAnsi="Times New Roman" w:cs="Times New Roman"/>
          <w:sz w:val="24"/>
          <w:szCs w:val="24"/>
        </w:rPr>
        <w:lastRenderedPageBreak/>
        <w:t xml:space="preserve">weapons, </w:t>
      </w:r>
      <w:r w:rsidR="005B486E" w:rsidRPr="006C0693">
        <w:rPr>
          <w:rFonts w:ascii="Times New Roman" w:eastAsia="Cambria" w:hAnsi="Times New Roman" w:cs="Times New Roman"/>
          <w:sz w:val="24"/>
          <w:szCs w:val="24"/>
        </w:rPr>
        <w:t xml:space="preserve">including non-lethal weapons, </w:t>
      </w:r>
      <w:r w:rsidR="00851EAB" w:rsidRPr="006C0693">
        <w:rPr>
          <w:rFonts w:ascii="Times New Roman" w:eastAsia="Cambria" w:hAnsi="Times New Roman" w:cs="Times New Roman"/>
          <w:sz w:val="24"/>
          <w:szCs w:val="24"/>
        </w:rPr>
        <w:t xml:space="preserve">nor on the nature of obligations of parties to treaties </w:t>
      </w:r>
      <w:r w:rsidR="005B486E" w:rsidRPr="006C0693">
        <w:rPr>
          <w:rFonts w:ascii="Times New Roman" w:eastAsia="Cambria" w:hAnsi="Times New Roman" w:cs="Times New Roman"/>
          <w:sz w:val="24"/>
          <w:szCs w:val="24"/>
        </w:rPr>
        <w:t xml:space="preserve">other than the ICCPR, </w:t>
      </w:r>
      <w:r w:rsidR="00851EAB" w:rsidRPr="006C0693">
        <w:rPr>
          <w:rFonts w:ascii="Times New Roman" w:eastAsia="Cambria" w:hAnsi="Times New Roman" w:cs="Times New Roman"/>
          <w:sz w:val="24"/>
          <w:szCs w:val="24"/>
        </w:rPr>
        <w:t>such as the Treaty on the Non-</w:t>
      </w:r>
      <w:r w:rsidR="005B486E" w:rsidRPr="006C0693">
        <w:rPr>
          <w:rFonts w:ascii="Times New Roman" w:eastAsia="Cambria" w:hAnsi="Times New Roman" w:cs="Times New Roman"/>
          <w:sz w:val="24"/>
          <w:szCs w:val="24"/>
        </w:rPr>
        <w:t>P</w:t>
      </w:r>
      <w:r w:rsidR="00851EAB" w:rsidRPr="006C0693">
        <w:rPr>
          <w:rFonts w:ascii="Times New Roman" w:eastAsia="Cambria" w:hAnsi="Times New Roman" w:cs="Times New Roman"/>
          <w:sz w:val="24"/>
          <w:szCs w:val="24"/>
        </w:rPr>
        <w:t xml:space="preserve">roliferation of Nuclear Weapons.  </w:t>
      </w:r>
    </w:p>
    <w:p w:rsidR="00720B5C" w:rsidRPr="006C0693" w:rsidRDefault="00F74A8F" w:rsidP="006C0693">
      <w:pPr>
        <w:spacing w:before="240"/>
        <w:rPr>
          <w:rFonts w:ascii="Times New Roman" w:hAnsi="Times New Roman" w:cs="Times New Roman"/>
          <w:sz w:val="24"/>
          <w:szCs w:val="24"/>
        </w:rPr>
      </w:pPr>
      <w:r w:rsidRPr="006C0693">
        <w:rPr>
          <w:rFonts w:ascii="Times New Roman" w:hAnsi="Times New Roman" w:cs="Times New Roman"/>
          <w:sz w:val="24"/>
          <w:szCs w:val="24"/>
        </w:rPr>
        <w:t xml:space="preserve">20. </w:t>
      </w:r>
      <w:r w:rsidR="00EB02F4" w:rsidRPr="006C0693">
        <w:rPr>
          <w:rFonts w:ascii="Times New Roman" w:hAnsi="Times New Roman" w:cs="Times New Roman"/>
          <w:sz w:val="24"/>
          <w:szCs w:val="24"/>
        </w:rPr>
        <w:t xml:space="preserve"> </w:t>
      </w:r>
      <w:r w:rsidR="00C23A9F" w:rsidRPr="006C0693">
        <w:rPr>
          <w:rFonts w:ascii="Times New Roman" w:hAnsi="Times New Roman" w:cs="Times New Roman"/>
          <w:sz w:val="24"/>
          <w:szCs w:val="24"/>
        </w:rPr>
        <w:t>In paragraph 71</w:t>
      </w:r>
      <w:r w:rsidR="00A00BDB" w:rsidRPr="006C0693">
        <w:rPr>
          <w:rFonts w:ascii="Times New Roman" w:hAnsi="Times New Roman" w:cs="Times New Roman"/>
          <w:sz w:val="24"/>
          <w:szCs w:val="24"/>
        </w:rPr>
        <w:t>,</w:t>
      </w:r>
      <w:r w:rsidR="00C23A9F" w:rsidRPr="006C0693">
        <w:rPr>
          <w:rFonts w:ascii="Times New Roman" w:hAnsi="Times New Roman" w:cs="Times New Roman"/>
          <w:sz w:val="24"/>
          <w:szCs w:val="24"/>
        </w:rPr>
        <w:t xml:space="preserve"> the Committee asserts:  “States parties engaged in acts of aggression contrary to the United Nations Charter violate ipso facto article 6 of the Covenant. </w:t>
      </w:r>
      <w:r w:rsidR="00167265" w:rsidRPr="006C0693">
        <w:rPr>
          <w:rFonts w:ascii="Times New Roman" w:hAnsi="Times New Roman" w:cs="Times New Roman"/>
          <w:sz w:val="24"/>
          <w:szCs w:val="24"/>
        </w:rPr>
        <w:t xml:space="preserve"> </w:t>
      </w:r>
      <w:r w:rsidR="00C23A9F" w:rsidRPr="006C0693">
        <w:rPr>
          <w:rFonts w:ascii="Times New Roman" w:hAnsi="Times New Roman" w:cs="Times New Roman"/>
          <w:sz w:val="24"/>
          <w:szCs w:val="24"/>
        </w:rPr>
        <w:t>Moreover, States parties that fail to take all reasonable measures to settle their international disputes by peaceful means so as to avoid resort to the use of force do not comply in full with their positive obligation to ensure the right to life.”</w:t>
      </w:r>
      <w:r w:rsidR="00EB02F4" w:rsidRPr="006C0693">
        <w:rPr>
          <w:rFonts w:ascii="Times New Roman" w:hAnsi="Times New Roman" w:cs="Times New Roman"/>
          <w:sz w:val="24"/>
          <w:szCs w:val="24"/>
        </w:rPr>
        <w:t xml:space="preserve">  </w:t>
      </w:r>
      <w:r w:rsidR="00440272" w:rsidRPr="006C0693">
        <w:rPr>
          <w:rFonts w:ascii="Times New Roman" w:hAnsi="Times New Roman" w:cs="Times New Roman"/>
          <w:sz w:val="24"/>
          <w:szCs w:val="24"/>
        </w:rPr>
        <w:t>W</w:t>
      </w:r>
      <w:r w:rsidR="001165D7" w:rsidRPr="006C0693">
        <w:rPr>
          <w:rFonts w:ascii="Times New Roman" w:hAnsi="Times New Roman" w:cs="Times New Roman"/>
          <w:sz w:val="24"/>
          <w:szCs w:val="24"/>
        </w:rPr>
        <w:t>e disagree</w:t>
      </w:r>
      <w:r w:rsidR="00363AC1" w:rsidRPr="006C0693">
        <w:rPr>
          <w:rFonts w:ascii="Times New Roman" w:hAnsi="Times New Roman" w:cs="Times New Roman"/>
          <w:sz w:val="24"/>
          <w:szCs w:val="24"/>
        </w:rPr>
        <w:t xml:space="preserve">. </w:t>
      </w:r>
      <w:r w:rsidR="00993DCF">
        <w:rPr>
          <w:rFonts w:ascii="Times New Roman" w:hAnsi="Times New Roman" w:cs="Times New Roman"/>
          <w:sz w:val="24"/>
          <w:szCs w:val="24"/>
        </w:rPr>
        <w:t xml:space="preserve"> </w:t>
      </w:r>
      <w:r w:rsidR="00363AC1" w:rsidRPr="006C0693">
        <w:rPr>
          <w:rFonts w:ascii="Times New Roman" w:hAnsi="Times New Roman" w:cs="Times New Roman"/>
          <w:sz w:val="24"/>
          <w:szCs w:val="24"/>
        </w:rPr>
        <w:t>First,</w:t>
      </w:r>
      <w:r w:rsidR="00A00BDB" w:rsidRPr="006C0693">
        <w:rPr>
          <w:rFonts w:ascii="Times New Roman" w:hAnsi="Times New Roman" w:cs="Times New Roman"/>
          <w:sz w:val="24"/>
          <w:szCs w:val="24"/>
        </w:rPr>
        <w:t xml:space="preserve"> </w:t>
      </w:r>
      <w:r w:rsidR="005B486E" w:rsidRPr="006C0693">
        <w:rPr>
          <w:rFonts w:ascii="Times New Roman" w:hAnsi="Times New Roman" w:cs="Times New Roman"/>
          <w:sz w:val="24"/>
          <w:szCs w:val="24"/>
        </w:rPr>
        <w:t>we do not believe that the right to life in Article 6 creates obligations with respect to any death that would in some way be caused by any violation of international law.  As we noted in our comment on the international environmental law, Article 6 must not be understood automatically</w:t>
      </w:r>
      <w:r w:rsidR="00EE17D7" w:rsidRPr="006C0693">
        <w:rPr>
          <w:rFonts w:ascii="Times New Roman" w:hAnsi="Times New Roman" w:cs="Times New Roman"/>
          <w:sz w:val="24"/>
          <w:szCs w:val="24"/>
        </w:rPr>
        <w:t xml:space="preserve"> to</w:t>
      </w:r>
      <w:r w:rsidR="005B486E" w:rsidRPr="006C0693">
        <w:rPr>
          <w:rFonts w:ascii="Times New Roman" w:hAnsi="Times New Roman" w:cs="Times New Roman"/>
          <w:sz w:val="24"/>
          <w:szCs w:val="24"/>
        </w:rPr>
        <w:t xml:space="preserve"> “reinforce” other bodies of international law.  Moreover</w:t>
      </w:r>
      <w:r w:rsidR="00EE17D7" w:rsidRPr="006C0693">
        <w:rPr>
          <w:rFonts w:ascii="Times New Roman" w:hAnsi="Times New Roman" w:cs="Times New Roman"/>
          <w:sz w:val="24"/>
          <w:szCs w:val="24"/>
        </w:rPr>
        <w:t xml:space="preserve">, </w:t>
      </w:r>
      <w:r w:rsidR="00363AC1" w:rsidRPr="006C0693">
        <w:rPr>
          <w:rFonts w:ascii="Times New Roman" w:hAnsi="Times New Roman" w:cs="Times New Roman"/>
          <w:sz w:val="24"/>
          <w:szCs w:val="24"/>
        </w:rPr>
        <w:t xml:space="preserve">as noted above, </w:t>
      </w:r>
      <w:r w:rsidR="00C23A9F" w:rsidRPr="006C0693">
        <w:rPr>
          <w:rFonts w:ascii="Times New Roman" w:hAnsi="Times New Roman" w:cs="Times New Roman"/>
          <w:sz w:val="24"/>
          <w:szCs w:val="24"/>
        </w:rPr>
        <w:t xml:space="preserve">the </w:t>
      </w:r>
      <w:r w:rsidR="001165D7" w:rsidRPr="006C0693">
        <w:rPr>
          <w:rFonts w:ascii="Times New Roman" w:hAnsi="Times New Roman" w:cs="Times New Roman"/>
          <w:sz w:val="24"/>
          <w:szCs w:val="24"/>
        </w:rPr>
        <w:t xml:space="preserve">obligation under the ICCPR </w:t>
      </w:r>
      <w:r w:rsidR="00363AC1" w:rsidRPr="006C0693">
        <w:rPr>
          <w:rFonts w:ascii="Times New Roman" w:hAnsi="Times New Roman" w:cs="Times New Roman"/>
          <w:sz w:val="24"/>
          <w:szCs w:val="24"/>
        </w:rPr>
        <w:t>is</w:t>
      </w:r>
      <w:r w:rsidR="00C23A9F" w:rsidRPr="006C0693">
        <w:rPr>
          <w:rFonts w:ascii="Times New Roman" w:hAnsi="Times New Roman" w:cs="Times New Roman"/>
          <w:sz w:val="24"/>
          <w:szCs w:val="24"/>
        </w:rPr>
        <w:t xml:space="preserve"> </w:t>
      </w:r>
      <w:r w:rsidR="001165D7" w:rsidRPr="006C0693">
        <w:rPr>
          <w:rFonts w:ascii="Times New Roman" w:hAnsi="Times New Roman" w:cs="Times New Roman"/>
          <w:sz w:val="24"/>
          <w:szCs w:val="24"/>
        </w:rPr>
        <w:t xml:space="preserve">to respect and ensure the right to life to individuals within </w:t>
      </w:r>
      <w:r w:rsidR="00D75C9A" w:rsidRPr="006C0693">
        <w:rPr>
          <w:rFonts w:ascii="Times New Roman" w:hAnsi="Times New Roman" w:cs="Times New Roman"/>
          <w:sz w:val="24"/>
          <w:szCs w:val="24"/>
        </w:rPr>
        <w:t>a State Party’s</w:t>
      </w:r>
      <w:r w:rsidR="001165D7" w:rsidRPr="006C0693">
        <w:rPr>
          <w:rFonts w:ascii="Times New Roman" w:hAnsi="Times New Roman" w:cs="Times New Roman"/>
          <w:sz w:val="24"/>
          <w:szCs w:val="24"/>
        </w:rPr>
        <w:t xml:space="preserve"> territory and subject to </w:t>
      </w:r>
      <w:r w:rsidR="00D75C9A" w:rsidRPr="006C0693">
        <w:rPr>
          <w:rFonts w:ascii="Times New Roman" w:hAnsi="Times New Roman" w:cs="Times New Roman"/>
          <w:sz w:val="24"/>
          <w:szCs w:val="24"/>
        </w:rPr>
        <w:t>its</w:t>
      </w:r>
      <w:r w:rsidR="001165D7" w:rsidRPr="006C0693">
        <w:rPr>
          <w:rFonts w:ascii="Times New Roman" w:hAnsi="Times New Roman" w:cs="Times New Roman"/>
          <w:sz w:val="24"/>
          <w:szCs w:val="24"/>
        </w:rPr>
        <w:t xml:space="preserve"> jurisdiction</w:t>
      </w:r>
      <w:r w:rsidR="00D75C9A" w:rsidRPr="006C0693">
        <w:rPr>
          <w:rFonts w:ascii="Times New Roman" w:hAnsi="Times New Roman" w:cs="Times New Roman"/>
          <w:sz w:val="24"/>
          <w:szCs w:val="24"/>
        </w:rPr>
        <w:t>.</w:t>
      </w:r>
      <w:r w:rsidR="001165D7" w:rsidRPr="006C0693">
        <w:rPr>
          <w:rFonts w:ascii="Times New Roman" w:hAnsi="Times New Roman" w:cs="Times New Roman"/>
          <w:sz w:val="24"/>
          <w:szCs w:val="24"/>
        </w:rPr>
        <w:t xml:space="preserve">  </w:t>
      </w:r>
      <w:r w:rsidR="00C23A9F" w:rsidRPr="006C0693">
        <w:rPr>
          <w:rFonts w:ascii="Times New Roman" w:hAnsi="Times New Roman" w:cs="Times New Roman"/>
          <w:sz w:val="24"/>
          <w:szCs w:val="24"/>
        </w:rPr>
        <w:t>Also, a</w:t>
      </w:r>
      <w:r w:rsidR="001165D7" w:rsidRPr="006C0693">
        <w:rPr>
          <w:rFonts w:ascii="Times New Roman" w:hAnsi="Times New Roman" w:cs="Times New Roman"/>
          <w:sz w:val="24"/>
          <w:szCs w:val="24"/>
        </w:rPr>
        <w:t xml:space="preserve">s noted above, </w:t>
      </w:r>
      <w:r w:rsidR="0031567F" w:rsidRPr="006C0693">
        <w:rPr>
          <w:rFonts w:ascii="Times New Roman" w:hAnsi="Times New Roman" w:cs="Times New Roman"/>
          <w:sz w:val="24"/>
          <w:szCs w:val="24"/>
        </w:rPr>
        <w:t xml:space="preserve">in addition to </w:t>
      </w:r>
      <w:r w:rsidR="001165D7" w:rsidRPr="006C0693">
        <w:rPr>
          <w:rFonts w:ascii="Times New Roman" w:hAnsi="Times New Roman" w:cs="Times New Roman"/>
          <w:sz w:val="24"/>
          <w:szCs w:val="24"/>
        </w:rPr>
        <w:t xml:space="preserve">the law of armed conflict </w:t>
      </w:r>
      <w:r w:rsidR="0031567F" w:rsidRPr="006C0693">
        <w:rPr>
          <w:rFonts w:ascii="Times New Roman" w:hAnsi="Times New Roman" w:cs="Times New Roman"/>
          <w:sz w:val="24"/>
          <w:szCs w:val="24"/>
        </w:rPr>
        <w:t xml:space="preserve">being </w:t>
      </w:r>
      <w:r w:rsidR="001165D7" w:rsidRPr="006C0693">
        <w:rPr>
          <w:rFonts w:ascii="Times New Roman" w:hAnsi="Times New Roman" w:cs="Times New Roman"/>
          <w:sz w:val="24"/>
          <w:szCs w:val="24"/>
        </w:rPr>
        <w:t xml:space="preserve">the </w:t>
      </w:r>
      <w:r w:rsidR="001165D7" w:rsidRPr="006C0693">
        <w:rPr>
          <w:rFonts w:ascii="Times New Roman" w:hAnsi="Times New Roman" w:cs="Times New Roman"/>
          <w:i/>
          <w:sz w:val="24"/>
          <w:szCs w:val="24"/>
        </w:rPr>
        <w:t>lex specialis</w:t>
      </w:r>
      <w:r w:rsidR="001165D7" w:rsidRPr="006C0693">
        <w:rPr>
          <w:rFonts w:ascii="Times New Roman" w:hAnsi="Times New Roman" w:cs="Times New Roman"/>
          <w:sz w:val="24"/>
          <w:szCs w:val="24"/>
        </w:rPr>
        <w:t xml:space="preserve"> governing the conduct of hostilities </w:t>
      </w:r>
      <w:r w:rsidR="0031567F" w:rsidRPr="006C0693">
        <w:rPr>
          <w:rFonts w:ascii="Times New Roman" w:hAnsi="Times New Roman" w:cs="Times New Roman"/>
          <w:sz w:val="24"/>
          <w:szCs w:val="24"/>
        </w:rPr>
        <w:t xml:space="preserve">and the protection of war victims </w:t>
      </w:r>
      <w:r w:rsidR="001165D7" w:rsidRPr="006C0693">
        <w:rPr>
          <w:rFonts w:ascii="Times New Roman" w:hAnsi="Times New Roman" w:cs="Times New Roman"/>
          <w:sz w:val="24"/>
          <w:szCs w:val="24"/>
        </w:rPr>
        <w:t>in armed conflict</w:t>
      </w:r>
      <w:r w:rsidR="0031567F" w:rsidRPr="006C0693">
        <w:rPr>
          <w:rFonts w:ascii="Times New Roman" w:hAnsi="Times New Roman" w:cs="Times New Roman"/>
          <w:sz w:val="24"/>
          <w:szCs w:val="24"/>
        </w:rPr>
        <w:t xml:space="preserve">, the law of armed conflict is also the </w:t>
      </w:r>
      <w:r w:rsidR="0031567F" w:rsidRPr="006C0693">
        <w:rPr>
          <w:rFonts w:ascii="Times New Roman" w:hAnsi="Times New Roman" w:cs="Times New Roman"/>
          <w:i/>
          <w:sz w:val="24"/>
          <w:szCs w:val="24"/>
        </w:rPr>
        <w:t>lex specialis</w:t>
      </w:r>
      <w:r w:rsidR="0031567F" w:rsidRPr="006C0693">
        <w:rPr>
          <w:rFonts w:ascii="Times New Roman" w:hAnsi="Times New Roman" w:cs="Times New Roman"/>
          <w:sz w:val="24"/>
          <w:szCs w:val="24"/>
        </w:rPr>
        <w:t xml:space="preserve"> of the law concerning the resort to force.  This part of the law of armed conflict is often referred to as the </w:t>
      </w:r>
      <w:r w:rsidR="0031567F" w:rsidRPr="006C0693">
        <w:rPr>
          <w:rFonts w:ascii="Times New Roman" w:hAnsi="Times New Roman" w:cs="Times New Roman"/>
          <w:i/>
          <w:sz w:val="24"/>
          <w:szCs w:val="24"/>
        </w:rPr>
        <w:t>jus ad bellum</w:t>
      </w:r>
      <w:r w:rsidR="0031567F" w:rsidRPr="006C0693">
        <w:rPr>
          <w:rFonts w:ascii="Times New Roman" w:hAnsi="Times New Roman" w:cs="Times New Roman"/>
          <w:sz w:val="24"/>
          <w:szCs w:val="24"/>
        </w:rPr>
        <w:t>.</w:t>
      </w:r>
      <w:r w:rsidR="001165D7" w:rsidRPr="006C0693">
        <w:rPr>
          <w:rFonts w:ascii="Times New Roman" w:hAnsi="Times New Roman" w:cs="Times New Roman"/>
          <w:sz w:val="24"/>
          <w:szCs w:val="24"/>
        </w:rPr>
        <w:t xml:space="preserve">  Moreover, a determination that a State has committed an act of aggression is one that, under the U</w:t>
      </w:r>
      <w:r w:rsidR="00A00BDB" w:rsidRPr="006C0693">
        <w:rPr>
          <w:rFonts w:ascii="Times New Roman" w:hAnsi="Times New Roman" w:cs="Times New Roman"/>
          <w:sz w:val="24"/>
          <w:szCs w:val="24"/>
        </w:rPr>
        <w:t>.</w:t>
      </w:r>
      <w:r w:rsidR="001165D7" w:rsidRPr="006C0693">
        <w:rPr>
          <w:rFonts w:ascii="Times New Roman" w:hAnsi="Times New Roman" w:cs="Times New Roman"/>
          <w:sz w:val="24"/>
          <w:szCs w:val="24"/>
        </w:rPr>
        <w:t>N</w:t>
      </w:r>
      <w:r w:rsidR="00A00BDB" w:rsidRPr="006C0693">
        <w:rPr>
          <w:rFonts w:ascii="Times New Roman" w:hAnsi="Times New Roman" w:cs="Times New Roman"/>
          <w:sz w:val="24"/>
          <w:szCs w:val="24"/>
        </w:rPr>
        <w:t>.</w:t>
      </w:r>
      <w:r w:rsidR="001165D7" w:rsidRPr="006C0693">
        <w:rPr>
          <w:rFonts w:ascii="Times New Roman" w:hAnsi="Times New Roman" w:cs="Times New Roman"/>
          <w:sz w:val="24"/>
          <w:szCs w:val="24"/>
        </w:rPr>
        <w:t xml:space="preserve"> Charter, is entrusted to the U</w:t>
      </w:r>
      <w:r w:rsidR="00A00BDB" w:rsidRPr="006C0693">
        <w:rPr>
          <w:rFonts w:ascii="Times New Roman" w:hAnsi="Times New Roman" w:cs="Times New Roman"/>
          <w:sz w:val="24"/>
          <w:szCs w:val="24"/>
        </w:rPr>
        <w:t>.</w:t>
      </w:r>
      <w:r w:rsidR="001165D7" w:rsidRPr="006C0693">
        <w:rPr>
          <w:rFonts w:ascii="Times New Roman" w:hAnsi="Times New Roman" w:cs="Times New Roman"/>
          <w:sz w:val="24"/>
          <w:szCs w:val="24"/>
        </w:rPr>
        <w:t>N</w:t>
      </w:r>
      <w:r w:rsidR="00A00BDB" w:rsidRPr="006C0693">
        <w:rPr>
          <w:rFonts w:ascii="Times New Roman" w:hAnsi="Times New Roman" w:cs="Times New Roman"/>
          <w:sz w:val="24"/>
          <w:szCs w:val="24"/>
        </w:rPr>
        <w:t>.</w:t>
      </w:r>
      <w:r w:rsidR="001165D7" w:rsidRPr="006C0693">
        <w:rPr>
          <w:rFonts w:ascii="Times New Roman" w:hAnsi="Times New Roman" w:cs="Times New Roman"/>
          <w:sz w:val="24"/>
          <w:szCs w:val="24"/>
        </w:rPr>
        <w:t xml:space="preserve"> Security Council, and not </w:t>
      </w:r>
      <w:r w:rsidR="00720B5C" w:rsidRPr="006C0693">
        <w:rPr>
          <w:rFonts w:ascii="Times New Roman" w:hAnsi="Times New Roman" w:cs="Times New Roman"/>
          <w:sz w:val="24"/>
          <w:szCs w:val="24"/>
        </w:rPr>
        <w:t>the Committee</w:t>
      </w:r>
      <w:r w:rsidR="00440272" w:rsidRPr="006C0693">
        <w:rPr>
          <w:rFonts w:ascii="Times New Roman" w:hAnsi="Times New Roman" w:cs="Times New Roman"/>
          <w:sz w:val="24"/>
          <w:szCs w:val="24"/>
        </w:rPr>
        <w:t>.</w:t>
      </w:r>
      <w:r w:rsidR="001165D7" w:rsidRPr="006C0693">
        <w:rPr>
          <w:rFonts w:ascii="Times New Roman" w:hAnsi="Times New Roman" w:cs="Times New Roman"/>
          <w:sz w:val="24"/>
          <w:szCs w:val="24"/>
        </w:rPr>
        <w:t xml:space="preserve"> </w:t>
      </w:r>
      <w:r w:rsidR="005E401A" w:rsidRPr="006C0693">
        <w:rPr>
          <w:rFonts w:ascii="Times New Roman" w:hAnsi="Times New Roman" w:cs="Times New Roman"/>
          <w:sz w:val="24"/>
          <w:szCs w:val="24"/>
        </w:rPr>
        <w:t xml:space="preserve"> </w:t>
      </w:r>
      <w:r w:rsidR="00C23A9F" w:rsidRPr="006C0693">
        <w:rPr>
          <w:rFonts w:ascii="Times New Roman" w:hAnsi="Times New Roman" w:cs="Times New Roman"/>
          <w:sz w:val="24"/>
          <w:szCs w:val="24"/>
        </w:rPr>
        <w:t>P</w:t>
      </w:r>
      <w:r w:rsidR="001165D7" w:rsidRPr="006C0693">
        <w:rPr>
          <w:rFonts w:ascii="Times New Roman" w:hAnsi="Times New Roman" w:cs="Times New Roman"/>
          <w:sz w:val="24"/>
          <w:szCs w:val="24"/>
        </w:rPr>
        <w:t xml:space="preserve">aragraph </w:t>
      </w:r>
      <w:r w:rsidR="00C23A9F" w:rsidRPr="006C0693">
        <w:rPr>
          <w:rFonts w:ascii="Times New Roman" w:hAnsi="Times New Roman" w:cs="Times New Roman"/>
          <w:sz w:val="24"/>
          <w:szCs w:val="24"/>
        </w:rPr>
        <w:t xml:space="preserve">71 is </w:t>
      </w:r>
      <w:r w:rsidR="001165D7" w:rsidRPr="006C0693">
        <w:rPr>
          <w:rFonts w:ascii="Times New Roman" w:hAnsi="Times New Roman" w:cs="Times New Roman"/>
          <w:sz w:val="24"/>
          <w:szCs w:val="24"/>
        </w:rPr>
        <w:t xml:space="preserve">incorrect </w:t>
      </w:r>
      <w:r w:rsidR="00C23A9F" w:rsidRPr="006C0693">
        <w:rPr>
          <w:rFonts w:ascii="Times New Roman" w:hAnsi="Times New Roman" w:cs="Times New Roman"/>
          <w:sz w:val="24"/>
          <w:szCs w:val="24"/>
        </w:rPr>
        <w:t xml:space="preserve">and </w:t>
      </w:r>
      <w:r w:rsidR="001165D7" w:rsidRPr="006C0693">
        <w:rPr>
          <w:rFonts w:ascii="Times New Roman" w:hAnsi="Times New Roman" w:cs="Times New Roman"/>
          <w:sz w:val="24"/>
          <w:szCs w:val="24"/>
        </w:rPr>
        <w:t>outside the competence and authority of the Committee</w:t>
      </w:r>
      <w:r w:rsidR="000E3241" w:rsidRPr="006C0693">
        <w:rPr>
          <w:rFonts w:ascii="Times New Roman" w:hAnsi="Times New Roman" w:cs="Times New Roman"/>
          <w:sz w:val="24"/>
          <w:szCs w:val="24"/>
        </w:rPr>
        <w:t xml:space="preserve">, and should, therefore, </w:t>
      </w:r>
      <w:r w:rsidR="00C23A9F" w:rsidRPr="006C0693">
        <w:rPr>
          <w:rFonts w:ascii="Times New Roman" w:hAnsi="Times New Roman" w:cs="Times New Roman"/>
          <w:sz w:val="24"/>
          <w:szCs w:val="24"/>
        </w:rPr>
        <w:t>be removed.</w:t>
      </w:r>
      <w:r w:rsidR="001165D7" w:rsidRPr="006C0693">
        <w:rPr>
          <w:rFonts w:ascii="Times New Roman" w:hAnsi="Times New Roman" w:cs="Times New Roman"/>
          <w:sz w:val="24"/>
          <w:szCs w:val="24"/>
        </w:rPr>
        <w:t xml:space="preserve"> </w:t>
      </w:r>
    </w:p>
    <w:p w:rsidR="00D75C9A" w:rsidRPr="006C0693" w:rsidRDefault="00D75C9A" w:rsidP="006C0693">
      <w:pPr>
        <w:pStyle w:val="Default"/>
        <w:spacing w:line="276" w:lineRule="auto"/>
        <w:rPr>
          <w:color w:val="auto"/>
          <w:u w:val="single"/>
        </w:rPr>
      </w:pPr>
      <w:r w:rsidRPr="006C0693">
        <w:rPr>
          <w:color w:val="auto"/>
          <w:u w:val="single"/>
        </w:rPr>
        <w:t>Derogation</w:t>
      </w:r>
    </w:p>
    <w:p w:rsidR="00991624" w:rsidRPr="006C0693" w:rsidRDefault="00EB02F4" w:rsidP="006C0693">
      <w:pPr>
        <w:pStyle w:val="Default"/>
        <w:spacing w:before="240" w:line="276" w:lineRule="auto"/>
        <w:rPr>
          <w:color w:val="auto"/>
        </w:rPr>
      </w:pPr>
      <w:r w:rsidRPr="006C0693">
        <w:rPr>
          <w:color w:val="auto"/>
        </w:rPr>
        <w:t>2</w:t>
      </w:r>
      <w:r w:rsidR="00F74A8F" w:rsidRPr="006C0693">
        <w:rPr>
          <w:color w:val="auto"/>
        </w:rPr>
        <w:t>1</w:t>
      </w:r>
      <w:r w:rsidRPr="006C0693">
        <w:rPr>
          <w:color w:val="auto"/>
        </w:rPr>
        <w:t xml:space="preserve">.  </w:t>
      </w:r>
      <w:r w:rsidR="000F73C7" w:rsidRPr="006C0693">
        <w:rPr>
          <w:color w:val="auto"/>
        </w:rPr>
        <w:t xml:space="preserve">There is no question that the right to life, as </w:t>
      </w:r>
      <w:r w:rsidR="00363AC1" w:rsidRPr="006C0693">
        <w:rPr>
          <w:color w:val="auto"/>
        </w:rPr>
        <w:t>codified</w:t>
      </w:r>
      <w:r w:rsidR="000F73C7" w:rsidRPr="006C0693">
        <w:rPr>
          <w:color w:val="auto"/>
        </w:rPr>
        <w:t xml:space="preserve"> </w:t>
      </w:r>
      <w:r w:rsidR="00363AC1" w:rsidRPr="006C0693">
        <w:rPr>
          <w:color w:val="auto"/>
        </w:rPr>
        <w:t>in</w:t>
      </w:r>
      <w:r w:rsidR="000F73C7" w:rsidRPr="006C0693">
        <w:rPr>
          <w:color w:val="auto"/>
        </w:rPr>
        <w:t xml:space="preserve"> Article 6, is a non-derogable right under Article 4(2) of the Covenant, and that it, therefore, continues to apply in any circumstance </w:t>
      </w:r>
      <w:r w:rsidR="000F73C7" w:rsidRPr="006C0693">
        <w:rPr>
          <w:color w:val="auto"/>
          <w:u w:val="single"/>
        </w:rPr>
        <w:t>within the Covenant</w:t>
      </w:r>
      <w:r w:rsidR="00D75C9A" w:rsidRPr="006C0693">
        <w:rPr>
          <w:color w:val="auto"/>
          <w:u w:val="single"/>
        </w:rPr>
        <w:t>’</w:t>
      </w:r>
      <w:r w:rsidR="000F73C7" w:rsidRPr="006C0693">
        <w:rPr>
          <w:color w:val="auto"/>
          <w:u w:val="single"/>
        </w:rPr>
        <w:t>s scope of application</w:t>
      </w:r>
      <w:r w:rsidR="000F73C7" w:rsidRPr="006C0693">
        <w:rPr>
          <w:color w:val="auto"/>
        </w:rPr>
        <w:t>.</w:t>
      </w:r>
      <w:r w:rsidR="000F73C7" w:rsidRPr="006C0693">
        <w:rPr>
          <w:color w:val="auto"/>
          <w:vertAlign w:val="superscript"/>
        </w:rPr>
        <w:footnoteReference w:id="25"/>
      </w:r>
      <w:r w:rsidR="000F73C7" w:rsidRPr="006C0693">
        <w:rPr>
          <w:color w:val="auto"/>
        </w:rPr>
        <w:t xml:space="preserve">  Regardless of differing views regarding the scope of application, </w:t>
      </w:r>
      <w:r w:rsidRPr="006C0693">
        <w:rPr>
          <w:color w:val="auto"/>
        </w:rPr>
        <w:t>this phrase, “within the Covenant’s scope of application” needs to be added to t</w:t>
      </w:r>
      <w:r w:rsidR="000F73C7" w:rsidRPr="006C0693">
        <w:rPr>
          <w:color w:val="auto"/>
        </w:rPr>
        <w:t xml:space="preserve">he </w:t>
      </w:r>
      <w:r w:rsidR="00720B5C" w:rsidRPr="006C0693">
        <w:rPr>
          <w:color w:val="auto"/>
        </w:rPr>
        <w:t xml:space="preserve">second </w:t>
      </w:r>
      <w:r w:rsidR="000F73C7" w:rsidRPr="006C0693">
        <w:rPr>
          <w:color w:val="auto"/>
        </w:rPr>
        <w:t xml:space="preserve">sentence of paragraph 68 </w:t>
      </w:r>
      <w:r w:rsidRPr="006C0693">
        <w:rPr>
          <w:color w:val="auto"/>
        </w:rPr>
        <w:t>for accuracy</w:t>
      </w:r>
      <w:r w:rsidR="000F73C7" w:rsidRPr="006C0693">
        <w:rPr>
          <w:color w:val="auto"/>
        </w:rPr>
        <w:t xml:space="preserve">. </w:t>
      </w:r>
    </w:p>
    <w:p w:rsidR="00D75C9A" w:rsidRPr="006C0693" w:rsidRDefault="00D75C9A" w:rsidP="006C0693">
      <w:pPr>
        <w:pStyle w:val="Default"/>
        <w:spacing w:line="276" w:lineRule="auto"/>
      </w:pPr>
    </w:p>
    <w:p w:rsidR="00AB58C8" w:rsidRPr="006C0693" w:rsidRDefault="00B1142B" w:rsidP="006C0693">
      <w:pPr>
        <w:pStyle w:val="Default"/>
        <w:spacing w:line="276" w:lineRule="auto"/>
      </w:pPr>
      <w:r w:rsidRPr="006C0693">
        <w:t>2</w:t>
      </w:r>
      <w:r w:rsidR="00F74A8F" w:rsidRPr="006C0693">
        <w:t>2</w:t>
      </w:r>
      <w:r w:rsidRPr="006C0693">
        <w:t xml:space="preserve">.  </w:t>
      </w:r>
      <w:r w:rsidR="00DD4212" w:rsidRPr="006C0693">
        <w:t xml:space="preserve">Bearing in mind that </w:t>
      </w:r>
      <w:r w:rsidR="00667CB9" w:rsidRPr="006C0693">
        <w:t xml:space="preserve">IHL </w:t>
      </w:r>
      <w:r w:rsidR="00DD4212" w:rsidRPr="006C0693">
        <w:t xml:space="preserve">provides the </w:t>
      </w:r>
      <w:r w:rsidR="00DD4212" w:rsidRPr="006C0693">
        <w:rPr>
          <w:i/>
        </w:rPr>
        <w:t>lex specialis</w:t>
      </w:r>
      <w:r w:rsidR="00DD4212" w:rsidRPr="006C0693">
        <w:t xml:space="preserve"> </w:t>
      </w:r>
      <w:r w:rsidR="00DD4212" w:rsidRPr="006C0693">
        <w:rPr>
          <w:bCs/>
        </w:rPr>
        <w:t>with respect to the conduct of hostilities</w:t>
      </w:r>
      <w:r w:rsidR="00DD4212" w:rsidRPr="006C0693">
        <w:t xml:space="preserve"> </w:t>
      </w:r>
      <w:r w:rsidR="00720B5C" w:rsidRPr="006C0693">
        <w:t xml:space="preserve">and the protection of war victims </w:t>
      </w:r>
      <w:r w:rsidR="00DD4212" w:rsidRPr="006C0693">
        <w:t>in any armed conflict, as a general matter the question of derogation would only be relevant as to action within the Covenant</w:t>
      </w:r>
      <w:r w:rsidR="00993DCF">
        <w:t>’</w:t>
      </w:r>
      <w:r w:rsidR="00DD4212" w:rsidRPr="006C0693">
        <w:t xml:space="preserve">s scope of application, and not with respect to the conduct </w:t>
      </w:r>
      <w:r w:rsidRPr="006C0693">
        <w:t xml:space="preserve">of </w:t>
      </w:r>
      <w:r w:rsidR="00DD4212" w:rsidRPr="006C0693">
        <w:t xml:space="preserve">hostilities </w:t>
      </w:r>
      <w:r w:rsidR="00720B5C" w:rsidRPr="006C0693">
        <w:t xml:space="preserve">and the protection of war victims </w:t>
      </w:r>
      <w:r w:rsidR="00DD4212" w:rsidRPr="006C0693">
        <w:t xml:space="preserve">in armed conflict.  </w:t>
      </w:r>
      <w:r w:rsidR="00932023" w:rsidRPr="006C0693">
        <w:t>In addition, althoug</w:t>
      </w:r>
      <w:r w:rsidR="00A00BDB" w:rsidRPr="006C0693">
        <w:t>h</w:t>
      </w:r>
      <w:r w:rsidR="00932023" w:rsidRPr="006C0693">
        <w:t xml:space="preserve"> </w:t>
      </w:r>
      <w:r w:rsidR="00AA2C95" w:rsidRPr="006C0693">
        <w:t xml:space="preserve">no </w:t>
      </w:r>
      <w:r w:rsidRPr="006C0693">
        <w:t>emergency</w:t>
      </w:r>
      <w:r w:rsidR="00D67A65" w:rsidRPr="006C0693">
        <w:t xml:space="preserve"> measure </w:t>
      </w:r>
      <w:r w:rsidR="00AA2C95" w:rsidRPr="006C0693">
        <w:t xml:space="preserve">may be adopted in derogation of Article 6, that non-derogation limitation under ICCPR Article 4 only precludes measures applicable </w:t>
      </w:r>
      <w:r w:rsidR="00D67A65" w:rsidRPr="006C0693">
        <w:t xml:space="preserve">to individuals who are both within the territory and subject to the jurisdiction of the State Party declaring the public emergency.  The measure would be </w:t>
      </w:r>
      <w:r w:rsidR="00AA2C95" w:rsidRPr="006C0693">
        <w:t>precluded</w:t>
      </w:r>
      <w:r w:rsidR="00D67A65" w:rsidRPr="006C0693">
        <w:t xml:space="preserve"> </w:t>
      </w:r>
      <w:r w:rsidRPr="006C0693">
        <w:t xml:space="preserve">only </w:t>
      </w:r>
      <w:r w:rsidR="00D67A65" w:rsidRPr="006C0693">
        <w:t xml:space="preserve">to the extent </w:t>
      </w:r>
      <w:r w:rsidR="00074259" w:rsidRPr="006C0693">
        <w:t>that it would violate obligations within</w:t>
      </w:r>
      <w:r w:rsidR="00907689" w:rsidRPr="006C0693">
        <w:t xml:space="preserve"> the</w:t>
      </w:r>
      <w:r w:rsidR="00F94546" w:rsidRPr="006C0693">
        <w:t xml:space="preserve"> terms of Article 6</w:t>
      </w:r>
      <w:r w:rsidR="00994BEA" w:rsidRPr="006C0693">
        <w:t xml:space="preserve">, as interpreted pursuant to the </w:t>
      </w:r>
      <w:r w:rsidR="00667CB9" w:rsidRPr="006C0693">
        <w:t>rules</w:t>
      </w:r>
      <w:r w:rsidR="00994BEA" w:rsidRPr="006C0693">
        <w:t xml:space="preserve"> of treaty interpretation set forth in international law</w:t>
      </w:r>
      <w:r w:rsidRPr="006C0693">
        <w:t xml:space="preserve"> (see Part I, Treaty Interpretation, above)</w:t>
      </w:r>
      <w:r w:rsidR="00AB58C8" w:rsidRPr="006C0693">
        <w:t xml:space="preserve">.  </w:t>
      </w:r>
      <w:r w:rsidR="00667CB9" w:rsidRPr="006C0693">
        <w:t>T</w:t>
      </w:r>
      <w:r w:rsidR="00907689" w:rsidRPr="006C0693">
        <w:t xml:space="preserve">he statement in paragraph 2 of the Committee’s draft that “no derogation is permitted even in </w:t>
      </w:r>
      <w:r w:rsidR="00907689" w:rsidRPr="006C0693">
        <w:lastRenderedPageBreak/>
        <w:t>situations of armed conflict” is imprecise and</w:t>
      </w:r>
      <w:r w:rsidR="00667CB9" w:rsidRPr="006C0693">
        <w:t xml:space="preserve"> </w:t>
      </w:r>
      <w:r w:rsidR="00907689" w:rsidRPr="006C0693">
        <w:t>misleading.  Th</w:t>
      </w:r>
      <w:r w:rsidRPr="006C0693">
        <w:t>is</w:t>
      </w:r>
      <w:r w:rsidR="00907689" w:rsidRPr="006C0693">
        <w:t xml:space="preserve"> inaccurate reference to armed conflict should be deleted from this introductory paragraph 2</w:t>
      </w:r>
      <w:r w:rsidR="00932023" w:rsidRPr="006C0693">
        <w:t>,</w:t>
      </w:r>
      <w:r w:rsidRPr="006C0693">
        <w:t xml:space="preserve"> and </w:t>
      </w:r>
      <w:r w:rsidR="00932023" w:rsidRPr="006C0693">
        <w:t xml:space="preserve">a reference to a situation of armed conflict could be </w:t>
      </w:r>
      <w:r w:rsidRPr="006C0693">
        <w:t>correctly addressed in paragraph 68</w:t>
      </w:r>
      <w:r w:rsidR="00932023" w:rsidRPr="006C0693">
        <w:t xml:space="preserve"> as an example of public emergency</w:t>
      </w:r>
      <w:r w:rsidR="00F74A8F" w:rsidRPr="006C0693">
        <w:t>.</w:t>
      </w:r>
    </w:p>
    <w:p w:rsidR="00AB58C8" w:rsidRPr="006C0693" w:rsidRDefault="00AB58C8" w:rsidP="006C0693">
      <w:pPr>
        <w:pStyle w:val="Default"/>
        <w:spacing w:line="276" w:lineRule="auto"/>
      </w:pPr>
    </w:p>
    <w:p w:rsidR="00116448" w:rsidRPr="006C0693" w:rsidRDefault="00B1142B" w:rsidP="006C0693">
      <w:pPr>
        <w:autoSpaceDE w:val="0"/>
        <w:autoSpaceDN w:val="0"/>
        <w:rPr>
          <w:rFonts w:ascii="Times New Roman" w:hAnsi="Times New Roman" w:cs="Times New Roman"/>
          <w:sz w:val="24"/>
          <w:szCs w:val="24"/>
        </w:rPr>
      </w:pPr>
      <w:r w:rsidRPr="006C0693">
        <w:rPr>
          <w:rFonts w:ascii="Times New Roman" w:hAnsi="Times New Roman" w:cs="Times New Roman"/>
          <w:bCs/>
          <w:sz w:val="24"/>
          <w:szCs w:val="24"/>
        </w:rPr>
        <w:t>2</w:t>
      </w:r>
      <w:r w:rsidR="00F74A8F" w:rsidRPr="006C0693">
        <w:rPr>
          <w:rFonts w:ascii="Times New Roman" w:hAnsi="Times New Roman" w:cs="Times New Roman"/>
          <w:bCs/>
          <w:sz w:val="24"/>
          <w:szCs w:val="24"/>
        </w:rPr>
        <w:t>3</w:t>
      </w:r>
      <w:r w:rsidRPr="006C0693">
        <w:rPr>
          <w:rFonts w:ascii="Times New Roman" w:hAnsi="Times New Roman" w:cs="Times New Roman"/>
          <w:bCs/>
          <w:sz w:val="24"/>
          <w:szCs w:val="24"/>
        </w:rPr>
        <w:t xml:space="preserve">. </w:t>
      </w:r>
      <w:r w:rsidR="005157ED" w:rsidRPr="006C0693">
        <w:rPr>
          <w:rFonts w:ascii="Times New Roman" w:hAnsi="Times New Roman" w:cs="Times New Roman"/>
          <w:bCs/>
          <w:sz w:val="24"/>
          <w:szCs w:val="24"/>
        </w:rPr>
        <w:t xml:space="preserve"> The</w:t>
      </w:r>
      <w:r w:rsidR="00AB58C8" w:rsidRPr="006C0693">
        <w:rPr>
          <w:rFonts w:ascii="Times New Roman" w:hAnsi="Times New Roman" w:cs="Times New Roman"/>
          <w:bCs/>
          <w:sz w:val="24"/>
          <w:szCs w:val="24"/>
        </w:rPr>
        <w:t xml:space="preserve"> Committee </w:t>
      </w:r>
      <w:r w:rsidRPr="006C0693">
        <w:rPr>
          <w:rFonts w:ascii="Times New Roman" w:hAnsi="Times New Roman" w:cs="Times New Roman"/>
          <w:bCs/>
          <w:sz w:val="24"/>
          <w:szCs w:val="24"/>
        </w:rPr>
        <w:t xml:space="preserve">further </w:t>
      </w:r>
      <w:r w:rsidR="00DD3168" w:rsidRPr="006C0693">
        <w:rPr>
          <w:rFonts w:ascii="Times New Roman" w:hAnsi="Times New Roman" w:cs="Times New Roman"/>
          <w:bCs/>
          <w:sz w:val="24"/>
          <w:szCs w:val="24"/>
        </w:rPr>
        <w:t>states</w:t>
      </w:r>
      <w:r w:rsidR="00AB58C8" w:rsidRPr="006C0693">
        <w:rPr>
          <w:rFonts w:ascii="Times New Roman" w:hAnsi="Times New Roman" w:cs="Times New Roman"/>
          <w:bCs/>
          <w:sz w:val="24"/>
          <w:szCs w:val="24"/>
        </w:rPr>
        <w:t xml:space="preserve"> in paragraph 68: “</w:t>
      </w:r>
      <w:r w:rsidR="00AB58C8" w:rsidRPr="006C0693">
        <w:rPr>
          <w:rFonts w:ascii="Times New Roman" w:hAnsi="Times New Roman" w:cs="Times New Roman"/>
          <w:sz w:val="24"/>
          <w:szCs w:val="24"/>
        </w:rPr>
        <w:t>Although some Covenant rights other than the right to life may be subject to derogation, derogable rights which support the application of article 6 must not be diminished by measures of derogation.”</w:t>
      </w:r>
      <w:r w:rsidR="00D041A2" w:rsidRPr="006C0693">
        <w:rPr>
          <w:rFonts w:ascii="Times New Roman" w:hAnsi="Times New Roman" w:cs="Times New Roman"/>
          <w:sz w:val="24"/>
          <w:szCs w:val="24"/>
        </w:rPr>
        <w:t xml:space="preserve"> </w:t>
      </w:r>
      <w:r w:rsidR="008D65E9" w:rsidRPr="006C0693">
        <w:rPr>
          <w:rFonts w:ascii="Times New Roman" w:hAnsi="Times New Roman" w:cs="Times New Roman"/>
          <w:sz w:val="24"/>
          <w:szCs w:val="24"/>
        </w:rPr>
        <w:t xml:space="preserve"> </w:t>
      </w:r>
      <w:r w:rsidR="0060777C" w:rsidRPr="006C0693">
        <w:rPr>
          <w:rFonts w:ascii="Times New Roman" w:hAnsi="Times New Roman" w:cs="Times New Roman"/>
          <w:sz w:val="24"/>
          <w:szCs w:val="24"/>
        </w:rPr>
        <w:t>An</w:t>
      </w:r>
      <w:r w:rsidR="005C3CE3" w:rsidRPr="006C0693">
        <w:rPr>
          <w:rFonts w:ascii="Times New Roman" w:hAnsi="Times New Roman" w:cs="Times New Roman"/>
          <w:sz w:val="24"/>
          <w:szCs w:val="24"/>
        </w:rPr>
        <w:t xml:space="preserve"> example cited is the right to a fair trial in </w:t>
      </w:r>
      <w:r w:rsidR="00FB1691" w:rsidRPr="006C0693">
        <w:rPr>
          <w:rFonts w:ascii="Times New Roman" w:hAnsi="Times New Roman" w:cs="Times New Roman"/>
          <w:sz w:val="24"/>
          <w:szCs w:val="24"/>
        </w:rPr>
        <w:t xml:space="preserve">a </w:t>
      </w:r>
      <w:r w:rsidR="00074259" w:rsidRPr="006C0693">
        <w:rPr>
          <w:rFonts w:ascii="Times New Roman" w:hAnsi="Times New Roman" w:cs="Times New Roman"/>
          <w:sz w:val="24"/>
          <w:szCs w:val="24"/>
        </w:rPr>
        <w:t xml:space="preserve">death penalty case. </w:t>
      </w:r>
      <w:r w:rsidR="008D65E9" w:rsidRPr="006C0693">
        <w:rPr>
          <w:rFonts w:ascii="Times New Roman" w:hAnsi="Times New Roman" w:cs="Times New Roman"/>
          <w:sz w:val="24"/>
          <w:szCs w:val="24"/>
        </w:rPr>
        <w:t xml:space="preserve"> </w:t>
      </w:r>
      <w:r w:rsidR="00932023" w:rsidRPr="006C0693">
        <w:rPr>
          <w:rFonts w:ascii="Times New Roman" w:hAnsi="Times New Roman" w:cs="Times New Roman"/>
          <w:sz w:val="24"/>
          <w:szCs w:val="24"/>
        </w:rPr>
        <w:t xml:space="preserve">Although </w:t>
      </w:r>
      <w:r w:rsidR="00DD6A9B" w:rsidRPr="006C0693">
        <w:rPr>
          <w:rFonts w:ascii="Times New Roman" w:hAnsi="Times New Roman" w:cs="Times New Roman"/>
          <w:sz w:val="24"/>
          <w:szCs w:val="24"/>
        </w:rPr>
        <w:t xml:space="preserve">we agree that </w:t>
      </w:r>
      <w:r w:rsidR="00F66953" w:rsidRPr="006C0693">
        <w:rPr>
          <w:rFonts w:ascii="Times New Roman" w:hAnsi="Times New Roman" w:cs="Times New Roman"/>
          <w:sz w:val="24"/>
          <w:szCs w:val="24"/>
        </w:rPr>
        <w:t>a State Party</w:t>
      </w:r>
      <w:r w:rsidR="009626B5" w:rsidRPr="006C0693">
        <w:rPr>
          <w:rFonts w:ascii="Times New Roman" w:hAnsi="Times New Roman" w:cs="Times New Roman"/>
          <w:sz w:val="24"/>
          <w:szCs w:val="24"/>
        </w:rPr>
        <w:t xml:space="preserve"> during a declared emergency</w:t>
      </w:r>
      <w:r w:rsidR="00FB5A96" w:rsidRPr="006C0693">
        <w:rPr>
          <w:rFonts w:ascii="Times New Roman" w:hAnsi="Times New Roman" w:cs="Times New Roman"/>
          <w:sz w:val="24"/>
          <w:szCs w:val="24"/>
        </w:rPr>
        <w:t>, within the meaning of ICCPR Article 4</w:t>
      </w:r>
      <w:r w:rsidR="000E3241" w:rsidRPr="006C0693">
        <w:rPr>
          <w:rFonts w:ascii="Times New Roman" w:hAnsi="Times New Roman" w:cs="Times New Roman"/>
          <w:sz w:val="24"/>
          <w:szCs w:val="24"/>
        </w:rPr>
        <w:t>,</w:t>
      </w:r>
      <w:r w:rsidR="00D358BB" w:rsidRPr="006C0693">
        <w:rPr>
          <w:rFonts w:ascii="Times New Roman" w:hAnsi="Times New Roman" w:cs="Times New Roman"/>
          <w:sz w:val="24"/>
          <w:szCs w:val="24"/>
        </w:rPr>
        <w:t xml:space="preserve"> </w:t>
      </w:r>
      <w:r w:rsidR="00F66953" w:rsidRPr="006C0693">
        <w:rPr>
          <w:rFonts w:ascii="Times New Roman" w:hAnsi="Times New Roman" w:cs="Times New Roman"/>
          <w:sz w:val="24"/>
          <w:szCs w:val="24"/>
        </w:rPr>
        <w:t xml:space="preserve">would </w:t>
      </w:r>
      <w:r w:rsidR="009626B5" w:rsidRPr="006C0693">
        <w:rPr>
          <w:rFonts w:ascii="Times New Roman" w:hAnsi="Times New Roman" w:cs="Times New Roman"/>
          <w:sz w:val="24"/>
          <w:szCs w:val="24"/>
        </w:rPr>
        <w:t xml:space="preserve">be required </w:t>
      </w:r>
      <w:r w:rsidR="00F66953" w:rsidRPr="006C0693">
        <w:rPr>
          <w:rFonts w:ascii="Times New Roman" w:hAnsi="Times New Roman" w:cs="Times New Roman"/>
          <w:sz w:val="24"/>
          <w:szCs w:val="24"/>
        </w:rPr>
        <w:t>to ensure that a</w:t>
      </w:r>
      <w:r w:rsidR="005D12CB" w:rsidRPr="006C0693">
        <w:rPr>
          <w:rFonts w:ascii="Times New Roman" w:hAnsi="Times New Roman" w:cs="Times New Roman"/>
          <w:sz w:val="24"/>
          <w:szCs w:val="24"/>
        </w:rPr>
        <w:t>ny</w:t>
      </w:r>
      <w:r w:rsidR="00F66953" w:rsidRPr="006C0693">
        <w:rPr>
          <w:rFonts w:ascii="Times New Roman" w:hAnsi="Times New Roman" w:cs="Times New Roman"/>
          <w:sz w:val="24"/>
          <w:szCs w:val="24"/>
        </w:rPr>
        <w:t xml:space="preserve"> death penalty </w:t>
      </w:r>
      <w:r w:rsidR="005D12CB" w:rsidRPr="006C0693">
        <w:rPr>
          <w:rFonts w:ascii="Times New Roman" w:hAnsi="Times New Roman" w:cs="Times New Roman"/>
          <w:sz w:val="24"/>
          <w:szCs w:val="24"/>
        </w:rPr>
        <w:t xml:space="preserve">imposed or carried out within </w:t>
      </w:r>
      <w:r w:rsidR="00FB5A96" w:rsidRPr="006C0693">
        <w:rPr>
          <w:rFonts w:ascii="Times New Roman" w:hAnsi="Times New Roman" w:cs="Times New Roman"/>
          <w:sz w:val="24"/>
          <w:szCs w:val="24"/>
        </w:rPr>
        <w:t>the scope</w:t>
      </w:r>
      <w:r w:rsidR="005D12CB" w:rsidRPr="006C0693">
        <w:rPr>
          <w:rFonts w:ascii="Times New Roman" w:hAnsi="Times New Roman" w:cs="Times New Roman"/>
          <w:sz w:val="24"/>
          <w:szCs w:val="24"/>
        </w:rPr>
        <w:t xml:space="preserve"> of</w:t>
      </w:r>
      <w:r w:rsidR="009626B5" w:rsidRPr="006C0693">
        <w:rPr>
          <w:rFonts w:ascii="Times New Roman" w:hAnsi="Times New Roman" w:cs="Times New Roman"/>
          <w:sz w:val="24"/>
          <w:szCs w:val="24"/>
        </w:rPr>
        <w:t xml:space="preserve"> ICCPR</w:t>
      </w:r>
      <w:r w:rsidR="005D12CB" w:rsidRPr="006C0693">
        <w:rPr>
          <w:rFonts w:ascii="Times New Roman" w:hAnsi="Times New Roman" w:cs="Times New Roman"/>
          <w:sz w:val="24"/>
          <w:szCs w:val="24"/>
        </w:rPr>
        <w:t xml:space="preserve"> application would </w:t>
      </w:r>
      <w:r w:rsidR="0010319B" w:rsidRPr="006C0693">
        <w:rPr>
          <w:rFonts w:ascii="Times New Roman" w:hAnsi="Times New Roman" w:cs="Times New Roman"/>
          <w:sz w:val="24"/>
          <w:szCs w:val="24"/>
        </w:rPr>
        <w:t xml:space="preserve">continue to </w:t>
      </w:r>
      <w:r w:rsidR="008D65E9" w:rsidRPr="006C0693">
        <w:rPr>
          <w:rFonts w:ascii="Times New Roman" w:hAnsi="Times New Roman" w:cs="Times New Roman"/>
          <w:sz w:val="24"/>
          <w:szCs w:val="24"/>
        </w:rPr>
        <w:t xml:space="preserve">be </w:t>
      </w:r>
      <w:r w:rsidR="0010319B" w:rsidRPr="006C0693">
        <w:rPr>
          <w:rFonts w:ascii="Times New Roman" w:hAnsi="Times New Roman" w:cs="Times New Roman"/>
          <w:sz w:val="24"/>
          <w:szCs w:val="24"/>
        </w:rPr>
        <w:t>subject to the</w:t>
      </w:r>
      <w:r w:rsidR="005D12CB" w:rsidRPr="006C0693">
        <w:rPr>
          <w:rFonts w:ascii="Times New Roman" w:hAnsi="Times New Roman" w:cs="Times New Roman"/>
          <w:sz w:val="24"/>
          <w:szCs w:val="24"/>
        </w:rPr>
        <w:t xml:space="preserve"> </w:t>
      </w:r>
      <w:r w:rsidR="0010319B" w:rsidRPr="006C0693">
        <w:rPr>
          <w:rFonts w:ascii="Times New Roman" w:hAnsi="Times New Roman" w:cs="Times New Roman"/>
          <w:sz w:val="24"/>
          <w:szCs w:val="24"/>
        </w:rPr>
        <w:t xml:space="preserve">conditions and limitations </w:t>
      </w:r>
      <w:r w:rsidR="005D12CB" w:rsidRPr="006C0693">
        <w:rPr>
          <w:rFonts w:ascii="Times New Roman" w:hAnsi="Times New Roman" w:cs="Times New Roman"/>
          <w:sz w:val="24"/>
          <w:szCs w:val="24"/>
        </w:rPr>
        <w:t>under Article 6</w:t>
      </w:r>
      <w:r w:rsidR="0010319B" w:rsidRPr="006C0693">
        <w:rPr>
          <w:rFonts w:ascii="Times New Roman" w:hAnsi="Times New Roman" w:cs="Times New Roman"/>
          <w:sz w:val="24"/>
          <w:szCs w:val="24"/>
        </w:rPr>
        <w:t>,</w:t>
      </w:r>
      <w:r w:rsidR="00DD6A9B" w:rsidRPr="006C0693">
        <w:rPr>
          <w:rFonts w:ascii="Times New Roman" w:hAnsi="Times New Roman" w:cs="Times New Roman"/>
          <w:sz w:val="24"/>
          <w:szCs w:val="24"/>
        </w:rPr>
        <w:t xml:space="preserve"> </w:t>
      </w:r>
      <w:r w:rsidR="0010319B" w:rsidRPr="006C0693">
        <w:rPr>
          <w:rFonts w:ascii="Times New Roman" w:hAnsi="Times New Roman" w:cs="Times New Roman"/>
          <w:sz w:val="24"/>
          <w:szCs w:val="24"/>
        </w:rPr>
        <w:t>t</w:t>
      </w:r>
      <w:r w:rsidR="009626B5" w:rsidRPr="006C0693">
        <w:rPr>
          <w:rFonts w:ascii="Times New Roman" w:hAnsi="Times New Roman" w:cs="Times New Roman"/>
          <w:sz w:val="24"/>
          <w:szCs w:val="24"/>
        </w:rPr>
        <w:t xml:space="preserve">his does not necessarily restrict its ability to take measures in derogation of the </w:t>
      </w:r>
      <w:r w:rsidR="0010319B" w:rsidRPr="006C0693">
        <w:rPr>
          <w:rFonts w:ascii="Times New Roman" w:hAnsi="Times New Roman" w:cs="Times New Roman"/>
          <w:sz w:val="24"/>
          <w:szCs w:val="24"/>
        </w:rPr>
        <w:t xml:space="preserve">derogable </w:t>
      </w:r>
      <w:r w:rsidR="009626B5" w:rsidRPr="006C0693">
        <w:rPr>
          <w:rFonts w:ascii="Times New Roman" w:hAnsi="Times New Roman" w:cs="Times New Roman"/>
          <w:sz w:val="24"/>
          <w:szCs w:val="24"/>
        </w:rPr>
        <w:t>fair trial guarantees under Article 14</w:t>
      </w:r>
      <w:r w:rsidR="0010319B" w:rsidRPr="006C0693">
        <w:rPr>
          <w:rFonts w:ascii="Times New Roman" w:hAnsi="Times New Roman" w:cs="Times New Roman"/>
          <w:sz w:val="24"/>
          <w:szCs w:val="24"/>
        </w:rPr>
        <w:t xml:space="preserve">.  There may well be other alternatives available </w:t>
      </w:r>
      <w:r w:rsidR="00FB5A96" w:rsidRPr="006C0693">
        <w:rPr>
          <w:rFonts w:ascii="Times New Roman" w:hAnsi="Times New Roman" w:cs="Times New Roman"/>
          <w:sz w:val="24"/>
          <w:szCs w:val="24"/>
        </w:rPr>
        <w:t xml:space="preserve">to ensure conformity with </w:t>
      </w:r>
      <w:r w:rsidR="00DD6A9B" w:rsidRPr="006C0693">
        <w:rPr>
          <w:rFonts w:ascii="Times New Roman" w:hAnsi="Times New Roman" w:cs="Times New Roman"/>
          <w:sz w:val="24"/>
          <w:szCs w:val="24"/>
        </w:rPr>
        <w:t xml:space="preserve">the terms of </w:t>
      </w:r>
      <w:r w:rsidR="00BF6D5F" w:rsidRPr="006C0693">
        <w:rPr>
          <w:rFonts w:ascii="Times New Roman" w:hAnsi="Times New Roman" w:cs="Times New Roman"/>
          <w:sz w:val="24"/>
          <w:szCs w:val="24"/>
        </w:rPr>
        <w:t>Article</w:t>
      </w:r>
      <w:r w:rsidR="00DD6A9B" w:rsidRPr="006C0693">
        <w:rPr>
          <w:rFonts w:ascii="Times New Roman" w:hAnsi="Times New Roman" w:cs="Times New Roman"/>
          <w:sz w:val="24"/>
          <w:szCs w:val="24"/>
        </w:rPr>
        <w:t xml:space="preserve"> 6</w:t>
      </w:r>
      <w:r w:rsidR="00FB5A96" w:rsidRPr="006C0693">
        <w:rPr>
          <w:rFonts w:ascii="Times New Roman" w:hAnsi="Times New Roman" w:cs="Times New Roman"/>
          <w:sz w:val="24"/>
          <w:szCs w:val="24"/>
        </w:rPr>
        <w:t>.</w:t>
      </w:r>
      <w:r w:rsidR="001378A1" w:rsidRPr="006C0693">
        <w:rPr>
          <w:rFonts w:ascii="Times New Roman" w:hAnsi="Times New Roman" w:cs="Times New Roman"/>
          <w:sz w:val="24"/>
          <w:szCs w:val="24"/>
        </w:rPr>
        <w:t xml:space="preserve">  </w:t>
      </w:r>
      <w:r w:rsidR="0010319B" w:rsidRPr="006C0693">
        <w:rPr>
          <w:rFonts w:ascii="Times New Roman" w:hAnsi="Times New Roman" w:cs="Times New Roman"/>
          <w:sz w:val="24"/>
          <w:szCs w:val="24"/>
        </w:rPr>
        <w:t>F</w:t>
      </w:r>
      <w:r w:rsidR="001378A1" w:rsidRPr="006C0693">
        <w:rPr>
          <w:rFonts w:ascii="Times New Roman" w:hAnsi="Times New Roman" w:cs="Times New Roman"/>
          <w:sz w:val="24"/>
          <w:szCs w:val="24"/>
        </w:rPr>
        <w:t>or example</w:t>
      </w:r>
      <w:r w:rsidR="0010319B" w:rsidRPr="006C0693">
        <w:rPr>
          <w:rFonts w:ascii="Times New Roman" w:hAnsi="Times New Roman" w:cs="Times New Roman"/>
          <w:sz w:val="24"/>
          <w:szCs w:val="24"/>
        </w:rPr>
        <w:t xml:space="preserve">, if the </w:t>
      </w:r>
      <w:r w:rsidR="001378A1" w:rsidRPr="006C0693">
        <w:rPr>
          <w:rFonts w:ascii="Times New Roman" w:hAnsi="Times New Roman" w:cs="Times New Roman"/>
          <w:sz w:val="24"/>
          <w:szCs w:val="24"/>
        </w:rPr>
        <w:t>State under a declared emergency were to conclude that derogating from fair trial guarantees was “</w:t>
      </w:r>
      <w:r w:rsidR="001378A1" w:rsidRPr="002826A1">
        <w:rPr>
          <w:rFonts w:ascii="Times New Roman" w:hAnsi="Times New Roman" w:cs="Times New Roman"/>
          <w:sz w:val="24"/>
          <w:szCs w:val="24"/>
        </w:rPr>
        <w:t>strictly required by the exigencies of the situation</w:t>
      </w:r>
      <w:r w:rsidR="008D65E9" w:rsidRPr="006C0693">
        <w:rPr>
          <w:rFonts w:ascii="Times New Roman" w:hAnsi="Times New Roman" w:cs="Times New Roman"/>
          <w:color w:val="444444"/>
          <w:sz w:val="24"/>
          <w:szCs w:val="24"/>
        </w:rPr>
        <w:t>,</w:t>
      </w:r>
      <w:r w:rsidR="001378A1" w:rsidRPr="002826A1">
        <w:rPr>
          <w:rFonts w:ascii="Times New Roman" w:hAnsi="Times New Roman" w:cs="Times New Roman"/>
          <w:sz w:val="24"/>
          <w:szCs w:val="24"/>
        </w:rPr>
        <w:t>”</w:t>
      </w:r>
      <w:r w:rsidR="001378A1" w:rsidRPr="006C0693">
        <w:rPr>
          <w:rFonts w:ascii="Times New Roman" w:hAnsi="Times New Roman" w:cs="Times New Roman"/>
          <w:color w:val="444444"/>
          <w:sz w:val="24"/>
          <w:szCs w:val="24"/>
        </w:rPr>
        <w:t xml:space="preserve"> </w:t>
      </w:r>
      <w:r w:rsidR="008D65E9" w:rsidRPr="006C0693">
        <w:rPr>
          <w:rFonts w:ascii="Times New Roman" w:hAnsi="Times New Roman" w:cs="Times New Roman"/>
          <w:sz w:val="24"/>
          <w:szCs w:val="24"/>
        </w:rPr>
        <w:t xml:space="preserve">it </w:t>
      </w:r>
      <w:r w:rsidR="0010319B" w:rsidRPr="006C0693">
        <w:rPr>
          <w:rFonts w:ascii="Times New Roman" w:hAnsi="Times New Roman" w:cs="Times New Roman"/>
          <w:sz w:val="24"/>
          <w:szCs w:val="24"/>
        </w:rPr>
        <w:t xml:space="preserve">might decide to </w:t>
      </w:r>
      <w:r w:rsidR="00DD6A9B" w:rsidRPr="006C0693">
        <w:rPr>
          <w:rFonts w:ascii="Times New Roman" w:hAnsi="Times New Roman" w:cs="Times New Roman"/>
          <w:sz w:val="24"/>
          <w:szCs w:val="24"/>
        </w:rPr>
        <w:t>forgo</w:t>
      </w:r>
      <w:r w:rsidR="0010319B" w:rsidRPr="006C0693">
        <w:rPr>
          <w:rFonts w:ascii="Times New Roman" w:hAnsi="Times New Roman" w:cs="Times New Roman"/>
          <w:sz w:val="24"/>
          <w:szCs w:val="24"/>
        </w:rPr>
        <w:t xml:space="preserve"> resort to </w:t>
      </w:r>
      <w:r w:rsidR="00DD6A9B" w:rsidRPr="006C0693">
        <w:rPr>
          <w:rFonts w:ascii="Times New Roman" w:hAnsi="Times New Roman" w:cs="Times New Roman"/>
          <w:sz w:val="24"/>
          <w:szCs w:val="24"/>
        </w:rPr>
        <w:t>the death</w:t>
      </w:r>
      <w:r w:rsidR="001378A1" w:rsidRPr="006C0693">
        <w:rPr>
          <w:rFonts w:ascii="Times New Roman" w:hAnsi="Times New Roman" w:cs="Times New Roman"/>
          <w:sz w:val="24"/>
          <w:szCs w:val="24"/>
        </w:rPr>
        <w:t xml:space="preserve"> penalty</w:t>
      </w:r>
      <w:r w:rsidR="0010319B" w:rsidRPr="006C0693">
        <w:rPr>
          <w:rFonts w:ascii="Times New Roman" w:hAnsi="Times New Roman" w:cs="Times New Roman"/>
          <w:sz w:val="24"/>
          <w:szCs w:val="24"/>
        </w:rPr>
        <w:t xml:space="preserve"> for the duration of the emergency</w:t>
      </w:r>
      <w:r w:rsidR="00F66953" w:rsidRPr="006C0693">
        <w:rPr>
          <w:rFonts w:ascii="Times New Roman" w:hAnsi="Times New Roman" w:cs="Times New Roman"/>
          <w:sz w:val="24"/>
          <w:szCs w:val="24"/>
        </w:rPr>
        <w:t xml:space="preserve">.  </w:t>
      </w:r>
      <w:r w:rsidR="00BF6D5F" w:rsidRPr="006C0693">
        <w:rPr>
          <w:rFonts w:ascii="Times New Roman" w:hAnsi="Times New Roman" w:cs="Times New Roman"/>
          <w:sz w:val="24"/>
          <w:szCs w:val="24"/>
        </w:rPr>
        <w:t>A</w:t>
      </w:r>
      <w:r w:rsidR="00F66953" w:rsidRPr="006C0693">
        <w:rPr>
          <w:rFonts w:ascii="Times New Roman" w:hAnsi="Times New Roman" w:cs="Times New Roman"/>
          <w:sz w:val="24"/>
          <w:szCs w:val="24"/>
        </w:rPr>
        <w:t xml:space="preserve"> </w:t>
      </w:r>
      <w:r w:rsidR="008E1437" w:rsidRPr="006C0693">
        <w:rPr>
          <w:rFonts w:ascii="Times New Roman" w:hAnsi="Times New Roman" w:cs="Times New Roman"/>
          <w:sz w:val="24"/>
          <w:szCs w:val="24"/>
        </w:rPr>
        <w:t xml:space="preserve">decision as to what measures would be necessary to ensure </w:t>
      </w:r>
      <w:r w:rsidR="009626B5" w:rsidRPr="006C0693">
        <w:rPr>
          <w:rFonts w:ascii="Times New Roman" w:hAnsi="Times New Roman" w:cs="Times New Roman"/>
          <w:sz w:val="24"/>
          <w:szCs w:val="24"/>
        </w:rPr>
        <w:t xml:space="preserve">compliance with Article 6 </w:t>
      </w:r>
      <w:r w:rsidR="0010319B" w:rsidRPr="006C0693">
        <w:rPr>
          <w:rFonts w:ascii="Times New Roman" w:hAnsi="Times New Roman" w:cs="Times New Roman"/>
          <w:sz w:val="24"/>
          <w:szCs w:val="24"/>
        </w:rPr>
        <w:t xml:space="preserve">and </w:t>
      </w:r>
      <w:r w:rsidR="008D65E9" w:rsidRPr="006C0693">
        <w:rPr>
          <w:rFonts w:ascii="Times New Roman" w:hAnsi="Times New Roman" w:cs="Times New Roman"/>
          <w:sz w:val="24"/>
          <w:szCs w:val="24"/>
        </w:rPr>
        <w:t>to</w:t>
      </w:r>
      <w:r w:rsidR="0010319B" w:rsidRPr="006C0693">
        <w:rPr>
          <w:rFonts w:ascii="Times New Roman" w:hAnsi="Times New Roman" w:cs="Times New Roman"/>
          <w:sz w:val="24"/>
          <w:szCs w:val="24"/>
        </w:rPr>
        <w:t xml:space="preserve"> strictly address the exigencies of the emergency </w:t>
      </w:r>
      <w:r w:rsidR="009626B5" w:rsidRPr="006C0693">
        <w:rPr>
          <w:rFonts w:ascii="Times New Roman" w:hAnsi="Times New Roman" w:cs="Times New Roman"/>
          <w:sz w:val="24"/>
          <w:szCs w:val="24"/>
        </w:rPr>
        <w:t xml:space="preserve">would </w:t>
      </w:r>
      <w:r w:rsidR="0010319B" w:rsidRPr="006C0693">
        <w:rPr>
          <w:rFonts w:ascii="Times New Roman" w:hAnsi="Times New Roman" w:cs="Times New Roman"/>
          <w:sz w:val="24"/>
          <w:szCs w:val="24"/>
        </w:rPr>
        <w:t xml:space="preserve">be </w:t>
      </w:r>
      <w:r w:rsidR="00BF6D5F" w:rsidRPr="006C0693">
        <w:rPr>
          <w:rFonts w:ascii="Times New Roman" w:hAnsi="Times New Roman" w:cs="Times New Roman"/>
          <w:sz w:val="24"/>
          <w:szCs w:val="24"/>
        </w:rPr>
        <w:t>for</w:t>
      </w:r>
      <w:r w:rsidR="008E1437" w:rsidRPr="006C0693">
        <w:rPr>
          <w:rFonts w:ascii="Times New Roman" w:hAnsi="Times New Roman" w:cs="Times New Roman"/>
          <w:sz w:val="24"/>
          <w:szCs w:val="24"/>
        </w:rPr>
        <w:t xml:space="preserve"> the State Party </w:t>
      </w:r>
      <w:r w:rsidR="003F31D0" w:rsidRPr="006C0693">
        <w:rPr>
          <w:rFonts w:ascii="Times New Roman" w:hAnsi="Times New Roman" w:cs="Times New Roman"/>
          <w:sz w:val="24"/>
          <w:szCs w:val="24"/>
        </w:rPr>
        <w:t>to determine and implement, consistent with</w:t>
      </w:r>
      <w:r w:rsidR="0051713B" w:rsidRPr="006C0693">
        <w:rPr>
          <w:rFonts w:ascii="Times New Roman" w:hAnsi="Times New Roman" w:cs="Times New Roman"/>
          <w:sz w:val="24"/>
          <w:szCs w:val="24"/>
        </w:rPr>
        <w:t xml:space="preserve"> both</w:t>
      </w:r>
      <w:r w:rsidR="00F66953" w:rsidRPr="006C0693">
        <w:rPr>
          <w:rFonts w:ascii="Times New Roman" w:hAnsi="Times New Roman" w:cs="Times New Roman"/>
          <w:sz w:val="24"/>
          <w:szCs w:val="24"/>
        </w:rPr>
        <w:t xml:space="preserve"> Article 2(2)</w:t>
      </w:r>
      <w:r w:rsidR="0051713B" w:rsidRPr="006C0693">
        <w:rPr>
          <w:rFonts w:ascii="Times New Roman" w:hAnsi="Times New Roman" w:cs="Times New Roman"/>
          <w:sz w:val="24"/>
          <w:szCs w:val="24"/>
        </w:rPr>
        <w:t xml:space="preserve"> and Article 4(2).  </w:t>
      </w:r>
      <w:r w:rsidR="00344968" w:rsidRPr="006C0693">
        <w:rPr>
          <w:rFonts w:ascii="Times New Roman" w:hAnsi="Times New Roman" w:cs="Times New Roman"/>
          <w:sz w:val="24"/>
          <w:szCs w:val="24"/>
        </w:rPr>
        <w:t xml:space="preserve">While the </w:t>
      </w:r>
      <w:r w:rsidR="00955DF6" w:rsidRPr="006C0693">
        <w:rPr>
          <w:rFonts w:ascii="Times New Roman" w:hAnsi="Times New Roman" w:cs="Times New Roman"/>
          <w:sz w:val="24"/>
          <w:szCs w:val="24"/>
        </w:rPr>
        <w:t>C</w:t>
      </w:r>
      <w:r w:rsidR="00344968" w:rsidRPr="006C0693">
        <w:rPr>
          <w:rFonts w:ascii="Times New Roman" w:hAnsi="Times New Roman" w:cs="Times New Roman"/>
          <w:sz w:val="24"/>
          <w:szCs w:val="24"/>
        </w:rPr>
        <w:t xml:space="preserve">ommittee </w:t>
      </w:r>
      <w:r w:rsidR="00B06640" w:rsidRPr="006C0693">
        <w:rPr>
          <w:rFonts w:ascii="Times New Roman" w:hAnsi="Times New Roman" w:cs="Times New Roman"/>
          <w:sz w:val="24"/>
          <w:szCs w:val="24"/>
        </w:rPr>
        <w:t xml:space="preserve">may </w:t>
      </w:r>
      <w:r w:rsidR="00344968" w:rsidRPr="006C0693">
        <w:rPr>
          <w:rFonts w:ascii="Times New Roman" w:hAnsi="Times New Roman" w:cs="Times New Roman"/>
          <w:sz w:val="24"/>
          <w:szCs w:val="24"/>
        </w:rPr>
        <w:t>offer</w:t>
      </w:r>
      <w:r w:rsidR="00DD6A9B" w:rsidRPr="006C0693">
        <w:rPr>
          <w:rFonts w:ascii="Times New Roman" w:hAnsi="Times New Roman" w:cs="Times New Roman"/>
          <w:sz w:val="24"/>
          <w:szCs w:val="24"/>
        </w:rPr>
        <w:t xml:space="preserve"> its suggestion and</w:t>
      </w:r>
      <w:r w:rsidR="00344968" w:rsidRPr="006C0693">
        <w:rPr>
          <w:rFonts w:ascii="Times New Roman" w:hAnsi="Times New Roman" w:cs="Times New Roman"/>
          <w:sz w:val="24"/>
          <w:szCs w:val="24"/>
        </w:rPr>
        <w:t xml:space="preserve"> guidance, it would be inappropriate </w:t>
      </w:r>
      <w:r w:rsidR="005F1021" w:rsidRPr="006C0693">
        <w:rPr>
          <w:rFonts w:ascii="Times New Roman" w:hAnsi="Times New Roman" w:cs="Times New Roman"/>
          <w:sz w:val="24"/>
          <w:szCs w:val="24"/>
        </w:rPr>
        <w:t>and beyond i</w:t>
      </w:r>
      <w:r w:rsidR="00240D90" w:rsidRPr="006C0693">
        <w:rPr>
          <w:rFonts w:ascii="Times New Roman" w:hAnsi="Times New Roman" w:cs="Times New Roman"/>
          <w:sz w:val="24"/>
          <w:szCs w:val="24"/>
        </w:rPr>
        <w:t>t</w:t>
      </w:r>
      <w:r w:rsidR="005F1021" w:rsidRPr="006C0693">
        <w:rPr>
          <w:rFonts w:ascii="Times New Roman" w:hAnsi="Times New Roman" w:cs="Times New Roman"/>
          <w:sz w:val="24"/>
          <w:szCs w:val="24"/>
        </w:rPr>
        <w:t xml:space="preserve">s mandate </w:t>
      </w:r>
      <w:r w:rsidR="00344968" w:rsidRPr="006C0693">
        <w:rPr>
          <w:rFonts w:ascii="Times New Roman" w:hAnsi="Times New Roman" w:cs="Times New Roman"/>
          <w:sz w:val="24"/>
          <w:szCs w:val="24"/>
        </w:rPr>
        <w:t xml:space="preserve">to </w:t>
      </w:r>
      <w:r w:rsidR="0051713B" w:rsidRPr="006C0693">
        <w:rPr>
          <w:rFonts w:ascii="Times New Roman" w:hAnsi="Times New Roman" w:cs="Times New Roman"/>
          <w:sz w:val="24"/>
          <w:szCs w:val="24"/>
        </w:rPr>
        <w:t>seek to impose</w:t>
      </w:r>
      <w:r w:rsidR="00344968" w:rsidRPr="006C0693">
        <w:rPr>
          <w:rFonts w:ascii="Times New Roman" w:hAnsi="Times New Roman" w:cs="Times New Roman"/>
          <w:sz w:val="24"/>
          <w:szCs w:val="24"/>
        </w:rPr>
        <w:t xml:space="preserve"> one </w:t>
      </w:r>
      <w:r w:rsidR="007E21D0" w:rsidRPr="006C0693">
        <w:rPr>
          <w:rFonts w:ascii="Times New Roman" w:hAnsi="Times New Roman" w:cs="Times New Roman"/>
          <w:sz w:val="24"/>
          <w:szCs w:val="24"/>
        </w:rPr>
        <w:t>alternative rather</w:t>
      </w:r>
      <w:r w:rsidR="0051713B" w:rsidRPr="006C0693">
        <w:rPr>
          <w:rFonts w:ascii="Times New Roman" w:hAnsi="Times New Roman" w:cs="Times New Roman"/>
          <w:sz w:val="24"/>
          <w:szCs w:val="24"/>
        </w:rPr>
        <w:t xml:space="preserve"> than</w:t>
      </w:r>
      <w:r w:rsidR="00344968" w:rsidRPr="006C0693">
        <w:rPr>
          <w:rFonts w:ascii="Times New Roman" w:hAnsi="Times New Roman" w:cs="Times New Roman"/>
          <w:sz w:val="24"/>
          <w:szCs w:val="24"/>
        </w:rPr>
        <w:t xml:space="preserve"> another</w:t>
      </w:r>
      <w:r w:rsidR="00F74A8F" w:rsidRPr="006C0693">
        <w:rPr>
          <w:rFonts w:ascii="Times New Roman" w:hAnsi="Times New Roman" w:cs="Times New Roman"/>
          <w:sz w:val="24"/>
          <w:szCs w:val="24"/>
        </w:rPr>
        <w:t>.</w:t>
      </w:r>
    </w:p>
    <w:p w:rsidR="00120E72" w:rsidRPr="006C0693" w:rsidRDefault="00120E72" w:rsidP="006C0693">
      <w:pPr>
        <w:rPr>
          <w:rFonts w:ascii="Times New Roman" w:hAnsi="Times New Roman" w:cs="Times New Roman"/>
          <w:sz w:val="24"/>
          <w:szCs w:val="24"/>
        </w:rPr>
      </w:pPr>
      <w:r w:rsidRPr="006C0693">
        <w:rPr>
          <w:rFonts w:ascii="Times New Roman" w:hAnsi="Times New Roman" w:cs="Times New Roman"/>
          <w:sz w:val="24"/>
          <w:szCs w:val="24"/>
          <w:u w:val="single"/>
        </w:rPr>
        <w:t>Transfers to Other Countries (</w:t>
      </w:r>
      <w:r w:rsidR="00FA3F73" w:rsidRPr="006C0693">
        <w:rPr>
          <w:rFonts w:ascii="Times New Roman" w:hAnsi="Times New Roman" w:cs="Times New Roman"/>
          <w:sz w:val="24"/>
          <w:szCs w:val="24"/>
          <w:u w:val="single"/>
        </w:rPr>
        <w:t>Non-</w:t>
      </w:r>
      <w:r w:rsidRPr="006C0693">
        <w:rPr>
          <w:rFonts w:ascii="Times New Roman" w:hAnsi="Times New Roman" w:cs="Times New Roman"/>
          <w:sz w:val="24"/>
          <w:szCs w:val="24"/>
          <w:u w:val="single"/>
        </w:rPr>
        <w:t>Refoulement)</w:t>
      </w:r>
      <w:r w:rsidRPr="006C0693">
        <w:rPr>
          <w:rFonts w:ascii="Times New Roman" w:hAnsi="Times New Roman" w:cs="Times New Roman"/>
          <w:sz w:val="24"/>
          <w:szCs w:val="24"/>
        </w:rPr>
        <w:t xml:space="preserve"> </w:t>
      </w:r>
    </w:p>
    <w:p w:rsidR="001F1A72" w:rsidRPr="006C0693" w:rsidRDefault="00F053C7" w:rsidP="006C0693">
      <w:pPr>
        <w:rPr>
          <w:rFonts w:ascii="Times New Roman" w:eastAsia="Times New Roman" w:hAnsi="Times New Roman" w:cs="Times New Roman"/>
          <w:color w:val="000000"/>
          <w:sz w:val="24"/>
          <w:szCs w:val="24"/>
        </w:rPr>
      </w:pPr>
      <w:r w:rsidRPr="006C0693">
        <w:rPr>
          <w:rFonts w:ascii="Times New Roman" w:hAnsi="Times New Roman" w:cs="Times New Roman"/>
          <w:sz w:val="24"/>
          <w:szCs w:val="24"/>
        </w:rPr>
        <w:t>2</w:t>
      </w:r>
      <w:r w:rsidR="0041086C" w:rsidRPr="006C0693">
        <w:rPr>
          <w:rFonts w:ascii="Times New Roman" w:hAnsi="Times New Roman" w:cs="Times New Roman"/>
          <w:sz w:val="24"/>
          <w:szCs w:val="24"/>
        </w:rPr>
        <w:t>4</w:t>
      </w:r>
      <w:r w:rsidRPr="006C0693">
        <w:rPr>
          <w:rFonts w:ascii="Times New Roman" w:hAnsi="Times New Roman" w:cs="Times New Roman"/>
          <w:sz w:val="24"/>
          <w:szCs w:val="24"/>
        </w:rPr>
        <w:t xml:space="preserve">.  </w:t>
      </w:r>
      <w:r w:rsidR="009F5B30" w:rsidRPr="006C0693">
        <w:rPr>
          <w:rFonts w:ascii="Times New Roman" w:hAnsi="Times New Roman" w:cs="Times New Roman"/>
          <w:sz w:val="24"/>
          <w:szCs w:val="24"/>
        </w:rPr>
        <w:t xml:space="preserve">As with previous </w:t>
      </w:r>
      <w:r w:rsidR="005F1021" w:rsidRPr="006C0693">
        <w:rPr>
          <w:rFonts w:ascii="Times New Roman" w:hAnsi="Times New Roman" w:cs="Times New Roman"/>
          <w:sz w:val="24"/>
          <w:szCs w:val="24"/>
        </w:rPr>
        <w:t xml:space="preserve">general comments </w:t>
      </w:r>
      <w:r w:rsidR="008D65E9" w:rsidRPr="006C0693">
        <w:rPr>
          <w:rFonts w:ascii="Times New Roman" w:hAnsi="Times New Roman" w:cs="Times New Roman"/>
          <w:sz w:val="24"/>
          <w:szCs w:val="24"/>
        </w:rPr>
        <w:t xml:space="preserve">from the Committee </w:t>
      </w:r>
      <w:r w:rsidR="009F5B30" w:rsidRPr="006C0693">
        <w:rPr>
          <w:rFonts w:ascii="Times New Roman" w:hAnsi="Times New Roman" w:cs="Times New Roman"/>
          <w:sz w:val="24"/>
          <w:szCs w:val="24"/>
        </w:rPr>
        <w:t xml:space="preserve">addressing other rights, </w:t>
      </w:r>
      <w:r w:rsidR="00303E0A" w:rsidRPr="006C0693">
        <w:rPr>
          <w:rFonts w:ascii="Times New Roman" w:hAnsi="Times New Roman" w:cs="Times New Roman"/>
          <w:sz w:val="24"/>
          <w:szCs w:val="24"/>
        </w:rPr>
        <w:t>draft General Comment No. 36</w:t>
      </w:r>
      <w:r w:rsidR="009F5B30" w:rsidRPr="006C0693">
        <w:rPr>
          <w:rFonts w:ascii="Times New Roman" w:hAnsi="Times New Roman" w:cs="Times New Roman"/>
          <w:sz w:val="24"/>
          <w:szCs w:val="24"/>
        </w:rPr>
        <w:t xml:space="preserve"> states</w:t>
      </w:r>
      <w:r w:rsidR="00FA3F73" w:rsidRPr="006C0693">
        <w:rPr>
          <w:rFonts w:ascii="Times New Roman" w:hAnsi="Times New Roman" w:cs="Times New Roman"/>
          <w:sz w:val="24"/>
          <w:szCs w:val="24"/>
        </w:rPr>
        <w:t>,</w:t>
      </w:r>
      <w:r w:rsidR="003C1474" w:rsidRPr="006C0693">
        <w:rPr>
          <w:rFonts w:ascii="Times New Roman" w:hAnsi="Times New Roman" w:cs="Times New Roman"/>
          <w:sz w:val="24"/>
          <w:szCs w:val="24"/>
        </w:rPr>
        <w:t xml:space="preserve"> “The duty to respect and ensure the right to life requires States parties to refrain from deporting, extraditing or otherwise transferring individuals to countries in which there are substantial grounds for believing that a real risk exists that they would be deprived of their life in violation of article 6 of the Covenant.”  Paragraph 35 goes further in stating</w:t>
      </w:r>
      <w:r w:rsidR="00FA3F73" w:rsidRPr="006C0693">
        <w:rPr>
          <w:rFonts w:ascii="Times New Roman" w:hAnsi="Times New Roman" w:cs="Times New Roman"/>
          <w:sz w:val="24"/>
          <w:szCs w:val="24"/>
        </w:rPr>
        <w:t xml:space="preserve">, </w:t>
      </w:r>
      <w:r w:rsidR="003C1474" w:rsidRPr="006C0693">
        <w:rPr>
          <w:rFonts w:ascii="Times New Roman" w:hAnsi="Times New Roman" w:cs="Times New Roman"/>
          <w:sz w:val="24"/>
          <w:szCs w:val="24"/>
        </w:rPr>
        <w:t xml:space="preserve">“The obligation not to extradite, deport or otherwise transfer pursuant to article 6 of the Covenant is broader than the scope of the principle of </w:t>
      </w:r>
      <w:r w:rsidR="005F1021" w:rsidRPr="006C0693">
        <w:rPr>
          <w:rFonts w:ascii="Times New Roman" w:hAnsi="Times New Roman" w:cs="Times New Roman"/>
          <w:i/>
          <w:sz w:val="24"/>
          <w:szCs w:val="24"/>
        </w:rPr>
        <w:t>non</w:t>
      </w:r>
      <w:r w:rsidR="00721A7B" w:rsidRPr="006C0693">
        <w:rPr>
          <w:rFonts w:ascii="Times New Roman" w:hAnsi="Times New Roman" w:cs="Times New Roman"/>
          <w:i/>
          <w:sz w:val="24"/>
          <w:szCs w:val="24"/>
        </w:rPr>
        <w:t xml:space="preserve"> </w:t>
      </w:r>
      <w:r w:rsidR="003C1474" w:rsidRPr="006C0693">
        <w:rPr>
          <w:rFonts w:ascii="Times New Roman" w:hAnsi="Times New Roman" w:cs="Times New Roman"/>
          <w:i/>
          <w:sz w:val="24"/>
          <w:szCs w:val="24"/>
        </w:rPr>
        <w:t>refoulement</w:t>
      </w:r>
      <w:r w:rsidR="003C1474" w:rsidRPr="006C0693">
        <w:rPr>
          <w:rFonts w:ascii="Times New Roman" w:hAnsi="Times New Roman" w:cs="Times New Roman"/>
          <w:sz w:val="24"/>
          <w:szCs w:val="24"/>
        </w:rPr>
        <w:t xml:space="preserve"> under international refugee law, since it may also require the protection of aliens not entitled to refugee status.”  Corresponding assertions are made in other paragraphs, </w:t>
      </w:r>
      <w:r w:rsidR="00F66EA5" w:rsidRPr="006C0693">
        <w:rPr>
          <w:rFonts w:ascii="Times New Roman" w:hAnsi="Times New Roman" w:cs="Times New Roman"/>
          <w:sz w:val="24"/>
          <w:szCs w:val="24"/>
        </w:rPr>
        <w:t>notably paragraphs 38</w:t>
      </w:r>
      <w:r w:rsidR="00423FE2" w:rsidRPr="006C0693">
        <w:rPr>
          <w:rFonts w:ascii="Times New Roman" w:hAnsi="Times New Roman" w:cs="Times New Roman"/>
          <w:sz w:val="24"/>
          <w:szCs w:val="24"/>
        </w:rPr>
        <w:t xml:space="preserve"> and</w:t>
      </w:r>
      <w:r w:rsidR="00F66EA5" w:rsidRPr="006C0693">
        <w:rPr>
          <w:rFonts w:ascii="Times New Roman" w:hAnsi="Times New Roman" w:cs="Times New Roman"/>
          <w:sz w:val="24"/>
          <w:szCs w:val="24"/>
        </w:rPr>
        <w:t xml:space="preserve"> 46 in relation to the death penalty and </w:t>
      </w:r>
      <w:r w:rsidR="00423FE2" w:rsidRPr="006C0693">
        <w:rPr>
          <w:rFonts w:ascii="Times New Roman" w:hAnsi="Times New Roman" w:cs="Times New Roman"/>
          <w:sz w:val="24"/>
          <w:szCs w:val="24"/>
        </w:rPr>
        <w:t>paragraph 59 in relation to Article 7.</w:t>
      </w:r>
      <w:r w:rsidR="00721A7B" w:rsidRPr="006C0693">
        <w:rPr>
          <w:rFonts w:ascii="Times New Roman" w:hAnsi="Times New Roman" w:cs="Times New Roman"/>
          <w:sz w:val="24"/>
          <w:szCs w:val="24"/>
        </w:rPr>
        <w:t xml:space="preserve"> </w:t>
      </w:r>
      <w:r w:rsidR="003E62C7" w:rsidRPr="006C0693">
        <w:rPr>
          <w:rFonts w:ascii="Times New Roman" w:hAnsi="Times New Roman" w:cs="Times New Roman"/>
          <w:sz w:val="24"/>
          <w:szCs w:val="24"/>
        </w:rPr>
        <w:t xml:space="preserve"> </w:t>
      </w:r>
      <w:r w:rsidR="003C1474" w:rsidRPr="006C0693">
        <w:rPr>
          <w:rFonts w:ascii="Times New Roman" w:hAnsi="Times New Roman" w:cs="Times New Roman"/>
          <w:sz w:val="24"/>
          <w:szCs w:val="24"/>
        </w:rPr>
        <w:t xml:space="preserve">The United States strongly disagrees </w:t>
      </w:r>
      <w:r w:rsidR="00423FE2" w:rsidRPr="006C0693">
        <w:rPr>
          <w:rFonts w:ascii="Times New Roman" w:hAnsi="Times New Roman" w:cs="Times New Roman"/>
          <w:sz w:val="24"/>
          <w:szCs w:val="24"/>
        </w:rPr>
        <w:t xml:space="preserve">for the reasons stated in its Observations on General Comment No. 31 and General Comment No. 35. </w:t>
      </w:r>
      <w:r w:rsidR="00925234" w:rsidRPr="006C0693">
        <w:rPr>
          <w:rFonts w:ascii="Times New Roman" w:hAnsi="Times New Roman" w:cs="Times New Roman"/>
          <w:sz w:val="24"/>
          <w:szCs w:val="24"/>
        </w:rPr>
        <w:t xml:space="preserve"> As we have stated before, t</w:t>
      </w:r>
      <w:r w:rsidR="00925234" w:rsidRPr="006C0693">
        <w:rPr>
          <w:rFonts w:ascii="Times New Roman" w:eastAsia="Times New Roman" w:hAnsi="Times New Roman" w:cs="Times New Roman"/>
          <w:color w:val="000000"/>
          <w:sz w:val="24"/>
          <w:szCs w:val="24"/>
        </w:rPr>
        <w:t>he Committee’s non-binding opinions on this matter have no legal basis in the text of the treaty or the intention of its States Parties at the time they negotiated or became parties to the ICCPR</w:t>
      </w:r>
      <w:r w:rsidR="003E62C7" w:rsidRPr="006C0693">
        <w:rPr>
          <w:rFonts w:ascii="Times New Roman" w:eastAsia="Times New Roman" w:hAnsi="Times New Roman" w:cs="Times New Roman"/>
          <w:color w:val="000000"/>
          <w:sz w:val="24"/>
          <w:szCs w:val="24"/>
        </w:rPr>
        <w:t xml:space="preserve">. </w:t>
      </w:r>
      <w:r w:rsidR="005C6D6A" w:rsidRPr="006C0693">
        <w:rPr>
          <w:rFonts w:ascii="Times New Roman" w:eastAsia="Times New Roman" w:hAnsi="Times New Roman" w:cs="Times New Roman"/>
          <w:color w:val="000000"/>
          <w:sz w:val="24"/>
          <w:szCs w:val="24"/>
        </w:rPr>
        <w:t xml:space="preserve"> </w:t>
      </w:r>
      <w:r w:rsidR="00925234" w:rsidRPr="006C0693">
        <w:rPr>
          <w:rFonts w:ascii="Times New Roman" w:eastAsia="Times New Roman" w:hAnsi="Times New Roman" w:cs="Times New Roman"/>
          <w:color w:val="000000"/>
          <w:sz w:val="24"/>
          <w:szCs w:val="24"/>
        </w:rPr>
        <w:t xml:space="preserve">The only obligations under international human rights and refugee law that the United States has assumed with respect to such transfers are the </w:t>
      </w:r>
      <w:r w:rsidR="00925234" w:rsidRPr="006C0693">
        <w:rPr>
          <w:rFonts w:ascii="Times New Roman" w:eastAsia="Times New Roman" w:hAnsi="Times New Roman" w:cs="Times New Roman"/>
          <w:i/>
          <w:color w:val="000000"/>
          <w:sz w:val="24"/>
          <w:szCs w:val="24"/>
        </w:rPr>
        <w:t>non-refoulement</w:t>
      </w:r>
      <w:r w:rsidR="00925234" w:rsidRPr="006C0693">
        <w:rPr>
          <w:rFonts w:ascii="Times New Roman" w:eastAsia="Times New Roman" w:hAnsi="Times New Roman" w:cs="Times New Roman"/>
          <w:color w:val="000000"/>
          <w:sz w:val="24"/>
          <w:szCs w:val="24"/>
        </w:rPr>
        <w:t xml:space="preserve"> </w:t>
      </w:r>
      <w:r w:rsidR="0025565B" w:rsidRPr="006C0693">
        <w:rPr>
          <w:rFonts w:ascii="Times New Roman" w:eastAsia="Times New Roman" w:hAnsi="Times New Roman" w:cs="Times New Roman"/>
          <w:color w:val="000000"/>
          <w:sz w:val="24"/>
          <w:szCs w:val="24"/>
        </w:rPr>
        <w:t xml:space="preserve">provisions </w:t>
      </w:r>
      <w:r w:rsidR="00925234" w:rsidRPr="006C0693">
        <w:rPr>
          <w:rFonts w:ascii="Times New Roman" w:eastAsia="Times New Roman" w:hAnsi="Times New Roman" w:cs="Times New Roman"/>
          <w:color w:val="000000"/>
          <w:sz w:val="24"/>
          <w:szCs w:val="24"/>
        </w:rPr>
        <w:t xml:space="preserve">contained in Article 33 of the Convention Relating to the Status of </w:t>
      </w:r>
      <w:r w:rsidR="00925234" w:rsidRPr="006C0693">
        <w:rPr>
          <w:rFonts w:ascii="Times New Roman" w:eastAsia="Times New Roman" w:hAnsi="Times New Roman" w:cs="Times New Roman"/>
          <w:color w:val="000000"/>
          <w:sz w:val="24"/>
          <w:szCs w:val="24"/>
        </w:rPr>
        <w:lastRenderedPageBreak/>
        <w:t>Refugees (applicable to the United States by virtue of its ratification of the Protocol Relating to the Status of Refugees) and in Article 3 of the Convention Against Torture.</w:t>
      </w:r>
      <w:r w:rsidR="0025565B" w:rsidRPr="006C0693">
        <w:rPr>
          <w:rStyle w:val="FootnoteReference"/>
          <w:rFonts w:ascii="Times New Roman" w:hAnsi="Times New Roman" w:cs="Times New Roman"/>
          <w:sz w:val="24"/>
          <w:szCs w:val="24"/>
        </w:rPr>
        <w:footnoteReference w:id="26"/>
      </w:r>
    </w:p>
    <w:p w:rsidR="00907689" w:rsidRPr="006C0693" w:rsidRDefault="00907689" w:rsidP="006C0693">
      <w:pPr>
        <w:contextualSpacing/>
        <w:rPr>
          <w:rFonts w:ascii="Times New Roman" w:hAnsi="Times New Roman" w:cs="Times New Roman"/>
          <w:b/>
          <w:sz w:val="24"/>
          <w:szCs w:val="24"/>
        </w:rPr>
      </w:pPr>
      <w:r w:rsidRPr="006C0693">
        <w:rPr>
          <w:rFonts w:ascii="Times New Roman" w:hAnsi="Times New Roman" w:cs="Times New Roman"/>
          <w:b/>
          <w:sz w:val="24"/>
          <w:szCs w:val="24"/>
        </w:rPr>
        <w:t>I</w:t>
      </w:r>
      <w:r w:rsidR="007E21D0" w:rsidRPr="006C0693">
        <w:rPr>
          <w:rFonts w:ascii="Times New Roman" w:hAnsi="Times New Roman" w:cs="Times New Roman"/>
          <w:b/>
          <w:sz w:val="24"/>
          <w:szCs w:val="24"/>
        </w:rPr>
        <w:t>II.</w:t>
      </w:r>
      <w:r w:rsidR="00993DCF">
        <w:rPr>
          <w:rFonts w:ascii="Times New Roman" w:hAnsi="Times New Roman" w:cs="Times New Roman"/>
          <w:b/>
          <w:sz w:val="24"/>
          <w:szCs w:val="24"/>
        </w:rPr>
        <w:tab/>
      </w:r>
      <w:r w:rsidR="00A5623D" w:rsidRPr="006C0693">
        <w:rPr>
          <w:rFonts w:ascii="Times New Roman" w:hAnsi="Times New Roman" w:cs="Times New Roman"/>
          <w:b/>
          <w:sz w:val="24"/>
          <w:szCs w:val="24"/>
        </w:rPr>
        <w:t xml:space="preserve">Specific Issues of Concern </w:t>
      </w:r>
      <w:r w:rsidR="001F76BA" w:rsidRPr="006C0693">
        <w:rPr>
          <w:rFonts w:ascii="Times New Roman" w:hAnsi="Times New Roman" w:cs="Times New Roman"/>
          <w:b/>
          <w:sz w:val="24"/>
          <w:szCs w:val="24"/>
        </w:rPr>
        <w:t>Related</w:t>
      </w:r>
      <w:r w:rsidR="00A5623D" w:rsidRPr="006C0693">
        <w:rPr>
          <w:rFonts w:ascii="Times New Roman" w:hAnsi="Times New Roman" w:cs="Times New Roman"/>
          <w:b/>
          <w:sz w:val="24"/>
          <w:szCs w:val="24"/>
        </w:rPr>
        <w:t xml:space="preserve"> to Article 6(</w:t>
      </w:r>
      <w:r w:rsidR="001F76BA" w:rsidRPr="006C0693">
        <w:rPr>
          <w:rFonts w:ascii="Times New Roman" w:hAnsi="Times New Roman" w:cs="Times New Roman"/>
          <w:b/>
          <w:sz w:val="24"/>
          <w:szCs w:val="24"/>
        </w:rPr>
        <w:t>1</w:t>
      </w:r>
      <w:r w:rsidR="00A5623D" w:rsidRPr="006C0693">
        <w:rPr>
          <w:rFonts w:ascii="Times New Roman" w:hAnsi="Times New Roman" w:cs="Times New Roman"/>
          <w:b/>
          <w:sz w:val="24"/>
          <w:szCs w:val="24"/>
        </w:rPr>
        <w:t>)</w:t>
      </w:r>
    </w:p>
    <w:p w:rsidR="00907689" w:rsidRPr="006C0693" w:rsidRDefault="00907689" w:rsidP="006C0693">
      <w:pPr>
        <w:contextualSpacing/>
        <w:rPr>
          <w:rFonts w:ascii="Times New Roman" w:hAnsi="Times New Roman" w:cs="Times New Roman"/>
          <w:sz w:val="24"/>
          <w:szCs w:val="24"/>
        </w:rPr>
      </w:pPr>
    </w:p>
    <w:p w:rsidR="00A5623D" w:rsidRPr="006C0693" w:rsidRDefault="00BF732D" w:rsidP="006C0693">
      <w:pPr>
        <w:spacing w:after="0"/>
        <w:rPr>
          <w:rFonts w:ascii="Times New Roman" w:hAnsi="Times New Roman" w:cs="Times New Roman"/>
          <w:sz w:val="24"/>
          <w:szCs w:val="24"/>
        </w:rPr>
      </w:pPr>
      <w:r w:rsidRPr="006C0693">
        <w:rPr>
          <w:rFonts w:ascii="Times New Roman" w:hAnsi="Times New Roman" w:cs="Times New Roman"/>
          <w:sz w:val="24"/>
          <w:szCs w:val="24"/>
        </w:rPr>
        <w:t>2</w:t>
      </w:r>
      <w:r w:rsidR="0041086C" w:rsidRPr="006C0693">
        <w:rPr>
          <w:rFonts w:ascii="Times New Roman" w:hAnsi="Times New Roman" w:cs="Times New Roman"/>
          <w:sz w:val="24"/>
          <w:szCs w:val="24"/>
        </w:rPr>
        <w:t>5</w:t>
      </w:r>
      <w:r w:rsidR="00F053C7" w:rsidRPr="006C0693">
        <w:rPr>
          <w:rFonts w:ascii="Times New Roman" w:hAnsi="Times New Roman" w:cs="Times New Roman"/>
          <w:sz w:val="24"/>
          <w:szCs w:val="24"/>
        </w:rPr>
        <w:t xml:space="preserve">.  </w:t>
      </w:r>
      <w:r w:rsidR="00AB28FE" w:rsidRPr="006C0693">
        <w:rPr>
          <w:rFonts w:ascii="Times New Roman" w:hAnsi="Times New Roman" w:cs="Times New Roman"/>
          <w:sz w:val="24"/>
          <w:szCs w:val="24"/>
        </w:rPr>
        <w:t>T</w:t>
      </w:r>
      <w:r w:rsidR="00A5623D" w:rsidRPr="006C0693">
        <w:rPr>
          <w:rFonts w:ascii="Times New Roman" w:hAnsi="Times New Roman" w:cs="Times New Roman"/>
          <w:sz w:val="24"/>
          <w:szCs w:val="24"/>
        </w:rPr>
        <w:t xml:space="preserve">he Committee </w:t>
      </w:r>
      <w:r w:rsidR="00D02466" w:rsidRPr="006C0693">
        <w:rPr>
          <w:rFonts w:ascii="Times New Roman" w:hAnsi="Times New Roman" w:cs="Times New Roman"/>
          <w:sz w:val="24"/>
          <w:szCs w:val="24"/>
        </w:rPr>
        <w:t>should</w:t>
      </w:r>
      <w:r w:rsidR="00A5623D" w:rsidRPr="006C0693">
        <w:rPr>
          <w:rFonts w:ascii="Times New Roman" w:hAnsi="Times New Roman" w:cs="Times New Roman"/>
          <w:sz w:val="24"/>
          <w:szCs w:val="24"/>
        </w:rPr>
        <w:t xml:space="preserve"> conform its </w:t>
      </w:r>
      <w:r w:rsidR="00827423" w:rsidRPr="006C0693">
        <w:rPr>
          <w:rFonts w:ascii="Times New Roman" w:hAnsi="Times New Roman" w:cs="Times New Roman"/>
          <w:sz w:val="24"/>
          <w:szCs w:val="24"/>
        </w:rPr>
        <w:t>language</w:t>
      </w:r>
      <w:r w:rsidR="00A5623D" w:rsidRPr="006C0693">
        <w:rPr>
          <w:rFonts w:ascii="Times New Roman" w:hAnsi="Times New Roman" w:cs="Times New Roman"/>
          <w:sz w:val="24"/>
          <w:szCs w:val="24"/>
        </w:rPr>
        <w:t xml:space="preserve"> throughout </w:t>
      </w:r>
      <w:r w:rsidR="002F4080" w:rsidRPr="006C0693">
        <w:rPr>
          <w:rFonts w:ascii="Times New Roman" w:hAnsi="Times New Roman" w:cs="Times New Roman"/>
          <w:sz w:val="24"/>
          <w:szCs w:val="24"/>
        </w:rPr>
        <w:t>draft</w:t>
      </w:r>
      <w:r w:rsidR="00A5623D" w:rsidRPr="006C0693">
        <w:rPr>
          <w:rFonts w:ascii="Times New Roman" w:hAnsi="Times New Roman" w:cs="Times New Roman"/>
          <w:sz w:val="24"/>
          <w:szCs w:val="24"/>
        </w:rPr>
        <w:t xml:space="preserve"> General Comment </w:t>
      </w:r>
      <w:r w:rsidR="002F4080" w:rsidRPr="006C0693">
        <w:rPr>
          <w:rFonts w:ascii="Times New Roman" w:hAnsi="Times New Roman" w:cs="Times New Roman"/>
          <w:sz w:val="24"/>
          <w:szCs w:val="24"/>
        </w:rPr>
        <w:t xml:space="preserve">36 </w:t>
      </w:r>
      <w:r w:rsidR="00A5623D" w:rsidRPr="006C0693">
        <w:rPr>
          <w:rFonts w:ascii="Times New Roman" w:hAnsi="Times New Roman" w:cs="Times New Roman"/>
          <w:sz w:val="24"/>
          <w:szCs w:val="24"/>
        </w:rPr>
        <w:t xml:space="preserve">to the </w:t>
      </w:r>
      <w:r w:rsidR="00A60DDE" w:rsidRPr="006C0693">
        <w:rPr>
          <w:rFonts w:ascii="Times New Roman" w:hAnsi="Times New Roman" w:cs="Times New Roman"/>
          <w:sz w:val="24"/>
          <w:szCs w:val="24"/>
        </w:rPr>
        <w:t xml:space="preserve">text of the </w:t>
      </w:r>
      <w:r w:rsidR="00A5623D" w:rsidRPr="006C0693">
        <w:rPr>
          <w:rFonts w:ascii="Times New Roman" w:hAnsi="Times New Roman" w:cs="Times New Roman"/>
          <w:sz w:val="24"/>
          <w:szCs w:val="24"/>
        </w:rPr>
        <w:t>obligations set out under Article 6(1)</w:t>
      </w:r>
      <w:r w:rsidR="00B06640" w:rsidRPr="006C0693">
        <w:rPr>
          <w:rFonts w:ascii="Times New Roman" w:hAnsi="Times New Roman" w:cs="Times New Roman"/>
          <w:sz w:val="24"/>
          <w:szCs w:val="24"/>
        </w:rPr>
        <w:t>,</w:t>
      </w:r>
      <w:r w:rsidR="00A5623D" w:rsidRPr="006C0693">
        <w:rPr>
          <w:rFonts w:ascii="Times New Roman" w:hAnsi="Times New Roman" w:cs="Times New Roman"/>
          <w:sz w:val="24"/>
          <w:szCs w:val="24"/>
        </w:rPr>
        <w:t xml:space="preserve"> which are to ensure</w:t>
      </w:r>
      <w:r w:rsidR="00B06640" w:rsidRPr="006C0693">
        <w:rPr>
          <w:rFonts w:ascii="Times New Roman" w:hAnsi="Times New Roman" w:cs="Times New Roman"/>
          <w:sz w:val="24"/>
          <w:szCs w:val="24"/>
        </w:rPr>
        <w:t>,</w:t>
      </w:r>
      <w:r w:rsidR="00D02466" w:rsidRPr="006C0693">
        <w:rPr>
          <w:rFonts w:ascii="Times New Roman" w:hAnsi="Times New Roman" w:cs="Times New Roman"/>
          <w:sz w:val="24"/>
          <w:szCs w:val="24"/>
        </w:rPr>
        <w:t xml:space="preserve"> within the scope of application of the treaty</w:t>
      </w:r>
      <w:r w:rsidR="00F053C7" w:rsidRPr="006C0693">
        <w:rPr>
          <w:rFonts w:ascii="Times New Roman" w:hAnsi="Times New Roman" w:cs="Times New Roman"/>
          <w:sz w:val="24"/>
          <w:szCs w:val="24"/>
        </w:rPr>
        <w:t>:</w:t>
      </w:r>
      <w:r w:rsidR="00D02466" w:rsidRPr="006C0693">
        <w:rPr>
          <w:rFonts w:ascii="Times New Roman" w:hAnsi="Times New Roman" w:cs="Times New Roman"/>
          <w:sz w:val="24"/>
          <w:szCs w:val="24"/>
        </w:rPr>
        <w:t xml:space="preserve"> </w:t>
      </w:r>
      <w:r w:rsidR="00721A7B" w:rsidRPr="006C0693">
        <w:rPr>
          <w:rFonts w:ascii="Times New Roman" w:hAnsi="Times New Roman" w:cs="Times New Roman"/>
          <w:sz w:val="24"/>
          <w:szCs w:val="24"/>
        </w:rPr>
        <w:t>(</w:t>
      </w:r>
      <w:r w:rsidR="00DC2C6B" w:rsidRPr="006C0693">
        <w:rPr>
          <w:rFonts w:ascii="Times New Roman" w:hAnsi="Times New Roman" w:cs="Times New Roman"/>
          <w:sz w:val="24"/>
          <w:szCs w:val="24"/>
        </w:rPr>
        <w:t xml:space="preserve">1) </w:t>
      </w:r>
      <w:r w:rsidR="00A5623D" w:rsidRPr="006C0693">
        <w:rPr>
          <w:rFonts w:ascii="Times New Roman" w:hAnsi="Times New Roman" w:cs="Times New Roman"/>
          <w:sz w:val="24"/>
          <w:szCs w:val="24"/>
        </w:rPr>
        <w:t>that the right to life “</w:t>
      </w:r>
      <w:r w:rsidR="00721A7B" w:rsidRPr="006C0693">
        <w:rPr>
          <w:rFonts w:ascii="Times New Roman" w:hAnsi="Times New Roman" w:cs="Times New Roman"/>
          <w:sz w:val="24"/>
          <w:szCs w:val="24"/>
        </w:rPr>
        <w:t xml:space="preserve">shall be </w:t>
      </w:r>
      <w:r w:rsidR="00A5623D" w:rsidRPr="006C0693">
        <w:rPr>
          <w:rFonts w:ascii="Times New Roman" w:hAnsi="Times New Roman" w:cs="Times New Roman"/>
          <w:sz w:val="24"/>
          <w:szCs w:val="24"/>
        </w:rPr>
        <w:t>protected by law” and</w:t>
      </w:r>
      <w:r w:rsidR="00D02466" w:rsidRPr="006C0693">
        <w:rPr>
          <w:rFonts w:ascii="Times New Roman" w:hAnsi="Times New Roman" w:cs="Times New Roman"/>
          <w:sz w:val="24"/>
          <w:szCs w:val="24"/>
        </w:rPr>
        <w:t xml:space="preserve"> </w:t>
      </w:r>
      <w:r w:rsidR="00721A7B" w:rsidRPr="006C0693">
        <w:rPr>
          <w:rFonts w:ascii="Times New Roman" w:hAnsi="Times New Roman" w:cs="Times New Roman"/>
          <w:sz w:val="24"/>
          <w:szCs w:val="24"/>
        </w:rPr>
        <w:t>(</w:t>
      </w:r>
      <w:r w:rsidR="00D02466" w:rsidRPr="006C0693">
        <w:rPr>
          <w:rFonts w:ascii="Times New Roman" w:hAnsi="Times New Roman" w:cs="Times New Roman"/>
          <w:sz w:val="24"/>
          <w:szCs w:val="24"/>
        </w:rPr>
        <w:t>2)</w:t>
      </w:r>
      <w:r w:rsidR="00A5623D" w:rsidRPr="006C0693">
        <w:rPr>
          <w:rFonts w:ascii="Times New Roman" w:hAnsi="Times New Roman" w:cs="Times New Roman"/>
          <w:sz w:val="24"/>
          <w:szCs w:val="24"/>
        </w:rPr>
        <w:t xml:space="preserve"> that “no one </w:t>
      </w:r>
      <w:r w:rsidR="00721A7B" w:rsidRPr="006C0693">
        <w:rPr>
          <w:rFonts w:ascii="Times New Roman" w:hAnsi="Times New Roman" w:cs="Times New Roman"/>
          <w:sz w:val="24"/>
          <w:szCs w:val="24"/>
        </w:rPr>
        <w:t xml:space="preserve">shall be </w:t>
      </w:r>
      <w:r w:rsidR="00A5623D" w:rsidRPr="006C0693">
        <w:rPr>
          <w:rFonts w:ascii="Times New Roman" w:hAnsi="Times New Roman" w:cs="Times New Roman"/>
          <w:sz w:val="24"/>
          <w:szCs w:val="24"/>
        </w:rPr>
        <w:t>arbitrarily deprived of his life</w:t>
      </w:r>
      <w:r w:rsidR="00DC2C6B" w:rsidRPr="006C0693">
        <w:rPr>
          <w:rFonts w:ascii="Times New Roman" w:hAnsi="Times New Roman" w:cs="Times New Roman"/>
          <w:sz w:val="24"/>
          <w:szCs w:val="24"/>
        </w:rPr>
        <w:t>.</w:t>
      </w:r>
      <w:r w:rsidR="00A5623D" w:rsidRPr="006C0693">
        <w:rPr>
          <w:rFonts w:ascii="Times New Roman" w:hAnsi="Times New Roman" w:cs="Times New Roman"/>
          <w:sz w:val="24"/>
          <w:szCs w:val="24"/>
        </w:rPr>
        <w:t xml:space="preserve">”  These obligations also </w:t>
      </w:r>
      <w:r w:rsidR="00B74844" w:rsidRPr="006C0693">
        <w:rPr>
          <w:rFonts w:ascii="Times New Roman" w:hAnsi="Times New Roman" w:cs="Times New Roman"/>
          <w:sz w:val="24"/>
          <w:szCs w:val="24"/>
        </w:rPr>
        <w:t xml:space="preserve">must </w:t>
      </w:r>
      <w:r w:rsidR="00A5623D" w:rsidRPr="006C0693">
        <w:rPr>
          <w:rFonts w:ascii="Times New Roman" w:hAnsi="Times New Roman" w:cs="Times New Roman"/>
          <w:sz w:val="24"/>
          <w:szCs w:val="24"/>
        </w:rPr>
        <w:t>be read in conjunction with the more general obligation</w:t>
      </w:r>
      <w:r w:rsidR="00F053C7" w:rsidRPr="006C0693">
        <w:rPr>
          <w:rFonts w:ascii="Times New Roman" w:hAnsi="Times New Roman" w:cs="Times New Roman"/>
          <w:sz w:val="24"/>
          <w:szCs w:val="24"/>
        </w:rPr>
        <w:t>s</w:t>
      </w:r>
      <w:r w:rsidR="00A5623D" w:rsidRPr="006C0693">
        <w:rPr>
          <w:rFonts w:ascii="Times New Roman" w:hAnsi="Times New Roman" w:cs="Times New Roman"/>
          <w:sz w:val="24"/>
          <w:szCs w:val="24"/>
        </w:rPr>
        <w:t xml:space="preserve"> under</w:t>
      </w:r>
      <w:r w:rsidR="00F053C7" w:rsidRPr="006C0693">
        <w:rPr>
          <w:rFonts w:ascii="Times New Roman" w:hAnsi="Times New Roman" w:cs="Times New Roman"/>
          <w:sz w:val="24"/>
          <w:szCs w:val="24"/>
        </w:rPr>
        <w:t xml:space="preserve"> Article 2</w:t>
      </w:r>
      <w:r w:rsidR="002F4080" w:rsidRPr="006C0693">
        <w:rPr>
          <w:rFonts w:ascii="Times New Roman" w:hAnsi="Times New Roman" w:cs="Times New Roman"/>
          <w:sz w:val="24"/>
          <w:szCs w:val="24"/>
        </w:rPr>
        <w:t>, in particular under</w:t>
      </w:r>
      <w:r w:rsidR="00A5623D" w:rsidRPr="006C0693">
        <w:rPr>
          <w:rFonts w:ascii="Times New Roman" w:hAnsi="Times New Roman" w:cs="Times New Roman"/>
          <w:sz w:val="24"/>
          <w:szCs w:val="24"/>
        </w:rPr>
        <w:t xml:space="preserve"> Article 2(2) </w:t>
      </w:r>
      <w:r w:rsidR="00B16FD1" w:rsidRPr="006C0693">
        <w:rPr>
          <w:rFonts w:ascii="Times New Roman" w:hAnsi="Times New Roman" w:cs="Times New Roman"/>
          <w:sz w:val="24"/>
          <w:szCs w:val="24"/>
        </w:rPr>
        <w:t>“[w]</w:t>
      </w:r>
      <w:r w:rsidR="002F4080" w:rsidRPr="006C0693">
        <w:rPr>
          <w:rFonts w:ascii="Times New Roman" w:hAnsi="Times New Roman" w:cs="Times New Roman"/>
          <w:sz w:val="24"/>
          <w:szCs w:val="24"/>
        </w:rPr>
        <w:t>here not already provided for by existing legislative or other measures,</w:t>
      </w:r>
      <w:r w:rsidR="00D54429" w:rsidRPr="006C0693">
        <w:rPr>
          <w:rFonts w:ascii="Times New Roman" w:hAnsi="Times New Roman" w:cs="Times New Roman"/>
          <w:sz w:val="24"/>
          <w:szCs w:val="24"/>
        </w:rPr>
        <w:t xml:space="preserve"> </w:t>
      </w:r>
      <w:r w:rsidR="00B16FD1" w:rsidRPr="006C0693">
        <w:rPr>
          <w:rFonts w:ascii="Times New Roman" w:hAnsi="Times New Roman" w:cs="Times New Roman"/>
          <w:sz w:val="24"/>
          <w:szCs w:val="24"/>
        </w:rPr>
        <w:t xml:space="preserve">. . . </w:t>
      </w:r>
      <w:r w:rsidR="002F4080" w:rsidRPr="006C0693">
        <w:rPr>
          <w:rFonts w:ascii="Times New Roman" w:hAnsi="Times New Roman" w:cs="Times New Roman"/>
          <w:sz w:val="24"/>
          <w:szCs w:val="24"/>
        </w:rPr>
        <w:t xml:space="preserve">to take the necessary steps, in accordance with </w:t>
      </w:r>
      <w:r w:rsidR="00721A7B" w:rsidRPr="006C0693">
        <w:rPr>
          <w:rFonts w:ascii="Times New Roman" w:hAnsi="Times New Roman" w:cs="Times New Roman"/>
          <w:sz w:val="24"/>
          <w:szCs w:val="24"/>
        </w:rPr>
        <w:t>[a State Party’s]</w:t>
      </w:r>
      <w:r w:rsidR="002F4080" w:rsidRPr="006C0693">
        <w:rPr>
          <w:rFonts w:ascii="Times New Roman" w:hAnsi="Times New Roman" w:cs="Times New Roman"/>
          <w:sz w:val="24"/>
          <w:szCs w:val="24"/>
        </w:rPr>
        <w:t xml:space="preserve"> constitutional processes and with the provisions of the present Covenant, to adopt such laws or other measures as may be necessary to give effect to the rights recognized in the present Covenant.</w:t>
      </w:r>
      <w:r w:rsidR="00B16FD1" w:rsidRPr="006C0693">
        <w:rPr>
          <w:rFonts w:ascii="Times New Roman" w:hAnsi="Times New Roman" w:cs="Times New Roman"/>
          <w:sz w:val="24"/>
          <w:szCs w:val="24"/>
        </w:rPr>
        <w:t>”</w:t>
      </w:r>
    </w:p>
    <w:p w:rsidR="00B74844" w:rsidRPr="006C0693" w:rsidRDefault="00B74844" w:rsidP="006C0693">
      <w:pPr>
        <w:spacing w:after="0"/>
        <w:rPr>
          <w:rFonts w:ascii="Times New Roman" w:hAnsi="Times New Roman" w:cs="Times New Roman"/>
          <w:sz w:val="24"/>
          <w:szCs w:val="24"/>
        </w:rPr>
      </w:pPr>
    </w:p>
    <w:p w:rsidR="00951091" w:rsidRPr="006C0693" w:rsidRDefault="00D54429" w:rsidP="006C0693">
      <w:pPr>
        <w:autoSpaceDE w:val="0"/>
        <w:autoSpaceDN w:val="0"/>
        <w:adjustRightInd w:val="0"/>
        <w:rPr>
          <w:rFonts w:ascii="Times New Roman" w:hAnsi="Times New Roman" w:cs="Times New Roman"/>
          <w:sz w:val="24"/>
          <w:szCs w:val="24"/>
        </w:rPr>
      </w:pPr>
      <w:r w:rsidRPr="006C0693">
        <w:rPr>
          <w:rFonts w:ascii="Times New Roman" w:hAnsi="Times New Roman" w:cs="Times New Roman"/>
          <w:sz w:val="24"/>
          <w:szCs w:val="24"/>
        </w:rPr>
        <w:t>2</w:t>
      </w:r>
      <w:r w:rsidR="0041086C" w:rsidRPr="006C0693">
        <w:rPr>
          <w:rFonts w:ascii="Times New Roman" w:hAnsi="Times New Roman" w:cs="Times New Roman"/>
          <w:sz w:val="24"/>
          <w:szCs w:val="24"/>
        </w:rPr>
        <w:t>6</w:t>
      </w:r>
      <w:r w:rsidR="00E34F81" w:rsidRPr="006C0693">
        <w:rPr>
          <w:rFonts w:ascii="Times New Roman" w:hAnsi="Times New Roman" w:cs="Times New Roman"/>
          <w:sz w:val="24"/>
          <w:szCs w:val="24"/>
        </w:rPr>
        <w:t xml:space="preserve">.  </w:t>
      </w:r>
      <w:r w:rsidR="00A5623D" w:rsidRPr="006C0693">
        <w:rPr>
          <w:rFonts w:ascii="Times New Roman" w:hAnsi="Times New Roman" w:cs="Times New Roman"/>
          <w:sz w:val="24"/>
          <w:szCs w:val="24"/>
        </w:rPr>
        <w:t>Article 2(2) is foundational to the reading of any Article setting forth ICCPR</w:t>
      </w:r>
      <w:r w:rsidR="00C77CB0" w:rsidRPr="006C0693">
        <w:rPr>
          <w:rFonts w:ascii="Times New Roman" w:hAnsi="Times New Roman" w:cs="Times New Roman"/>
          <w:sz w:val="24"/>
          <w:szCs w:val="24"/>
        </w:rPr>
        <w:t>-</w:t>
      </w:r>
      <w:r w:rsidR="001F76BA" w:rsidRPr="006C0693">
        <w:rPr>
          <w:rFonts w:ascii="Times New Roman" w:hAnsi="Times New Roman" w:cs="Times New Roman"/>
          <w:sz w:val="24"/>
          <w:szCs w:val="24"/>
        </w:rPr>
        <w:t xml:space="preserve">recognized </w:t>
      </w:r>
      <w:r w:rsidR="00A5623D" w:rsidRPr="006C0693">
        <w:rPr>
          <w:rFonts w:ascii="Times New Roman" w:hAnsi="Times New Roman" w:cs="Times New Roman"/>
          <w:sz w:val="24"/>
          <w:szCs w:val="24"/>
        </w:rPr>
        <w:t xml:space="preserve">rights.  It establishes, as a general matter, that the decision as to the most appropriate means of domestic implementation of </w:t>
      </w:r>
      <w:r w:rsidR="001F76BA" w:rsidRPr="006C0693">
        <w:rPr>
          <w:rFonts w:ascii="Times New Roman" w:hAnsi="Times New Roman" w:cs="Times New Roman"/>
          <w:sz w:val="24"/>
          <w:szCs w:val="24"/>
        </w:rPr>
        <w:t>ICCPR</w:t>
      </w:r>
      <w:r w:rsidR="00A5623D" w:rsidRPr="006C0693">
        <w:rPr>
          <w:rFonts w:ascii="Times New Roman" w:hAnsi="Times New Roman" w:cs="Times New Roman"/>
          <w:sz w:val="24"/>
          <w:szCs w:val="24"/>
        </w:rPr>
        <w:t xml:space="preserve"> obligations is left to the internal law and </w:t>
      </w:r>
      <w:r w:rsidR="00917D50" w:rsidRPr="006C0693">
        <w:rPr>
          <w:rFonts w:ascii="Times New Roman" w:hAnsi="Times New Roman" w:cs="Times New Roman"/>
          <w:sz w:val="24"/>
          <w:szCs w:val="24"/>
        </w:rPr>
        <w:t xml:space="preserve">constitutional </w:t>
      </w:r>
      <w:r w:rsidR="00A5623D" w:rsidRPr="006C0693">
        <w:rPr>
          <w:rFonts w:ascii="Times New Roman" w:hAnsi="Times New Roman" w:cs="Times New Roman"/>
          <w:sz w:val="24"/>
          <w:szCs w:val="24"/>
        </w:rPr>
        <w:t>processes of each State Party.  Thus</w:t>
      </w:r>
      <w:r w:rsidR="00C77CB0" w:rsidRPr="006C0693">
        <w:rPr>
          <w:rFonts w:ascii="Times New Roman" w:hAnsi="Times New Roman" w:cs="Times New Roman"/>
          <w:sz w:val="24"/>
          <w:szCs w:val="24"/>
        </w:rPr>
        <w:t>,</w:t>
      </w:r>
      <w:r w:rsidR="00A5623D" w:rsidRPr="006C0693">
        <w:rPr>
          <w:rFonts w:ascii="Times New Roman" w:hAnsi="Times New Roman" w:cs="Times New Roman"/>
          <w:sz w:val="24"/>
          <w:szCs w:val="24"/>
        </w:rPr>
        <w:t xml:space="preserve"> to the extent that specific conditions, measures or requirements necessary to give effect to an ICCPR right are not expressly set forth in the relevant article, and therefore not an obligation undertaken upon ratification by the </w:t>
      </w:r>
      <w:r w:rsidR="00885DDB" w:rsidRPr="006C0693">
        <w:rPr>
          <w:rFonts w:ascii="Times New Roman" w:hAnsi="Times New Roman" w:cs="Times New Roman"/>
          <w:sz w:val="24"/>
          <w:szCs w:val="24"/>
        </w:rPr>
        <w:t>S</w:t>
      </w:r>
      <w:r w:rsidR="00A5623D" w:rsidRPr="006C0693">
        <w:rPr>
          <w:rFonts w:ascii="Times New Roman" w:hAnsi="Times New Roman" w:cs="Times New Roman"/>
          <w:sz w:val="24"/>
          <w:szCs w:val="24"/>
        </w:rPr>
        <w:t xml:space="preserve">tate Party, any </w:t>
      </w:r>
      <w:r w:rsidR="00885DDB" w:rsidRPr="006C0693">
        <w:rPr>
          <w:rFonts w:ascii="Times New Roman" w:hAnsi="Times New Roman" w:cs="Times New Roman"/>
          <w:sz w:val="24"/>
          <w:szCs w:val="24"/>
        </w:rPr>
        <w:t>elaboration of the measures necessary to give it effect</w:t>
      </w:r>
      <w:r w:rsidR="00721A7B" w:rsidRPr="006C0693">
        <w:rPr>
          <w:rFonts w:ascii="Times New Roman" w:hAnsi="Times New Roman" w:cs="Times New Roman"/>
          <w:sz w:val="24"/>
          <w:szCs w:val="24"/>
        </w:rPr>
        <w:t xml:space="preserve"> </w:t>
      </w:r>
      <w:r w:rsidR="00C77CB0" w:rsidRPr="006C0693">
        <w:rPr>
          <w:rFonts w:ascii="Times New Roman" w:hAnsi="Times New Roman" w:cs="Times New Roman"/>
          <w:sz w:val="24"/>
          <w:szCs w:val="24"/>
        </w:rPr>
        <w:t xml:space="preserve">are </w:t>
      </w:r>
      <w:r w:rsidR="00A5623D" w:rsidRPr="006C0693">
        <w:rPr>
          <w:rFonts w:ascii="Times New Roman" w:hAnsi="Times New Roman" w:cs="Times New Roman"/>
          <w:sz w:val="24"/>
          <w:szCs w:val="24"/>
        </w:rPr>
        <w:t xml:space="preserve">for </w:t>
      </w:r>
      <w:r w:rsidR="00885DDB" w:rsidRPr="006C0693">
        <w:rPr>
          <w:rFonts w:ascii="Times New Roman" w:hAnsi="Times New Roman" w:cs="Times New Roman"/>
          <w:sz w:val="24"/>
          <w:szCs w:val="24"/>
        </w:rPr>
        <w:t>the State Party</w:t>
      </w:r>
      <w:r w:rsidR="001C7BBF" w:rsidRPr="006C0693">
        <w:rPr>
          <w:rFonts w:ascii="Times New Roman" w:hAnsi="Times New Roman" w:cs="Times New Roman"/>
          <w:sz w:val="24"/>
          <w:szCs w:val="24"/>
        </w:rPr>
        <w:t xml:space="preserve"> </w:t>
      </w:r>
      <w:r w:rsidR="00A5623D" w:rsidRPr="006C0693">
        <w:rPr>
          <w:rFonts w:ascii="Times New Roman" w:hAnsi="Times New Roman" w:cs="Times New Roman"/>
          <w:sz w:val="24"/>
          <w:szCs w:val="24"/>
        </w:rPr>
        <w:t xml:space="preserve">to determine and </w:t>
      </w:r>
      <w:r w:rsidR="00885DDB" w:rsidRPr="006C0693">
        <w:rPr>
          <w:rFonts w:ascii="Times New Roman" w:hAnsi="Times New Roman" w:cs="Times New Roman"/>
          <w:sz w:val="24"/>
          <w:szCs w:val="24"/>
        </w:rPr>
        <w:t>implement in</w:t>
      </w:r>
      <w:r w:rsidR="00A5623D" w:rsidRPr="006C0693">
        <w:rPr>
          <w:rFonts w:ascii="Times New Roman" w:hAnsi="Times New Roman" w:cs="Times New Roman"/>
          <w:sz w:val="24"/>
          <w:szCs w:val="24"/>
        </w:rPr>
        <w:t xml:space="preserve"> accordance with its laws</w:t>
      </w:r>
      <w:r w:rsidR="00885DDB" w:rsidRPr="006C0693">
        <w:rPr>
          <w:rFonts w:ascii="Times New Roman" w:hAnsi="Times New Roman" w:cs="Times New Roman"/>
          <w:sz w:val="24"/>
          <w:szCs w:val="24"/>
        </w:rPr>
        <w:t xml:space="preserve"> and any other relevant </w:t>
      </w:r>
      <w:r w:rsidR="001C7BBF" w:rsidRPr="006C0693">
        <w:rPr>
          <w:rFonts w:ascii="Times New Roman" w:hAnsi="Times New Roman" w:cs="Times New Roman"/>
          <w:sz w:val="24"/>
          <w:szCs w:val="24"/>
        </w:rPr>
        <w:t xml:space="preserve">ICCPR </w:t>
      </w:r>
      <w:r w:rsidR="00885DDB" w:rsidRPr="006C0693">
        <w:rPr>
          <w:rFonts w:ascii="Times New Roman" w:hAnsi="Times New Roman" w:cs="Times New Roman"/>
          <w:sz w:val="24"/>
          <w:szCs w:val="24"/>
        </w:rPr>
        <w:t>o</w:t>
      </w:r>
      <w:r w:rsidR="00A5623D" w:rsidRPr="006C0693">
        <w:rPr>
          <w:rFonts w:ascii="Times New Roman" w:hAnsi="Times New Roman" w:cs="Times New Roman"/>
          <w:sz w:val="24"/>
          <w:szCs w:val="24"/>
        </w:rPr>
        <w:t>bligations.  This is a reflection of a</w:t>
      </w:r>
      <w:r w:rsidR="00E379ED" w:rsidRPr="006C0693">
        <w:rPr>
          <w:rFonts w:ascii="Times New Roman" w:hAnsi="Times New Roman" w:cs="Times New Roman"/>
          <w:sz w:val="24"/>
          <w:szCs w:val="24"/>
        </w:rPr>
        <w:t xml:space="preserve"> </w:t>
      </w:r>
      <w:r w:rsidR="00B92EBC" w:rsidRPr="006C0693">
        <w:rPr>
          <w:rFonts w:ascii="Times New Roman" w:hAnsi="Times New Roman" w:cs="Times New Roman"/>
          <w:sz w:val="24"/>
          <w:szCs w:val="24"/>
        </w:rPr>
        <w:t xml:space="preserve">conscious decision of the drafters of the ICCPR, </w:t>
      </w:r>
      <w:r w:rsidR="0012153D" w:rsidRPr="006C0693">
        <w:rPr>
          <w:rFonts w:ascii="Times New Roman" w:hAnsi="Times New Roman" w:cs="Times New Roman"/>
          <w:sz w:val="24"/>
          <w:szCs w:val="24"/>
        </w:rPr>
        <w:t>in an effort to</w:t>
      </w:r>
      <w:r w:rsidR="00B92EBC" w:rsidRPr="006C0693">
        <w:rPr>
          <w:rFonts w:ascii="Times New Roman" w:hAnsi="Times New Roman" w:cs="Times New Roman"/>
          <w:sz w:val="24"/>
          <w:szCs w:val="24"/>
        </w:rPr>
        <w:t xml:space="preserve"> protect human rights and secure the widest possible adherence.</w:t>
      </w:r>
      <w:r w:rsidR="00B92EBC" w:rsidRPr="006C0693">
        <w:rPr>
          <w:rFonts w:ascii="Times New Roman" w:hAnsi="Times New Roman" w:cs="Times New Roman"/>
          <w:sz w:val="24"/>
          <w:szCs w:val="24"/>
          <w:vertAlign w:val="superscript"/>
        </w:rPr>
        <w:footnoteReference w:id="27"/>
      </w:r>
      <w:r w:rsidR="00B92EBC" w:rsidRPr="006C0693">
        <w:rPr>
          <w:rFonts w:ascii="Times New Roman" w:hAnsi="Times New Roman" w:cs="Times New Roman"/>
          <w:sz w:val="24"/>
          <w:szCs w:val="24"/>
        </w:rPr>
        <w:t xml:space="preserve"> </w:t>
      </w:r>
    </w:p>
    <w:p w:rsidR="00D54429" w:rsidRPr="006C0693" w:rsidRDefault="00907689" w:rsidP="006C0693">
      <w:pPr>
        <w:spacing w:before="240"/>
        <w:contextualSpacing/>
        <w:rPr>
          <w:rFonts w:ascii="Times New Roman" w:hAnsi="Times New Roman" w:cs="Times New Roman"/>
          <w:sz w:val="24"/>
          <w:szCs w:val="24"/>
          <w:u w:val="single"/>
        </w:rPr>
      </w:pPr>
      <w:r w:rsidRPr="006C0693">
        <w:rPr>
          <w:rFonts w:ascii="Times New Roman" w:hAnsi="Times New Roman" w:cs="Times New Roman"/>
          <w:sz w:val="24"/>
          <w:szCs w:val="24"/>
          <w:u w:val="single"/>
        </w:rPr>
        <w:t>Arbitrary Deprivation of Life</w:t>
      </w:r>
    </w:p>
    <w:p w:rsidR="00D54429" w:rsidRPr="006C0693" w:rsidRDefault="00D54429" w:rsidP="006C0693">
      <w:pPr>
        <w:spacing w:before="240"/>
        <w:contextualSpacing/>
        <w:rPr>
          <w:rFonts w:ascii="Times New Roman" w:hAnsi="Times New Roman" w:cs="Times New Roman"/>
          <w:sz w:val="24"/>
          <w:szCs w:val="24"/>
          <w:u w:val="single"/>
        </w:rPr>
      </w:pPr>
    </w:p>
    <w:p w:rsidR="00083859" w:rsidRPr="006C0693" w:rsidRDefault="00D54429" w:rsidP="006C0693">
      <w:pPr>
        <w:spacing w:before="240"/>
        <w:contextualSpacing/>
        <w:rPr>
          <w:rFonts w:ascii="Times New Roman" w:hAnsi="Times New Roman" w:cs="Times New Roman"/>
          <w:sz w:val="24"/>
          <w:szCs w:val="24"/>
          <w:u w:val="single"/>
        </w:rPr>
      </w:pPr>
      <w:r w:rsidRPr="006C0693">
        <w:rPr>
          <w:rFonts w:ascii="Times New Roman" w:hAnsi="Times New Roman" w:cs="Times New Roman"/>
          <w:sz w:val="24"/>
          <w:szCs w:val="24"/>
        </w:rPr>
        <w:t>2</w:t>
      </w:r>
      <w:r w:rsidR="0041086C" w:rsidRPr="006C0693">
        <w:rPr>
          <w:rFonts w:ascii="Times New Roman" w:hAnsi="Times New Roman" w:cs="Times New Roman"/>
          <w:sz w:val="24"/>
          <w:szCs w:val="24"/>
        </w:rPr>
        <w:t>7</w:t>
      </w:r>
      <w:r w:rsidR="005170A0" w:rsidRPr="006C0693">
        <w:rPr>
          <w:rFonts w:ascii="Times New Roman" w:hAnsi="Times New Roman" w:cs="Times New Roman"/>
          <w:sz w:val="24"/>
          <w:szCs w:val="24"/>
        </w:rPr>
        <w:t xml:space="preserve">.  </w:t>
      </w:r>
      <w:r w:rsidR="00907689" w:rsidRPr="006C0693">
        <w:rPr>
          <w:rFonts w:ascii="Times New Roman" w:hAnsi="Times New Roman" w:cs="Times New Roman"/>
          <w:sz w:val="24"/>
          <w:szCs w:val="24"/>
        </w:rPr>
        <w:t>Article 6(1) provides that no one shall be arb</w:t>
      </w:r>
      <w:r w:rsidR="007E21D0" w:rsidRPr="006C0693">
        <w:rPr>
          <w:rFonts w:ascii="Times New Roman" w:hAnsi="Times New Roman" w:cs="Times New Roman"/>
          <w:sz w:val="24"/>
          <w:szCs w:val="24"/>
        </w:rPr>
        <w:t xml:space="preserve">itrarily deprived of his life. </w:t>
      </w:r>
      <w:r w:rsidR="00C23296" w:rsidRPr="006C0693">
        <w:rPr>
          <w:rFonts w:ascii="Times New Roman" w:hAnsi="Times New Roman" w:cs="Times New Roman"/>
          <w:sz w:val="24"/>
          <w:szCs w:val="24"/>
        </w:rPr>
        <w:t xml:space="preserve"> </w:t>
      </w:r>
      <w:r w:rsidR="00002677" w:rsidRPr="006C0693">
        <w:rPr>
          <w:rFonts w:ascii="Times New Roman" w:hAnsi="Times New Roman" w:cs="Times New Roman"/>
          <w:sz w:val="24"/>
          <w:szCs w:val="24"/>
        </w:rPr>
        <w:t>T</w:t>
      </w:r>
      <w:r w:rsidR="00C23296" w:rsidRPr="006C0693">
        <w:rPr>
          <w:rFonts w:ascii="Times New Roman" w:hAnsi="Times New Roman" w:cs="Times New Roman"/>
          <w:sz w:val="24"/>
          <w:szCs w:val="24"/>
        </w:rPr>
        <w:t>he Committee has undertaken</w:t>
      </w:r>
      <w:r w:rsidR="00002677" w:rsidRPr="006C0693">
        <w:rPr>
          <w:rFonts w:ascii="Times New Roman" w:hAnsi="Times New Roman" w:cs="Times New Roman"/>
          <w:sz w:val="24"/>
          <w:szCs w:val="24"/>
        </w:rPr>
        <w:t xml:space="preserve">, </w:t>
      </w:r>
      <w:r w:rsidR="00276D09" w:rsidRPr="006C0693">
        <w:rPr>
          <w:rFonts w:ascii="Times New Roman" w:hAnsi="Times New Roman" w:cs="Times New Roman"/>
          <w:sz w:val="24"/>
          <w:szCs w:val="24"/>
        </w:rPr>
        <w:t xml:space="preserve">in paragraphs 18 and </w:t>
      </w:r>
      <w:r w:rsidR="00AD6B2F" w:rsidRPr="006C0693">
        <w:rPr>
          <w:rFonts w:ascii="Times New Roman" w:hAnsi="Times New Roman" w:cs="Times New Roman"/>
          <w:sz w:val="24"/>
          <w:szCs w:val="24"/>
        </w:rPr>
        <w:t>19</w:t>
      </w:r>
      <w:r w:rsidR="00671D6D" w:rsidRPr="006C0693">
        <w:rPr>
          <w:rFonts w:ascii="Times New Roman" w:hAnsi="Times New Roman" w:cs="Times New Roman"/>
          <w:sz w:val="24"/>
          <w:szCs w:val="24"/>
        </w:rPr>
        <w:t xml:space="preserve">, </w:t>
      </w:r>
      <w:r w:rsidR="000D7399" w:rsidRPr="006C0693">
        <w:rPr>
          <w:rFonts w:ascii="Times New Roman" w:hAnsi="Times New Roman" w:cs="Times New Roman"/>
          <w:sz w:val="24"/>
          <w:szCs w:val="24"/>
        </w:rPr>
        <w:t xml:space="preserve">to </w:t>
      </w:r>
      <w:r w:rsidR="00276D09" w:rsidRPr="006C0693">
        <w:rPr>
          <w:rFonts w:ascii="Times New Roman" w:hAnsi="Times New Roman" w:cs="Times New Roman"/>
          <w:sz w:val="24"/>
          <w:szCs w:val="24"/>
        </w:rPr>
        <w:t xml:space="preserve">give </w:t>
      </w:r>
      <w:r w:rsidR="000D7399" w:rsidRPr="006C0693">
        <w:rPr>
          <w:rFonts w:ascii="Times New Roman" w:hAnsi="Times New Roman" w:cs="Times New Roman"/>
          <w:sz w:val="24"/>
          <w:szCs w:val="24"/>
        </w:rPr>
        <w:t xml:space="preserve">the word “arbitrarily” </w:t>
      </w:r>
      <w:r w:rsidR="00AD6B2F" w:rsidRPr="006C0693">
        <w:rPr>
          <w:rFonts w:ascii="Times New Roman" w:hAnsi="Times New Roman" w:cs="Times New Roman"/>
          <w:sz w:val="24"/>
          <w:szCs w:val="24"/>
        </w:rPr>
        <w:t>a uniform</w:t>
      </w:r>
      <w:r w:rsidR="00276D09" w:rsidRPr="006C0693">
        <w:rPr>
          <w:rFonts w:ascii="Times New Roman" w:hAnsi="Times New Roman" w:cs="Times New Roman"/>
          <w:sz w:val="24"/>
          <w:szCs w:val="24"/>
        </w:rPr>
        <w:t xml:space="preserve"> meaning expressed </w:t>
      </w:r>
      <w:r w:rsidR="000D7399" w:rsidRPr="006C0693">
        <w:rPr>
          <w:rFonts w:ascii="Times New Roman" w:hAnsi="Times New Roman" w:cs="Times New Roman"/>
          <w:sz w:val="24"/>
          <w:szCs w:val="24"/>
        </w:rPr>
        <w:t>in mandatory terms</w:t>
      </w:r>
      <w:r w:rsidR="001B0DA7" w:rsidRPr="006C0693">
        <w:rPr>
          <w:rFonts w:ascii="Times New Roman" w:hAnsi="Times New Roman" w:cs="Times New Roman"/>
          <w:sz w:val="24"/>
          <w:szCs w:val="24"/>
        </w:rPr>
        <w:t xml:space="preserve">, </w:t>
      </w:r>
      <w:r w:rsidR="00A0516B" w:rsidRPr="006C0693">
        <w:rPr>
          <w:rFonts w:ascii="Times New Roman" w:hAnsi="Times New Roman" w:cs="Times New Roman"/>
          <w:sz w:val="24"/>
          <w:szCs w:val="24"/>
        </w:rPr>
        <w:t>by</w:t>
      </w:r>
      <w:r w:rsidR="00EA3839" w:rsidRPr="006C0693">
        <w:rPr>
          <w:rFonts w:ascii="Times New Roman" w:hAnsi="Times New Roman" w:cs="Times New Roman"/>
          <w:sz w:val="24"/>
          <w:szCs w:val="24"/>
        </w:rPr>
        <w:t xml:space="preserve"> elaborat</w:t>
      </w:r>
      <w:r w:rsidR="00A0516B" w:rsidRPr="006C0693">
        <w:rPr>
          <w:rFonts w:ascii="Times New Roman" w:hAnsi="Times New Roman" w:cs="Times New Roman"/>
          <w:sz w:val="24"/>
          <w:szCs w:val="24"/>
        </w:rPr>
        <w:t>ing</w:t>
      </w:r>
      <w:r w:rsidR="00EA3839" w:rsidRPr="006C0693">
        <w:rPr>
          <w:rFonts w:ascii="Times New Roman" w:hAnsi="Times New Roman" w:cs="Times New Roman"/>
          <w:sz w:val="24"/>
          <w:szCs w:val="24"/>
        </w:rPr>
        <w:t xml:space="preserve"> on </w:t>
      </w:r>
      <w:r w:rsidR="00A0516B" w:rsidRPr="006C0693">
        <w:rPr>
          <w:rFonts w:ascii="Times New Roman" w:hAnsi="Times New Roman" w:cs="Times New Roman"/>
          <w:sz w:val="24"/>
          <w:szCs w:val="24"/>
        </w:rPr>
        <w:t xml:space="preserve">how it understands </w:t>
      </w:r>
      <w:r w:rsidR="00EA3839" w:rsidRPr="006C0693">
        <w:rPr>
          <w:rFonts w:ascii="Times New Roman" w:hAnsi="Times New Roman" w:cs="Times New Roman"/>
          <w:sz w:val="24"/>
          <w:szCs w:val="24"/>
        </w:rPr>
        <w:t xml:space="preserve">the meaning </w:t>
      </w:r>
      <w:r w:rsidR="001B0DA7" w:rsidRPr="006C0693">
        <w:rPr>
          <w:rFonts w:ascii="Times New Roman" w:hAnsi="Times New Roman" w:cs="Times New Roman"/>
          <w:sz w:val="24"/>
          <w:szCs w:val="24"/>
        </w:rPr>
        <w:t xml:space="preserve">of the treaty </w:t>
      </w:r>
      <w:r w:rsidR="007E21D0" w:rsidRPr="006C0693">
        <w:rPr>
          <w:rFonts w:ascii="Times New Roman" w:hAnsi="Times New Roman" w:cs="Times New Roman"/>
          <w:sz w:val="24"/>
          <w:szCs w:val="24"/>
        </w:rPr>
        <w:t>provision</w:t>
      </w:r>
      <w:r w:rsidR="00A0516B" w:rsidRPr="006C0693">
        <w:rPr>
          <w:rFonts w:ascii="Times New Roman" w:hAnsi="Times New Roman" w:cs="Times New Roman"/>
          <w:sz w:val="24"/>
          <w:szCs w:val="24"/>
        </w:rPr>
        <w:t>,</w:t>
      </w:r>
      <w:r w:rsidR="00EA3839" w:rsidRPr="006C0693">
        <w:rPr>
          <w:rFonts w:ascii="Times New Roman" w:hAnsi="Times New Roman" w:cs="Times New Roman"/>
          <w:sz w:val="24"/>
          <w:szCs w:val="24"/>
        </w:rPr>
        <w:t xml:space="preserve"> The Committee states that this treaty term “must be interpreted </w:t>
      </w:r>
      <w:r w:rsidR="00671D6D" w:rsidRPr="006C0693">
        <w:rPr>
          <w:rFonts w:ascii="Times New Roman" w:hAnsi="Times New Roman" w:cs="Times New Roman"/>
          <w:sz w:val="24"/>
          <w:szCs w:val="24"/>
        </w:rPr>
        <w:t xml:space="preserve">more </w:t>
      </w:r>
      <w:r w:rsidR="00EA3839" w:rsidRPr="006C0693">
        <w:rPr>
          <w:rFonts w:ascii="Times New Roman" w:hAnsi="Times New Roman" w:cs="Times New Roman"/>
          <w:sz w:val="24"/>
          <w:szCs w:val="24"/>
        </w:rPr>
        <w:t>broadly to include” a list of specific elements apparently drawn from individualized</w:t>
      </w:r>
      <w:r w:rsidR="00FA3F73" w:rsidRPr="006C0693">
        <w:rPr>
          <w:rFonts w:ascii="Times New Roman" w:hAnsi="Times New Roman" w:cs="Times New Roman"/>
          <w:sz w:val="24"/>
          <w:szCs w:val="24"/>
        </w:rPr>
        <w:t>,</w:t>
      </w:r>
      <w:r w:rsidR="00EA3839" w:rsidRPr="006C0693">
        <w:rPr>
          <w:rFonts w:ascii="Times New Roman" w:hAnsi="Times New Roman" w:cs="Times New Roman"/>
          <w:sz w:val="24"/>
          <w:szCs w:val="24"/>
        </w:rPr>
        <w:t xml:space="preserve"> </w:t>
      </w:r>
      <w:r w:rsidR="00A0516B" w:rsidRPr="006C0693">
        <w:rPr>
          <w:rFonts w:ascii="Times New Roman" w:hAnsi="Times New Roman" w:cs="Times New Roman"/>
          <w:sz w:val="24"/>
          <w:szCs w:val="24"/>
        </w:rPr>
        <w:t xml:space="preserve">non-binding </w:t>
      </w:r>
      <w:r w:rsidR="00EA3839" w:rsidRPr="006C0693">
        <w:rPr>
          <w:rFonts w:ascii="Times New Roman" w:hAnsi="Times New Roman" w:cs="Times New Roman"/>
          <w:sz w:val="24"/>
          <w:szCs w:val="24"/>
        </w:rPr>
        <w:t>finding</w:t>
      </w:r>
      <w:r w:rsidR="00A0516B" w:rsidRPr="006C0693">
        <w:rPr>
          <w:rFonts w:ascii="Times New Roman" w:hAnsi="Times New Roman" w:cs="Times New Roman"/>
          <w:sz w:val="24"/>
          <w:szCs w:val="24"/>
        </w:rPr>
        <w:t>s</w:t>
      </w:r>
      <w:r w:rsidR="00EA3839" w:rsidRPr="006C0693">
        <w:rPr>
          <w:rFonts w:ascii="Times New Roman" w:hAnsi="Times New Roman" w:cs="Times New Roman"/>
          <w:sz w:val="24"/>
          <w:szCs w:val="24"/>
        </w:rPr>
        <w:t xml:space="preserve"> </w:t>
      </w:r>
      <w:r w:rsidR="007E21D0" w:rsidRPr="006C0693">
        <w:rPr>
          <w:rFonts w:ascii="Times New Roman" w:hAnsi="Times New Roman" w:cs="Times New Roman"/>
          <w:sz w:val="24"/>
          <w:szCs w:val="24"/>
        </w:rPr>
        <w:t>on communications</w:t>
      </w:r>
      <w:r w:rsidR="00EA3839" w:rsidRPr="006C0693">
        <w:rPr>
          <w:rFonts w:ascii="Times New Roman" w:hAnsi="Times New Roman" w:cs="Times New Roman"/>
          <w:sz w:val="24"/>
          <w:szCs w:val="24"/>
        </w:rPr>
        <w:t xml:space="preserve"> </w:t>
      </w:r>
      <w:r w:rsidR="00A0516B" w:rsidRPr="006C0693">
        <w:rPr>
          <w:rFonts w:ascii="Times New Roman" w:hAnsi="Times New Roman" w:cs="Times New Roman"/>
          <w:sz w:val="24"/>
          <w:szCs w:val="24"/>
        </w:rPr>
        <w:t xml:space="preserve">it has </w:t>
      </w:r>
      <w:r w:rsidR="00EA3839" w:rsidRPr="006C0693">
        <w:rPr>
          <w:rFonts w:ascii="Times New Roman" w:hAnsi="Times New Roman" w:cs="Times New Roman"/>
          <w:sz w:val="24"/>
          <w:szCs w:val="24"/>
        </w:rPr>
        <w:t xml:space="preserve">considered under the </w:t>
      </w:r>
      <w:r w:rsidR="007E21D0" w:rsidRPr="006C0693">
        <w:rPr>
          <w:rFonts w:ascii="Times New Roman" w:hAnsi="Times New Roman" w:cs="Times New Roman"/>
          <w:sz w:val="24"/>
          <w:szCs w:val="24"/>
        </w:rPr>
        <w:t xml:space="preserve">Optional </w:t>
      </w:r>
      <w:r w:rsidR="00EA3839" w:rsidRPr="006C0693">
        <w:rPr>
          <w:rFonts w:ascii="Times New Roman" w:hAnsi="Times New Roman" w:cs="Times New Roman"/>
          <w:sz w:val="24"/>
          <w:szCs w:val="24"/>
        </w:rPr>
        <w:t>Protocol</w:t>
      </w:r>
      <w:r w:rsidR="00A0516B" w:rsidRPr="006C0693">
        <w:rPr>
          <w:rFonts w:ascii="Times New Roman" w:hAnsi="Times New Roman" w:cs="Times New Roman"/>
          <w:sz w:val="24"/>
          <w:szCs w:val="24"/>
        </w:rPr>
        <w:t xml:space="preserve">, </w:t>
      </w:r>
      <w:r w:rsidR="004F4C98" w:rsidRPr="006C0693">
        <w:rPr>
          <w:rFonts w:ascii="Times New Roman" w:hAnsi="Times New Roman" w:cs="Times New Roman"/>
          <w:sz w:val="24"/>
          <w:szCs w:val="24"/>
        </w:rPr>
        <w:t xml:space="preserve">inapplicable </w:t>
      </w:r>
      <w:r w:rsidR="00A0516B" w:rsidRPr="006C0693">
        <w:rPr>
          <w:rFonts w:ascii="Times New Roman" w:hAnsi="Times New Roman" w:cs="Times New Roman"/>
          <w:sz w:val="24"/>
          <w:szCs w:val="24"/>
        </w:rPr>
        <w:t>jurisprudence of the European Court of Human Rights</w:t>
      </w:r>
      <w:r w:rsidR="007E21D0" w:rsidRPr="006C0693">
        <w:rPr>
          <w:rFonts w:ascii="Times New Roman" w:hAnsi="Times New Roman" w:cs="Times New Roman"/>
          <w:sz w:val="24"/>
          <w:szCs w:val="24"/>
        </w:rPr>
        <w:t>,</w:t>
      </w:r>
      <w:r w:rsidR="00A0516B" w:rsidRPr="006C0693">
        <w:rPr>
          <w:rFonts w:ascii="Times New Roman" w:hAnsi="Times New Roman" w:cs="Times New Roman"/>
          <w:sz w:val="24"/>
          <w:szCs w:val="24"/>
        </w:rPr>
        <w:t xml:space="preserve"> and reports of U</w:t>
      </w:r>
      <w:r w:rsidR="00671D6D" w:rsidRPr="006C0693">
        <w:rPr>
          <w:rFonts w:ascii="Times New Roman" w:hAnsi="Times New Roman" w:cs="Times New Roman"/>
          <w:sz w:val="24"/>
          <w:szCs w:val="24"/>
        </w:rPr>
        <w:t>.</w:t>
      </w:r>
      <w:r w:rsidR="00A0516B" w:rsidRPr="006C0693">
        <w:rPr>
          <w:rFonts w:ascii="Times New Roman" w:hAnsi="Times New Roman" w:cs="Times New Roman"/>
          <w:sz w:val="24"/>
          <w:szCs w:val="24"/>
        </w:rPr>
        <w:t>N</w:t>
      </w:r>
      <w:r w:rsidR="00671D6D" w:rsidRPr="006C0693">
        <w:rPr>
          <w:rFonts w:ascii="Times New Roman" w:hAnsi="Times New Roman" w:cs="Times New Roman"/>
          <w:sz w:val="24"/>
          <w:szCs w:val="24"/>
        </w:rPr>
        <w:t>.</w:t>
      </w:r>
      <w:r w:rsidR="00A0516B" w:rsidRPr="006C0693">
        <w:rPr>
          <w:rFonts w:ascii="Times New Roman" w:hAnsi="Times New Roman" w:cs="Times New Roman"/>
          <w:sz w:val="24"/>
          <w:szCs w:val="24"/>
        </w:rPr>
        <w:t xml:space="preserve"> </w:t>
      </w:r>
      <w:r w:rsidR="004F4C98" w:rsidRPr="006C0693">
        <w:rPr>
          <w:rFonts w:ascii="Times New Roman" w:hAnsi="Times New Roman" w:cs="Times New Roman"/>
          <w:sz w:val="24"/>
          <w:szCs w:val="24"/>
        </w:rPr>
        <w:t xml:space="preserve">Human Rights Council Special Rapporteurs.  </w:t>
      </w:r>
      <w:r w:rsidR="001B0DA7" w:rsidRPr="006C0693">
        <w:rPr>
          <w:rFonts w:ascii="Times New Roman" w:hAnsi="Times New Roman" w:cs="Times New Roman"/>
          <w:sz w:val="24"/>
          <w:szCs w:val="24"/>
        </w:rPr>
        <w:t>A</w:t>
      </w:r>
      <w:r w:rsidR="00151153" w:rsidRPr="006C0693">
        <w:rPr>
          <w:rFonts w:ascii="Times New Roman" w:hAnsi="Times New Roman" w:cs="Times New Roman"/>
          <w:sz w:val="24"/>
          <w:szCs w:val="24"/>
        </w:rPr>
        <w:t>s drafted,</w:t>
      </w:r>
      <w:r w:rsidR="00AD6B2F" w:rsidRPr="006C0693">
        <w:rPr>
          <w:rFonts w:ascii="Times New Roman" w:hAnsi="Times New Roman" w:cs="Times New Roman"/>
          <w:sz w:val="24"/>
          <w:szCs w:val="24"/>
        </w:rPr>
        <w:t xml:space="preserve"> </w:t>
      </w:r>
      <w:r w:rsidR="001B0DA7" w:rsidRPr="006C0693">
        <w:rPr>
          <w:rFonts w:ascii="Times New Roman" w:hAnsi="Times New Roman" w:cs="Times New Roman"/>
          <w:sz w:val="24"/>
          <w:szCs w:val="24"/>
        </w:rPr>
        <w:t>the</w:t>
      </w:r>
      <w:r w:rsidR="00EA3839" w:rsidRPr="006C0693">
        <w:rPr>
          <w:rFonts w:ascii="Times New Roman" w:hAnsi="Times New Roman" w:cs="Times New Roman"/>
          <w:sz w:val="24"/>
          <w:szCs w:val="24"/>
        </w:rPr>
        <w:t>se</w:t>
      </w:r>
      <w:r w:rsidR="001B0DA7" w:rsidRPr="006C0693">
        <w:rPr>
          <w:rFonts w:ascii="Times New Roman" w:hAnsi="Times New Roman" w:cs="Times New Roman"/>
          <w:sz w:val="24"/>
          <w:szCs w:val="24"/>
        </w:rPr>
        <w:t xml:space="preserve"> elements </w:t>
      </w:r>
      <w:r w:rsidR="00EA3839" w:rsidRPr="006C0693">
        <w:rPr>
          <w:rFonts w:ascii="Times New Roman" w:hAnsi="Times New Roman" w:cs="Times New Roman"/>
          <w:sz w:val="24"/>
          <w:szCs w:val="24"/>
        </w:rPr>
        <w:t xml:space="preserve">appear intended </w:t>
      </w:r>
      <w:r w:rsidR="00182D58" w:rsidRPr="006C0693">
        <w:rPr>
          <w:rFonts w:ascii="Times New Roman" w:hAnsi="Times New Roman" w:cs="Times New Roman"/>
          <w:sz w:val="24"/>
          <w:szCs w:val="24"/>
        </w:rPr>
        <w:t xml:space="preserve">to </w:t>
      </w:r>
      <w:r w:rsidR="004F3B63" w:rsidRPr="006C0693">
        <w:rPr>
          <w:rFonts w:ascii="Times New Roman" w:hAnsi="Times New Roman" w:cs="Times New Roman"/>
          <w:sz w:val="24"/>
          <w:szCs w:val="24"/>
        </w:rPr>
        <w:t xml:space="preserve">apply </w:t>
      </w:r>
      <w:r w:rsidR="00AD6B2F" w:rsidRPr="006C0693">
        <w:rPr>
          <w:rFonts w:ascii="Times New Roman" w:hAnsi="Times New Roman" w:cs="Times New Roman"/>
          <w:sz w:val="24"/>
          <w:szCs w:val="24"/>
        </w:rPr>
        <w:t xml:space="preserve">in all contexts, </w:t>
      </w:r>
      <w:r w:rsidR="000D7399" w:rsidRPr="006C0693">
        <w:rPr>
          <w:rFonts w:ascii="Times New Roman" w:hAnsi="Times New Roman" w:cs="Times New Roman"/>
          <w:sz w:val="24"/>
          <w:szCs w:val="24"/>
        </w:rPr>
        <w:t xml:space="preserve">without any reference </w:t>
      </w:r>
      <w:r w:rsidR="00AD6B2F" w:rsidRPr="006C0693">
        <w:rPr>
          <w:rFonts w:ascii="Times New Roman" w:hAnsi="Times New Roman" w:cs="Times New Roman"/>
          <w:sz w:val="24"/>
          <w:szCs w:val="24"/>
        </w:rPr>
        <w:t xml:space="preserve">to </w:t>
      </w:r>
      <w:r w:rsidR="000D7399" w:rsidRPr="006C0693">
        <w:rPr>
          <w:rFonts w:ascii="Times New Roman" w:hAnsi="Times New Roman" w:cs="Times New Roman"/>
          <w:sz w:val="24"/>
          <w:szCs w:val="24"/>
        </w:rPr>
        <w:t xml:space="preserve">or consideration </w:t>
      </w:r>
      <w:r w:rsidR="00AD6B2F" w:rsidRPr="006C0693">
        <w:rPr>
          <w:rFonts w:ascii="Times New Roman" w:hAnsi="Times New Roman" w:cs="Times New Roman"/>
          <w:sz w:val="24"/>
          <w:szCs w:val="24"/>
        </w:rPr>
        <w:t>of</w:t>
      </w:r>
      <w:r w:rsidR="000D7399" w:rsidRPr="006C0693">
        <w:rPr>
          <w:rFonts w:ascii="Times New Roman" w:hAnsi="Times New Roman" w:cs="Times New Roman"/>
          <w:sz w:val="24"/>
          <w:szCs w:val="24"/>
        </w:rPr>
        <w:t xml:space="preserve"> the differing legal systems and </w:t>
      </w:r>
      <w:r w:rsidR="00276D09" w:rsidRPr="006C0693">
        <w:rPr>
          <w:rFonts w:ascii="Times New Roman" w:hAnsi="Times New Roman" w:cs="Times New Roman"/>
          <w:sz w:val="24"/>
          <w:szCs w:val="24"/>
        </w:rPr>
        <w:t>constitutional requirements</w:t>
      </w:r>
      <w:r w:rsidR="000D7399" w:rsidRPr="006C0693">
        <w:rPr>
          <w:rFonts w:ascii="Times New Roman" w:hAnsi="Times New Roman" w:cs="Times New Roman"/>
          <w:sz w:val="24"/>
          <w:szCs w:val="24"/>
        </w:rPr>
        <w:t xml:space="preserve"> and standards </w:t>
      </w:r>
      <w:r w:rsidR="003712F2" w:rsidRPr="006C0693">
        <w:rPr>
          <w:rFonts w:ascii="Times New Roman" w:hAnsi="Times New Roman" w:cs="Times New Roman"/>
          <w:sz w:val="24"/>
          <w:szCs w:val="24"/>
        </w:rPr>
        <w:t xml:space="preserve">that may </w:t>
      </w:r>
      <w:r w:rsidR="004F4C98" w:rsidRPr="006C0693">
        <w:rPr>
          <w:rFonts w:ascii="Times New Roman" w:hAnsi="Times New Roman" w:cs="Times New Roman"/>
          <w:sz w:val="24"/>
          <w:szCs w:val="24"/>
        </w:rPr>
        <w:t xml:space="preserve">pertain in </w:t>
      </w:r>
      <w:r w:rsidR="003712F2" w:rsidRPr="006C0693">
        <w:rPr>
          <w:rFonts w:ascii="Times New Roman" w:hAnsi="Times New Roman" w:cs="Times New Roman"/>
          <w:sz w:val="24"/>
          <w:szCs w:val="24"/>
        </w:rPr>
        <w:t>implement</w:t>
      </w:r>
      <w:r w:rsidR="004F4C98" w:rsidRPr="006C0693">
        <w:rPr>
          <w:rFonts w:ascii="Times New Roman" w:hAnsi="Times New Roman" w:cs="Times New Roman"/>
          <w:sz w:val="24"/>
          <w:szCs w:val="24"/>
        </w:rPr>
        <w:t xml:space="preserve">ing </w:t>
      </w:r>
      <w:r w:rsidR="003712F2" w:rsidRPr="006C0693">
        <w:rPr>
          <w:rFonts w:ascii="Times New Roman" w:hAnsi="Times New Roman" w:cs="Times New Roman"/>
          <w:sz w:val="24"/>
          <w:szCs w:val="24"/>
        </w:rPr>
        <w:t>Article 6(1)</w:t>
      </w:r>
      <w:r w:rsidR="007E21D0" w:rsidRPr="006C0693">
        <w:rPr>
          <w:rFonts w:ascii="Times New Roman" w:hAnsi="Times New Roman" w:cs="Times New Roman"/>
          <w:sz w:val="24"/>
          <w:szCs w:val="24"/>
        </w:rPr>
        <w:t>.</w:t>
      </w:r>
      <w:r w:rsidR="00EA3839" w:rsidRPr="006C0693">
        <w:rPr>
          <w:rFonts w:ascii="Times New Roman" w:hAnsi="Times New Roman" w:cs="Times New Roman"/>
          <w:sz w:val="24"/>
          <w:szCs w:val="24"/>
        </w:rPr>
        <w:t xml:space="preserve"> </w:t>
      </w:r>
      <w:r w:rsidR="00671D6D" w:rsidRPr="006C0693">
        <w:rPr>
          <w:rFonts w:ascii="Times New Roman" w:hAnsi="Times New Roman" w:cs="Times New Roman"/>
          <w:sz w:val="24"/>
          <w:szCs w:val="24"/>
        </w:rPr>
        <w:t xml:space="preserve"> </w:t>
      </w:r>
      <w:r w:rsidR="005B4B52" w:rsidRPr="006C0693">
        <w:rPr>
          <w:rFonts w:ascii="Times New Roman" w:hAnsi="Times New Roman" w:cs="Times New Roman"/>
          <w:sz w:val="24"/>
          <w:szCs w:val="24"/>
        </w:rPr>
        <w:t>T</w:t>
      </w:r>
      <w:r w:rsidR="00907689" w:rsidRPr="006C0693">
        <w:rPr>
          <w:rFonts w:ascii="Times New Roman" w:hAnsi="Times New Roman" w:cs="Times New Roman"/>
          <w:sz w:val="24"/>
          <w:szCs w:val="24"/>
        </w:rPr>
        <w:t xml:space="preserve">he Committee </w:t>
      </w:r>
      <w:r w:rsidR="000D7399" w:rsidRPr="006C0693">
        <w:rPr>
          <w:rFonts w:ascii="Times New Roman" w:hAnsi="Times New Roman" w:cs="Times New Roman"/>
          <w:sz w:val="24"/>
          <w:szCs w:val="24"/>
        </w:rPr>
        <w:t>recognize</w:t>
      </w:r>
      <w:r w:rsidR="005B4B52" w:rsidRPr="006C0693">
        <w:rPr>
          <w:rFonts w:ascii="Times New Roman" w:hAnsi="Times New Roman" w:cs="Times New Roman"/>
          <w:sz w:val="24"/>
          <w:szCs w:val="24"/>
        </w:rPr>
        <w:t>s</w:t>
      </w:r>
      <w:r w:rsidR="000D7399" w:rsidRPr="006C0693">
        <w:rPr>
          <w:rFonts w:ascii="Times New Roman" w:hAnsi="Times New Roman" w:cs="Times New Roman"/>
          <w:sz w:val="24"/>
          <w:szCs w:val="24"/>
        </w:rPr>
        <w:t xml:space="preserve"> </w:t>
      </w:r>
      <w:r w:rsidR="00907689" w:rsidRPr="006C0693">
        <w:rPr>
          <w:rFonts w:ascii="Times New Roman" w:hAnsi="Times New Roman" w:cs="Times New Roman"/>
          <w:sz w:val="24"/>
          <w:szCs w:val="24"/>
        </w:rPr>
        <w:t xml:space="preserve">in </w:t>
      </w:r>
      <w:r w:rsidR="00907689" w:rsidRPr="006C0693">
        <w:rPr>
          <w:rFonts w:ascii="Times New Roman" w:hAnsi="Times New Roman" w:cs="Times New Roman"/>
          <w:sz w:val="24"/>
          <w:szCs w:val="24"/>
        </w:rPr>
        <w:lastRenderedPageBreak/>
        <w:t>paragraph 20 that the Covenant does not provide a list of permissible grounds</w:t>
      </w:r>
      <w:r w:rsidR="00A72D7C" w:rsidRPr="006C0693">
        <w:rPr>
          <w:rFonts w:ascii="Times New Roman" w:hAnsi="Times New Roman" w:cs="Times New Roman"/>
          <w:sz w:val="24"/>
          <w:szCs w:val="24"/>
        </w:rPr>
        <w:t xml:space="preserve"> for the taking of a life</w:t>
      </w:r>
      <w:r w:rsidR="003712F2" w:rsidRPr="006C0693">
        <w:rPr>
          <w:rFonts w:ascii="Times New Roman" w:hAnsi="Times New Roman" w:cs="Times New Roman"/>
          <w:sz w:val="24"/>
          <w:szCs w:val="24"/>
        </w:rPr>
        <w:t>.  For the same reason</w:t>
      </w:r>
      <w:r w:rsidR="004F4C98" w:rsidRPr="006C0693">
        <w:rPr>
          <w:rFonts w:ascii="Times New Roman" w:hAnsi="Times New Roman" w:cs="Times New Roman"/>
          <w:sz w:val="24"/>
          <w:szCs w:val="24"/>
        </w:rPr>
        <w:t xml:space="preserve"> that the negotiators were unable or unwilling to </w:t>
      </w:r>
      <w:r w:rsidR="007A359D" w:rsidRPr="006C0693">
        <w:rPr>
          <w:rFonts w:ascii="Times New Roman" w:hAnsi="Times New Roman" w:cs="Times New Roman"/>
          <w:sz w:val="24"/>
          <w:szCs w:val="24"/>
        </w:rPr>
        <w:t>include such specificity in the treaty,</w:t>
      </w:r>
      <w:r w:rsidR="004F4C98" w:rsidRPr="006C0693">
        <w:rPr>
          <w:rFonts w:ascii="Times New Roman" w:hAnsi="Times New Roman" w:cs="Times New Roman"/>
          <w:sz w:val="24"/>
          <w:szCs w:val="24"/>
        </w:rPr>
        <w:t xml:space="preserve"> </w:t>
      </w:r>
      <w:r w:rsidR="003712F2" w:rsidRPr="006C0693">
        <w:rPr>
          <w:rFonts w:ascii="Times New Roman" w:hAnsi="Times New Roman" w:cs="Times New Roman"/>
          <w:sz w:val="24"/>
          <w:szCs w:val="24"/>
        </w:rPr>
        <w:t xml:space="preserve">the Committee should refrain from seeking to </w:t>
      </w:r>
      <w:r w:rsidR="007A359D" w:rsidRPr="006C0693">
        <w:rPr>
          <w:rFonts w:ascii="Times New Roman" w:hAnsi="Times New Roman" w:cs="Times New Roman"/>
          <w:sz w:val="24"/>
          <w:szCs w:val="24"/>
        </w:rPr>
        <w:t>do so through its general comment practice.</w:t>
      </w:r>
      <w:r w:rsidR="004F4C98" w:rsidRPr="006C0693">
        <w:rPr>
          <w:rFonts w:ascii="Times New Roman" w:hAnsi="Times New Roman" w:cs="Times New Roman"/>
          <w:sz w:val="24"/>
          <w:szCs w:val="24"/>
        </w:rPr>
        <w:t xml:space="preserve"> </w:t>
      </w:r>
      <w:r w:rsidR="00182D58" w:rsidRPr="006C0693">
        <w:rPr>
          <w:rFonts w:ascii="Times New Roman" w:hAnsi="Times New Roman" w:cs="Times New Roman"/>
          <w:sz w:val="24"/>
          <w:szCs w:val="24"/>
        </w:rPr>
        <w:t xml:space="preserve"> </w:t>
      </w:r>
      <w:r w:rsidR="004F4C98" w:rsidRPr="006C0693">
        <w:rPr>
          <w:rFonts w:ascii="Times New Roman" w:hAnsi="Times New Roman" w:cs="Times New Roman"/>
          <w:sz w:val="24"/>
          <w:szCs w:val="24"/>
        </w:rPr>
        <w:t>As reasonable as these elements may be</w:t>
      </w:r>
      <w:r w:rsidR="007A359D" w:rsidRPr="006C0693">
        <w:rPr>
          <w:rFonts w:ascii="Times New Roman" w:hAnsi="Times New Roman" w:cs="Times New Roman"/>
          <w:sz w:val="24"/>
          <w:szCs w:val="24"/>
        </w:rPr>
        <w:t xml:space="preserve"> to consider</w:t>
      </w:r>
      <w:r w:rsidR="004F4C98" w:rsidRPr="006C0693">
        <w:rPr>
          <w:rFonts w:ascii="Times New Roman" w:hAnsi="Times New Roman" w:cs="Times New Roman"/>
          <w:sz w:val="24"/>
          <w:szCs w:val="24"/>
        </w:rPr>
        <w:t xml:space="preserve"> in </w:t>
      </w:r>
      <w:r w:rsidR="00FE613E" w:rsidRPr="006C0693">
        <w:rPr>
          <w:rFonts w:ascii="Times New Roman" w:hAnsi="Times New Roman" w:cs="Times New Roman"/>
          <w:sz w:val="24"/>
          <w:szCs w:val="24"/>
        </w:rPr>
        <w:t>adopting domestic measures</w:t>
      </w:r>
      <w:r w:rsidR="00917D50" w:rsidRPr="006C0693">
        <w:rPr>
          <w:rFonts w:ascii="Times New Roman" w:hAnsi="Times New Roman" w:cs="Times New Roman"/>
          <w:sz w:val="24"/>
          <w:szCs w:val="24"/>
        </w:rPr>
        <w:t>,</w:t>
      </w:r>
      <w:r w:rsidR="007A359D" w:rsidRPr="006C0693">
        <w:rPr>
          <w:rFonts w:ascii="Times New Roman" w:hAnsi="Times New Roman" w:cs="Times New Roman"/>
          <w:sz w:val="24"/>
          <w:szCs w:val="24"/>
        </w:rPr>
        <w:t xml:space="preserve"> </w:t>
      </w:r>
      <w:r w:rsidR="004F4C98" w:rsidRPr="006C0693">
        <w:rPr>
          <w:rFonts w:ascii="Times New Roman" w:hAnsi="Times New Roman" w:cs="Times New Roman"/>
          <w:sz w:val="24"/>
          <w:szCs w:val="24"/>
        </w:rPr>
        <w:t xml:space="preserve">assessing </w:t>
      </w:r>
      <w:r w:rsidR="00FE613E" w:rsidRPr="006C0693">
        <w:rPr>
          <w:rFonts w:ascii="Times New Roman" w:hAnsi="Times New Roman" w:cs="Times New Roman"/>
          <w:sz w:val="24"/>
          <w:szCs w:val="24"/>
        </w:rPr>
        <w:t>self-defense</w:t>
      </w:r>
      <w:r w:rsidR="00917D50" w:rsidRPr="006C0693">
        <w:rPr>
          <w:rFonts w:ascii="Times New Roman" w:hAnsi="Times New Roman" w:cs="Times New Roman"/>
          <w:sz w:val="24"/>
          <w:szCs w:val="24"/>
        </w:rPr>
        <w:t>,</w:t>
      </w:r>
      <w:r w:rsidR="00FE613E" w:rsidRPr="006C0693">
        <w:rPr>
          <w:rFonts w:ascii="Times New Roman" w:hAnsi="Times New Roman" w:cs="Times New Roman"/>
          <w:sz w:val="24"/>
          <w:szCs w:val="24"/>
        </w:rPr>
        <w:t xml:space="preserve"> or justify</w:t>
      </w:r>
      <w:r w:rsidR="007A359D" w:rsidRPr="006C0693">
        <w:rPr>
          <w:rFonts w:ascii="Times New Roman" w:hAnsi="Times New Roman" w:cs="Times New Roman"/>
          <w:sz w:val="24"/>
          <w:szCs w:val="24"/>
        </w:rPr>
        <w:t>ing</w:t>
      </w:r>
      <w:r w:rsidR="00FE613E" w:rsidRPr="006C0693">
        <w:rPr>
          <w:rFonts w:ascii="Times New Roman" w:hAnsi="Times New Roman" w:cs="Times New Roman"/>
          <w:sz w:val="24"/>
          <w:szCs w:val="24"/>
        </w:rPr>
        <w:t xml:space="preserve"> the </w:t>
      </w:r>
      <w:r w:rsidR="005170A0" w:rsidRPr="006C0693">
        <w:rPr>
          <w:rFonts w:ascii="Times New Roman" w:hAnsi="Times New Roman" w:cs="Times New Roman"/>
          <w:sz w:val="24"/>
          <w:szCs w:val="24"/>
        </w:rPr>
        <w:t>use of force</w:t>
      </w:r>
      <w:r w:rsidR="004F4C98" w:rsidRPr="006C0693">
        <w:rPr>
          <w:rFonts w:ascii="Times New Roman" w:hAnsi="Times New Roman" w:cs="Times New Roman"/>
          <w:sz w:val="24"/>
          <w:szCs w:val="24"/>
        </w:rPr>
        <w:t xml:space="preserve"> by </w:t>
      </w:r>
      <w:r w:rsidR="00FE613E" w:rsidRPr="006C0693">
        <w:rPr>
          <w:rFonts w:ascii="Times New Roman" w:hAnsi="Times New Roman" w:cs="Times New Roman"/>
          <w:sz w:val="24"/>
          <w:szCs w:val="24"/>
        </w:rPr>
        <w:t>law enforcement official</w:t>
      </w:r>
      <w:r w:rsidR="00917D50" w:rsidRPr="006C0693">
        <w:rPr>
          <w:rFonts w:ascii="Times New Roman" w:hAnsi="Times New Roman" w:cs="Times New Roman"/>
          <w:sz w:val="24"/>
          <w:szCs w:val="24"/>
        </w:rPr>
        <w:t>s</w:t>
      </w:r>
      <w:r w:rsidR="007A359D" w:rsidRPr="006C0693">
        <w:rPr>
          <w:rFonts w:ascii="Times New Roman" w:hAnsi="Times New Roman" w:cs="Times New Roman"/>
          <w:sz w:val="24"/>
          <w:szCs w:val="24"/>
        </w:rPr>
        <w:t xml:space="preserve"> </w:t>
      </w:r>
      <w:r w:rsidR="00FE613E" w:rsidRPr="006C0693">
        <w:rPr>
          <w:rFonts w:ascii="Times New Roman" w:hAnsi="Times New Roman" w:cs="Times New Roman"/>
          <w:sz w:val="24"/>
          <w:szCs w:val="24"/>
        </w:rPr>
        <w:t>in a given situation, it would be more appropriate</w:t>
      </w:r>
      <w:r w:rsidR="007A359D" w:rsidRPr="006C0693">
        <w:rPr>
          <w:rFonts w:ascii="Times New Roman" w:hAnsi="Times New Roman" w:cs="Times New Roman"/>
          <w:sz w:val="24"/>
          <w:szCs w:val="24"/>
        </w:rPr>
        <w:t>ly</w:t>
      </w:r>
      <w:r w:rsidR="00FE613E" w:rsidRPr="006C0693">
        <w:rPr>
          <w:rFonts w:ascii="Times New Roman" w:hAnsi="Times New Roman" w:cs="Times New Roman"/>
          <w:sz w:val="24"/>
          <w:szCs w:val="24"/>
        </w:rPr>
        <w:t xml:space="preserve"> </w:t>
      </w:r>
      <w:r w:rsidR="00A72D7C" w:rsidRPr="006C0693">
        <w:rPr>
          <w:rFonts w:ascii="Times New Roman" w:hAnsi="Times New Roman" w:cs="Times New Roman"/>
          <w:sz w:val="24"/>
          <w:szCs w:val="24"/>
        </w:rPr>
        <w:t>within the Committee’s mandate</w:t>
      </w:r>
      <w:r w:rsidR="007A359D" w:rsidRPr="006C0693">
        <w:rPr>
          <w:rFonts w:ascii="Times New Roman" w:hAnsi="Times New Roman" w:cs="Times New Roman"/>
          <w:sz w:val="24"/>
          <w:szCs w:val="24"/>
        </w:rPr>
        <w:t xml:space="preserve"> for it</w:t>
      </w:r>
      <w:r w:rsidR="00A72D7C" w:rsidRPr="006C0693">
        <w:rPr>
          <w:rFonts w:ascii="Times New Roman" w:hAnsi="Times New Roman" w:cs="Times New Roman"/>
          <w:sz w:val="24"/>
          <w:szCs w:val="24"/>
        </w:rPr>
        <w:t xml:space="preserve"> to recommend</w:t>
      </w:r>
      <w:r w:rsidR="00E36721" w:rsidRPr="006C0693">
        <w:rPr>
          <w:rFonts w:ascii="Times New Roman" w:hAnsi="Times New Roman" w:cs="Times New Roman"/>
          <w:sz w:val="24"/>
          <w:szCs w:val="24"/>
        </w:rPr>
        <w:t xml:space="preserve"> </w:t>
      </w:r>
      <w:r w:rsidR="00AD6B2F" w:rsidRPr="006C0693">
        <w:rPr>
          <w:rFonts w:ascii="Times New Roman" w:hAnsi="Times New Roman" w:cs="Times New Roman"/>
          <w:sz w:val="24"/>
          <w:szCs w:val="24"/>
        </w:rPr>
        <w:t xml:space="preserve">consideration of </w:t>
      </w:r>
      <w:r w:rsidR="00A72D7C" w:rsidRPr="006C0693">
        <w:rPr>
          <w:rFonts w:ascii="Times New Roman" w:hAnsi="Times New Roman" w:cs="Times New Roman"/>
          <w:sz w:val="24"/>
          <w:szCs w:val="24"/>
        </w:rPr>
        <w:t xml:space="preserve">such </w:t>
      </w:r>
      <w:r w:rsidR="005170A0" w:rsidRPr="006C0693">
        <w:rPr>
          <w:rFonts w:ascii="Times New Roman" w:hAnsi="Times New Roman" w:cs="Times New Roman"/>
          <w:sz w:val="24"/>
          <w:szCs w:val="24"/>
        </w:rPr>
        <w:t>“elements”</w:t>
      </w:r>
      <w:r w:rsidR="00E36721" w:rsidRPr="006C0693">
        <w:rPr>
          <w:rFonts w:ascii="Times New Roman" w:hAnsi="Times New Roman" w:cs="Times New Roman"/>
          <w:sz w:val="24"/>
          <w:szCs w:val="24"/>
        </w:rPr>
        <w:t xml:space="preserve"> </w:t>
      </w:r>
      <w:r w:rsidR="00AD6B2F" w:rsidRPr="006C0693">
        <w:rPr>
          <w:rFonts w:ascii="Times New Roman" w:hAnsi="Times New Roman" w:cs="Times New Roman"/>
          <w:sz w:val="24"/>
          <w:szCs w:val="24"/>
        </w:rPr>
        <w:t xml:space="preserve">by </w:t>
      </w:r>
      <w:r w:rsidR="00E36721" w:rsidRPr="006C0693">
        <w:rPr>
          <w:rFonts w:ascii="Times New Roman" w:hAnsi="Times New Roman" w:cs="Times New Roman"/>
          <w:sz w:val="24"/>
          <w:szCs w:val="24"/>
        </w:rPr>
        <w:t>State</w:t>
      </w:r>
      <w:r w:rsidR="00A60C37" w:rsidRPr="006C0693">
        <w:rPr>
          <w:rFonts w:ascii="Times New Roman" w:hAnsi="Times New Roman" w:cs="Times New Roman"/>
          <w:sz w:val="24"/>
          <w:szCs w:val="24"/>
        </w:rPr>
        <w:t>s</w:t>
      </w:r>
      <w:r w:rsidR="00E36721" w:rsidRPr="006C0693">
        <w:rPr>
          <w:rFonts w:ascii="Times New Roman" w:hAnsi="Times New Roman" w:cs="Times New Roman"/>
          <w:sz w:val="24"/>
          <w:szCs w:val="24"/>
        </w:rPr>
        <w:t xml:space="preserve"> Parties </w:t>
      </w:r>
      <w:r w:rsidR="007A359D" w:rsidRPr="006C0693">
        <w:rPr>
          <w:rFonts w:ascii="Times New Roman" w:hAnsi="Times New Roman" w:cs="Times New Roman"/>
          <w:sz w:val="24"/>
          <w:szCs w:val="24"/>
        </w:rPr>
        <w:t xml:space="preserve">as best practices </w:t>
      </w:r>
      <w:r w:rsidR="00E36721" w:rsidRPr="006C0693">
        <w:rPr>
          <w:rFonts w:ascii="Times New Roman" w:hAnsi="Times New Roman" w:cs="Times New Roman"/>
          <w:sz w:val="24"/>
          <w:szCs w:val="24"/>
        </w:rPr>
        <w:t>in implementing th</w:t>
      </w:r>
      <w:r w:rsidR="00083859" w:rsidRPr="006C0693">
        <w:rPr>
          <w:rFonts w:ascii="Times New Roman" w:hAnsi="Times New Roman" w:cs="Times New Roman"/>
          <w:sz w:val="24"/>
          <w:szCs w:val="24"/>
        </w:rPr>
        <w:t>eir</w:t>
      </w:r>
      <w:r w:rsidR="00E36721" w:rsidRPr="006C0693">
        <w:rPr>
          <w:rFonts w:ascii="Times New Roman" w:hAnsi="Times New Roman" w:cs="Times New Roman"/>
          <w:sz w:val="24"/>
          <w:szCs w:val="24"/>
        </w:rPr>
        <w:t xml:space="preserve"> obligation</w:t>
      </w:r>
      <w:r w:rsidR="00083859" w:rsidRPr="006C0693">
        <w:rPr>
          <w:rFonts w:ascii="Times New Roman" w:hAnsi="Times New Roman" w:cs="Times New Roman"/>
          <w:sz w:val="24"/>
          <w:szCs w:val="24"/>
        </w:rPr>
        <w:t>s</w:t>
      </w:r>
      <w:r w:rsidR="00E36721" w:rsidRPr="006C0693">
        <w:rPr>
          <w:rFonts w:ascii="Times New Roman" w:hAnsi="Times New Roman" w:cs="Times New Roman"/>
          <w:sz w:val="24"/>
          <w:szCs w:val="24"/>
        </w:rPr>
        <w:t xml:space="preserve"> within </w:t>
      </w:r>
      <w:r w:rsidR="00083859" w:rsidRPr="006C0693">
        <w:rPr>
          <w:rFonts w:ascii="Times New Roman" w:hAnsi="Times New Roman" w:cs="Times New Roman"/>
          <w:sz w:val="24"/>
          <w:szCs w:val="24"/>
        </w:rPr>
        <w:t>their</w:t>
      </w:r>
      <w:r w:rsidR="00E36721" w:rsidRPr="006C0693">
        <w:rPr>
          <w:rFonts w:ascii="Times New Roman" w:hAnsi="Times New Roman" w:cs="Times New Roman"/>
          <w:sz w:val="24"/>
          <w:szCs w:val="24"/>
        </w:rPr>
        <w:t xml:space="preserve"> </w:t>
      </w:r>
      <w:r w:rsidR="00697695" w:rsidRPr="006C0693">
        <w:rPr>
          <w:rFonts w:ascii="Times New Roman" w:hAnsi="Times New Roman" w:cs="Times New Roman"/>
          <w:sz w:val="24"/>
          <w:szCs w:val="24"/>
        </w:rPr>
        <w:t>legal systems</w:t>
      </w:r>
      <w:r w:rsidR="00FE613E" w:rsidRPr="006C0693">
        <w:rPr>
          <w:rFonts w:ascii="Times New Roman" w:hAnsi="Times New Roman" w:cs="Times New Roman"/>
          <w:sz w:val="24"/>
          <w:szCs w:val="24"/>
        </w:rPr>
        <w:t>.</w:t>
      </w:r>
    </w:p>
    <w:p w:rsidR="0041086C" w:rsidRPr="006C0693" w:rsidRDefault="0041086C" w:rsidP="006C0693">
      <w:pPr>
        <w:rPr>
          <w:rFonts w:ascii="Times New Roman" w:hAnsi="Times New Roman" w:cs="Times New Roman"/>
          <w:sz w:val="24"/>
          <w:szCs w:val="24"/>
        </w:rPr>
      </w:pPr>
    </w:p>
    <w:p w:rsidR="00845275" w:rsidRPr="006C0693" w:rsidRDefault="00593F1F" w:rsidP="006C0693">
      <w:pPr>
        <w:rPr>
          <w:rFonts w:ascii="Times New Roman" w:hAnsi="Times New Roman" w:cs="Times New Roman"/>
          <w:sz w:val="24"/>
          <w:szCs w:val="24"/>
        </w:rPr>
      </w:pPr>
      <w:r w:rsidRPr="006C0693">
        <w:rPr>
          <w:rFonts w:ascii="Times New Roman" w:hAnsi="Times New Roman" w:cs="Times New Roman"/>
          <w:sz w:val="24"/>
          <w:szCs w:val="24"/>
        </w:rPr>
        <w:t>2</w:t>
      </w:r>
      <w:r w:rsidR="0041086C" w:rsidRPr="006C0693">
        <w:rPr>
          <w:rFonts w:ascii="Times New Roman" w:hAnsi="Times New Roman" w:cs="Times New Roman"/>
          <w:sz w:val="24"/>
          <w:szCs w:val="24"/>
        </w:rPr>
        <w:t>8</w:t>
      </w:r>
      <w:r w:rsidR="00E50B33" w:rsidRPr="006C0693">
        <w:rPr>
          <w:rFonts w:ascii="Times New Roman" w:hAnsi="Times New Roman" w:cs="Times New Roman"/>
          <w:sz w:val="24"/>
          <w:szCs w:val="24"/>
        </w:rPr>
        <w:t xml:space="preserve">.  </w:t>
      </w:r>
      <w:r w:rsidR="00907689" w:rsidRPr="006C0693">
        <w:rPr>
          <w:rFonts w:ascii="Times New Roman" w:hAnsi="Times New Roman" w:cs="Times New Roman"/>
          <w:sz w:val="24"/>
          <w:szCs w:val="24"/>
        </w:rPr>
        <w:t xml:space="preserve">In </w:t>
      </w:r>
      <w:r w:rsidR="00B603A0" w:rsidRPr="006C0693">
        <w:rPr>
          <w:rFonts w:ascii="Times New Roman" w:hAnsi="Times New Roman" w:cs="Times New Roman"/>
          <w:sz w:val="24"/>
          <w:szCs w:val="24"/>
        </w:rPr>
        <w:t>pursuing this approach</w:t>
      </w:r>
      <w:r w:rsidR="00907689" w:rsidRPr="006C0693">
        <w:rPr>
          <w:rFonts w:ascii="Times New Roman" w:hAnsi="Times New Roman" w:cs="Times New Roman"/>
          <w:sz w:val="24"/>
          <w:szCs w:val="24"/>
        </w:rPr>
        <w:t xml:space="preserve">, the Committee is substituting its judgment for </w:t>
      </w:r>
      <w:r w:rsidR="00CE1E67" w:rsidRPr="006C0693">
        <w:rPr>
          <w:rFonts w:ascii="Times New Roman" w:hAnsi="Times New Roman" w:cs="Times New Roman"/>
          <w:sz w:val="24"/>
          <w:szCs w:val="24"/>
        </w:rPr>
        <w:t xml:space="preserve">that of </w:t>
      </w:r>
      <w:r w:rsidR="00907689" w:rsidRPr="006C0693">
        <w:rPr>
          <w:rFonts w:ascii="Times New Roman" w:hAnsi="Times New Roman" w:cs="Times New Roman"/>
          <w:sz w:val="24"/>
          <w:szCs w:val="24"/>
        </w:rPr>
        <w:t>each of the States Parties who</w:t>
      </w:r>
      <w:r w:rsidR="00E50B33" w:rsidRPr="006C0693">
        <w:rPr>
          <w:rFonts w:ascii="Times New Roman" w:hAnsi="Times New Roman" w:cs="Times New Roman"/>
          <w:sz w:val="24"/>
          <w:szCs w:val="24"/>
        </w:rPr>
        <w:t>,</w:t>
      </w:r>
      <w:r w:rsidR="00907689" w:rsidRPr="006C0693">
        <w:rPr>
          <w:rFonts w:ascii="Times New Roman" w:hAnsi="Times New Roman" w:cs="Times New Roman"/>
          <w:sz w:val="24"/>
          <w:szCs w:val="24"/>
        </w:rPr>
        <w:t xml:space="preserve"> </w:t>
      </w:r>
      <w:r w:rsidR="00B603A0" w:rsidRPr="006C0693">
        <w:rPr>
          <w:rFonts w:ascii="Times New Roman" w:hAnsi="Times New Roman" w:cs="Times New Roman"/>
          <w:sz w:val="24"/>
          <w:szCs w:val="24"/>
        </w:rPr>
        <w:t xml:space="preserve">under the terms </w:t>
      </w:r>
      <w:r w:rsidR="00E50B33" w:rsidRPr="006C0693">
        <w:rPr>
          <w:rFonts w:ascii="Times New Roman" w:hAnsi="Times New Roman" w:cs="Times New Roman"/>
          <w:sz w:val="24"/>
          <w:szCs w:val="24"/>
        </w:rPr>
        <w:t xml:space="preserve">of the Covenant, </w:t>
      </w:r>
      <w:r w:rsidR="00516BFA" w:rsidRPr="006C0693">
        <w:rPr>
          <w:rFonts w:ascii="Times New Roman" w:hAnsi="Times New Roman" w:cs="Times New Roman"/>
          <w:sz w:val="24"/>
          <w:szCs w:val="24"/>
        </w:rPr>
        <w:t>are</w:t>
      </w:r>
      <w:r w:rsidR="00907689" w:rsidRPr="006C0693">
        <w:rPr>
          <w:rFonts w:ascii="Times New Roman" w:hAnsi="Times New Roman" w:cs="Times New Roman"/>
          <w:sz w:val="24"/>
          <w:szCs w:val="24"/>
        </w:rPr>
        <w:t xml:space="preserve"> </w:t>
      </w:r>
      <w:r w:rsidR="00FE613E" w:rsidRPr="006C0693">
        <w:rPr>
          <w:rFonts w:ascii="Times New Roman" w:hAnsi="Times New Roman" w:cs="Times New Roman"/>
          <w:sz w:val="24"/>
          <w:szCs w:val="24"/>
        </w:rPr>
        <w:t>required</w:t>
      </w:r>
      <w:r w:rsidR="00907689" w:rsidRPr="006C0693">
        <w:rPr>
          <w:rFonts w:ascii="Times New Roman" w:hAnsi="Times New Roman" w:cs="Times New Roman"/>
          <w:sz w:val="24"/>
          <w:szCs w:val="24"/>
        </w:rPr>
        <w:t xml:space="preserve"> to determine the steps necessary in accordance with its constitutional processes</w:t>
      </w:r>
      <w:r w:rsidR="006B41E8" w:rsidRPr="006C0693">
        <w:rPr>
          <w:rFonts w:ascii="Times New Roman" w:hAnsi="Times New Roman" w:cs="Times New Roman"/>
          <w:sz w:val="24"/>
          <w:szCs w:val="24"/>
        </w:rPr>
        <w:t>, whether by legislative or other means,</w:t>
      </w:r>
      <w:r w:rsidR="00907689" w:rsidRPr="006C0693">
        <w:rPr>
          <w:rFonts w:ascii="Times New Roman" w:hAnsi="Times New Roman" w:cs="Times New Roman"/>
          <w:sz w:val="24"/>
          <w:szCs w:val="24"/>
        </w:rPr>
        <w:t xml:space="preserve"> to give effect to the Covenant rights</w:t>
      </w:r>
      <w:r w:rsidR="00CE1E67" w:rsidRPr="006C0693">
        <w:rPr>
          <w:rFonts w:ascii="Times New Roman" w:hAnsi="Times New Roman" w:cs="Times New Roman"/>
          <w:sz w:val="24"/>
          <w:szCs w:val="24"/>
        </w:rPr>
        <w:t>.</w:t>
      </w:r>
      <w:r w:rsidR="00907689" w:rsidRPr="006C0693">
        <w:rPr>
          <w:rFonts w:ascii="Times New Roman" w:hAnsi="Times New Roman" w:cs="Times New Roman"/>
          <w:sz w:val="24"/>
          <w:szCs w:val="24"/>
        </w:rPr>
        <w:t xml:space="preserve"> </w:t>
      </w:r>
      <w:r w:rsidR="00671D6D" w:rsidRPr="006C0693">
        <w:rPr>
          <w:rFonts w:ascii="Times New Roman" w:hAnsi="Times New Roman" w:cs="Times New Roman"/>
          <w:sz w:val="24"/>
          <w:szCs w:val="24"/>
        </w:rPr>
        <w:t xml:space="preserve"> </w:t>
      </w:r>
      <w:r w:rsidR="00907689" w:rsidRPr="006C0693">
        <w:rPr>
          <w:rFonts w:ascii="Times New Roman" w:hAnsi="Times New Roman" w:cs="Times New Roman"/>
          <w:sz w:val="24"/>
          <w:szCs w:val="24"/>
        </w:rPr>
        <w:t>Neither the text of Article 6(1)</w:t>
      </w:r>
      <w:r w:rsidR="000C6F8E" w:rsidRPr="006C0693">
        <w:rPr>
          <w:rFonts w:ascii="Times New Roman" w:hAnsi="Times New Roman" w:cs="Times New Roman"/>
          <w:sz w:val="24"/>
          <w:szCs w:val="24"/>
        </w:rPr>
        <w:t>, as interpreted pursuant to Article</w:t>
      </w:r>
      <w:r w:rsidR="006A1B0B" w:rsidRPr="006C0693">
        <w:rPr>
          <w:rFonts w:ascii="Times New Roman" w:hAnsi="Times New Roman" w:cs="Times New Roman"/>
          <w:sz w:val="24"/>
          <w:szCs w:val="24"/>
        </w:rPr>
        <w:t>s</w:t>
      </w:r>
      <w:r w:rsidR="000C6F8E" w:rsidRPr="006C0693">
        <w:rPr>
          <w:rFonts w:ascii="Times New Roman" w:hAnsi="Times New Roman" w:cs="Times New Roman"/>
          <w:sz w:val="24"/>
          <w:szCs w:val="24"/>
        </w:rPr>
        <w:t xml:space="preserve"> 31 </w:t>
      </w:r>
      <w:r w:rsidR="006A1B0B" w:rsidRPr="006C0693">
        <w:rPr>
          <w:rFonts w:ascii="Times New Roman" w:hAnsi="Times New Roman" w:cs="Times New Roman"/>
          <w:sz w:val="24"/>
          <w:szCs w:val="24"/>
        </w:rPr>
        <w:t xml:space="preserve">and 32 </w:t>
      </w:r>
      <w:r w:rsidR="000C6F8E" w:rsidRPr="006C0693">
        <w:rPr>
          <w:rFonts w:ascii="Times New Roman" w:hAnsi="Times New Roman" w:cs="Times New Roman"/>
          <w:sz w:val="24"/>
          <w:szCs w:val="24"/>
        </w:rPr>
        <w:t>of the VCLT,</w:t>
      </w:r>
      <w:r w:rsidR="00907689" w:rsidRPr="006C0693">
        <w:rPr>
          <w:rFonts w:ascii="Times New Roman" w:hAnsi="Times New Roman" w:cs="Times New Roman"/>
          <w:sz w:val="24"/>
          <w:szCs w:val="24"/>
        </w:rPr>
        <w:t xml:space="preserve"> nor its </w:t>
      </w:r>
      <w:r w:rsidR="00907689" w:rsidRPr="006C0693">
        <w:rPr>
          <w:rFonts w:ascii="Times New Roman" w:hAnsi="Times New Roman" w:cs="Times New Roman"/>
          <w:i/>
          <w:sz w:val="24"/>
          <w:szCs w:val="24"/>
        </w:rPr>
        <w:t>travaux pr</w:t>
      </w:r>
      <w:r w:rsidR="00763EDD" w:rsidRPr="006C0693">
        <w:rPr>
          <w:rFonts w:ascii="Times New Roman" w:hAnsi="Times New Roman" w:cs="Times New Roman"/>
          <w:i/>
          <w:sz w:val="24"/>
          <w:szCs w:val="24"/>
        </w:rPr>
        <w:t>é</w:t>
      </w:r>
      <w:r w:rsidR="00907689" w:rsidRPr="006C0693">
        <w:rPr>
          <w:rFonts w:ascii="Times New Roman" w:hAnsi="Times New Roman" w:cs="Times New Roman"/>
          <w:i/>
          <w:sz w:val="24"/>
          <w:szCs w:val="24"/>
        </w:rPr>
        <w:t>paratoires</w:t>
      </w:r>
      <w:r w:rsidR="00907689" w:rsidRPr="006C0693">
        <w:rPr>
          <w:rFonts w:ascii="Times New Roman" w:hAnsi="Times New Roman" w:cs="Times New Roman"/>
          <w:sz w:val="24"/>
          <w:szCs w:val="24"/>
        </w:rPr>
        <w:t xml:space="preserve"> </w:t>
      </w:r>
      <w:r w:rsidR="000C6F8E" w:rsidRPr="006C0693">
        <w:rPr>
          <w:rFonts w:ascii="Times New Roman" w:hAnsi="Times New Roman" w:cs="Times New Roman"/>
          <w:sz w:val="24"/>
          <w:szCs w:val="24"/>
        </w:rPr>
        <w:t xml:space="preserve">support a </w:t>
      </w:r>
      <w:r w:rsidR="00907689" w:rsidRPr="006C0693">
        <w:rPr>
          <w:rFonts w:ascii="Times New Roman" w:hAnsi="Times New Roman" w:cs="Times New Roman"/>
          <w:sz w:val="24"/>
          <w:szCs w:val="24"/>
        </w:rPr>
        <w:t>require</w:t>
      </w:r>
      <w:r w:rsidR="000C6F8E" w:rsidRPr="006C0693">
        <w:rPr>
          <w:rFonts w:ascii="Times New Roman" w:hAnsi="Times New Roman" w:cs="Times New Roman"/>
          <w:sz w:val="24"/>
          <w:szCs w:val="24"/>
        </w:rPr>
        <w:t>ment</w:t>
      </w:r>
      <w:r w:rsidR="00907689" w:rsidRPr="006C0693">
        <w:rPr>
          <w:rFonts w:ascii="Times New Roman" w:hAnsi="Times New Roman" w:cs="Times New Roman"/>
          <w:sz w:val="24"/>
          <w:szCs w:val="24"/>
        </w:rPr>
        <w:t xml:space="preserve"> </w:t>
      </w:r>
      <w:r w:rsidR="000C6F8E" w:rsidRPr="006C0693">
        <w:rPr>
          <w:rFonts w:ascii="Times New Roman" w:hAnsi="Times New Roman" w:cs="Times New Roman"/>
          <w:sz w:val="24"/>
          <w:szCs w:val="24"/>
        </w:rPr>
        <w:t xml:space="preserve">for </w:t>
      </w:r>
      <w:r w:rsidR="00907689" w:rsidRPr="006C0693">
        <w:rPr>
          <w:rFonts w:ascii="Times New Roman" w:hAnsi="Times New Roman" w:cs="Times New Roman"/>
          <w:sz w:val="24"/>
          <w:szCs w:val="24"/>
        </w:rPr>
        <w:t>such</w:t>
      </w:r>
      <w:r w:rsidR="004D37AF" w:rsidRPr="006C0693">
        <w:rPr>
          <w:rFonts w:ascii="Times New Roman" w:hAnsi="Times New Roman" w:cs="Times New Roman"/>
          <w:sz w:val="24"/>
          <w:szCs w:val="24"/>
        </w:rPr>
        <w:t xml:space="preserve"> specific</w:t>
      </w:r>
      <w:r w:rsidR="00907689" w:rsidRPr="006C0693">
        <w:rPr>
          <w:rFonts w:ascii="Times New Roman" w:hAnsi="Times New Roman" w:cs="Times New Roman"/>
          <w:sz w:val="24"/>
          <w:szCs w:val="24"/>
        </w:rPr>
        <w:t xml:space="preserve"> domestic measures</w:t>
      </w:r>
      <w:r w:rsidR="004D37AF" w:rsidRPr="006C0693">
        <w:rPr>
          <w:rFonts w:ascii="Times New Roman" w:hAnsi="Times New Roman" w:cs="Times New Roman"/>
          <w:sz w:val="24"/>
          <w:szCs w:val="24"/>
        </w:rPr>
        <w:t>, no</w:t>
      </w:r>
      <w:r w:rsidR="00E50B33" w:rsidRPr="006C0693">
        <w:rPr>
          <w:rFonts w:ascii="Times New Roman" w:hAnsi="Times New Roman" w:cs="Times New Roman"/>
          <w:sz w:val="24"/>
          <w:szCs w:val="24"/>
        </w:rPr>
        <w:t>r</w:t>
      </w:r>
      <w:r w:rsidR="004D37AF" w:rsidRPr="006C0693">
        <w:rPr>
          <w:rFonts w:ascii="Times New Roman" w:hAnsi="Times New Roman" w:cs="Times New Roman"/>
          <w:sz w:val="24"/>
          <w:szCs w:val="24"/>
        </w:rPr>
        <w:t xml:space="preserve"> that they be </w:t>
      </w:r>
      <w:r w:rsidR="00E50B33" w:rsidRPr="006C0693">
        <w:rPr>
          <w:rFonts w:ascii="Times New Roman" w:hAnsi="Times New Roman" w:cs="Times New Roman"/>
          <w:sz w:val="24"/>
          <w:szCs w:val="24"/>
        </w:rPr>
        <w:t>uniform</w:t>
      </w:r>
      <w:r w:rsidR="004D37AF" w:rsidRPr="006C0693">
        <w:rPr>
          <w:rFonts w:ascii="Times New Roman" w:hAnsi="Times New Roman" w:cs="Times New Roman"/>
          <w:sz w:val="24"/>
          <w:szCs w:val="24"/>
        </w:rPr>
        <w:t xml:space="preserve"> for all </w:t>
      </w:r>
      <w:r w:rsidR="000C6F8E" w:rsidRPr="006C0693">
        <w:rPr>
          <w:rFonts w:ascii="Times New Roman" w:hAnsi="Times New Roman" w:cs="Times New Roman"/>
          <w:sz w:val="24"/>
          <w:szCs w:val="24"/>
        </w:rPr>
        <w:t>States</w:t>
      </w:r>
      <w:r w:rsidR="00932023" w:rsidRPr="006C0693">
        <w:rPr>
          <w:rFonts w:ascii="Times New Roman" w:hAnsi="Times New Roman" w:cs="Times New Roman"/>
          <w:sz w:val="24"/>
          <w:szCs w:val="24"/>
        </w:rPr>
        <w:t xml:space="preserve"> Parties</w:t>
      </w:r>
      <w:r w:rsidR="004D37AF" w:rsidRPr="006C0693">
        <w:rPr>
          <w:rFonts w:ascii="Times New Roman" w:hAnsi="Times New Roman" w:cs="Times New Roman"/>
          <w:sz w:val="24"/>
          <w:szCs w:val="24"/>
        </w:rPr>
        <w:t>.</w:t>
      </w:r>
      <w:r w:rsidR="00E50B33" w:rsidRPr="006C0693">
        <w:rPr>
          <w:rFonts w:ascii="Times New Roman" w:hAnsi="Times New Roman" w:cs="Times New Roman"/>
          <w:sz w:val="24"/>
          <w:szCs w:val="24"/>
        </w:rPr>
        <w:t xml:space="preserve"> </w:t>
      </w:r>
      <w:r w:rsidR="00763EDD" w:rsidRPr="006C0693">
        <w:rPr>
          <w:rFonts w:ascii="Times New Roman" w:hAnsi="Times New Roman" w:cs="Times New Roman"/>
          <w:sz w:val="24"/>
          <w:szCs w:val="24"/>
        </w:rPr>
        <w:t xml:space="preserve"> </w:t>
      </w:r>
      <w:r w:rsidR="00F563CB" w:rsidRPr="006C0693">
        <w:rPr>
          <w:rFonts w:ascii="Times New Roman" w:hAnsi="Times New Roman" w:cs="Times New Roman"/>
          <w:sz w:val="24"/>
          <w:szCs w:val="24"/>
        </w:rPr>
        <w:t>In fact</w:t>
      </w:r>
      <w:r w:rsidR="00763EDD" w:rsidRPr="006C0693">
        <w:rPr>
          <w:rFonts w:ascii="Times New Roman" w:hAnsi="Times New Roman" w:cs="Times New Roman"/>
          <w:sz w:val="24"/>
          <w:szCs w:val="24"/>
        </w:rPr>
        <w:t>,</w:t>
      </w:r>
      <w:r w:rsidR="00E50B33" w:rsidRPr="006C0693">
        <w:rPr>
          <w:rFonts w:ascii="Times New Roman" w:hAnsi="Times New Roman" w:cs="Times New Roman"/>
          <w:sz w:val="24"/>
          <w:szCs w:val="24"/>
        </w:rPr>
        <w:t xml:space="preserve"> t</w:t>
      </w:r>
      <w:r w:rsidR="00A72D7C" w:rsidRPr="006C0693">
        <w:rPr>
          <w:rFonts w:ascii="Times New Roman" w:hAnsi="Times New Roman" w:cs="Times New Roman"/>
          <w:sz w:val="24"/>
          <w:szCs w:val="24"/>
        </w:rPr>
        <w:t>he Committee’s approach</w:t>
      </w:r>
      <w:r w:rsidR="00FC3978" w:rsidRPr="006C0693">
        <w:rPr>
          <w:rFonts w:ascii="Times New Roman" w:hAnsi="Times New Roman" w:cs="Times New Roman"/>
          <w:sz w:val="24"/>
          <w:szCs w:val="24"/>
        </w:rPr>
        <w:t xml:space="preserve"> is contrary to what was </w:t>
      </w:r>
      <w:r w:rsidR="00907689" w:rsidRPr="006C0693">
        <w:rPr>
          <w:rFonts w:ascii="Times New Roman" w:hAnsi="Times New Roman" w:cs="Times New Roman"/>
          <w:sz w:val="24"/>
          <w:szCs w:val="24"/>
        </w:rPr>
        <w:t>agreed by the dr</w:t>
      </w:r>
      <w:r w:rsidR="00E50B33" w:rsidRPr="006C0693">
        <w:rPr>
          <w:rFonts w:ascii="Times New Roman" w:hAnsi="Times New Roman" w:cs="Times New Roman"/>
          <w:sz w:val="24"/>
          <w:szCs w:val="24"/>
        </w:rPr>
        <w:t xml:space="preserve">afters.  </w:t>
      </w:r>
    </w:p>
    <w:p w:rsidR="00907689" w:rsidRPr="006C0693" w:rsidRDefault="004364F0" w:rsidP="006C0693">
      <w:pPr>
        <w:rPr>
          <w:rFonts w:ascii="Times New Roman" w:hAnsi="Times New Roman" w:cs="Times New Roman"/>
          <w:sz w:val="24"/>
          <w:szCs w:val="24"/>
        </w:rPr>
      </w:pPr>
      <w:r w:rsidRPr="006C0693">
        <w:rPr>
          <w:rFonts w:ascii="Times New Roman" w:hAnsi="Times New Roman" w:cs="Times New Roman"/>
          <w:sz w:val="24"/>
          <w:szCs w:val="24"/>
        </w:rPr>
        <w:t>2</w:t>
      </w:r>
      <w:r w:rsidR="0041086C" w:rsidRPr="006C0693">
        <w:rPr>
          <w:rFonts w:ascii="Times New Roman" w:hAnsi="Times New Roman" w:cs="Times New Roman"/>
          <w:sz w:val="24"/>
          <w:szCs w:val="24"/>
        </w:rPr>
        <w:t>9</w:t>
      </w:r>
      <w:r w:rsidR="00845275" w:rsidRPr="006C0693">
        <w:rPr>
          <w:rFonts w:ascii="Times New Roman" w:hAnsi="Times New Roman" w:cs="Times New Roman"/>
          <w:sz w:val="24"/>
          <w:szCs w:val="24"/>
        </w:rPr>
        <w:t xml:space="preserve">.  </w:t>
      </w:r>
      <w:r w:rsidR="00E50B33" w:rsidRPr="006C0693">
        <w:rPr>
          <w:rFonts w:ascii="Times New Roman" w:hAnsi="Times New Roman" w:cs="Times New Roman"/>
          <w:sz w:val="24"/>
          <w:szCs w:val="24"/>
        </w:rPr>
        <w:t xml:space="preserve">As the </w:t>
      </w:r>
      <w:r w:rsidR="00E50B33" w:rsidRPr="006C0693">
        <w:rPr>
          <w:rFonts w:ascii="Times New Roman" w:hAnsi="Times New Roman" w:cs="Times New Roman"/>
          <w:i/>
          <w:sz w:val="24"/>
          <w:szCs w:val="24"/>
        </w:rPr>
        <w:t>travaux</w:t>
      </w:r>
      <w:r w:rsidR="00E50B33" w:rsidRPr="006C0693">
        <w:rPr>
          <w:rFonts w:ascii="Times New Roman" w:hAnsi="Times New Roman" w:cs="Times New Roman"/>
          <w:sz w:val="24"/>
          <w:szCs w:val="24"/>
        </w:rPr>
        <w:t xml:space="preserve"> reveal,</w:t>
      </w:r>
      <w:r w:rsidR="00907689" w:rsidRPr="006C0693">
        <w:rPr>
          <w:rFonts w:ascii="Times New Roman" w:hAnsi="Times New Roman" w:cs="Times New Roman"/>
          <w:sz w:val="24"/>
          <w:szCs w:val="24"/>
        </w:rPr>
        <w:t xml:space="preserve"> </w:t>
      </w:r>
      <w:r w:rsidR="00E50B33" w:rsidRPr="006C0693">
        <w:rPr>
          <w:rFonts w:ascii="Times New Roman" w:hAnsi="Times New Roman" w:cs="Times New Roman"/>
          <w:sz w:val="24"/>
          <w:szCs w:val="24"/>
        </w:rPr>
        <w:t>defin</w:t>
      </w:r>
      <w:r w:rsidR="00763EDD" w:rsidRPr="006C0693">
        <w:rPr>
          <w:rFonts w:ascii="Times New Roman" w:hAnsi="Times New Roman" w:cs="Times New Roman"/>
          <w:sz w:val="24"/>
          <w:szCs w:val="24"/>
        </w:rPr>
        <w:t>ing</w:t>
      </w:r>
      <w:r w:rsidR="00E50B33" w:rsidRPr="006C0693">
        <w:rPr>
          <w:rFonts w:ascii="Times New Roman" w:hAnsi="Times New Roman" w:cs="Times New Roman"/>
          <w:sz w:val="24"/>
          <w:szCs w:val="24"/>
        </w:rPr>
        <w:t xml:space="preserve"> States’ legal obligations under </w:t>
      </w:r>
      <w:r w:rsidR="00516BFA" w:rsidRPr="006C0693">
        <w:rPr>
          <w:rFonts w:ascii="Times New Roman" w:hAnsi="Times New Roman" w:cs="Times New Roman"/>
          <w:sz w:val="24"/>
          <w:szCs w:val="24"/>
        </w:rPr>
        <w:t>paragraph</w:t>
      </w:r>
      <w:r w:rsidR="00E50B33" w:rsidRPr="006C0693">
        <w:rPr>
          <w:rFonts w:ascii="Times New Roman" w:hAnsi="Times New Roman" w:cs="Times New Roman"/>
          <w:sz w:val="24"/>
          <w:szCs w:val="24"/>
        </w:rPr>
        <w:t xml:space="preserve"> 1 while acknowledging that protection of life could not be absolute</w:t>
      </w:r>
      <w:r w:rsidR="00671D6D" w:rsidRPr="006C0693">
        <w:rPr>
          <w:rFonts w:ascii="Times New Roman" w:hAnsi="Times New Roman" w:cs="Times New Roman"/>
          <w:sz w:val="24"/>
          <w:szCs w:val="24"/>
        </w:rPr>
        <w:t xml:space="preserve"> </w:t>
      </w:r>
      <w:r w:rsidR="00E50B33" w:rsidRPr="006C0693">
        <w:rPr>
          <w:rFonts w:ascii="Times New Roman" w:hAnsi="Times New Roman" w:cs="Times New Roman"/>
          <w:sz w:val="24"/>
          <w:szCs w:val="24"/>
        </w:rPr>
        <w:t>was a difficult and contentious task</w:t>
      </w:r>
      <w:r w:rsidR="00907689" w:rsidRPr="006C0693">
        <w:rPr>
          <w:rFonts w:ascii="Times New Roman" w:hAnsi="Times New Roman" w:cs="Times New Roman"/>
          <w:sz w:val="24"/>
          <w:szCs w:val="24"/>
        </w:rPr>
        <w:t xml:space="preserve"> throughout the drafting process</w:t>
      </w:r>
      <w:r w:rsidR="00E50B33" w:rsidRPr="006C0693">
        <w:rPr>
          <w:rFonts w:ascii="Times New Roman" w:hAnsi="Times New Roman" w:cs="Times New Roman"/>
          <w:sz w:val="24"/>
          <w:szCs w:val="24"/>
        </w:rPr>
        <w:t xml:space="preserve"> </w:t>
      </w:r>
      <w:r w:rsidR="00763EDD" w:rsidRPr="006C0693">
        <w:rPr>
          <w:rFonts w:ascii="Times New Roman" w:hAnsi="Times New Roman" w:cs="Times New Roman"/>
          <w:sz w:val="24"/>
          <w:szCs w:val="24"/>
        </w:rPr>
        <w:t xml:space="preserve">from </w:t>
      </w:r>
      <w:r w:rsidR="00E50B33" w:rsidRPr="006C0693">
        <w:rPr>
          <w:rFonts w:ascii="Times New Roman" w:hAnsi="Times New Roman" w:cs="Times New Roman"/>
          <w:sz w:val="24"/>
          <w:szCs w:val="24"/>
        </w:rPr>
        <w:t>194</w:t>
      </w:r>
      <w:r w:rsidR="00671D6D" w:rsidRPr="006C0693">
        <w:rPr>
          <w:rFonts w:ascii="Times New Roman" w:hAnsi="Times New Roman" w:cs="Times New Roman"/>
          <w:sz w:val="24"/>
          <w:szCs w:val="24"/>
        </w:rPr>
        <w:t>8</w:t>
      </w:r>
      <w:r w:rsidR="00E50B33" w:rsidRPr="006C0693">
        <w:rPr>
          <w:rFonts w:ascii="Times New Roman" w:hAnsi="Times New Roman" w:cs="Times New Roman"/>
          <w:sz w:val="24"/>
          <w:szCs w:val="24"/>
        </w:rPr>
        <w:t xml:space="preserve"> through </w:t>
      </w:r>
      <w:r w:rsidR="00907689" w:rsidRPr="006C0693">
        <w:rPr>
          <w:rFonts w:ascii="Times New Roman" w:hAnsi="Times New Roman" w:cs="Times New Roman"/>
          <w:sz w:val="24"/>
          <w:szCs w:val="24"/>
        </w:rPr>
        <w:t xml:space="preserve">1957.  </w:t>
      </w:r>
      <w:r w:rsidR="00FB5D6C" w:rsidRPr="006C0693">
        <w:rPr>
          <w:rFonts w:ascii="Times New Roman" w:hAnsi="Times New Roman" w:cs="Times New Roman"/>
          <w:sz w:val="24"/>
          <w:szCs w:val="24"/>
        </w:rPr>
        <w:t>The</w:t>
      </w:r>
      <w:r w:rsidR="00907689" w:rsidRPr="006C0693">
        <w:rPr>
          <w:rFonts w:ascii="Times New Roman" w:hAnsi="Times New Roman" w:cs="Times New Roman"/>
          <w:sz w:val="24"/>
          <w:szCs w:val="24"/>
        </w:rPr>
        <w:t xml:space="preserve"> United Kingdom </w:t>
      </w:r>
      <w:r w:rsidR="00932023" w:rsidRPr="006C0693">
        <w:rPr>
          <w:rFonts w:ascii="Times New Roman" w:hAnsi="Times New Roman" w:cs="Times New Roman"/>
          <w:sz w:val="24"/>
          <w:szCs w:val="24"/>
        </w:rPr>
        <w:t xml:space="preserve">(UK) </w:t>
      </w:r>
      <w:r w:rsidR="00907689" w:rsidRPr="006C0693">
        <w:rPr>
          <w:rFonts w:ascii="Times New Roman" w:hAnsi="Times New Roman" w:cs="Times New Roman"/>
          <w:sz w:val="24"/>
          <w:szCs w:val="24"/>
        </w:rPr>
        <w:t>favored the approach of</w:t>
      </w:r>
      <w:r w:rsidR="00FC3978" w:rsidRPr="006C0693">
        <w:rPr>
          <w:rFonts w:ascii="Times New Roman" w:hAnsi="Times New Roman" w:cs="Times New Roman"/>
          <w:sz w:val="24"/>
          <w:szCs w:val="24"/>
        </w:rPr>
        <w:t xml:space="preserve"> </w:t>
      </w:r>
      <w:r w:rsidR="00FB5D6C" w:rsidRPr="006C0693">
        <w:rPr>
          <w:rFonts w:ascii="Times New Roman" w:hAnsi="Times New Roman" w:cs="Times New Roman"/>
          <w:sz w:val="24"/>
          <w:szCs w:val="24"/>
        </w:rPr>
        <w:t xml:space="preserve">a broad </w:t>
      </w:r>
      <w:r w:rsidR="00FC3978" w:rsidRPr="006C0693">
        <w:rPr>
          <w:rFonts w:ascii="Times New Roman" w:hAnsi="Times New Roman" w:cs="Times New Roman"/>
          <w:sz w:val="24"/>
          <w:szCs w:val="24"/>
        </w:rPr>
        <w:t>prohibition coupled with</w:t>
      </w:r>
      <w:r w:rsidR="00907689" w:rsidRPr="006C0693">
        <w:rPr>
          <w:rFonts w:ascii="Times New Roman" w:hAnsi="Times New Roman" w:cs="Times New Roman"/>
          <w:sz w:val="24"/>
          <w:szCs w:val="24"/>
        </w:rPr>
        <w:t xml:space="preserve"> a list of exceptions</w:t>
      </w:r>
      <w:r w:rsidR="00FC3978" w:rsidRPr="006C0693">
        <w:rPr>
          <w:rFonts w:ascii="Times New Roman" w:hAnsi="Times New Roman" w:cs="Times New Roman"/>
          <w:sz w:val="24"/>
          <w:szCs w:val="24"/>
        </w:rPr>
        <w:t xml:space="preserve"> or justifications for the deprivation of life</w:t>
      </w:r>
      <w:r w:rsidR="00907689" w:rsidRPr="006C0693">
        <w:rPr>
          <w:rFonts w:ascii="Times New Roman" w:hAnsi="Times New Roman" w:cs="Times New Roman"/>
          <w:sz w:val="24"/>
          <w:szCs w:val="24"/>
        </w:rPr>
        <w:t>, including acts such as self-defense, preventing the commission of a crime, or quelling a riot or insurrection.</w:t>
      </w:r>
      <w:r w:rsidR="00907689" w:rsidRPr="006C0693">
        <w:rPr>
          <w:rFonts w:ascii="Times New Roman" w:hAnsi="Times New Roman" w:cs="Times New Roman"/>
          <w:sz w:val="24"/>
          <w:szCs w:val="24"/>
          <w:vertAlign w:val="superscript"/>
        </w:rPr>
        <w:footnoteReference w:id="28"/>
      </w:r>
      <w:r w:rsidR="00907689" w:rsidRPr="006C0693">
        <w:rPr>
          <w:rFonts w:ascii="Times New Roman" w:hAnsi="Times New Roman" w:cs="Times New Roman"/>
          <w:sz w:val="24"/>
          <w:szCs w:val="24"/>
        </w:rPr>
        <w:t xml:space="preserve">  </w:t>
      </w:r>
      <w:r w:rsidR="00932023" w:rsidRPr="006C0693">
        <w:rPr>
          <w:rFonts w:ascii="Times New Roman" w:hAnsi="Times New Roman" w:cs="Times New Roman"/>
          <w:sz w:val="24"/>
          <w:szCs w:val="24"/>
        </w:rPr>
        <w:t xml:space="preserve">Although </w:t>
      </w:r>
      <w:r w:rsidR="007945B4" w:rsidRPr="006C0693">
        <w:rPr>
          <w:rFonts w:ascii="Times New Roman" w:hAnsi="Times New Roman" w:cs="Times New Roman"/>
          <w:sz w:val="24"/>
          <w:szCs w:val="24"/>
        </w:rPr>
        <w:t>S</w:t>
      </w:r>
      <w:r w:rsidR="00907689" w:rsidRPr="006C0693">
        <w:rPr>
          <w:rFonts w:ascii="Times New Roman" w:hAnsi="Times New Roman" w:cs="Times New Roman"/>
          <w:sz w:val="24"/>
          <w:szCs w:val="24"/>
        </w:rPr>
        <w:t xml:space="preserve">tates </w:t>
      </w:r>
      <w:r w:rsidR="00E27E63" w:rsidRPr="006C0693">
        <w:rPr>
          <w:rFonts w:ascii="Times New Roman" w:hAnsi="Times New Roman" w:cs="Times New Roman"/>
          <w:sz w:val="24"/>
          <w:szCs w:val="24"/>
        </w:rPr>
        <w:t xml:space="preserve">initially </w:t>
      </w:r>
      <w:r w:rsidR="00907689" w:rsidRPr="006C0693">
        <w:rPr>
          <w:rFonts w:ascii="Times New Roman" w:hAnsi="Times New Roman" w:cs="Times New Roman"/>
          <w:sz w:val="24"/>
          <w:szCs w:val="24"/>
        </w:rPr>
        <w:t xml:space="preserve">proposed </w:t>
      </w:r>
      <w:r w:rsidR="00FC3978" w:rsidRPr="006C0693">
        <w:rPr>
          <w:rFonts w:ascii="Times New Roman" w:hAnsi="Times New Roman" w:cs="Times New Roman"/>
          <w:sz w:val="24"/>
          <w:szCs w:val="24"/>
        </w:rPr>
        <w:t xml:space="preserve">other </w:t>
      </w:r>
      <w:r w:rsidR="00907689" w:rsidRPr="006C0693">
        <w:rPr>
          <w:rFonts w:ascii="Times New Roman" w:hAnsi="Times New Roman" w:cs="Times New Roman"/>
          <w:sz w:val="24"/>
          <w:szCs w:val="24"/>
        </w:rPr>
        <w:t xml:space="preserve">possible exceptions to add to this list, many expressed dissatisfaction with this structure, acknowledging that no list could encapsulate all possibilities.  The </w:t>
      </w:r>
      <w:r w:rsidR="001E4D30" w:rsidRPr="006C0693">
        <w:rPr>
          <w:rFonts w:ascii="Times New Roman" w:hAnsi="Times New Roman" w:cs="Times New Roman"/>
          <w:sz w:val="24"/>
          <w:szCs w:val="24"/>
        </w:rPr>
        <w:t>United States</w:t>
      </w:r>
      <w:r w:rsidR="00907689" w:rsidRPr="006C0693">
        <w:rPr>
          <w:rFonts w:ascii="Times New Roman" w:hAnsi="Times New Roman" w:cs="Times New Roman"/>
          <w:sz w:val="24"/>
          <w:szCs w:val="24"/>
        </w:rPr>
        <w:t xml:space="preserve"> opposed </w:t>
      </w:r>
      <w:r w:rsidR="001904B6" w:rsidRPr="006C0693">
        <w:rPr>
          <w:rFonts w:ascii="Times New Roman" w:hAnsi="Times New Roman" w:cs="Times New Roman"/>
          <w:sz w:val="24"/>
          <w:szCs w:val="24"/>
        </w:rPr>
        <w:t xml:space="preserve">such a </w:t>
      </w:r>
      <w:r w:rsidR="00907689" w:rsidRPr="006C0693">
        <w:rPr>
          <w:rFonts w:ascii="Times New Roman" w:hAnsi="Times New Roman" w:cs="Times New Roman"/>
          <w:sz w:val="24"/>
          <w:szCs w:val="24"/>
        </w:rPr>
        <w:t xml:space="preserve">list </w:t>
      </w:r>
      <w:r w:rsidR="007A359D" w:rsidRPr="006C0693">
        <w:rPr>
          <w:rFonts w:ascii="Times New Roman" w:hAnsi="Times New Roman" w:cs="Times New Roman"/>
          <w:sz w:val="24"/>
          <w:szCs w:val="24"/>
        </w:rPr>
        <w:t>as an</w:t>
      </w:r>
      <w:r w:rsidR="00907689" w:rsidRPr="006C0693">
        <w:rPr>
          <w:rFonts w:ascii="Times New Roman" w:hAnsi="Times New Roman" w:cs="Times New Roman"/>
          <w:sz w:val="24"/>
          <w:szCs w:val="24"/>
        </w:rPr>
        <w:t xml:space="preserve"> infringement on domestic law and existing criminal codes.</w:t>
      </w:r>
      <w:r w:rsidR="00907689" w:rsidRPr="006C0693">
        <w:rPr>
          <w:rFonts w:ascii="Times New Roman" w:hAnsi="Times New Roman" w:cs="Times New Roman"/>
          <w:sz w:val="24"/>
          <w:szCs w:val="24"/>
          <w:vertAlign w:val="superscript"/>
        </w:rPr>
        <w:footnoteReference w:id="29"/>
      </w:r>
      <w:r w:rsidR="00907689" w:rsidRPr="006C0693">
        <w:rPr>
          <w:rFonts w:ascii="Times New Roman" w:hAnsi="Times New Roman" w:cs="Times New Roman"/>
          <w:sz w:val="24"/>
          <w:szCs w:val="24"/>
        </w:rPr>
        <w:t xml:space="preserve">  It favored the simple affirmation that “no one shall be arbitrarily deprived of life” so as to obviate the necessity of setting out the possible exceptions in detail.</w:t>
      </w:r>
      <w:r w:rsidR="00907689" w:rsidRPr="006C0693">
        <w:rPr>
          <w:rFonts w:ascii="Times New Roman" w:hAnsi="Times New Roman" w:cs="Times New Roman"/>
          <w:sz w:val="24"/>
          <w:szCs w:val="24"/>
          <w:vertAlign w:val="superscript"/>
        </w:rPr>
        <w:footnoteReference w:id="30"/>
      </w:r>
      <w:r w:rsidR="00907689" w:rsidRPr="006C0693">
        <w:rPr>
          <w:rFonts w:ascii="Times New Roman" w:hAnsi="Times New Roman" w:cs="Times New Roman"/>
          <w:sz w:val="24"/>
          <w:szCs w:val="24"/>
        </w:rPr>
        <w:t xml:space="preserve"> </w:t>
      </w:r>
      <w:r w:rsidR="00993DCF">
        <w:rPr>
          <w:rFonts w:ascii="Times New Roman" w:hAnsi="Times New Roman" w:cs="Times New Roman"/>
          <w:sz w:val="24"/>
          <w:szCs w:val="24"/>
        </w:rPr>
        <w:t xml:space="preserve"> </w:t>
      </w:r>
      <w:r w:rsidR="00907689" w:rsidRPr="006C0693">
        <w:rPr>
          <w:rFonts w:ascii="Times New Roman" w:hAnsi="Times New Roman" w:cs="Times New Roman"/>
          <w:sz w:val="24"/>
          <w:szCs w:val="24"/>
        </w:rPr>
        <w:t>Th</w:t>
      </w:r>
      <w:r w:rsidR="003C7A2B" w:rsidRPr="006C0693">
        <w:rPr>
          <w:rFonts w:ascii="Times New Roman" w:hAnsi="Times New Roman" w:cs="Times New Roman"/>
          <w:sz w:val="24"/>
          <w:szCs w:val="24"/>
        </w:rPr>
        <w:t>is</w:t>
      </w:r>
      <w:r w:rsidR="00907689" w:rsidRPr="006C0693">
        <w:rPr>
          <w:rFonts w:ascii="Times New Roman" w:hAnsi="Times New Roman" w:cs="Times New Roman"/>
          <w:sz w:val="24"/>
          <w:szCs w:val="24"/>
        </w:rPr>
        <w:t xml:space="preserve"> debate </w:t>
      </w:r>
      <w:r w:rsidR="003C7A2B" w:rsidRPr="006C0693">
        <w:rPr>
          <w:rFonts w:ascii="Times New Roman" w:hAnsi="Times New Roman" w:cs="Times New Roman"/>
          <w:sz w:val="24"/>
          <w:szCs w:val="24"/>
        </w:rPr>
        <w:t xml:space="preserve">continued </w:t>
      </w:r>
      <w:r w:rsidR="00593F1F" w:rsidRPr="006C0693">
        <w:rPr>
          <w:rFonts w:ascii="Times New Roman" w:hAnsi="Times New Roman" w:cs="Times New Roman"/>
          <w:sz w:val="24"/>
          <w:szCs w:val="24"/>
        </w:rPr>
        <w:t xml:space="preserve">in 1957 in the Third Committee of the U.N. General Assembly </w:t>
      </w:r>
      <w:r w:rsidR="00FB5D6C" w:rsidRPr="006C0693">
        <w:rPr>
          <w:rFonts w:ascii="Times New Roman" w:hAnsi="Times New Roman" w:cs="Times New Roman"/>
          <w:sz w:val="24"/>
          <w:szCs w:val="24"/>
        </w:rPr>
        <w:t>between</w:t>
      </w:r>
      <w:r w:rsidR="00907689" w:rsidRPr="006C0693">
        <w:rPr>
          <w:rFonts w:ascii="Times New Roman" w:hAnsi="Times New Roman" w:cs="Times New Roman"/>
          <w:sz w:val="24"/>
          <w:szCs w:val="24"/>
        </w:rPr>
        <w:t xml:space="preserve"> </w:t>
      </w:r>
      <w:r w:rsidR="001F5F57" w:rsidRPr="006C0693">
        <w:rPr>
          <w:rFonts w:ascii="Times New Roman" w:hAnsi="Times New Roman" w:cs="Times New Roman"/>
          <w:sz w:val="24"/>
          <w:szCs w:val="24"/>
        </w:rPr>
        <w:t xml:space="preserve">those who supported the </w:t>
      </w:r>
      <w:r w:rsidR="00263D95" w:rsidRPr="006C0693">
        <w:rPr>
          <w:rFonts w:ascii="Times New Roman" w:hAnsi="Times New Roman" w:cs="Times New Roman"/>
          <w:sz w:val="24"/>
          <w:szCs w:val="24"/>
        </w:rPr>
        <w:t>simpler</w:t>
      </w:r>
      <w:r w:rsidR="001F5F57" w:rsidRPr="006C0693">
        <w:rPr>
          <w:rFonts w:ascii="Times New Roman" w:hAnsi="Times New Roman" w:cs="Times New Roman"/>
          <w:sz w:val="24"/>
          <w:szCs w:val="24"/>
        </w:rPr>
        <w:t xml:space="preserve"> approach</w:t>
      </w:r>
      <w:r w:rsidR="00263D95" w:rsidRPr="006C0693">
        <w:rPr>
          <w:rFonts w:ascii="Times New Roman" w:hAnsi="Times New Roman" w:cs="Times New Roman"/>
          <w:sz w:val="24"/>
          <w:szCs w:val="24"/>
        </w:rPr>
        <w:t xml:space="preserve"> favored by the U.S. and Chile</w:t>
      </w:r>
      <w:r w:rsidR="001F5F57" w:rsidRPr="006C0693">
        <w:rPr>
          <w:rFonts w:ascii="Times New Roman" w:hAnsi="Times New Roman" w:cs="Times New Roman"/>
          <w:sz w:val="24"/>
          <w:szCs w:val="24"/>
        </w:rPr>
        <w:t xml:space="preserve"> (“arbitrarily deprived of life”) and those who favored the more specific enumeration of exceptions </w:t>
      </w:r>
      <w:r w:rsidR="00263D95" w:rsidRPr="006C0693">
        <w:rPr>
          <w:rFonts w:ascii="Times New Roman" w:hAnsi="Times New Roman" w:cs="Times New Roman"/>
          <w:sz w:val="24"/>
          <w:szCs w:val="24"/>
        </w:rPr>
        <w:t>favored</w:t>
      </w:r>
      <w:r w:rsidR="001F5F57" w:rsidRPr="006C0693">
        <w:rPr>
          <w:rFonts w:ascii="Times New Roman" w:hAnsi="Times New Roman" w:cs="Times New Roman"/>
          <w:sz w:val="24"/>
          <w:szCs w:val="24"/>
        </w:rPr>
        <w:t xml:space="preserve"> by the UK, and later by the Netherlands.</w:t>
      </w:r>
      <w:r w:rsidR="001F5F57" w:rsidRPr="006C0693">
        <w:rPr>
          <w:rStyle w:val="FootnoteReference"/>
          <w:rFonts w:ascii="Times New Roman" w:hAnsi="Times New Roman" w:cs="Times New Roman"/>
          <w:sz w:val="24"/>
          <w:szCs w:val="24"/>
        </w:rPr>
        <w:t xml:space="preserve"> </w:t>
      </w:r>
      <w:r w:rsidR="001F5F57" w:rsidRPr="006C0693">
        <w:rPr>
          <w:rStyle w:val="FootnoteReference"/>
          <w:rFonts w:ascii="Times New Roman" w:hAnsi="Times New Roman" w:cs="Times New Roman"/>
          <w:sz w:val="24"/>
          <w:szCs w:val="24"/>
        </w:rPr>
        <w:footnoteReference w:id="31"/>
      </w:r>
      <w:r w:rsidR="001F5F57" w:rsidRPr="006C0693">
        <w:rPr>
          <w:rFonts w:ascii="Times New Roman" w:hAnsi="Times New Roman" w:cs="Times New Roman"/>
          <w:sz w:val="24"/>
          <w:szCs w:val="24"/>
        </w:rPr>
        <w:t xml:space="preserve">  In the end, t</w:t>
      </w:r>
      <w:r w:rsidR="00907689" w:rsidRPr="006C0693">
        <w:rPr>
          <w:rFonts w:ascii="Times New Roman" w:hAnsi="Times New Roman" w:cs="Times New Roman"/>
          <w:sz w:val="24"/>
          <w:szCs w:val="24"/>
        </w:rPr>
        <w:t xml:space="preserve">he majority </w:t>
      </w:r>
      <w:r w:rsidR="00593F1F" w:rsidRPr="006C0693">
        <w:rPr>
          <w:rFonts w:ascii="Times New Roman" w:hAnsi="Times New Roman" w:cs="Times New Roman"/>
          <w:sz w:val="24"/>
          <w:szCs w:val="24"/>
        </w:rPr>
        <w:t xml:space="preserve">retained the simpler approach concluding </w:t>
      </w:r>
      <w:r w:rsidR="001F5F57" w:rsidRPr="006C0693">
        <w:rPr>
          <w:rFonts w:ascii="Times New Roman" w:hAnsi="Times New Roman" w:cs="Times New Roman"/>
          <w:sz w:val="24"/>
          <w:szCs w:val="24"/>
        </w:rPr>
        <w:t>that</w:t>
      </w:r>
      <w:r w:rsidR="00907689" w:rsidRPr="006C0693">
        <w:rPr>
          <w:rFonts w:ascii="Times New Roman" w:hAnsi="Times New Roman" w:cs="Times New Roman"/>
          <w:sz w:val="24"/>
          <w:szCs w:val="24"/>
        </w:rPr>
        <w:t xml:space="preserve"> any enumeration would necessarily be incomplete and tend to convey the impression that more importance was being given to exceptions that to the right itself.</w:t>
      </w:r>
      <w:r w:rsidR="00907689" w:rsidRPr="006C0693">
        <w:rPr>
          <w:rFonts w:ascii="Times New Roman" w:hAnsi="Times New Roman" w:cs="Times New Roman"/>
          <w:sz w:val="24"/>
          <w:szCs w:val="24"/>
          <w:vertAlign w:val="superscript"/>
        </w:rPr>
        <w:footnoteReference w:id="32"/>
      </w:r>
      <w:r w:rsidR="00907689" w:rsidRPr="006C0693">
        <w:rPr>
          <w:rFonts w:ascii="Times New Roman" w:hAnsi="Times New Roman" w:cs="Times New Roman"/>
          <w:sz w:val="24"/>
          <w:szCs w:val="24"/>
        </w:rPr>
        <w:t xml:space="preserve">  </w:t>
      </w:r>
      <w:r w:rsidR="00F44CA3" w:rsidRPr="006C0693">
        <w:rPr>
          <w:rFonts w:ascii="Times New Roman" w:hAnsi="Times New Roman" w:cs="Times New Roman"/>
          <w:sz w:val="24"/>
          <w:szCs w:val="24"/>
        </w:rPr>
        <w:t xml:space="preserve">A number of delegations in the Third Committee also felt the </w:t>
      </w:r>
      <w:r w:rsidR="00593F1F" w:rsidRPr="006C0693">
        <w:rPr>
          <w:rFonts w:ascii="Times New Roman" w:hAnsi="Times New Roman" w:cs="Times New Roman"/>
          <w:sz w:val="24"/>
          <w:szCs w:val="24"/>
        </w:rPr>
        <w:t xml:space="preserve">simpler </w:t>
      </w:r>
      <w:r w:rsidR="00263D95" w:rsidRPr="006C0693">
        <w:rPr>
          <w:rFonts w:ascii="Times New Roman" w:hAnsi="Times New Roman" w:cs="Times New Roman"/>
          <w:sz w:val="24"/>
          <w:szCs w:val="24"/>
        </w:rPr>
        <w:t>clause that</w:t>
      </w:r>
      <w:r w:rsidR="00B25614" w:rsidRPr="006C0693">
        <w:rPr>
          <w:rFonts w:ascii="Times New Roman" w:hAnsi="Times New Roman" w:cs="Times New Roman"/>
          <w:sz w:val="24"/>
          <w:szCs w:val="24"/>
        </w:rPr>
        <w:t xml:space="preserve"> “no one shall be arbitrarily deprived of life” would indicate that the right to life was not absolute and would </w:t>
      </w:r>
      <w:r w:rsidR="00B25614" w:rsidRPr="006C0693">
        <w:rPr>
          <w:rFonts w:ascii="Times New Roman" w:hAnsi="Times New Roman" w:cs="Times New Roman"/>
          <w:sz w:val="24"/>
          <w:szCs w:val="24"/>
        </w:rPr>
        <w:lastRenderedPageBreak/>
        <w:t>obviate the necessity of setting out the possible exceptions in detail, thus maintaining a compromise that had been reached by the Human Rights Committee.</w:t>
      </w:r>
      <w:r w:rsidR="00B25614" w:rsidRPr="006C0693">
        <w:rPr>
          <w:rStyle w:val="FootnoteReference"/>
          <w:rFonts w:ascii="Times New Roman" w:hAnsi="Times New Roman" w:cs="Times New Roman"/>
          <w:sz w:val="24"/>
          <w:szCs w:val="24"/>
        </w:rPr>
        <w:footnoteReference w:id="33"/>
      </w:r>
      <w:r w:rsidR="00B25614" w:rsidRPr="006C0693">
        <w:rPr>
          <w:rFonts w:ascii="Times New Roman" w:hAnsi="Times New Roman" w:cs="Times New Roman"/>
          <w:sz w:val="24"/>
          <w:szCs w:val="24"/>
        </w:rPr>
        <w:t xml:space="preserve"> </w:t>
      </w:r>
      <w:r w:rsidR="00F44CA3" w:rsidRPr="006C0693">
        <w:rPr>
          <w:rFonts w:ascii="Times New Roman" w:hAnsi="Times New Roman" w:cs="Times New Roman"/>
          <w:sz w:val="24"/>
          <w:szCs w:val="24"/>
        </w:rPr>
        <w:t xml:space="preserve"> </w:t>
      </w:r>
      <w:r w:rsidR="00E27E63" w:rsidRPr="006C0693">
        <w:rPr>
          <w:rFonts w:ascii="Times New Roman" w:hAnsi="Times New Roman" w:cs="Times New Roman"/>
          <w:sz w:val="24"/>
          <w:szCs w:val="24"/>
        </w:rPr>
        <w:t xml:space="preserve">During the course of </w:t>
      </w:r>
      <w:r w:rsidR="00B25614" w:rsidRPr="006C0693">
        <w:rPr>
          <w:rFonts w:ascii="Times New Roman" w:hAnsi="Times New Roman" w:cs="Times New Roman"/>
          <w:sz w:val="24"/>
          <w:szCs w:val="24"/>
        </w:rPr>
        <w:t xml:space="preserve">that </w:t>
      </w:r>
      <w:r w:rsidR="00F44CA3" w:rsidRPr="006C0693">
        <w:rPr>
          <w:rFonts w:ascii="Times New Roman" w:hAnsi="Times New Roman" w:cs="Times New Roman"/>
          <w:sz w:val="24"/>
          <w:szCs w:val="24"/>
        </w:rPr>
        <w:t>earlier</w:t>
      </w:r>
      <w:r w:rsidR="002669DF" w:rsidRPr="006C0693">
        <w:rPr>
          <w:rFonts w:ascii="Times New Roman" w:hAnsi="Times New Roman" w:cs="Times New Roman"/>
          <w:sz w:val="24"/>
          <w:szCs w:val="24"/>
        </w:rPr>
        <w:t xml:space="preserve"> Commission </w:t>
      </w:r>
      <w:r w:rsidR="00E27E63" w:rsidRPr="006C0693">
        <w:rPr>
          <w:rFonts w:ascii="Times New Roman" w:hAnsi="Times New Roman" w:cs="Times New Roman"/>
          <w:sz w:val="24"/>
          <w:szCs w:val="24"/>
        </w:rPr>
        <w:t>debate</w:t>
      </w:r>
      <w:r w:rsidR="00907689" w:rsidRPr="006C0693">
        <w:rPr>
          <w:rFonts w:ascii="Times New Roman" w:hAnsi="Times New Roman" w:cs="Times New Roman"/>
          <w:sz w:val="24"/>
          <w:szCs w:val="24"/>
        </w:rPr>
        <w:t xml:space="preserve">, many States </w:t>
      </w:r>
      <w:r w:rsidR="00E27E63" w:rsidRPr="006C0693">
        <w:rPr>
          <w:rFonts w:ascii="Times New Roman" w:hAnsi="Times New Roman" w:cs="Times New Roman"/>
          <w:sz w:val="24"/>
          <w:szCs w:val="24"/>
        </w:rPr>
        <w:t xml:space="preserve">had </w:t>
      </w:r>
      <w:r w:rsidR="00907689" w:rsidRPr="006C0693">
        <w:rPr>
          <w:rFonts w:ascii="Times New Roman" w:hAnsi="Times New Roman" w:cs="Times New Roman"/>
          <w:sz w:val="24"/>
          <w:szCs w:val="24"/>
        </w:rPr>
        <w:t xml:space="preserve">expressed interest in leaving individual crimes and exceptions to “the internal machinery of the individual States” </w:t>
      </w:r>
      <w:r w:rsidR="00DF4A8E" w:rsidRPr="006C0693">
        <w:rPr>
          <w:rFonts w:ascii="Times New Roman" w:hAnsi="Times New Roman" w:cs="Times New Roman"/>
          <w:sz w:val="24"/>
          <w:szCs w:val="24"/>
        </w:rPr>
        <w:t xml:space="preserve">and keeping the </w:t>
      </w:r>
      <w:r w:rsidR="002669DF" w:rsidRPr="006C0693">
        <w:rPr>
          <w:rFonts w:ascii="Times New Roman" w:hAnsi="Times New Roman" w:cs="Times New Roman"/>
          <w:sz w:val="24"/>
          <w:szCs w:val="24"/>
        </w:rPr>
        <w:t xml:space="preserve">focus of the </w:t>
      </w:r>
      <w:r w:rsidR="00DF4A8E" w:rsidRPr="006C0693">
        <w:rPr>
          <w:rFonts w:ascii="Times New Roman" w:hAnsi="Times New Roman" w:cs="Times New Roman"/>
          <w:sz w:val="24"/>
          <w:szCs w:val="24"/>
        </w:rPr>
        <w:t>covenant</w:t>
      </w:r>
      <w:r w:rsidR="00F44CA3" w:rsidRPr="006C0693">
        <w:rPr>
          <w:rFonts w:ascii="Times New Roman" w:hAnsi="Times New Roman" w:cs="Times New Roman"/>
          <w:sz w:val="24"/>
          <w:szCs w:val="24"/>
        </w:rPr>
        <w:t xml:space="preserve"> “on the much higher level of the </w:t>
      </w:r>
      <w:r w:rsidR="00907689" w:rsidRPr="006C0693">
        <w:rPr>
          <w:rFonts w:ascii="Times New Roman" w:hAnsi="Times New Roman" w:cs="Times New Roman"/>
          <w:sz w:val="24"/>
          <w:szCs w:val="24"/>
        </w:rPr>
        <w:t xml:space="preserve">international </w:t>
      </w:r>
      <w:r w:rsidR="00F44CA3" w:rsidRPr="006C0693">
        <w:rPr>
          <w:rFonts w:ascii="Times New Roman" w:hAnsi="Times New Roman" w:cs="Times New Roman"/>
          <w:sz w:val="24"/>
          <w:szCs w:val="24"/>
        </w:rPr>
        <w:t>community</w:t>
      </w:r>
      <w:r w:rsidR="00993DCF">
        <w:rPr>
          <w:rFonts w:ascii="Times New Roman" w:hAnsi="Times New Roman" w:cs="Times New Roman"/>
          <w:sz w:val="24"/>
          <w:szCs w:val="24"/>
        </w:rPr>
        <w:t>.</w:t>
      </w:r>
      <w:r w:rsidR="00F44CA3" w:rsidRPr="006C0693">
        <w:rPr>
          <w:rFonts w:ascii="Times New Roman" w:hAnsi="Times New Roman" w:cs="Times New Roman"/>
          <w:sz w:val="24"/>
          <w:szCs w:val="24"/>
        </w:rPr>
        <w:t>”</w:t>
      </w:r>
      <w:r w:rsidR="00907689" w:rsidRPr="006C0693">
        <w:rPr>
          <w:rFonts w:ascii="Times New Roman" w:hAnsi="Times New Roman" w:cs="Times New Roman"/>
          <w:sz w:val="24"/>
          <w:szCs w:val="24"/>
          <w:vertAlign w:val="superscript"/>
        </w:rPr>
        <w:footnoteReference w:id="34"/>
      </w:r>
    </w:p>
    <w:p w:rsidR="00991624" w:rsidRPr="006C0693" w:rsidRDefault="00B603A0" w:rsidP="006C0693">
      <w:pPr>
        <w:pStyle w:val="Default"/>
        <w:spacing w:line="276" w:lineRule="auto"/>
        <w:rPr>
          <w:bCs/>
          <w:u w:val="single"/>
        </w:rPr>
      </w:pPr>
      <w:r w:rsidRPr="006C0693">
        <w:rPr>
          <w:bCs/>
          <w:u w:val="single"/>
        </w:rPr>
        <w:t>Protecting the Right to Life by Law</w:t>
      </w:r>
    </w:p>
    <w:p w:rsidR="00804102" w:rsidRPr="006C0693" w:rsidRDefault="0041086C" w:rsidP="006C0693">
      <w:pPr>
        <w:spacing w:before="240"/>
        <w:rPr>
          <w:rFonts w:ascii="Times New Roman" w:hAnsi="Times New Roman" w:cs="Times New Roman"/>
          <w:sz w:val="24"/>
          <w:szCs w:val="24"/>
        </w:rPr>
      </w:pPr>
      <w:r w:rsidRPr="006C0693">
        <w:rPr>
          <w:rFonts w:ascii="Times New Roman" w:hAnsi="Times New Roman" w:cs="Times New Roman"/>
          <w:sz w:val="24"/>
          <w:szCs w:val="24"/>
        </w:rPr>
        <w:t>30</w:t>
      </w:r>
      <w:r w:rsidR="00C10ED9" w:rsidRPr="006C0693">
        <w:rPr>
          <w:rFonts w:ascii="Times New Roman" w:hAnsi="Times New Roman" w:cs="Times New Roman"/>
          <w:sz w:val="24"/>
          <w:szCs w:val="24"/>
        </w:rPr>
        <w:t xml:space="preserve">.  </w:t>
      </w:r>
      <w:r w:rsidR="00517E0D">
        <w:rPr>
          <w:rFonts w:ascii="Times New Roman" w:hAnsi="Times New Roman" w:cs="Times New Roman"/>
          <w:sz w:val="24"/>
          <w:szCs w:val="24"/>
        </w:rPr>
        <w:t>With regard to</w:t>
      </w:r>
      <w:r w:rsidR="005112E1" w:rsidRPr="006C0693">
        <w:rPr>
          <w:rFonts w:ascii="Times New Roman" w:hAnsi="Times New Roman" w:cs="Times New Roman"/>
          <w:sz w:val="24"/>
          <w:szCs w:val="24"/>
        </w:rPr>
        <w:t xml:space="preserve"> the general heading, “duty to protect life,” we note that t</w:t>
      </w:r>
      <w:r w:rsidR="00D32D8D" w:rsidRPr="006C0693">
        <w:rPr>
          <w:rFonts w:ascii="Times New Roman" w:hAnsi="Times New Roman" w:cs="Times New Roman"/>
          <w:sz w:val="24"/>
          <w:szCs w:val="24"/>
        </w:rPr>
        <w:t xml:space="preserve">he obligation </w:t>
      </w:r>
      <w:r w:rsidR="009D1D17">
        <w:rPr>
          <w:rFonts w:ascii="Times New Roman" w:hAnsi="Times New Roman" w:cs="Times New Roman"/>
          <w:sz w:val="24"/>
          <w:szCs w:val="24"/>
        </w:rPr>
        <w:t>in Article 6(1)</w:t>
      </w:r>
      <w:r w:rsidR="00E214A6" w:rsidRPr="006C0693">
        <w:rPr>
          <w:rFonts w:ascii="Times New Roman" w:hAnsi="Times New Roman" w:cs="Times New Roman"/>
          <w:sz w:val="24"/>
          <w:szCs w:val="24"/>
        </w:rPr>
        <w:t xml:space="preserve"> </w:t>
      </w:r>
      <w:r w:rsidR="00D32D8D" w:rsidRPr="006C0693">
        <w:rPr>
          <w:rFonts w:ascii="Times New Roman" w:hAnsi="Times New Roman" w:cs="Times New Roman"/>
          <w:sz w:val="24"/>
          <w:szCs w:val="24"/>
        </w:rPr>
        <w:t>is</w:t>
      </w:r>
      <w:r w:rsidR="00263D95" w:rsidRPr="006C0693">
        <w:rPr>
          <w:rFonts w:ascii="Times New Roman" w:hAnsi="Times New Roman" w:cs="Times New Roman"/>
          <w:sz w:val="24"/>
          <w:szCs w:val="24"/>
        </w:rPr>
        <w:t xml:space="preserve"> </w:t>
      </w:r>
      <w:r w:rsidR="00D32D8D" w:rsidRPr="006C0693">
        <w:rPr>
          <w:rFonts w:ascii="Times New Roman" w:hAnsi="Times New Roman" w:cs="Times New Roman"/>
          <w:sz w:val="24"/>
          <w:szCs w:val="24"/>
        </w:rPr>
        <w:t>that “</w:t>
      </w:r>
      <w:r w:rsidR="001F0D46" w:rsidRPr="006C0693">
        <w:rPr>
          <w:rFonts w:ascii="Times New Roman" w:hAnsi="Times New Roman" w:cs="Times New Roman"/>
          <w:sz w:val="24"/>
          <w:szCs w:val="24"/>
        </w:rPr>
        <w:t>[</w:t>
      </w:r>
      <w:r w:rsidR="00D32D8D" w:rsidRPr="006C0693">
        <w:rPr>
          <w:rFonts w:ascii="Times New Roman" w:hAnsi="Times New Roman" w:cs="Times New Roman"/>
          <w:sz w:val="24"/>
          <w:szCs w:val="24"/>
        </w:rPr>
        <w:t>t</w:t>
      </w:r>
      <w:r w:rsidR="001F0D46" w:rsidRPr="006C0693">
        <w:rPr>
          <w:rFonts w:ascii="Times New Roman" w:hAnsi="Times New Roman" w:cs="Times New Roman"/>
          <w:sz w:val="24"/>
          <w:szCs w:val="24"/>
        </w:rPr>
        <w:t>]</w:t>
      </w:r>
      <w:r w:rsidR="00D32D8D" w:rsidRPr="006C0693">
        <w:rPr>
          <w:rFonts w:ascii="Times New Roman" w:hAnsi="Times New Roman" w:cs="Times New Roman"/>
          <w:sz w:val="24"/>
          <w:szCs w:val="24"/>
        </w:rPr>
        <w:t>h</w:t>
      </w:r>
      <w:r w:rsidR="00E214A6" w:rsidRPr="006C0693">
        <w:rPr>
          <w:rFonts w:ascii="Times New Roman" w:hAnsi="Times New Roman" w:cs="Times New Roman"/>
          <w:sz w:val="24"/>
          <w:szCs w:val="24"/>
        </w:rPr>
        <w:t>is</w:t>
      </w:r>
      <w:r w:rsidR="00D32D8D" w:rsidRPr="006C0693">
        <w:rPr>
          <w:rFonts w:ascii="Times New Roman" w:hAnsi="Times New Roman" w:cs="Times New Roman"/>
          <w:sz w:val="24"/>
          <w:szCs w:val="24"/>
        </w:rPr>
        <w:t xml:space="preserve"> right shall be protected by law.”  The Committee should conform the heading accordingly</w:t>
      </w:r>
      <w:r w:rsidR="000459A8" w:rsidRPr="006C0693">
        <w:rPr>
          <w:rFonts w:ascii="Times New Roman" w:hAnsi="Times New Roman" w:cs="Times New Roman"/>
          <w:sz w:val="24"/>
          <w:szCs w:val="24"/>
        </w:rPr>
        <w:t>,</w:t>
      </w:r>
      <w:r w:rsidR="00D32D8D" w:rsidRPr="006C0693">
        <w:rPr>
          <w:rFonts w:ascii="Times New Roman" w:hAnsi="Times New Roman" w:cs="Times New Roman"/>
          <w:sz w:val="24"/>
          <w:szCs w:val="24"/>
        </w:rPr>
        <w:t xml:space="preserve"> as well as any references to this obligation throughout the text.</w:t>
      </w:r>
      <w:r w:rsidR="00784D2E" w:rsidRPr="006C0693">
        <w:rPr>
          <w:rFonts w:ascii="Times New Roman" w:hAnsi="Times New Roman" w:cs="Times New Roman"/>
          <w:sz w:val="24"/>
          <w:szCs w:val="24"/>
        </w:rPr>
        <w:t xml:space="preserve"> </w:t>
      </w:r>
    </w:p>
    <w:p w:rsidR="00593F1F" w:rsidRPr="006C0693" w:rsidRDefault="0041086C" w:rsidP="006C0693">
      <w:pPr>
        <w:rPr>
          <w:rFonts w:ascii="Times New Roman" w:hAnsi="Times New Roman" w:cs="Times New Roman"/>
          <w:sz w:val="24"/>
          <w:szCs w:val="24"/>
        </w:rPr>
      </w:pPr>
      <w:r w:rsidRPr="006C0693">
        <w:rPr>
          <w:rFonts w:ascii="Times New Roman" w:hAnsi="Times New Roman" w:cs="Times New Roman"/>
          <w:sz w:val="24"/>
          <w:szCs w:val="24"/>
        </w:rPr>
        <w:t>31</w:t>
      </w:r>
      <w:r w:rsidR="00C10ED9" w:rsidRPr="006C0693">
        <w:rPr>
          <w:rFonts w:ascii="Times New Roman" w:hAnsi="Times New Roman" w:cs="Times New Roman"/>
          <w:sz w:val="24"/>
          <w:szCs w:val="24"/>
        </w:rPr>
        <w:t>.</w:t>
      </w:r>
      <w:r w:rsidR="001F151F" w:rsidRPr="006C0693">
        <w:rPr>
          <w:rFonts w:ascii="Times New Roman" w:hAnsi="Times New Roman" w:cs="Times New Roman"/>
          <w:sz w:val="24"/>
          <w:szCs w:val="24"/>
        </w:rPr>
        <w:t xml:space="preserve">  </w:t>
      </w:r>
      <w:r w:rsidR="007A359D" w:rsidRPr="006C0693">
        <w:rPr>
          <w:rFonts w:ascii="Times New Roman" w:hAnsi="Times New Roman" w:cs="Times New Roman"/>
          <w:sz w:val="24"/>
          <w:szCs w:val="24"/>
        </w:rPr>
        <w:t>The</w:t>
      </w:r>
      <w:r w:rsidR="003776EE" w:rsidRPr="006C0693">
        <w:rPr>
          <w:rFonts w:ascii="Times New Roman" w:hAnsi="Times New Roman" w:cs="Times New Roman"/>
          <w:sz w:val="24"/>
          <w:szCs w:val="24"/>
        </w:rPr>
        <w:t xml:space="preserve"> Committee undertakes </w:t>
      </w:r>
      <w:r w:rsidR="00803E66" w:rsidRPr="006C0693">
        <w:rPr>
          <w:rFonts w:ascii="Times New Roman" w:hAnsi="Times New Roman" w:cs="Times New Roman"/>
          <w:sz w:val="24"/>
          <w:szCs w:val="24"/>
        </w:rPr>
        <w:t xml:space="preserve">in paragraph 22 of its draft </w:t>
      </w:r>
      <w:r w:rsidR="00D32D8D" w:rsidRPr="006C0693">
        <w:rPr>
          <w:rFonts w:ascii="Times New Roman" w:hAnsi="Times New Roman" w:cs="Times New Roman"/>
          <w:sz w:val="24"/>
          <w:szCs w:val="24"/>
        </w:rPr>
        <w:t xml:space="preserve">to elaborate </w:t>
      </w:r>
      <w:r w:rsidR="003776EE" w:rsidRPr="006C0693">
        <w:rPr>
          <w:rFonts w:ascii="Times New Roman" w:hAnsi="Times New Roman" w:cs="Times New Roman"/>
          <w:sz w:val="24"/>
          <w:szCs w:val="24"/>
        </w:rPr>
        <w:t xml:space="preserve">on this obligation </w:t>
      </w:r>
      <w:r w:rsidR="00A72D7C" w:rsidRPr="006C0693">
        <w:rPr>
          <w:rFonts w:ascii="Times New Roman" w:hAnsi="Times New Roman" w:cs="Times New Roman"/>
          <w:sz w:val="24"/>
          <w:szCs w:val="24"/>
        </w:rPr>
        <w:t xml:space="preserve">by </w:t>
      </w:r>
      <w:r w:rsidR="005112E1" w:rsidRPr="006C0693">
        <w:rPr>
          <w:rFonts w:ascii="Times New Roman" w:hAnsi="Times New Roman" w:cs="Times New Roman"/>
          <w:sz w:val="24"/>
          <w:szCs w:val="24"/>
        </w:rPr>
        <w:t>asserting that</w:t>
      </w:r>
      <w:r w:rsidR="00FA3F73" w:rsidRPr="006C0693">
        <w:rPr>
          <w:rFonts w:ascii="Times New Roman" w:hAnsi="Times New Roman" w:cs="Times New Roman"/>
          <w:sz w:val="24"/>
          <w:szCs w:val="24"/>
        </w:rPr>
        <w:t>,</w:t>
      </w:r>
      <w:r w:rsidR="00A72D7C" w:rsidRPr="006C0693">
        <w:rPr>
          <w:rFonts w:ascii="Times New Roman" w:hAnsi="Times New Roman" w:cs="Times New Roman"/>
          <w:sz w:val="24"/>
          <w:szCs w:val="24"/>
        </w:rPr>
        <w:t xml:space="preserve"> </w:t>
      </w:r>
      <w:r w:rsidR="003776EE" w:rsidRPr="006C0693">
        <w:rPr>
          <w:rFonts w:ascii="Times New Roman" w:hAnsi="Times New Roman" w:cs="Times New Roman"/>
          <w:sz w:val="24"/>
          <w:szCs w:val="24"/>
        </w:rPr>
        <w:t>“</w:t>
      </w:r>
      <w:r w:rsidR="00FA3F73" w:rsidRPr="006C0693">
        <w:rPr>
          <w:rFonts w:ascii="Times New Roman" w:hAnsi="Times New Roman" w:cs="Times New Roman"/>
          <w:sz w:val="24"/>
          <w:szCs w:val="24"/>
        </w:rPr>
        <w:t>T</w:t>
      </w:r>
      <w:r w:rsidR="00784D2E" w:rsidRPr="006C0693">
        <w:rPr>
          <w:rFonts w:ascii="Times New Roman" w:hAnsi="Times New Roman" w:cs="Times New Roman"/>
          <w:sz w:val="24"/>
          <w:szCs w:val="24"/>
        </w:rPr>
        <w:t>he duty to protect the right to life by law</w:t>
      </w:r>
      <w:r w:rsidR="00784D2E" w:rsidRPr="006C0693">
        <w:rPr>
          <w:rFonts w:ascii="Times New Roman" w:hAnsi="Times New Roman" w:cs="Times New Roman"/>
          <w:sz w:val="24"/>
          <w:szCs w:val="24"/>
          <w:lang w:bidi="he-IL"/>
        </w:rPr>
        <w:t xml:space="preserve"> also includes an obligation for States </w:t>
      </w:r>
      <w:r w:rsidR="003776EE" w:rsidRPr="006C0693">
        <w:rPr>
          <w:rFonts w:ascii="Times New Roman" w:hAnsi="Times New Roman" w:cs="Times New Roman"/>
          <w:sz w:val="24"/>
          <w:szCs w:val="24"/>
          <w:lang w:bidi="he-IL"/>
        </w:rPr>
        <w:t>p</w:t>
      </w:r>
      <w:r w:rsidR="00784D2E" w:rsidRPr="006C0693">
        <w:rPr>
          <w:rFonts w:ascii="Times New Roman" w:hAnsi="Times New Roman" w:cs="Times New Roman"/>
          <w:sz w:val="24"/>
          <w:szCs w:val="24"/>
          <w:lang w:bidi="he-IL"/>
        </w:rPr>
        <w:t>arties to take appropriate legal measures in order to protect life from all foreseeable threats, including from threats emanating from private persons and entities.</w:t>
      </w:r>
      <w:r w:rsidR="0081430D" w:rsidRPr="006C0693">
        <w:rPr>
          <w:rFonts w:ascii="Times New Roman" w:hAnsi="Times New Roman" w:cs="Times New Roman"/>
          <w:sz w:val="24"/>
          <w:szCs w:val="24"/>
          <w:lang w:bidi="he-IL"/>
        </w:rPr>
        <w:t>”</w:t>
      </w:r>
      <w:r w:rsidR="00784D2E" w:rsidRPr="006C0693">
        <w:rPr>
          <w:rFonts w:ascii="Times New Roman" w:hAnsi="Times New Roman" w:cs="Times New Roman"/>
          <w:sz w:val="24"/>
          <w:szCs w:val="24"/>
          <w:lang w:bidi="he-IL"/>
        </w:rPr>
        <w:t xml:space="preserve"> </w:t>
      </w:r>
      <w:r w:rsidR="003560B4" w:rsidRPr="006C0693">
        <w:rPr>
          <w:rFonts w:ascii="Times New Roman" w:hAnsi="Times New Roman" w:cs="Times New Roman"/>
          <w:sz w:val="24"/>
          <w:szCs w:val="24"/>
          <w:lang w:bidi="he-IL"/>
        </w:rPr>
        <w:t xml:space="preserve"> </w:t>
      </w:r>
      <w:r w:rsidR="007F2E12" w:rsidRPr="006C0693">
        <w:rPr>
          <w:rFonts w:ascii="Times New Roman" w:hAnsi="Times New Roman" w:cs="Times New Roman"/>
          <w:sz w:val="24"/>
          <w:szCs w:val="24"/>
          <w:lang w:bidi="he-IL"/>
        </w:rPr>
        <w:t>The</w:t>
      </w:r>
      <w:r w:rsidR="007F2E12" w:rsidRPr="006C0693">
        <w:rPr>
          <w:rFonts w:ascii="Times New Roman" w:hAnsi="Times New Roman" w:cs="Times New Roman"/>
          <w:sz w:val="24"/>
          <w:szCs w:val="24"/>
          <w:lang w:val="en-CA"/>
        </w:rPr>
        <w:t xml:space="preserve"> draft, however, </w:t>
      </w:r>
      <w:r w:rsidR="003560B4" w:rsidRPr="006C0693">
        <w:rPr>
          <w:rFonts w:ascii="Times New Roman" w:hAnsi="Times New Roman" w:cs="Times New Roman"/>
          <w:sz w:val="24"/>
          <w:szCs w:val="24"/>
          <w:lang w:val="en-CA"/>
        </w:rPr>
        <w:t xml:space="preserve">offers no legal </w:t>
      </w:r>
      <w:r w:rsidR="002C47F2" w:rsidRPr="006C0693">
        <w:rPr>
          <w:rFonts w:ascii="Times New Roman" w:hAnsi="Times New Roman" w:cs="Times New Roman"/>
          <w:sz w:val="24"/>
          <w:szCs w:val="24"/>
          <w:lang w:val="en-CA"/>
        </w:rPr>
        <w:t xml:space="preserve">support </w:t>
      </w:r>
      <w:r w:rsidR="003560B4" w:rsidRPr="006C0693">
        <w:rPr>
          <w:rFonts w:ascii="Times New Roman" w:hAnsi="Times New Roman" w:cs="Times New Roman"/>
          <w:sz w:val="24"/>
          <w:szCs w:val="24"/>
          <w:lang w:val="en-CA"/>
        </w:rPr>
        <w:t>for the</w:t>
      </w:r>
      <w:r w:rsidR="002C47F2" w:rsidRPr="006C0693">
        <w:rPr>
          <w:rFonts w:ascii="Times New Roman" w:hAnsi="Times New Roman" w:cs="Times New Roman"/>
          <w:sz w:val="24"/>
          <w:szCs w:val="24"/>
          <w:lang w:val="en-CA"/>
        </w:rPr>
        <w:t>se</w:t>
      </w:r>
      <w:r w:rsidR="003560B4" w:rsidRPr="006C0693">
        <w:rPr>
          <w:rFonts w:ascii="Times New Roman" w:hAnsi="Times New Roman" w:cs="Times New Roman"/>
          <w:sz w:val="24"/>
          <w:szCs w:val="24"/>
          <w:lang w:val="en-CA"/>
        </w:rPr>
        <w:t xml:space="preserve"> assertions </w:t>
      </w:r>
      <w:r w:rsidR="007F2E12" w:rsidRPr="006C0693">
        <w:rPr>
          <w:rFonts w:ascii="Times New Roman" w:hAnsi="Times New Roman" w:cs="Times New Roman"/>
          <w:sz w:val="24"/>
          <w:szCs w:val="24"/>
          <w:lang w:val="en-CA"/>
        </w:rPr>
        <w:t>or indication of</w:t>
      </w:r>
      <w:r w:rsidR="003560B4" w:rsidRPr="006C0693">
        <w:rPr>
          <w:rFonts w:ascii="Times New Roman" w:hAnsi="Times New Roman" w:cs="Times New Roman"/>
          <w:sz w:val="24"/>
          <w:szCs w:val="24"/>
          <w:lang w:val="en-CA"/>
        </w:rPr>
        <w:t xml:space="preserve"> ICCPR State Part</w:t>
      </w:r>
      <w:r w:rsidR="007F2E12" w:rsidRPr="006C0693">
        <w:rPr>
          <w:rFonts w:ascii="Times New Roman" w:hAnsi="Times New Roman" w:cs="Times New Roman"/>
          <w:sz w:val="24"/>
          <w:szCs w:val="24"/>
          <w:lang w:val="en-CA"/>
        </w:rPr>
        <w:t>y agreement with this view.</w:t>
      </w:r>
      <w:r w:rsidR="007A359D" w:rsidRPr="006C0693">
        <w:rPr>
          <w:rFonts w:ascii="Times New Roman" w:hAnsi="Times New Roman" w:cs="Times New Roman"/>
          <w:sz w:val="24"/>
          <w:szCs w:val="24"/>
          <w:lang w:val="en-CA"/>
        </w:rPr>
        <w:t xml:space="preserve"> </w:t>
      </w:r>
      <w:r w:rsidR="001F0D46" w:rsidRPr="006C0693">
        <w:rPr>
          <w:rFonts w:ascii="Times New Roman" w:hAnsi="Times New Roman" w:cs="Times New Roman"/>
          <w:sz w:val="24"/>
          <w:szCs w:val="24"/>
          <w:lang w:val="en-CA"/>
        </w:rPr>
        <w:t xml:space="preserve"> </w:t>
      </w:r>
      <w:r w:rsidR="007A359D" w:rsidRPr="006C0693">
        <w:rPr>
          <w:rFonts w:ascii="Times New Roman" w:hAnsi="Times New Roman" w:cs="Times New Roman"/>
          <w:sz w:val="24"/>
          <w:szCs w:val="24"/>
          <w:lang w:val="en-CA"/>
        </w:rPr>
        <w:t>T</w:t>
      </w:r>
      <w:r w:rsidR="00803E66" w:rsidRPr="006C0693">
        <w:rPr>
          <w:rFonts w:ascii="Times New Roman" w:hAnsi="Times New Roman" w:cs="Times New Roman"/>
          <w:sz w:val="24"/>
          <w:szCs w:val="24"/>
          <w:lang w:val="en-CA"/>
        </w:rPr>
        <w:t xml:space="preserve">he </w:t>
      </w:r>
      <w:r w:rsidR="00803E66" w:rsidRPr="006C0693">
        <w:rPr>
          <w:rFonts w:ascii="Times New Roman" w:hAnsi="Times New Roman" w:cs="Times New Roman"/>
          <w:sz w:val="24"/>
          <w:szCs w:val="24"/>
        </w:rPr>
        <w:t xml:space="preserve">draft </w:t>
      </w:r>
      <w:r w:rsidR="0081430D" w:rsidRPr="006C0693">
        <w:rPr>
          <w:rFonts w:ascii="Times New Roman" w:hAnsi="Times New Roman" w:cs="Times New Roman"/>
          <w:sz w:val="24"/>
          <w:szCs w:val="24"/>
        </w:rPr>
        <w:t>g</w:t>
      </w:r>
      <w:r w:rsidR="00803E66" w:rsidRPr="006C0693">
        <w:rPr>
          <w:rFonts w:ascii="Times New Roman" w:hAnsi="Times New Roman" w:cs="Times New Roman"/>
          <w:sz w:val="24"/>
          <w:szCs w:val="24"/>
        </w:rPr>
        <w:t xml:space="preserve">eneral </w:t>
      </w:r>
      <w:r w:rsidR="0081430D" w:rsidRPr="006C0693">
        <w:rPr>
          <w:rFonts w:ascii="Times New Roman" w:hAnsi="Times New Roman" w:cs="Times New Roman"/>
          <w:sz w:val="24"/>
          <w:szCs w:val="24"/>
        </w:rPr>
        <w:t>c</w:t>
      </w:r>
      <w:r w:rsidR="00803E66" w:rsidRPr="006C0693">
        <w:rPr>
          <w:rFonts w:ascii="Times New Roman" w:hAnsi="Times New Roman" w:cs="Times New Roman"/>
          <w:sz w:val="24"/>
          <w:szCs w:val="24"/>
        </w:rPr>
        <w:t xml:space="preserve">omment </w:t>
      </w:r>
      <w:r w:rsidR="00803E66" w:rsidRPr="006C0693">
        <w:rPr>
          <w:rFonts w:ascii="Times New Roman" w:hAnsi="Times New Roman" w:cs="Times New Roman"/>
          <w:sz w:val="24"/>
          <w:szCs w:val="24"/>
          <w:lang w:val="en-CA"/>
        </w:rPr>
        <w:t>goes further by stating</w:t>
      </w:r>
      <w:r w:rsidR="00803E66" w:rsidRPr="006C0693">
        <w:rPr>
          <w:rFonts w:ascii="Times New Roman" w:hAnsi="Times New Roman" w:cs="Times New Roman"/>
          <w:sz w:val="24"/>
          <w:szCs w:val="24"/>
        </w:rPr>
        <w:t xml:space="preserve"> in paragraph 24</w:t>
      </w:r>
      <w:r w:rsidR="00FA3F73" w:rsidRPr="006C0693">
        <w:rPr>
          <w:rFonts w:ascii="Times New Roman" w:hAnsi="Times New Roman" w:cs="Times New Roman"/>
          <w:sz w:val="24"/>
          <w:szCs w:val="24"/>
        </w:rPr>
        <w:t>,</w:t>
      </w:r>
      <w:r w:rsidR="00803E66" w:rsidRPr="006C0693">
        <w:rPr>
          <w:rFonts w:ascii="Times New Roman" w:hAnsi="Times New Roman" w:cs="Times New Roman"/>
          <w:sz w:val="24"/>
          <w:szCs w:val="24"/>
        </w:rPr>
        <w:t xml:space="preserve"> “</w:t>
      </w:r>
      <w:r w:rsidR="00FA3F73" w:rsidRPr="006C0693">
        <w:rPr>
          <w:rFonts w:ascii="Times New Roman" w:hAnsi="Times New Roman" w:cs="Times New Roman"/>
          <w:sz w:val="24"/>
          <w:szCs w:val="24"/>
        </w:rPr>
        <w:t>S</w:t>
      </w:r>
      <w:r w:rsidR="00803E66" w:rsidRPr="006C0693">
        <w:rPr>
          <w:rFonts w:ascii="Times New Roman" w:hAnsi="Times New Roman" w:cs="Times New Roman"/>
          <w:sz w:val="24"/>
          <w:szCs w:val="24"/>
        </w:rPr>
        <w:t xml:space="preserve">tates parties must enact a protective legal framework which includes effective criminal prohibitions on all forms of arbitrary deprivations of life by individuals.” </w:t>
      </w:r>
      <w:r w:rsidR="00CB79D2" w:rsidRPr="006C0693">
        <w:rPr>
          <w:rFonts w:ascii="Times New Roman" w:hAnsi="Times New Roman" w:cs="Times New Roman"/>
          <w:sz w:val="24"/>
          <w:szCs w:val="24"/>
        </w:rPr>
        <w:t xml:space="preserve"> </w:t>
      </w:r>
    </w:p>
    <w:p w:rsidR="00803E66" w:rsidRPr="006C0693" w:rsidRDefault="00B82652" w:rsidP="006C0693">
      <w:pPr>
        <w:rPr>
          <w:rFonts w:ascii="Times New Roman" w:hAnsi="Times New Roman" w:cs="Times New Roman"/>
          <w:sz w:val="24"/>
          <w:szCs w:val="24"/>
        </w:rPr>
      </w:pPr>
      <w:r w:rsidRPr="006C0693">
        <w:rPr>
          <w:rFonts w:ascii="Times New Roman" w:hAnsi="Times New Roman" w:cs="Times New Roman"/>
          <w:sz w:val="24"/>
          <w:szCs w:val="24"/>
        </w:rPr>
        <w:t>3</w:t>
      </w:r>
      <w:r w:rsidR="0041086C" w:rsidRPr="006C0693">
        <w:rPr>
          <w:rFonts w:ascii="Times New Roman" w:hAnsi="Times New Roman" w:cs="Times New Roman"/>
          <w:sz w:val="24"/>
          <w:szCs w:val="24"/>
        </w:rPr>
        <w:t>2</w:t>
      </w:r>
      <w:r w:rsidRPr="006C0693">
        <w:rPr>
          <w:rFonts w:ascii="Times New Roman" w:hAnsi="Times New Roman" w:cs="Times New Roman"/>
          <w:sz w:val="24"/>
          <w:szCs w:val="24"/>
        </w:rPr>
        <w:t xml:space="preserve">.  </w:t>
      </w:r>
      <w:r w:rsidR="00932023" w:rsidRPr="006C0693">
        <w:rPr>
          <w:rFonts w:ascii="Times New Roman" w:hAnsi="Times New Roman" w:cs="Times New Roman"/>
          <w:sz w:val="24"/>
          <w:szCs w:val="24"/>
        </w:rPr>
        <w:t xml:space="preserve">Although it is </w:t>
      </w:r>
      <w:r w:rsidR="00CB79D2" w:rsidRPr="006C0693">
        <w:rPr>
          <w:rFonts w:ascii="Times New Roman" w:hAnsi="Times New Roman" w:cs="Times New Roman"/>
          <w:sz w:val="24"/>
          <w:szCs w:val="24"/>
        </w:rPr>
        <w:t xml:space="preserve">true that Article 2(2) requires </w:t>
      </w:r>
      <w:r w:rsidR="00932023" w:rsidRPr="006C0693">
        <w:rPr>
          <w:rFonts w:ascii="Times New Roman" w:hAnsi="Times New Roman" w:cs="Times New Roman"/>
          <w:sz w:val="24"/>
          <w:szCs w:val="24"/>
        </w:rPr>
        <w:t>S</w:t>
      </w:r>
      <w:r w:rsidR="00CB79D2" w:rsidRPr="006C0693">
        <w:rPr>
          <w:rFonts w:ascii="Times New Roman" w:hAnsi="Times New Roman" w:cs="Times New Roman"/>
          <w:sz w:val="24"/>
          <w:szCs w:val="24"/>
        </w:rPr>
        <w:t xml:space="preserve">tates to adopt legislation and other measures to the extent necessary to give effect to ICCPR rights, </w:t>
      </w:r>
      <w:r w:rsidR="00AC1F9C" w:rsidRPr="006C0693">
        <w:rPr>
          <w:rFonts w:ascii="Times New Roman" w:hAnsi="Times New Roman" w:cs="Times New Roman"/>
          <w:sz w:val="24"/>
          <w:szCs w:val="24"/>
        </w:rPr>
        <w:t>neither Article 2(2) nor Article 6(1) specifies</w:t>
      </w:r>
      <w:r w:rsidR="0081430D" w:rsidRPr="006C0693">
        <w:rPr>
          <w:rFonts w:ascii="Times New Roman" w:hAnsi="Times New Roman" w:cs="Times New Roman"/>
          <w:sz w:val="24"/>
          <w:szCs w:val="24"/>
        </w:rPr>
        <w:t xml:space="preserve"> the conduct to be criminalized, nor the elements or penalties</w:t>
      </w:r>
      <w:r w:rsidR="00FF4124" w:rsidRPr="006C0693">
        <w:rPr>
          <w:rFonts w:ascii="Times New Roman" w:hAnsi="Times New Roman" w:cs="Times New Roman"/>
          <w:sz w:val="24"/>
          <w:szCs w:val="24"/>
        </w:rPr>
        <w:t xml:space="preserve"> commensurate with such crimes</w:t>
      </w:r>
      <w:r w:rsidR="005112E1" w:rsidRPr="006C0693">
        <w:rPr>
          <w:rFonts w:ascii="Times New Roman" w:hAnsi="Times New Roman" w:cs="Times New Roman"/>
          <w:sz w:val="24"/>
          <w:szCs w:val="24"/>
        </w:rPr>
        <w:t>.</w:t>
      </w:r>
      <w:r w:rsidR="00FF4124" w:rsidRPr="006C0693">
        <w:rPr>
          <w:rFonts w:ascii="Times New Roman" w:hAnsi="Times New Roman" w:cs="Times New Roman"/>
          <w:sz w:val="24"/>
          <w:szCs w:val="24"/>
        </w:rPr>
        <w:t xml:space="preserve">  </w:t>
      </w:r>
      <w:r w:rsidR="00CB79D2" w:rsidRPr="006C0693">
        <w:rPr>
          <w:rFonts w:ascii="Times New Roman" w:hAnsi="Times New Roman" w:cs="Times New Roman"/>
          <w:sz w:val="24"/>
          <w:szCs w:val="24"/>
        </w:rPr>
        <w:t>Indeed</w:t>
      </w:r>
      <w:r w:rsidR="007A0A17" w:rsidRPr="006C0693">
        <w:rPr>
          <w:rFonts w:ascii="Times New Roman" w:hAnsi="Times New Roman" w:cs="Times New Roman"/>
          <w:sz w:val="24"/>
          <w:szCs w:val="24"/>
        </w:rPr>
        <w:t>,</w:t>
      </w:r>
      <w:r w:rsidR="00CB79D2" w:rsidRPr="006C0693">
        <w:rPr>
          <w:rFonts w:ascii="Times New Roman" w:hAnsi="Times New Roman" w:cs="Times New Roman"/>
          <w:sz w:val="24"/>
          <w:szCs w:val="24"/>
        </w:rPr>
        <w:t xml:space="preserve"> some</w:t>
      </w:r>
      <w:r w:rsidR="002669DF" w:rsidRPr="006C0693">
        <w:rPr>
          <w:rFonts w:ascii="Times New Roman" w:hAnsi="Times New Roman" w:cs="Times New Roman"/>
          <w:sz w:val="24"/>
          <w:szCs w:val="24"/>
        </w:rPr>
        <w:t xml:space="preserve"> of</w:t>
      </w:r>
      <w:r w:rsidR="00CB79D2" w:rsidRPr="006C0693">
        <w:rPr>
          <w:rFonts w:ascii="Times New Roman" w:hAnsi="Times New Roman" w:cs="Times New Roman"/>
          <w:sz w:val="24"/>
          <w:szCs w:val="24"/>
        </w:rPr>
        <w:t xml:space="preserve"> </w:t>
      </w:r>
      <w:r w:rsidR="00663060" w:rsidRPr="006C0693">
        <w:rPr>
          <w:rFonts w:ascii="Times New Roman" w:hAnsi="Times New Roman" w:cs="Times New Roman"/>
          <w:sz w:val="24"/>
          <w:szCs w:val="24"/>
        </w:rPr>
        <w:t xml:space="preserve">the </w:t>
      </w:r>
      <w:r w:rsidR="00CB79D2" w:rsidRPr="006C0693">
        <w:rPr>
          <w:rFonts w:ascii="Times New Roman" w:hAnsi="Times New Roman" w:cs="Times New Roman"/>
          <w:sz w:val="24"/>
          <w:szCs w:val="24"/>
        </w:rPr>
        <w:t xml:space="preserve">provisions </w:t>
      </w:r>
      <w:r w:rsidR="00FF4124" w:rsidRPr="006C0693">
        <w:rPr>
          <w:rFonts w:ascii="Times New Roman" w:hAnsi="Times New Roman" w:cs="Times New Roman"/>
          <w:sz w:val="24"/>
          <w:szCs w:val="24"/>
        </w:rPr>
        <w:t xml:space="preserve">that </w:t>
      </w:r>
      <w:r w:rsidR="00803E66" w:rsidRPr="006C0693">
        <w:rPr>
          <w:rFonts w:ascii="Times New Roman" w:hAnsi="Times New Roman" w:cs="Times New Roman"/>
          <w:sz w:val="24"/>
          <w:szCs w:val="24"/>
        </w:rPr>
        <w:t xml:space="preserve">the </w:t>
      </w:r>
      <w:r w:rsidR="00DB542A" w:rsidRPr="006C0693">
        <w:rPr>
          <w:rFonts w:ascii="Times New Roman" w:hAnsi="Times New Roman" w:cs="Times New Roman"/>
          <w:sz w:val="24"/>
          <w:szCs w:val="24"/>
        </w:rPr>
        <w:t>Committee</w:t>
      </w:r>
      <w:r w:rsidR="00FF4124" w:rsidRPr="006C0693">
        <w:rPr>
          <w:rFonts w:ascii="Times New Roman" w:hAnsi="Times New Roman" w:cs="Times New Roman"/>
          <w:sz w:val="24"/>
          <w:szCs w:val="24"/>
        </w:rPr>
        <w:t xml:space="preserve"> </w:t>
      </w:r>
      <w:r w:rsidR="00E8586C" w:rsidRPr="006C0693">
        <w:rPr>
          <w:rFonts w:ascii="Times New Roman" w:hAnsi="Times New Roman" w:cs="Times New Roman"/>
          <w:sz w:val="24"/>
          <w:szCs w:val="24"/>
        </w:rPr>
        <w:t xml:space="preserve">appears to put forward as required </w:t>
      </w:r>
      <w:r w:rsidR="00803E66" w:rsidRPr="006C0693">
        <w:rPr>
          <w:rFonts w:ascii="Times New Roman" w:hAnsi="Times New Roman" w:cs="Times New Roman"/>
          <w:sz w:val="24"/>
          <w:szCs w:val="24"/>
        </w:rPr>
        <w:t xml:space="preserve">would encompass </w:t>
      </w:r>
      <w:r w:rsidR="00DB542A" w:rsidRPr="006C0693">
        <w:rPr>
          <w:rFonts w:ascii="Times New Roman" w:hAnsi="Times New Roman" w:cs="Times New Roman"/>
          <w:sz w:val="24"/>
          <w:szCs w:val="24"/>
        </w:rPr>
        <w:t xml:space="preserve">dangers or </w:t>
      </w:r>
      <w:r w:rsidR="00803E66" w:rsidRPr="006C0693">
        <w:rPr>
          <w:rFonts w:ascii="Times New Roman" w:hAnsi="Times New Roman" w:cs="Times New Roman"/>
          <w:sz w:val="24"/>
          <w:szCs w:val="24"/>
        </w:rPr>
        <w:t>threat</w:t>
      </w:r>
      <w:r w:rsidR="00DB542A" w:rsidRPr="006C0693">
        <w:rPr>
          <w:rFonts w:ascii="Times New Roman" w:hAnsi="Times New Roman" w:cs="Times New Roman"/>
          <w:sz w:val="24"/>
          <w:szCs w:val="24"/>
        </w:rPr>
        <w:t>ening behavior</w:t>
      </w:r>
      <w:r w:rsidR="00803E66" w:rsidRPr="006C0693">
        <w:rPr>
          <w:rFonts w:ascii="Times New Roman" w:hAnsi="Times New Roman" w:cs="Times New Roman"/>
          <w:sz w:val="24"/>
          <w:szCs w:val="24"/>
        </w:rPr>
        <w:t xml:space="preserve"> </w:t>
      </w:r>
      <w:r w:rsidR="00FF4124" w:rsidRPr="006C0693">
        <w:rPr>
          <w:rFonts w:ascii="Times New Roman" w:hAnsi="Times New Roman" w:cs="Times New Roman"/>
          <w:sz w:val="24"/>
          <w:szCs w:val="24"/>
        </w:rPr>
        <w:t xml:space="preserve">regardless of </w:t>
      </w:r>
      <w:r w:rsidR="00803E66" w:rsidRPr="006C0693">
        <w:rPr>
          <w:rFonts w:ascii="Times New Roman" w:hAnsi="Times New Roman" w:cs="Times New Roman"/>
          <w:sz w:val="24"/>
          <w:szCs w:val="24"/>
        </w:rPr>
        <w:t xml:space="preserve">whether </w:t>
      </w:r>
      <w:r w:rsidR="00FF4124" w:rsidRPr="006C0693">
        <w:rPr>
          <w:rFonts w:ascii="Times New Roman" w:hAnsi="Times New Roman" w:cs="Times New Roman"/>
          <w:sz w:val="24"/>
          <w:szCs w:val="24"/>
        </w:rPr>
        <w:t>the conduct</w:t>
      </w:r>
      <w:r w:rsidR="00DB542A" w:rsidRPr="006C0693">
        <w:rPr>
          <w:rFonts w:ascii="Times New Roman" w:hAnsi="Times New Roman" w:cs="Times New Roman"/>
          <w:sz w:val="24"/>
          <w:szCs w:val="24"/>
        </w:rPr>
        <w:t xml:space="preserve"> </w:t>
      </w:r>
      <w:r w:rsidR="00CB79D2" w:rsidRPr="006C0693">
        <w:rPr>
          <w:rFonts w:ascii="Times New Roman" w:hAnsi="Times New Roman" w:cs="Times New Roman"/>
          <w:sz w:val="24"/>
          <w:szCs w:val="24"/>
        </w:rPr>
        <w:t xml:space="preserve">to be criminalized </w:t>
      </w:r>
      <w:r w:rsidR="00DB542A" w:rsidRPr="006C0693">
        <w:rPr>
          <w:rFonts w:ascii="Times New Roman" w:hAnsi="Times New Roman" w:cs="Times New Roman"/>
          <w:sz w:val="24"/>
          <w:szCs w:val="24"/>
        </w:rPr>
        <w:t xml:space="preserve">results </w:t>
      </w:r>
      <w:r w:rsidR="00803E66" w:rsidRPr="006C0693">
        <w:rPr>
          <w:rFonts w:ascii="Times New Roman" w:hAnsi="Times New Roman" w:cs="Times New Roman"/>
          <w:sz w:val="24"/>
          <w:szCs w:val="24"/>
        </w:rPr>
        <w:t>in deprivation of life (</w:t>
      </w:r>
      <w:r w:rsidR="00E27E63" w:rsidRPr="006C0693">
        <w:rPr>
          <w:rFonts w:ascii="Times New Roman" w:hAnsi="Times New Roman" w:cs="Times New Roman"/>
          <w:i/>
          <w:sz w:val="24"/>
          <w:szCs w:val="24"/>
        </w:rPr>
        <w:t>e.g.</w:t>
      </w:r>
      <w:r w:rsidR="00E27E63" w:rsidRPr="006C0693">
        <w:rPr>
          <w:rFonts w:ascii="Times New Roman" w:hAnsi="Times New Roman" w:cs="Times New Roman"/>
          <w:sz w:val="24"/>
          <w:szCs w:val="24"/>
        </w:rPr>
        <w:t xml:space="preserve">, </w:t>
      </w:r>
      <w:r w:rsidR="007A0A17" w:rsidRPr="006C0693">
        <w:rPr>
          <w:rFonts w:ascii="Times New Roman" w:hAnsi="Times New Roman" w:cs="Times New Roman"/>
          <w:sz w:val="24"/>
          <w:szCs w:val="24"/>
        </w:rPr>
        <w:t>“</w:t>
      </w:r>
      <w:r w:rsidR="00803E66" w:rsidRPr="006C0693">
        <w:rPr>
          <w:rFonts w:ascii="Times New Roman" w:hAnsi="Times New Roman" w:cs="Times New Roman"/>
          <w:sz w:val="24"/>
          <w:szCs w:val="24"/>
        </w:rPr>
        <w:t>disproportionate use of firearms,</w:t>
      </w:r>
      <w:r w:rsidR="007A0A17" w:rsidRPr="006C0693">
        <w:rPr>
          <w:rFonts w:ascii="Times New Roman" w:hAnsi="Times New Roman" w:cs="Times New Roman"/>
          <w:sz w:val="24"/>
          <w:szCs w:val="24"/>
        </w:rPr>
        <w:t>”</w:t>
      </w:r>
      <w:r w:rsidR="00803E66" w:rsidRPr="006C0693">
        <w:rPr>
          <w:rFonts w:ascii="Times New Roman" w:hAnsi="Times New Roman" w:cs="Times New Roman"/>
          <w:sz w:val="24"/>
          <w:szCs w:val="24"/>
        </w:rPr>
        <w:t xml:space="preserve"> </w:t>
      </w:r>
      <w:r w:rsidR="007A0A17" w:rsidRPr="006C0693">
        <w:rPr>
          <w:rFonts w:ascii="Times New Roman" w:hAnsi="Times New Roman" w:cs="Times New Roman"/>
          <w:sz w:val="24"/>
          <w:szCs w:val="24"/>
        </w:rPr>
        <w:t>“</w:t>
      </w:r>
      <w:r w:rsidR="00803E66" w:rsidRPr="006C0693">
        <w:rPr>
          <w:rFonts w:ascii="Times New Roman" w:hAnsi="Times New Roman" w:cs="Times New Roman"/>
          <w:sz w:val="24"/>
          <w:szCs w:val="24"/>
        </w:rPr>
        <w:t>blood feuds,</w:t>
      </w:r>
      <w:r w:rsidR="007A0A17" w:rsidRPr="006C0693">
        <w:rPr>
          <w:rFonts w:ascii="Times New Roman" w:hAnsi="Times New Roman" w:cs="Times New Roman"/>
          <w:sz w:val="24"/>
          <w:szCs w:val="24"/>
        </w:rPr>
        <w:t>”</w:t>
      </w:r>
      <w:r w:rsidR="00803E66" w:rsidRPr="006C0693">
        <w:rPr>
          <w:rFonts w:ascii="Times New Roman" w:hAnsi="Times New Roman" w:cs="Times New Roman"/>
          <w:sz w:val="24"/>
          <w:szCs w:val="24"/>
        </w:rPr>
        <w:t xml:space="preserve"> </w:t>
      </w:r>
      <w:r w:rsidR="007A0A17" w:rsidRPr="006C0693">
        <w:rPr>
          <w:rFonts w:ascii="Times New Roman" w:hAnsi="Times New Roman" w:cs="Times New Roman"/>
          <w:sz w:val="24"/>
          <w:szCs w:val="24"/>
        </w:rPr>
        <w:t>“</w:t>
      </w:r>
      <w:r w:rsidR="00803E66" w:rsidRPr="006C0693">
        <w:rPr>
          <w:rFonts w:ascii="Times New Roman" w:hAnsi="Times New Roman" w:cs="Times New Roman"/>
          <w:sz w:val="24"/>
          <w:szCs w:val="24"/>
        </w:rPr>
        <w:t>death threats,</w:t>
      </w:r>
      <w:r w:rsidR="007A0A17" w:rsidRPr="006C0693">
        <w:rPr>
          <w:rFonts w:ascii="Times New Roman" w:hAnsi="Times New Roman" w:cs="Times New Roman"/>
          <w:sz w:val="24"/>
          <w:szCs w:val="24"/>
        </w:rPr>
        <w:t>”</w:t>
      </w:r>
      <w:r w:rsidR="00803E66" w:rsidRPr="006C0693">
        <w:rPr>
          <w:rFonts w:ascii="Times New Roman" w:hAnsi="Times New Roman" w:cs="Times New Roman"/>
          <w:sz w:val="24"/>
          <w:szCs w:val="24"/>
        </w:rPr>
        <w:t xml:space="preserve"> </w:t>
      </w:r>
      <w:r w:rsidR="007A0A17" w:rsidRPr="006C0693">
        <w:rPr>
          <w:rFonts w:ascii="Times New Roman" w:hAnsi="Times New Roman" w:cs="Times New Roman"/>
          <w:sz w:val="24"/>
          <w:szCs w:val="24"/>
        </w:rPr>
        <w:t>“</w:t>
      </w:r>
      <w:r w:rsidR="00803E66" w:rsidRPr="006C0693">
        <w:rPr>
          <w:rFonts w:ascii="Times New Roman" w:hAnsi="Times New Roman" w:cs="Times New Roman"/>
          <w:sz w:val="24"/>
          <w:szCs w:val="24"/>
        </w:rPr>
        <w:t>manifestations of violence</w:t>
      </w:r>
      <w:r w:rsidR="007A0A17" w:rsidRPr="006C0693">
        <w:rPr>
          <w:rFonts w:ascii="Times New Roman" w:hAnsi="Times New Roman" w:cs="Times New Roman"/>
          <w:sz w:val="24"/>
          <w:szCs w:val="24"/>
        </w:rPr>
        <w:t>”</w:t>
      </w:r>
      <w:r w:rsidR="00803E66" w:rsidRPr="006C0693">
        <w:rPr>
          <w:rFonts w:ascii="Times New Roman" w:hAnsi="Times New Roman" w:cs="Times New Roman"/>
          <w:sz w:val="24"/>
          <w:szCs w:val="24"/>
        </w:rPr>
        <w:t xml:space="preserve"> or </w:t>
      </w:r>
      <w:r w:rsidR="007A0A17" w:rsidRPr="006C0693">
        <w:rPr>
          <w:rFonts w:ascii="Times New Roman" w:hAnsi="Times New Roman" w:cs="Times New Roman"/>
          <w:sz w:val="24"/>
          <w:szCs w:val="24"/>
        </w:rPr>
        <w:t>“</w:t>
      </w:r>
      <w:r w:rsidR="00803E66" w:rsidRPr="006C0693">
        <w:rPr>
          <w:rFonts w:ascii="Times New Roman" w:hAnsi="Times New Roman" w:cs="Times New Roman"/>
          <w:sz w:val="24"/>
          <w:szCs w:val="24"/>
        </w:rPr>
        <w:t>incitement to violence</w:t>
      </w:r>
      <w:r w:rsidR="007A0A17" w:rsidRPr="006C0693">
        <w:rPr>
          <w:rFonts w:ascii="Times New Roman" w:hAnsi="Times New Roman" w:cs="Times New Roman"/>
          <w:sz w:val="24"/>
          <w:szCs w:val="24"/>
        </w:rPr>
        <w:t>”</w:t>
      </w:r>
      <w:r w:rsidR="00803E66" w:rsidRPr="006C0693">
        <w:rPr>
          <w:rFonts w:ascii="Times New Roman" w:hAnsi="Times New Roman" w:cs="Times New Roman"/>
          <w:sz w:val="24"/>
          <w:szCs w:val="24"/>
        </w:rPr>
        <w:t xml:space="preserve">). </w:t>
      </w:r>
      <w:r w:rsidR="001F0D46" w:rsidRPr="006C0693">
        <w:rPr>
          <w:rFonts w:ascii="Times New Roman" w:hAnsi="Times New Roman" w:cs="Times New Roman"/>
          <w:sz w:val="24"/>
          <w:szCs w:val="24"/>
        </w:rPr>
        <w:t xml:space="preserve"> </w:t>
      </w:r>
      <w:r w:rsidR="00CB79D2" w:rsidRPr="006C0693">
        <w:rPr>
          <w:rFonts w:ascii="Times New Roman" w:hAnsi="Times New Roman" w:cs="Times New Roman"/>
          <w:sz w:val="24"/>
          <w:szCs w:val="24"/>
        </w:rPr>
        <w:t xml:space="preserve">These </w:t>
      </w:r>
      <w:r w:rsidR="007A0A17" w:rsidRPr="006C0693">
        <w:rPr>
          <w:rFonts w:ascii="Times New Roman" w:hAnsi="Times New Roman" w:cs="Times New Roman"/>
          <w:sz w:val="24"/>
          <w:szCs w:val="24"/>
        </w:rPr>
        <w:t xml:space="preserve">types of conduct </w:t>
      </w:r>
      <w:r w:rsidR="00CB79D2" w:rsidRPr="006C0693">
        <w:rPr>
          <w:rFonts w:ascii="Times New Roman" w:hAnsi="Times New Roman" w:cs="Times New Roman"/>
          <w:sz w:val="24"/>
          <w:szCs w:val="24"/>
        </w:rPr>
        <w:t xml:space="preserve">do not clearly fall </w:t>
      </w:r>
      <w:r w:rsidR="00FF4124" w:rsidRPr="006C0693">
        <w:rPr>
          <w:rFonts w:ascii="Times New Roman" w:hAnsi="Times New Roman" w:cs="Times New Roman"/>
          <w:sz w:val="24"/>
          <w:szCs w:val="24"/>
        </w:rPr>
        <w:t xml:space="preserve">within </w:t>
      </w:r>
      <w:r w:rsidR="00AF1151" w:rsidRPr="006C0693">
        <w:rPr>
          <w:rFonts w:ascii="Times New Roman" w:hAnsi="Times New Roman" w:cs="Times New Roman"/>
          <w:sz w:val="24"/>
          <w:szCs w:val="24"/>
        </w:rPr>
        <w:t>the ordinary meaning of “deprivation of life” under Article 6(1)</w:t>
      </w:r>
      <w:r w:rsidR="00875194" w:rsidRPr="006C0693">
        <w:rPr>
          <w:rFonts w:ascii="Times New Roman" w:hAnsi="Times New Roman" w:cs="Times New Roman"/>
          <w:sz w:val="24"/>
          <w:szCs w:val="24"/>
        </w:rPr>
        <w:t xml:space="preserve">, and </w:t>
      </w:r>
      <w:r w:rsidR="007A0A17" w:rsidRPr="006C0693">
        <w:rPr>
          <w:rFonts w:ascii="Times New Roman" w:hAnsi="Times New Roman" w:cs="Times New Roman"/>
          <w:sz w:val="24"/>
          <w:szCs w:val="24"/>
        </w:rPr>
        <w:t xml:space="preserve">although </w:t>
      </w:r>
      <w:r w:rsidR="00875194" w:rsidRPr="006C0693">
        <w:rPr>
          <w:rFonts w:ascii="Times New Roman" w:hAnsi="Times New Roman" w:cs="Times New Roman"/>
          <w:sz w:val="24"/>
          <w:szCs w:val="24"/>
        </w:rPr>
        <w:t xml:space="preserve">they may be worthy of criminalization, </w:t>
      </w:r>
      <w:r w:rsidR="007A0A17" w:rsidRPr="006C0693">
        <w:rPr>
          <w:rFonts w:ascii="Times New Roman" w:hAnsi="Times New Roman" w:cs="Times New Roman"/>
          <w:sz w:val="24"/>
          <w:szCs w:val="24"/>
        </w:rPr>
        <w:t>this</w:t>
      </w:r>
      <w:r w:rsidR="00875194" w:rsidRPr="006C0693">
        <w:rPr>
          <w:rFonts w:ascii="Times New Roman" w:hAnsi="Times New Roman" w:cs="Times New Roman"/>
          <w:sz w:val="24"/>
          <w:szCs w:val="24"/>
        </w:rPr>
        <w:t xml:space="preserve"> is not expressly </w:t>
      </w:r>
      <w:r w:rsidR="001F0D46" w:rsidRPr="006C0693">
        <w:rPr>
          <w:rFonts w:ascii="Times New Roman" w:hAnsi="Times New Roman" w:cs="Times New Roman"/>
          <w:sz w:val="24"/>
          <w:szCs w:val="24"/>
        </w:rPr>
        <w:t xml:space="preserve">required </w:t>
      </w:r>
      <w:r w:rsidR="00875194" w:rsidRPr="006C0693">
        <w:rPr>
          <w:rFonts w:ascii="Times New Roman" w:hAnsi="Times New Roman" w:cs="Times New Roman"/>
          <w:sz w:val="24"/>
          <w:szCs w:val="24"/>
        </w:rPr>
        <w:t>within the ordinary meaning of Article 6(1)</w:t>
      </w:r>
      <w:r w:rsidR="00AF1151" w:rsidRPr="006C0693">
        <w:rPr>
          <w:rFonts w:ascii="Times New Roman" w:hAnsi="Times New Roman" w:cs="Times New Roman"/>
          <w:sz w:val="24"/>
          <w:szCs w:val="24"/>
        </w:rPr>
        <w:t>.</w:t>
      </w:r>
      <w:r w:rsidR="00803E66" w:rsidRPr="006C0693">
        <w:rPr>
          <w:rFonts w:ascii="Times New Roman" w:hAnsi="Times New Roman" w:cs="Times New Roman"/>
          <w:sz w:val="24"/>
          <w:szCs w:val="24"/>
        </w:rPr>
        <w:t xml:space="preserve"> </w:t>
      </w:r>
      <w:r w:rsidR="00875194" w:rsidRPr="006C0693">
        <w:rPr>
          <w:rFonts w:ascii="Times New Roman" w:hAnsi="Times New Roman" w:cs="Times New Roman"/>
          <w:sz w:val="24"/>
          <w:szCs w:val="24"/>
        </w:rPr>
        <w:t xml:space="preserve"> I</w:t>
      </w:r>
      <w:r w:rsidR="00803E66" w:rsidRPr="006C0693">
        <w:rPr>
          <w:rFonts w:ascii="Times New Roman" w:hAnsi="Times New Roman" w:cs="Times New Roman"/>
          <w:sz w:val="24"/>
          <w:szCs w:val="24"/>
        </w:rPr>
        <w:t xml:space="preserve">t is reasonable to expect States Parties to take steps to review their criminal codes and to adopt new laws as circumstances </w:t>
      </w:r>
      <w:r w:rsidR="00DB542A" w:rsidRPr="006C0693">
        <w:rPr>
          <w:rFonts w:ascii="Times New Roman" w:hAnsi="Times New Roman" w:cs="Times New Roman"/>
          <w:sz w:val="24"/>
          <w:szCs w:val="24"/>
        </w:rPr>
        <w:t xml:space="preserve">and threats </w:t>
      </w:r>
      <w:r w:rsidRPr="006C0693">
        <w:rPr>
          <w:rFonts w:ascii="Times New Roman" w:hAnsi="Times New Roman" w:cs="Times New Roman"/>
          <w:sz w:val="24"/>
          <w:szCs w:val="24"/>
        </w:rPr>
        <w:t>as conditions demand</w:t>
      </w:r>
      <w:r w:rsidR="00875194" w:rsidRPr="006C0693">
        <w:rPr>
          <w:rFonts w:ascii="Times New Roman" w:hAnsi="Times New Roman" w:cs="Times New Roman"/>
          <w:sz w:val="24"/>
          <w:szCs w:val="24"/>
        </w:rPr>
        <w:t>;</w:t>
      </w:r>
      <w:r w:rsidR="00803E66" w:rsidRPr="006C0693">
        <w:rPr>
          <w:rFonts w:ascii="Times New Roman" w:hAnsi="Times New Roman" w:cs="Times New Roman"/>
          <w:sz w:val="24"/>
          <w:szCs w:val="24"/>
        </w:rPr>
        <w:t xml:space="preserve"> </w:t>
      </w:r>
      <w:r w:rsidR="00FA3F73" w:rsidRPr="006C0693">
        <w:rPr>
          <w:rFonts w:ascii="Times New Roman" w:hAnsi="Times New Roman" w:cs="Times New Roman"/>
          <w:sz w:val="24"/>
          <w:szCs w:val="24"/>
        </w:rPr>
        <w:lastRenderedPageBreak/>
        <w:t xml:space="preserve">however, </w:t>
      </w:r>
      <w:r w:rsidR="00803E66" w:rsidRPr="006C0693">
        <w:rPr>
          <w:rFonts w:ascii="Times New Roman" w:hAnsi="Times New Roman" w:cs="Times New Roman"/>
          <w:sz w:val="24"/>
          <w:szCs w:val="24"/>
        </w:rPr>
        <w:t xml:space="preserve">the ICCPR does not prescribe universal crimes or measures that each State Party </w:t>
      </w:r>
      <w:r w:rsidR="00AF1151" w:rsidRPr="006C0693">
        <w:rPr>
          <w:rFonts w:ascii="Times New Roman" w:hAnsi="Times New Roman" w:cs="Times New Roman"/>
          <w:sz w:val="24"/>
          <w:szCs w:val="24"/>
        </w:rPr>
        <w:t>“</w:t>
      </w:r>
      <w:r w:rsidR="00803E66" w:rsidRPr="006C0693">
        <w:rPr>
          <w:rFonts w:ascii="Times New Roman" w:hAnsi="Times New Roman" w:cs="Times New Roman"/>
          <w:sz w:val="24"/>
          <w:szCs w:val="24"/>
        </w:rPr>
        <w:t>must</w:t>
      </w:r>
      <w:r w:rsidR="00AF1151" w:rsidRPr="006C0693">
        <w:rPr>
          <w:rFonts w:ascii="Times New Roman" w:hAnsi="Times New Roman" w:cs="Times New Roman"/>
          <w:sz w:val="24"/>
          <w:szCs w:val="24"/>
        </w:rPr>
        <w:t>”</w:t>
      </w:r>
      <w:r w:rsidR="00803E66" w:rsidRPr="006C0693">
        <w:rPr>
          <w:rFonts w:ascii="Times New Roman" w:hAnsi="Times New Roman" w:cs="Times New Roman"/>
          <w:sz w:val="24"/>
          <w:szCs w:val="24"/>
        </w:rPr>
        <w:t xml:space="preserve"> adopt to give effect to the right to life.</w:t>
      </w:r>
    </w:p>
    <w:p w:rsidR="00804102" w:rsidRPr="006C0693" w:rsidRDefault="00C10ED9" w:rsidP="006C0693">
      <w:pPr>
        <w:rPr>
          <w:rFonts w:ascii="Times New Roman" w:hAnsi="Times New Roman" w:cs="Times New Roman"/>
          <w:sz w:val="24"/>
          <w:szCs w:val="24"/>
        </w:rPr>
      </w:pPr>
      <w:r w:rsidRPr="006C0693">
        <w:rPr>
          <w:rFonts w:ascii="Times New Roman" w:hAnsi="Times New Roman" w:cs="Times New Roman"/>
          <w:sz w:val="24"/>
          <w:szCs w:val="24"/>
          <w:lang w:val="en-CA"/>
        </w:rPr>
        <w:t>3</w:t>
      </w:r>
      <w:r w:rsidR="0041086C" w:rsidRPr="006C0693">
        <w:rPr>
          <w:rFonts w:ascii="Times New Roman" w:hAnsi="Times New Roman" w:cs="Times New Roman"/>
          <w:sz w:val="24"/>
          <w:szCs w:val="24"/>
          <w:lang w:val="en-CA"/>
        </w:rPr>
        <w:t>3</w:t>
      </w:r>
      <w:r w:rsidRPr="006C0693">
        <w:rPr>
          <w:rFonts w:ascii="Times New Roman" w:hAnsi="Times New Roman" w:cs="Times New Roman"/>
          <w:sz w:val="24"/>
          <w:szCs w:val="24"/>
          <w:lang w:val="en-CA"/>
        </w:rPr>
        <w:t xml:space="preserve">.  </w:t>
      </w:r>
      <w:r w:rsidR="00DB542A" w:rsidRPr="006C0693">
        <w:rPr>
          <w:rFonts w:ascii="Times New Roman" w:hAnsi="Times New Roman" w:cs="Times New Roman"/>
          <w:sz w:val="24"/>
          <w:szCs w:val="24"/>
          <w:lang w:val="en-CA"/>
        </w:rPr>
        <w:t>With respe</w:t>
      </w:r>
      <w:r w:rsidRPr="006C0693">
        <w:rPr>
          <w:rFonts w:ascii="Times New Roman" w:hAnsi="Times New Roman" w:cs="Times New Roman"/>
          <w:sz w:val="24"/>
          <w:szCs w:val="24"/>
          <w:lang w:val="en-CA"/>
        </w:rPr>
        <w:t xml:space="preserve">ct to the Committee’s </w:t>
      </w:r>
      <w:r w:rsidR="00E8586C" w:rsidRPr="006C0693">
        <w:rPr>
          <w:rFonts w:ascii="Times New Roman" w:hAnsi="Times New Roman" w:cs="Times New Roman"/>
          <w:sz w:val="24"/>
          <w:szCs w:val="24"/>
          <w:lang w:val="en-CA"/>
        </w:rPr>
        <w:t xml:space="preserve">assertions </w:t>
      </w:r>
      <w:r w:rsidR="000F4355" w:rsidRPr="006C0693">
        <w:rPr>
          <w:rFonts w:ascii="Times New Roman" w:hAnsi="Times New Roman" w:cs="Times New Roman"/>
          <w:sz w:val="24"/>
          <w:szCs w:val="24"/>
          <w:lang w:val="en-CA"/>
        </w:rPr>
        <w:t xml:space="preserve">that States Parties </w:t>
      </w:r>
      <w:r w:rsidR="007F2E12" w:rsidRPr="006C0693">
        <w:rPr>
          <w:rFonts w:ascii="Times New Roman" w:hAnsi="Times New Roman" w:cs="Times New Roman"/>
          <w:sz w:val="24"/>
          <w:szCs w:val="24"/>
          <w:lang w:val="en-CA"/>
        </w:rPr>
        <w:t>have a duty</w:t>
      </w:r>
      <w:r w:rsidR="000F4355" w:rsidRPr="006C0693">
        <w:rPr>
          <w:rFonts w:ascii="Times New Roman" w:hAnsi="Times New Roman" w:cs="Times New Roman"/>
          <w:sz w:val="24"/>
          <w:szCs w:val="24"/>
          <w:lang w:val="en-CA"/>
        </w:rPr>
        <w:t xml:space="preserve"> to take </w:t>
      </w:r>
      <w:r w:rsidR="00DB542A" w:rsidRPr="006C0693">
        <w:rPr>
          <w:rFonts w:ascii="Times New Roman" w:hAnsi="Times New Roman" w:cs="Times New Roman"/>
          <w:sz w:val="24"/>
          <w:szCs w:val="24"/>
          <w:lang w:val="en-CA"/>
        </w:rPr>
        <w:t>“reasonable positive measures” and</w:t>
      </w:r>
      <w:r w:rsidR="000F4355" w:rsidRPr="006C0693">
        <w:rPr>
          <w:rFonts w:ascii="Times New Roman" w:hAnsi="Times New Roman" w:cs="Times New Roman"/>
          <w:sz w:val="24"/>
          <w:szCs w:val="24"/>
          <w:lang w:val="en-CA"/>
        </w:rPr>
        <w:t xml:space="preserve"> exercise</w:t>
      </w:r>
      <w:r w:rsidR="00DB542A" w:rsidRPr="006C0693">
        <w:rPr>
          <w:rFonts w:ascii="Times New Roman" w:hAnsi="Times New Roman" w:cs="Times New Roman"/>
          <w:sz w:val="24"/>
          <w:szCs w:val="24"/>
          <w:lang w:val="en-CA"/>
        </w:rPr>
        <w:t xml:space="preserve"> “due diligence” to respond to foreseeable threats by private persons and entiti</w:t>
      </w:r>
      <w:r w:rsidR="000F4355" w:rsidRPr="006C0693">
        <w:rPr>
          <w:rFonts w:ascii="Times New Roman" w:hAnsi="Times New Roman" w:cs="Times New Roman"/>
          <w:sz w:val="24"/>
          <w:szCs w:val="24"/>
          <w:lang w:val="en-CA"/>
        </w:rPr>
        <w:t>es</w:t>
      </w:r>
      <w:r w:rsidR="00836956" w:rsidRPr="006C0693">
        <w:rPr>
          <w:rFonts w:ascii="Times New Roman" w:hAnsi="Times New Roman" w:cs="Times New Roman"/>
          <w:sz w:val="24"/>
          <w:szCs w:val="24"/>
          <w:lang w:val="en-CA"/>
        </w:rPr>
        <w:t xml:space="preserve"> (</w:t>
      </w:r>
      <w:r w:rsidR="00E8586C" w:rsidRPr="006C0693">
        <w:rPr>
          <w:rFonts w:ascii="Times New Roman" w:hAnsi="Times New Roman" w:cs="Times New Roman"/>
          <w:i/>
          <w:sz w:val="24"/>
          <w:szCs w:val="24"/>
          <w:lang w:val="en-CA"/>
        </w:rPr>
        <w:t>e.g.,</w:t>
      </w:r>
      <w:r w:rsidRPr="006C0693">
        <w:rPr>
          <w:rFonts w:ascii="Times New Roman" w:hAnsi="Times New Roman" w:cs="Times New Roman"/>
          <w:sz w:val="24"/>
          <w:szCs w:val="24"/>
          <w:lang w:val="en-CA"/>
        </w:rPr>
        <w:t xml:space="preserve"> paragraph 25</w:t>
      </w:r>
      <w:r w:rsidR="007612FC" w:rsidRPr="006C0693">
        <w:rPr>
          <w:rFonts w:ascii="Times New Roman" w:hAnsi="Times New Roman" w:cs="Times New Roman"/>
          <w:sz w:val="24"/>
          <w:szCs w:val="24"/>
          <w:lang w:val="en-CA"/>
        </w:rPr>
        <w:t xml:space="preserve"> </w:t>
      </w:r>
      <w:r w:rsidR="00836956" w:rsidRPr="006C0693">
        <w:rPr>
          <w:rFonts w:ascii="Times New Roman" w:hAnsi="Times New Roman" w:cs="Times New Roman"/>
          <w:sz w:val="24"/>
          <w:szCs w:val="24"/>
          <w:lang w:val="en-CA"/>
        </w:rPr>
        <w:t>of the Committee’s draft</w:t>
      </w:r>
      <w:r w:rsidRPr="006C0693">
        <w:rPr>
          <w:rFonts w:ascii="Times New Roman" w:hAnsi="Times New Roman" w:cs="Times New Roman"/>
          <w:sz w:val="24"/>
          <w:szCs w:val="24"/>
          <w:lang w:val="en-CA"/>
        </w:rPr>
        <w:t xml:space="preserve">), </w:t>
      </w:r>
      <w:r w:rsidR="000F4355" w:rsidRPr="006C0693">
        <w:rPr>
          <w:rFonts w:ascii="Times New Roman" w:hAnsi="Times New Roman" w:cs="Times New Roman"/>
          <w:sz w:val="24"/>
          <w:szCs w:val="24"/>
          <w:lang w:val="en-CA"/>
        </w:rPr>
        <w:t>the United States remains of the view that neither the text nor its negotiating history support</w:t>
      </w:r>
      <w:r w:rsidR="007612FC" w:rsidRPr="006C0693">
        <w:rPr>
          <w:rFonts w:ascii="Times New Roman" w:hAnsi="Times New Roman" w:cs="Times New Roman"/>
          <w:sz w:val="24"/>
          <w:szCs w:val="24"/>
          <w:lang w:val="en-CA"/>
        </w:rPr>
        <w:t>s</w:t>
      </w:r>
      <w:r w:rsidR="000F4355" w:rsidRPr="006C0693">
        <w:rPr>
          <w:rFonts w:ascii="Times New Roman" w:hAnsi="Times New Roman" w:cs="Times New Roman"/>
          <w:sz w:val="24"/>
          <w:szCs w:val="24"/>
          <w:lang w:val="en-CA"/>
        </w:rPr>
        <w:t xml:space="preserve"> any such obl</w:t>
      </w:r>
      <w:r w:rsidRPr="006C0693">
        <w:rPr>
          <w:rFonts w:ascii="Times New Roman" w:hAnsi="Times New Roman" w:cs="Times New Roman"/>
          <w:sz w:val="24"/>
          <w:szCs w:val="24"/>
          <w:lang w:val="en-CA"/>
        </w:rPr>
        <w:t>igation</w:t>
      </w:r>
      <w:r w:rsidR="00CF4D95" w:rsidRPr="006C0693">
        <w:rPr>
          <w:rFonts w:ascii="Times New Roman" w:hAnsi="Times New Roman" w:cs="Times New Roman"/>
          <w:sz w:val="24"/>
          <w:szCs w:val="24"/>
          <w:lang w:val="en-CA"/>
        </w:rPr>
        <w:t xml:space="preserve"> under the ICCPR</w:t>
      </w:r>
      <w:r w:rsidRPr="006C0693">
        <w:rPr>
          <w:rFonts w:ascii="Times New Roman" w:hAnsi="Times New Roman" w:cs="Times New Roman"/>
          <w:sz w:val="24"/>
          <w:szCs w:val="24"/>
          <w:lang w:val="en-CA"/>
        </w:rPr>
        <w:t xml:space="preserve">. </w:t>
      </w:r>
      <w:r w:rsidR="000F4355" w:rsidRPr="006C0693">
        <w:rPr>
          <w:rFonts w:ascii="Times New Roman" w:hAnsi="Times New Roman" w:cs="Times New Roman"/>
          <w:sz w:val="24"/>
          <w:szCs w:val="24"/>
          <w:lang w:val="en-CA"/>
        </w:rPr>
        <w:t xml:space="preserve"> </w:t>
      </w:r>
      <w:r w:rsidR="00836956" w:rsidRPr="006C0693">
        <w:rPr>
          <w:rFonts w:ascii="Times New Roman" w:hAnsi="Times New Roman" w:cs="Times New Roman"/>
          <w:bCs/>
          <w:sz w:val="24"/>
          <w:szCs w:val="24"/>
        </w:rPr>
        <w:t>On several occasions, t</w:t>
      </w:r>
      <w:r w:rsidR="00804102" w:rsidRPr="006C0693">
        <w:rPr>
          <w:rFonts w:ascii="Times New Roman" w:hAnsi="Times New Roman" w:cs="Times New Roman"/>
          <w:bCs/>
          <w:sz w:val="24"/>
          <w:szCs w:val="24"/>
        </w:rPr>
        <w:t>he United States has advised the Committee of its long-standing position that as</w:t>
      </w:r>
      <w:r w:rsidR="00804102" w:rsidRPr="006C0693">
        <w:rPr>
          <w:rFonts w:ascii="Times New Roman" w:hAnsi="Times New Roman" w:cs="Times New Roman"/>
          <w:sz w:val="24"/>
          <w:szCs w:val="24"/>
        </w:rPr>
        <w:t xml:space="preserve"> a general matter, with notable exceptions such as slavery, a human rights violation entails state action.</w:t>
      </w:r>
      <w:r w:rsidR="00DE3F5C" w:rsidRPr="006C0693">
        <w:rPr>
          <w:rStyle w:val="FootnoteReference"/>
          <w:rFonts w:ascii="Times New Roman" w:hAnsi="Times New Roman" w:cs="Times New Roman"/>
          <w:sz w:val="24"/>
          <w:szCs w:val="24"/>
        </w:rPr>
        <w:footnoteReference w:id="35"/>
      </w:r>
      <w:r w:rsidR="00804102" w:rsidRPr="006C0693">
        <w:rPr>
          <w:rFonts w:ascii="Times New Roman" w:hAnsi="Times New Roman" w:cs="Times New Roman"/>
          <w:sz w:val="24"/>
          <w:szCs w:val="24"/>
        </w:rPr>
        <w:t xml:space="preserve"> </w:t>
      </w:r>
      <w:r w:rsidR="000F4646" w:rsidRPr="006C0693">
        <w:rPr>
          <w:rFonts w:ascii="Times New Roman" w:hAnsi="Times New Roman" w:cs="Times New Roman"/>
          <w:sz w:val="24"/>
          <w:szCs w:val="24"/>
        </w:rPr>
        <w:t xml:space="preserve"> </w:t>
      </w:r>
      <w:r w:rsidR="001F0D46" w:rsidRPr="006C0693">
        <w:rPr>
          <w:rFonts w:ascii="Times New Roman" w:hAnsi="Times New Roman" w:cs="Times New Roman"/>
          <w:sz w:val="24"/>
          <w:szCs w:val="24"/>
        </w:rPr>
        <w:t xml:space="preserve">Human </w:t>
      </w:r>
      <w:r w:rsidR="00804102" w:rsidRPr="006C0693">
        <w:rPr>
          <w:rFonts w:ascii="Times New Roman" w:hAnsi="Times New Roman" w:cs="Times New Roman"/>
          <w:sz w:val="24"/>
          <w:szCs w:val="24"/>
        </w:rPr>
        <w:t>rights treaties may contain provisions that clearly and specifically impose obligations upon States Parties to prevent, in certain limited circumstances, particular kinds of misconduct by private parties or non-</w:t>
      </w:r>
      <w:r w:rsidR="00A13A8C" w:rsidRPr="006C0693">
        <w:rPr>
          <w:rFonts w:ascii="Times New Roman" w:hAnsi="Times New Roman" w:cs="Times New Roman"/>
          <w:sz w:val="24"/>
          <w:szCs w:val="24"/>
        </w:rPr>
        <w:t>S</w:t>
      </w:r>
      <w:r w:rsidR="00804102" w:rsidRPr="006C0693">
        <w:rPr>
          <w:rFonts w:ascii="Times New Roman" w:hAnsi="Times New Roman" w:cs="Times New Roman"/>
          <w:sz w:val="24"/>
          <w:szCs w:val="24"/>
        </w:rPr>
        <w:t>tate actors.</w:t>
      </w:r>
      <w:r w:rsidR="00DE3F5C" w:rsidRPr="006C0693">
        <w:rPr>
          <w:rStyle w:val="FootnoteReference"/>
          <w:rFonts w:ascii="Times New Roman" w:hAnsi="Times New Roman" w:cs="Times New Roman"/>
          <w:sz w:val="24"/>
          <w:szCs w:val="24"/>
        </w:rPr>
        <w:footnoteReference w:id="36"/>
      </w:r>
      <w:r w:rsidR="00804102" w:rsidRPr="006C0693">
        <w:rPr>
          <w:rFonts w:ascii="Times New Roman" w:hAnsi="Times New Roman" w:cs="Times New Roman"/>
          <w:sz w:val="24"/>
          <w:szCs w:val="24"/>
        </w:rPr>
        <w:t xml:space="preserve">  Article 2, however, contains </w:t>
      </w:r>
      <w:r w:rsidR="003560B4" w:rsidRPr="006C0693">
        <w:rPr>
          <w:rFonts w:ascii="Times New Roman" w:hAnsi="Times New Roman" w:cs="Times New Roman"/>
          <w:sz w:val="24"/>
          <w:szCs w:val="24"/>
        </w:rPr>
        <w:t xml:space="preserve">no </w:t>
      </w:r>
      <w:r w:rsidR="00804102" w:rsidRPr="006C0693">
        <w:rPr>
          <w:rFonts w:ascii="Times New Roman" w:hAnsi="Times New Roman" w:cs="Times New Roman"/>
          <w:sz w:val="24"/>
          <w:szCs w:val="24"/>
        </w:rPr>
        <w:t>language stating that Covenant obligations extend</w:t>
      </w:r>
      <w:r w:rsidR="00DE3F5C" w:rsidRPr="006C0693">
        <w:rPr>
          <w:rFonts w:ascii="Times New Roman" w:hAnsi="Times New Roman" w:cs="Times New Roman"/>
          <w:sz w:val="24"/>
          <w:szCs w:val="24"/>
        </w:rPr>
        <w:t xml:space="preserve"> to </w:t>
      </w:r>
      <w:r w:rsidR="00CF4D95" w:rsidRPr="006C0693">
        <w:rPr>
          <w:rFonts w:ascii="Times New Roman" w:hAnsi="Times New Roman" w:cs="Times New Roman"/>
          <w:sz w:val="24"/>
          <w:szCs w:val="24"/>
        </w:rPr>
        <w:t xml:space="preserve">preventing </w:t>
      </w:r>
      <w:r w:rsidR="00804102" w:rsidRPr="006C0693">
        <w:rPr>
          <w:rFonts w:ascii="Times New Roman" w:hAnsi="Times New Roman" w:cs="Times New Roman"/>
          <w:sz w:val="24"/>
          <w:szCs w:val="24"/>
        </w:rPr>
        <w:t xml:space="preserve">private, non-governmental acts, and no such obligations can be inferred from Article 2.  </w:t>
      </w:r>
      <w:r w:rsidR="00DE3F5C" w:rsidRPr="006C0693">
        <w:rPr>
          <w:rFonts w:ascii="Times New Roman" w:hAnsi="Times New Roman" w:cs="Times New Roman"/>
          <w:sz w:val="24"/>
          <w:szCs w:val="24"/>
        </w:rPr>
        <w:t xml:space="preserve">Nor </w:t>
      </w:r>
      <w:r w:rsidR="00CC0505" w:rsidRPr="006C0693">
        <w:rPr>
          <w:rFonts w:ascii="Times New Roman" w:hAnsi="Times New Roman" w:cs="Times New Roman"/>
          <w:sz w:val="24"/>
          <w:szCs w:val="24"/>
        </w:rPr>
        <w:t xml:space="preserve">does Article </w:t>
      </w:r>
      <w:r w:rsidR="003560B4" w:rsidRPr="006C0693">
        <w:rPr>
          <w:rFonts w:ascii="Times New Roman" w:hAnsi="Times New Roman" w:cs="Times New Roman"/>
          <w:sz w:val="24"/>
          <w:szCs w:val="24"/>
        </w:rPr>
        <w:t>6(1)</w:t>
      </w:r>
      <w:r w:rsidR="00CC0505" w:rsidRPr="006C0693">
        <w:rPr>
          <w:rFonts w:ascii="Times New Roman" w:hAnsi="Times New Roman" w:cs="Times New Roman"/>
          <w:sz w:val="24"/>
          <w:szCs w:val="24"/>
        </w:rPr>
        <w:t xml:space="preserve"> contain any </w:t>
      </w:r>
      <w:r w:rsidR="003560B4" w:rsidRPr="006C0693">
        <w:rPr>
          <w:rFonts w:ascii="Times New Roman" w:hAnsi="Times New Roman" w:cs="Times New Roman"/>
          <w:sz w:val="24"/>
          <w:szCs w:val="24"/>
        </w:rPr>
        <w:t xml:space="preserve">express </w:t>
      </w:r>
      <w:r w:rsidR="00CC0505" w:rsidRPr="006C0693">
        <w:rPr>
          <w:rFonts w:ascii="Times New Roman" w:hAnsi="Times New Roman" w:cs="Times New Roman"/>
          <w:sz w:val="24"/>
          <w:szCs w:val="24"/>
        </w:rPr>
        <w:t>language requiring States Parties to regulate private, non-governmental conduct of non-</w:t>
      </w:r>
      <w:r w:rsidR="00A13A8C" w:rsidRPr="006C0693">
        <w:rPr>
          <w:rFonts w:ascii="Times New Roman" w:hAnsi="Times New Roman" w:cs="Times New Roman"/>
          <w:sz w:val="24"/>
          <w:szCs w:val="24"/>
        </w:rPr>
        <w:t>S</w:t>
      </w:r>
      <w:r w:rsidR="00CC0505" w:rsidRPr="006C0693">
        <w:rPr>
          <w:rFonts w:ascii="Times New Roman" w:hAnsi="Times New Roman" w:cs="Times New Roman"/>
          <w:sz w:val="24"/>
          <w:szCs w:val="24"/>
        </w:rPr>
        <w:t>tate actors in relation to the deprivation of life.</w:t>
      </w:r>
      <w:r w:rsidR="00331752" w:rsidRPr="006C0693">
        <w:rPr>
          <w:rFonts w:ascii="Times New Roman" w:hAnsi="Times New Roman" w:cs="Times New Roman"/>
          <w:sz w:val="24"/>
          <w:szCs w:val="24"/>
        </w:rPr>
        <w:t xml:space="preserve">  It is essential, to bear in mind, however, the legal distinction that governmental enforcement in these areas has been and will remain a matter of criminal law in the fulfillment of a </w:t>
      </w:r>
      <w:r w:rsidR="000E3241" w:rsidRPr="006C0693">
        <w:rPr>
          <w:rFonts w:ascii="Times New Roman" w:hAnsi="Times New Roman" w:cs="Times New Roman"/>
          <w:sz w:val="24"/>
          <w:szCs w:val="24"/>
        </w:rPr>
        <w:t>S</w:t>
      </w:r>
      <w:r w:rsidR="00331752" w:rsidRPr="006C0693">
        <w:rPr>
          <w:rFonts w:ascii="Times New Roman" w:hAnsi="Times New Roman" w:cs="Times New Roman"/>
          <w:sz w:val="24"/>
          <w:szCs w:val="24"/>
        </w:rPr>
        <w:t>tate’s general responsibilities incident to ordered government, rather than as a requirement derived from a State Party’s obligations under the Covenant.</w:t>
      </w:r>
      <w:r w:rsidR="00331752" w:rsidRPr="006C0693">
        <w:rPr>
          <w:rStyle w:val="FootnoteReference"/>
          <w:rFonts w:ascii="Times New Roman" w:hAnsi="Times New Roman" w:cs="Times New Roman"/>
          <w:sz w:val="24"/>
          <w:szCs w:val="24"/>
        </w:rPr>
        <w:footnoteReference w:id="37"/>
      </w:r>
      <w:r w:rsidR="00331752" w:rsidRPr="006C0693">
        <w:rPr>
          <w:rFonts w:ascii="Times New Roman" w:hAnsi="Times New Roman" w:cs="Times New Roman"/>
          <w:sz w:val="24"/>
          <w:szCs w:val="24"/>
        </w:rPr>
        <w:t xml:space="preserve">   </w:t>
      </w:r>
    </w:p>
    <w:p w:rsidR="005B23D4" w:rsidRPr="006C0693" w:rsidRDefault="00663060" w:rsidP="006C0693">
      <w:pPr>
        <w:pStyle w:val="Default"/>
        <w:spacing w:line="276" w:lineRule="auto"/>
      </w:pPr>
      <w:r w:rsidRPr="006C0693">
        <w:rPr>
          <w:bCs/>
        </w:rPr>
        <w:t>3</w:t>
      </w:r>
      <w:r w:rsidR="0041086C" w:rsidRPr="006C0693">
        <w:rPr>
          <w:bCs/>
        </w:rPr>
        <w:t>4</w:t>
      </w:r>
      <w:r w:rsidR="00836956" w:rsidRPr="006C0693">
        <w:rPr>
          <w:bCs/>
        </w:rPr>
        <w:t xml:space="preserve">. </w:t>
      </w:r>
      <w:r w:rsidR="00993DCF">
        <w:rPr>
          <w:bCs/>
        </w:rPr>
        <w:t xml:space="preserve"> </w:t>
      </w:r>
      <w:r w:rsidR="00A318A1" w:rsidRPr="006C0693">
        <w:rPr>
          <w:bCs/>
        </w:rPr>
        <w:t xml:space="preserve">A </w:t>
      </w:r>
      <w:r w:rsidR="000F4646" w:rsidRPr="006C0693">
        <w:t xml:space="preserve">review of the </w:t>
      </w:r>
      <w:r w:rsidR="00A318A1" w:rsidRPr="006C0693">
        <w:rPr>
          <w:i/>
        </w:rPr>
        <w:t>travaux pr</w:t>
      </w:r>
      <w:r w:rsidR="007612FC" w:rsidRPr="006C0693">
        <w:rPr>
          <w:i/>
        </w:rPr>
        <w:t>é</w:t>
      </w:r>
      <w:r w:rsidR="00A318A1" w:rsidRPr="006C0693">
        <w:rPr>
          <w:i/>
        </w:rPr>
        <w:t>paratoire</w:t>
      </w:r>
      <w:r w:rsidR="007612FC" w:rsidRPr="006C0693">
        <w:rPr>
          <w:i/>
        </w:rPr>
        <w:t>s</w:t>
      </w:r>
      <w:r w:rsidR="00054599" w:rsidRPr="006C0693">
        <w:t xml:space="preserve"> </w:t>
      </w:r>
      <w:r w:rsidR="00A318A1" w:rsidRPr="006C0693">
        <w:t>further</w:t>
      </w:r>
      <w:r w:rsidR="00A318A1" w:rsidRPr="006C0693">
        <w:rPr>
          <w:i/>
        </w:rPr>
        <w:t xml:space="preserve"> </w:t>
      </w:r>
      <w:r w:rsidR="000F4646" w:rsidRPr="006C0693">
        <w:t xml:space="preserve">underscores </w:t>
      </w:r>
      <w:r w:rsidR="00054599" w:rsidRPr="006C0693">
        <w:t xml:space="preserve">that the negotiators </w:t>
      </w:r>
      <w:r w:rsidR="00A318A1" w:rsidRPr="006C0693">
        <w:t>tried</w:t>
      </w:r>
      <w:r w:rsidR="00A13A8C" w:rsidRPr="006C0693">
        <w:t xml:space="preserve"> for nine years</w:t>
      </w:r>
      <w:r w:rsidR="00A318A1" w:rsidRPr="006C0693">
        <w:t xml:space="preserve"> </w:t>
      </w:r>
      <w:r w:rsidR="00A13A8C" w:rsidRPr="006C0693">
        <w:t xml:space="preserve">between 1948 and 1957 </w:t>
      </w:r>
      <w:r w:rsidR="00054599" w:rsidRPr="006C0693">
        <w:t xml:space="preserve">to reach agreement on this </w:t>
      </w:r>
      <w:r w:rsidR="00836956" w:rsidRPr="006C0693">
        <w:t>question</w:t>
      </w:r>
      <w:r w:rsidR="0093579D" w:rsidRPr="006C0693">
        <w:t xml:space="preserve">, culminating in </w:t>
      </w:r>
      <w:r w:rsidR="00A318A1" w:rsidRPr="006C0693">
        <w:t>a</w:t>
      </w:r>
      <w:r w:rsidR="00836956" w:rsidRPr="006C0693">
        <w:t xml:space="preserve"> </w:t>
      </w:r>
      <w:r w:rsidR="000F4646" w:rsidRPr="006C0693">
        <w:t xml:space="preserve">compromise </w:t>
      </w:r>
      <w:r w:rsidR="00054599" w:rsidRPr="006C0693">
        <w:t xml:space="preserve">to </w:t>
      </w:r>
      <w:r w:rsidR="000F4646" w:rsidRPr="006C0693">
        <w:t>express the obligation simply, that the right to life “shall be protected by law</w:t>
      </w:r>
      <w:r w:rsidR="00B121B7" w:rsidRPr="006C0693">
        <w:t>,</w:t>
      </w:r>
      <w:r w:rsidR="000F4646" w:rsidRPr="006C0693">
        <w:t xml:space="preserve">” </w:t>
      </w:r>
      <w:r w:rsidR="00A318A1" w:rsidRPr="006C0693">
        <w:t xml:space="preserve">coupled with </w:t>
      </w:r>
      <w:r w:rsidR="0093579D" w:rsidRPr="006C0693">
        <w:t>an</w:t>
      </w:r>
      <w:r w:rsidR="000F4646" w:rsidRPr="006C0693">
        <w:t xml:space="preserve"> understanding that </w:t>
      </w:r>
      <w:r w:rsidR="00B121B7" w:rsidRPr="006C0693">
        <w:t xml:space="preserve">this obligation </w:t>
      </w:r>
      <w:r w:rsidR="000F4646" w:rsidRPr="006C0693">
        <w:t xml:space="preserve">would be implemented through domestic legislation in accordance with Article 2(2). </w:t>
      </w:r>
      <w:r w:rsidR="00FB4459" w:rsidRPr="006C0693">
        <w:t xml:space="preserve"> </w:t>
      </w:r>
      <w:r w:rsidR="00880951" w:rsidRPr="006C0693">
        <w:t>From the start of negotiations in 1948, the United States maintained that the Covenant w</w:t>
      </w:r>
      <w:r w:rsidR="004D792E" w:rsidRPr="006C0693">
        <w:t>as</w:t>
      </w:r>
      <w:r w:rsidR="00880951" w:rsidRPr="006C0693">
        <w:t xml:space="preserve"> intended to protect individuals from State action and that </w:t>
      </w:r>
      <w:r w:rsidR="00AC1F9C" w:rsidRPr="006C0693">
        <w:t>existing codes of criminal law a</w:t>
      </w:r>
      <w:r w:rsidR="00880951" w:rsidRPr="006C0693">
        <w:t xml:space="preserve">lready </w:t>
      </w:r>
      <w:r w:rsidR="00AC1F9C" w:rsidRPr="006C0693">
        <w:t>covered actions committed by individuals or groups,</w:t>
      </w:r>
      <w:r w:rsidR="00880951" w:rsidRPr="006C0693">
        <w:t xml:space="preserve"> </w:t>
      </w:r>
      <w:r w:rsidR="003649EE" w:rsidRPr="006C0693">
        <w:t>m</w:t>
      </w:r>
      <w:r w:rsidR="00D57898" w:rsidRPr="006C0693">
        <w:t xml:space="preserve">ost </w:t>
      </w:r>
      <w:r w:rsidR="00247E4E" w:rsidRPr="006C0693">
        <w:t>S</w:t>
      </w:r>
      <w:r w:rsidR="00880951" w:rsidRPr="006C0693">
        <w:t>tates did not share the United States’ view</w:t>
      </w:r>
      <w:r w:rsidR="003649EE" w:rsidRPr="006C0693">
        <w:t>.</w:t>
      </w:r>
      <w:r w:rsidR="003649EE" w:rsidRPr="006C0693">
        <w:rPr>
          <w:vertAlign w:val="superscript"/>
        </w:rPr>
        <w:t xml:space="preserve"> </w:t>
      </w:r>
      <w:r w:rsidR="00A828A4" w:rsidRPr="006C0693">
        <w:rPr>
          <w:shd w:val="clear" w:color="auto" w:fill="FFFFFF"/>
        </w:rPr>
        <w:t xml:space="preserve"> </w:t>
      </w:r>
      <w:r w:rsidR="00880951" w:rsidRPr="006C0693">
        <w:t xml:space="preserve">Although the negotiators were in agreement that the </w:t>
      </w:r>
      <w:r w:rsidR="00880951" w:rsidRPr="006C0693">
        <w:rPr>
          <w:i/>
        </w:rPr>
        <w:t>primary</w:t>
      </w:r>
      <w:r w:rsidR="00F307F6" w:rsidRPr="006C0693">
        <w:rPr>
          <w:i/>
        </w:rPr>
        <w:t xml:space="preserve"> </w:t>
      </w:r>
      <w:r w:rsidR="00880951" w:rsidRPr="006C0693">
        <w:t>focus of Article 6 was protection of the individual from the State,</w:t>
      </w:r>
      <w:r w:rsidR="00880951" w:rsidRPr="006C0693">
        <w:rPr>
          <w:vertAlign w:val="superscript"/>
        </w:rPr>
        <w:footnoteReference w:id="38"/>
      </w:r>
      <w:r w:rsidR="00880951" w:rsidRPr="006C0693">
        <w:t xml:space="preserve"> by 1950, the drafting committee acknowledged a fundamental difference of opinion as to whether the right to life under the Covenant included protection from private actors in addition to protection from the </w:t>
      </w:r>
      <w:r w:rsidR="00880951" w:rsidRPr="006C0693">
        <w:lastRenderedPageBreak/>
        <w:t>State.</w:t>
      </w:r>
      <w:r w:rsidR="00880951" w:rsidRPr="006C0693">
        <w:rPr>
          <w:vertAlign w:val="superscript"/>
        </w:rPr>
        <w:footnoteReference w:id="39"/>
      </w:r>
      <w:r w:rsidR="00880951" w:rsidRPr="006C0693">
        <w:rPr>
          <w:shd w:val="clear" w:color="auto" w:fill="FFFFFF"/>
          <w:vertAlign w:val="superscript"/>
        </w:rPr>
        <w:t xml:space="preserve"> </w:t>
      </w:r>
      <w:r w:rsidR="00880951" w:rsidRPr="006C0693">
        <w:rPr>
          <w:shd w:val="clear" w:color="auto" w:fill="FFFFFF"/>
        </w:rPr>
        <w:t xml:space="preserve"> </w:t>
      </w:r>
      <w:r w:rsidR="006E6B7C" w:rsidRPr="006C0693">
        <w:t xml:space="preserve">A compromise was achieved in 1950 with </w:t>
      </w:r>
      <w:r w:rsidR="00A13A8C" w:rsidRPr="006C0693">
        <w:t xml:space="preserve">the </w:t>
      </w:r>
      <w:r w:rsidR="006E6B7C" w:rsidRPr="006C0693">
        <w:t>adoption of t</w:t>
      </w:r>
      <w:r w:rsidR="00880951" w:rsidRPr="006C0693">
        <w:rPr>
          <w:shd w:val="clear" w:color="auto" w:fill="FFFFFF"/>
        </w:rPr>
        <w:t>he clause</w:t>
      </w:r>
      <w:r w:rsidR="00A318A1" w:rsidRPr="006C0693">
        <w:rPr>
          <w:shd w:val="clear" w:color="auto" w:fill="FFFFFF"/>
        </w:rPr>
        <w:t>:</w:t>
      </w:r>
      <w:r w:rsidR="00BA5391" w:rsidRPr="006C0693">
        <w:rPr>
          <w:shd w:val="clear" w:color="auto" w:fill="FFFFFF"/>
        </w:rPr>
        <w:t xml:space="preserve"> </w:t>
      </w:r>
      <w:r w:rsidR="00880951" w:rsidRPr="006C0693">
        <w:t>“Everyone’s right to life s</w:t>
      </w:r>
      <w:r w:rsidR="006E6B7C" w:rsidRPr="006C0693">
        <w:t>hall be protected by law</w:t>
      </w:r>
      <w:r w:rsidR="00247E4E" w:rsidRPr="006C0693">
        <w:t>.</w:t>
      </w:r>
      <w:r w:rsidR="00A828A4" w:rsidRPr="006C0693">
        <w:t>”</w:t>
      </w:r>
      <w:r w:rsidR="00880951" w:rsidRPr="006C0693">
        <w:rPr>
          <w:vertAlign w:val="superscript"/>
        </w:rPr>
        <w:footnoteReference w:id="40"/>
      </w:r>
      <w:r w:rsidR="00880951" w:rsidRPr="006C0693">
        <w:t xml:space="preserve">  </w:t>
      </w:r>
      <w:r w:rsidR="00C003C4" w:rsidRPr="006C0693">
        <w:t xml:space="preserve">The clause was retained after </w:t>
      </w:r>
      <w:r w:rsidR="00614F46" w:rsidRPr="006C0693">
        <w:t>renewed</w:t>
      </w:r>
      <w:r w:rsidR="00C003C4" w:rsidRPr="006C0693">
        <w:t xml:space="preserve"> debate in the Commission’s Eighth Session in 1952</w:t>
      </w:r>
      <w:r w:rsidR="00614F46" w:rsidRPr="006C0693">
        <w:t>.</w:t>
      </w:r>
      <w:r w:rsidR="00C003C4" w:rsidRPr="006C0693">
        <w:rPr>
          <w:rStyle w:val="FootnoteReference"/>
        </w:rPr>
        <w:footnoteReference w:id="41"/>
      </w:r>
      <w:r w:rsidR="00880951" w:rsidRPr="006C0693">
        <w:t xml:space="preserve">  </w:t>
      </w:r>
      <w:r w:rsidR="00720245" w:rsidRPr="006C0693">
        <w:t>The majority found that the continuing debate showed the need “for a general rather than a detailed wording,”</w:t>
      </w:r>
      <w:r w:rsidR="00720245" w:rsidRPr="006C0693">
        <w:rPr>
          <w:vertAlign w:val="superscript"/>
        </w:rPr>
        <w:footnoteReference w:id="42"/>
      </w:r>
      <w:r w:rsidR="00720245" w:rsidRPr="006C0693">
        <w:t xml:space="preserve"> and </w:t>
      </w:r>
      <w:r w:rsidR="00614F46" w:rsidRPr="006C0693">
        <w:t xml:space="preserve">that </w:t>
      </w:r>
      <w:r w:rsidR="00720245" w:rsidRPr="006C0693">
        <w:t>a “simple but categorical affirmation” would be most effective.</w:t>
      </w:r>
      <w:r w:rsidR="00720245" w:rsidRPr="006C0693">
        <w:rPr>
          <w:vertAlign w:val="superscript"/>
        </w:rPr>
        <w:footnoteReference w:id="43"/>
      </w:r>
      <w:r w:rsidR="00F907FD" w:rsidRPr="006C0693">
        <w:t xml:space="preserve">  </w:t>
      </w:r>
      <w:r w:rsidR="00720245" w:rsidRPr="006C0693">
        <w:t xml:space="preserve">After extensive debate by the Third Committee during </w:t>
      </w:r>
      <w:r w:rsidR="00880951" w:rsidRPr="006C0693">
        <w:t xml:space="preserve">the Twelfth Session </w:t>
      </w:r>
      <w:r w:rsidR="001F151F" w:rsidRPr="006C0693">
        <w:t xml:space="preserve">of the U.N. General Assembly </w:t>
      </w:r>
      <w:r w:rsidR="00880951" w:rsidRPr="006C0693">
        <w:t>in 1957</w:t>
      </w:r>
      <w:r w:rsidR="00752FCF" w:rsidRPr="006C0693">
        <w:t>, t</w:t>
      </w:r>
      <w:r w:rsidR="001F151F" w:rsidRPr="006C0693">
        <w:t>he clause was again retained and adopted in its current form.</w:t>
      </w:r>
      <w:r w:rsidR="001F151F" w:rsidRPr="006C0693">
        <w:rPr>
          <w:vertAlign w:val="superscript"/>
        </w:rPr>
        <w:footnoteReference w:id="44"/>
      </w:r>
      <w:r w:rsidR="00880951" w:rsidRPr="006C0693">
        <w:t xml:space="preserve">  </w:t>
      </w:r>
      <w:r w:rsidR="001F151F" w:rsidRPr="006C0693">
        <w:t xml:space="preserve">During the debate, </w:t>
      </w:r>
      <w:r w:rsidR="000E3241" w:rsidRPr="006C0693">
        <w:t xml:space="preserve">there were different opinions </w:t>
      </w:r>
      <w:r w:rsidR="00880951" w:rsidRPr="006C0693">
        <w:t xml:space="preserve">as to whether </w:t>
      </w:r>
      <w:r w:rsidR="00D57E34" w:rsidRPr="006C0693">
        <w:t xml:space="preserve">phrasing the obligation as </w:t>
      </w:r>
      <w:r w:rsidR="00B12D5F" w:rsidRPr="006C0693">
        <w:t xml:space="preserve">protected by </w:t>
      </w:r>
      <w:r w:rsidR="00D57E34" w:rsidRPr="006C0693">
        <w:t>“</w:t>
      </w:r>
      <w:r w:rsidR="00880951" w:rsidRPr="006C0693">
        <w:t>the State</w:t>
      </w:r>
      <w:r w:rsidR="00D57E34" w:rsidRPr="006C0693">
        <w:t>”</w:t>
      </w:r>
      <w:r w:rsidR="00880951" w:rsidRPr="006C0693">
        <w:t xml:space="preserve"> or </w:t>
      </w:r>
      <w:r w:rsidR="00D57E34" w:rsidRPr="006C0693">
        <w:t>“</w:t>
      </w:r>
      <w:r w:rsidR="00880951" w:rsidRPr="006C0693">
        <w:t>the law</w:t>
      </w:r>
      <w:r w:rsidR="00D57E34" w:rsidRPr="006C0693">
        <w:t>”</w:t>
      </w:r>
      <w:r w:rsidR="00880951" w:rsidRPr="006C0693">
        <w:t xml:space="preserve"> </w:t>
      </w:r>
      <w:r w:rsidR="00D57E34" w:rsidRPr="006C0693">
        <w:t xml:space="preserve">would </w:t>
      </w:r>
      <w:r w:rsidR="00880951" w:rsidRPr="006C0693">
        <w:t>provide broader protections.</w:t>
      </w:r>
      <w:r w:rsidR="00752FCF" w:rsidRPr="006C0693">
        <w:rPr>
          <w:vertAlign w:val="superscript"/>
        </w:rPr>
        <w:t xml:space="preserve"> </w:t>
      </w:r>
      <w:r w:rsidR="00752FCF" w:rsidRPr="006C0693">
        <w:rPr>
          <w:vertAlign w:val="superscript"/>
        </w:rPr>
        <w:footnoteReference w:id="45"/>
      </w:r>
      <w:r w:rsidR="00752FCF" w:rsidRPr="006C0693">
        <w:t xml:space="preserve"> </w:t>
      </w:r>
      <w:r w:rsidR="00880951" w:rsidRPr="006C0693">
        <w:t xml:space="preserve"> In response, a number of </w:t>
      </w:r>
      <w:r w:rsidR="00BE5349" w:rsidRPr="006C0693">
        <w:t>S</w:t>
      </w:r>
      <w:r w:rsidR="00880951" w:rsidRPr="006C0693">
        <w:t xml:space="preserve">tates expressed disagreement with revising </w:t>
      </w:r>
      <w:r w:rsidR="00D57E34" w:rsidRPr="006C0693">
        <w:t xml:space="preserve">the text </w:t>
      </w:r>
      <w:r w:rsidR="00880951" w:rsidRPr="006C0693">
        <w:t>from “the law,” expressing that action by the State was based on law and that it was the law, not the State</w:t>
      </w:r>
      <w:r w:rsidR="009E284C" w:rsidRPr="006C0693">
        <w:t>,</w:t>
      </w:r>
      <w:r w:rsidR="000E3241" w:rsidRPr="006C0693">
        <w:t xml:space="preserve"> </w:t>
      </w:r>
      <w:r w:rsidR="00880951" w:rsidRPr="006C0693">
        <w:t>that should ensure protection</w:t>
      </w:r>
      <w:r w:rsidR="00752FCF" w:rsidRPr="006C0693">
        <w:t>.</w:t>
      </w:r>
      <w:r w:rsidR="00752FCF" w:rsidRPr="006C0693">
        <w:rPr>
          <w:vertAlign w:val="superscript"/>
        </w:rPr>
        <w:footnoteReference w:id="46"/>
      </w:r>
      <w:r w:rsidR="00880951" w:rsidRPr="006C0693">
        <w:t xml:space="preserve">  </w:t>
      </w:r>
    </w:p>
    <w:p w:rsidR="005B23D4" w:rsidRPr="006C0693" w:rsidRDefault="005B23D4" w:rsidP="006C0693">
      <w:pPr>
        <w:spacing w:before="240"/>
        <w:rPr>
          <w:rFonts w:ascii="Times New Roman" w:hAnsi="Times New Roman" w:cs="Times New Roman"/>
          <w:sz w:val="24"/>
          <w:szCs w:val="24"/>
        </w:rPr>
      </w:pPr>
      <w:r w:rsidRPr="006C0693">
        <w:rPr>
          <w:rFonts w:ascii="Times New Roman" w:hAnsi="Times New Roman" w:cs="Times New Roman"/>
          <w:sz w:val="24"/>
          <w:szCs w:val="24"/>
        </w:rPr>
        <w:t>3</w:t>
      </w:r>
      <w:r w:rsidR="00F907FD" w:rsidRPr="006C0693">
        <w:rPr>
          <w:rFonts w:ascii="Times New Roman" w:hAnsi="Times New Roman" w:cs="Times New Roman"/>
          <w:sz w:val="24"/>
          <w:szCs w:val="24"/>
        </w:rPr>
        <w:t>5</w:t>
      </w:r>
      <w:r w:rsidR="007F671E" w:rsidRPr="006C0693">
        <w:rPr>
          <w:rFonts w:ascii="Times New Roman" w:hAnsi="Times New Roman" w:cs="Times New Roman"/>
          <w:sz w:val="24"/>
          <w:szCs w:val="24"/>
        </w:rPr>
        <w:t xml:space="preserve">. </w:t>
      </w:r>
      <w:r w:rsidRPr="006C0693">
        <w:rPr>
          <w:rFonts w:ascii="Times New Roman" w:hAnsi="Times New Roman" w:cs="Times New Roman"/>
          <w:sz w:val="24"/>
          <w:szCs w:val="24"/>
        </w:rPr>
        <w:t xml:space="preserve"> The language approved by the Third Committee in 1957 essentially confirmed the compromise reached during the Human Rights Commission debate between 1949</w:t>
      </w:r>
      <w:r w:rsidR="000E3241" w:rsidRPr="006C0693">
        <w:rPr>
          <w:rFonts w:ascii="Times New Roman" w:hAnsi="Times New Roman" w:cs="Times New Roman"/>
          <w:sz w:val="24"/>
          <w:szCs w:val="24"/>
        </w:rPr>
        <w:t xml:space="preserve"> and</w:t>
      </w:r>
      <w:r w:rsidRPr="006C0693">
        <w:rPr>
          <w:rFonts w:ascii="Times New Roman" w:hAnsi="Times New Roman" w:cs="Times New Roman"/>
          <w:sz w:val="24"/>
          <w:szCs w:val="24"/>
        </w:rPr>
        <w:t>1952.  Overall, the delegation statements indicate that although the right in Article 6 is not restricted to protection from only State actions, the States generally considered that protection from non-State actors was already provided to individuals through national criminal laws.  Therefore, the primary purpose of Article 6 was protection from State actors, while the method of protecting individuals from non-State actors would be left to the States Parties’ domestic criminal laws and law enforcement mechanisms.</w:t>
      </w:r>
    </w:p>
    <w:p w:rsidR="00827423" w:rsidRPr="006C0693" w:rsidRDefault="007F671E" w:rsidP="006C0693">
      <w:pPr>
        <w:rPr>
          <w:rFonts w:ascii="Times New Roman" w:hAnsi="Times New Roman" w:cs="Times New Roman"/>
          <w:sz w:val="24"/>
          <w:szCs w:val="24"/>
        </w:rPr>
      </w:pPr>
      <w:r w:rsidRPr="006C0693">
        <w:rPr>
          <w:rFonts w:ascii="Times New Roman" w:hAnsi="Times New Roman" w:cs="Times New Roman"/>
          <w:sz w:val="24"/>
          <w:szCs w:val="24"/>
        </w:rPr>
        <w:lastRenderedPageBreak/>
        <w:t>3</w:t>
      </w:r>
      <w:r w:rsidR="00F907FD" w:rsidRPr="006C0693">
        <w:rPr>
          <w:rFonts w:ascii="Times New Roman" w:hAnsi="Times New Roman" w:cs="Times New Roman"/>
          <w:sz w:val="24"/>
          <w:szCs w:val="24"/>
        </w:rPr>
        <w:t>6</w:t>
      </w:r>
      <w:r w:rsidR="005B23D4" w:rsidRPr="006C0693">
        <w:rPr>
          <w:rFonts w:ascii="Times New Roman" w:hAnsi="Times New Roman" w:cs="Times New Roman"/>
          <w:sz w:val="24"/>
          <w:szCs w:val="24"/>
        </w:rPr>
        <w:t>.</w:t>
      </w:r>
      <w:r w:rsidR="001F151F" w:rsidRPr="006C0693">
        <w:rPr>
          <w:rFonts w:ascii="Times New Roman" w:hAnsi="Times New Roman" w:cs="Times New Roman"/>
          <w:sz w:val="24"/>
          <w:szCs w:val="24"/>
        </w:rPr>
        <w:t xml:space="preserve"> </w:t>
      </w:r>
      <w:r w:rsidR="005B23D4" w:rsidRPr="006C0693">
        <w:rPr>
          <w:rFonts w:ascii="Times New Roman" w:hAnsi="Times New Roman" w:cs="Times New Roman"/>
          <w:sz w:val="24"/>
          <w:szCs w:val="24"/>
        </w:rPr>
        <w:t xml:space="preserve"> </w:t>
      </w:r>
      <w:r w:rsidR="00880951" w:rsidRPr="006C0693">
        <w:rPr>
          <w:rFonts w:ascii="Times New Roman" w:hAnsi="Times New Roman" w:cs="Times New Roman"/>
          <w:sz w:val="24"/>
          <w:szCs w:val="24"/>
        </w:rPr>
        <w:t>What is also apparent from the debates throughout the</w:t>
      </w:r>
      <w:r w:rsidR="004409EA" w:rsidRPr="006C0693">
        <w:rPr>
          <w:rFonts w:ascii="Times New Roman" w:hAnsi="Times New Roman" w:cs="Times New Roman"/>
          <w:sz w:val="24"/>
          <w:szCs w:val="24"/>
        </w:rPr>
        <w:t xml:space="preserve"> </w:t>
      </w:r>
      <w:r w:rsidR="000506CD" w:rsidRPr="006C0693">
        <w:rPr>
          <w:rFonts w:ascii="Times New Roman" w:hAnsi="Times New Roman" w:cs="Times New Roman"/>
          <w:sz w:val="24"/>
          <w:szCs w:val="24"/>
        </w:rPr>
        <w:t xml:space="preserve">negotiation of Article 6 </w:t>
      </w:r>
      <w:r w:rsidR="00880951" w:rsidRPr="006C0693">
        <w:rPr>
          <w:rFonts w:ascii="Times New Roman" w:hAnsi="Times New Roman" w:cs="Times New Roman"/>
          <w:sz w:val="24"/>
          <w:szCs w:val="24"/>
        </w:rPr>
        <w:t>i</w:t>
      </w:r>
      <w:r w:rsidR="00FE47DA" w:rsidRPr="006C0693">
        <w:rPr>
          <w:rFonts w:ascii="Times New Roman" w:hAnsi="Times New Roman" w:cs="Times New Roman"/>
          <w:sz w:val="24"/>
          <w:szCs w:val="24"/>
        </w:rPr>
        <w:t>s</w:t>
      </w:r>
      <w:r w:rsidR="00880951" w:rsidRPr="006C0693">
        <w:rPr>
          <w:rFonts w:ascii="Times New Roman" w:hAnsi="Times New Roman" w:cs="Times New Roman"/>
          <w:sz w:val="24"/>
          <w:szCs w:val="24"/>
        </w:rPr>
        <w:t xml:space="preserve"> that the deprivation of life under discussion was</w:t>
      </w:r>
      <w:r w:rsidR="007F228A" w:rsidRPr="006C0693">
        <w:rPr>
          <w:rFonts w:ascii="Times New Roman" w:hAnsi="Times New Roman" w:cs="Times New Roman"/>
          <w:sz w:val="24"/>
          <w:szCs w:val="24"/>
        </w:rPr>
        <w:t xml:space="preserve"> general</w:t>
      </w:r>
      <w:r w:rsidR="00363817" w:rsidRPr="006C0693">
        <w:rPr>
          <w:rFonts w:ascii="Times New Roman" w:hAnsi="Times New Roman" w:cs="Times New Roman"/>
          <w:sz w:val="24"/>
          <w:szCs w:val="24"/>
        </w:rPr>
        <w:t>ly</w:t>
      </w:r>
      <w:r w:rsidR="001C6BF5" w:rsidRPr="006C0693">
        <w:rPr>
          <w:rFonts w:ascii="Times New Roman" w:hAnsi="Times New Roman" w:cs="Times New Roman"/>
          <w:sz w:val="24"/>
          <w:szCs w:val="24"/>
        </w:rPr>
        <w:t xml:space="preserve"> </w:t>
      </w:r>
      <w:r w:rsidR="007F228A" w:rsidRPr="006C0693">
        <w:rPr>
          <w:rFonts w:ascii="Times New Roman" w:hAnsi="Times New Roman" w:cs="Times New Roman"/>
          <w:sz w:val="24"/>
          <w:szCs w:val="24"/>
        </w:rPr>
        <w:t xml:space="preserve">understood to refer to </w:t>
      </w:r>
      <w:r w:rsidR="001C6BF5" w:rsidRPr="006C0693">
        <w:rPr>
          <w:rFonts w:ascii="Times New Roman" w:hAnsi="Times New Roman" w:cs="Times New Roman"/>
          <w:sz w:val="24"/>
          <w:szCs w:val="24"/>
        </w:rPr>
        <w:t>actual</w:t>
      </w:r>
      <w:r w:rsidR="00880951" w:rsidRPr="006C0693">
        <w:rPr>
          <w:rFonts w:ascii="Times New Roman" w:hAnsi="Times New Roman" w:cs="Times New Roman"/>
          <w:sz w:val="24"/>
          <w:szCs w:val="24"/>
        </w:rPr>
        <w:t xml:space="preserve"> killings</w:t>
      </w:r>
      <w:r w:rsidR="001C6BF5" w:rsidRPr="006C0693">
        <w:rPr>
          <w:rFonts w:ascii="Times New Roman" w:hAnsi="Times New Roman" w:cs="Times New Roman"/>
          <w:sz w:val="24"/>
          <w:szCs w:val="24"/>
        </w:rPr>
        <w:t xml:space="preserve"> </w:t>
      </w:r>
      <w:r w:rsidR="00C0130D" w:rsidRPr="006C0693">
        <w:rPr>
          <w:rFonts w:ascii="Times New Roman" w:hAnsi="Times New Roman" w:cs="Times New Roman"/>
          <w:sz w:val="24"/>
          <w:szCs w:val="24"/>
        </w:rPr>
        <w:t xml:space="preserve">of one person </w:t>
      </w:r>
      <w:r w:rsidR="001C6BF5" w:rsidRPr="006C0693">
        <w:rPr>
          <w:rFonts w:ascii="Times New Roman" w:hAnsi="Times New Roman" w:cs="Times New Roman"/>
          <w:sz w:val="24"/>
          <w:szCs w:val="24"/>
        </w:rPr>
        <w:t xml:space="preserve">by </w:t>
      </w:r>
      <w:r w:rsidR="00C0130D" w:rsidRPr="006C0693">
        <w:rPr>
          <w:rFonts w:ascii="Times New Roman" w:hAnsi="Times New Roman" w:cs="Times New Roman"/>
          <w:sz w:val="24"/>
          <w:szCs w:val="24"/>
        </w:rPr>
        <w:t>another</w:t>
      </w:r>
      <w:r w:rsidR="00FE47DA" w:rsidRPr="006C0693">
        <w:rPr>
          <w:rFonts w:ascii="Times New Roman" w:hAnsi="Times New Roman" w:cs="Times New Roman"/>
          <w:sz w:val="24"/>
          <w:szCs w:val="24"/>
        </w:rPr>
        <w:t>,</w:t>
      </w:r>
      <w:r w:rsidR="007F228A" w:rsidRPr="006C0693">
        <w:rPr>
          <w:rFonts w:ascii="Times New Roman" w:hAnsi="Times New Roman" w:cs="Times New Roman"/>
          <w:sz w:val="24"/>
          <w:szCs w:val="24"/>
        </w:rPr>
        <w:t xml:space="preserve"> </w:t>
      </w:r>
      <w:r w:rsidR="00880951" w:rsidRPr="006C0693">
        <w:rPr>
          <w:rFonts w:ascii="Times New Roman" w:hAnsi="Times New Roman" w:cs="Times New Roman"/>
          <w:sz w:val="24"/>
          <w:szCs w:val="24"/>
        </w:rPr>
        <w:t xml:space="preserve">whether attributable to </w:t>
      </w:r>
      <w:r w:rsidR="002A1A82" w:rsidRPr="006C0693">
        <w:rPr>
          <w:rFonts w:ascii="Times New Roman" w:hAnsi="Times New Roman" w:cs="Times New Roman"/>
          <w:sz w:val="24"/>
          <w:szCs w:val="24"/>
        </w:rPr>
        <w:t xml:space="preserve">State </w:t>
      </w:r>
      <w:r w:rsidR="001C6BF5" w:rsidRPr="006C0693">
        <w:rPr>
          <w:rFonts w:ascii="Times New Roman" w:hAnsi="Times New Roman" w:cs="Times New Roman"/>
          <w:sz w:val="24"/>
          <w:szCs w:val="24"/>
        </w:rPr>
        <w:t>actors</w:t>
      </w:r>
      <w:r w:rsidR="00880951" w:rsidRPr="006C0693">
        <w:rPr>
          <w:rFonts w:ascii="Times New Roman" w:hAnsi="Times New Roman" w:cs="Times New Roman"/>
          <w:sz w:val="24"/>
          <w:szCs w:val="24"/>
        </w:rPr>
        <w:t xml:space="preserve"> or private actors</w:t>
      </w:r>
      <w:r w:rsidR="001C6BF5" w:rsidRPr="006C0693">
        <w:rPr>
          <w:rFonts w:ascii="Times New Roman" w:hAnsi="Times New Roman" w:cs="Times New Roman"/>
          <w:sz w:val="24"/>
          <w:szCs w:val="24"/>
        </w:rPr>
        <w:t>,</w:t>
      </w:r>
      <w:r w:rsidR="00880951" w:rsidRPr="006C0693">
        <w:rPr>
          <w:rFonts w:ascii="Times New Roman" w:hAnsi="Times New Roman" w:cs="Times New Roman"/>
          <w:sz w:val="24"/>
          <w:szCs w:val="24"/>
        </w:rPr>
        <w:t xml:space="preserve"> and that the measures discussed and compromise achieved only contemplated </w:t>
      </w:r>
      <w:r w:rsidR="007F228A" w:rsidRPr="006C0693">
        <w:rPr>
          <w:rFonts w:ascii="Times New Roman" w:hAnsi="Times New Roman" w:cs="Times New Roman"/>
          <w:sz w:val="24"/>
          <w:szCs w:val="24"/>
        </w:rPr>
        <w:t xml:space="preserve">that any </w:t>
      </w:r>
      <w:r w:rsidR="00FE47DA" w:rsidRPr="006C0693">
        <w:rPr>
          <w:rFonts w:ascii="Times New Roman" w:hAnsi="Times New Roman" w:cs="Times New Roman"/>
          <w:sz w:val="24"/>
          <w:szCs w:val="24"/>
        </w:rPr>
        <w:t>protection</w:t>
      </w:r>
      <w:r w:rsidR="00363817" w:rsidRPr="006C0693">
        <w:rPr>
          <w:rFonts w:ascii="Times New Roman" w:hAnsi="Times New Roman" w:cs="Times New Roman"/>
          <w:sz w:val="24"/>
          <w:szCs w:val="24"/>
        </w:rPr>
        <w:t xml:space="preserve"> to be afforded</w:t>
      </w:r>
      <w:r w:rsidR="00FE47DA" w:rsidRPr="006C0693">
        <w:rPr>
          <w:rFonts w:ascii="Times New Roman" w:hAnsi="Times New Roman" w:cs="Times New Roman"/>
          <w:sz w:val="24"/>
          <w:szCs w:val="24"/>
        </w:rPr>
        <w:t xml:space="preserve"> from </w:t>
      </w:r>
      <w:r w:rsidR="00363817" w:rsidRPr="006C0693">
        <w:rPr>
          <w:rFonts w:ascii="Times New Roman" w:hAnsi="Times New Roman" w:cs="Times New Roman"/>
          <w:sz w:val="24"/>
          <w:szCs w:val="24"/>
        </w:rPr>
        <w:t xml:space="preserve">the conduct of </w:t>
      </w:r>
      <w:r w:rsidR="00FE47DA" w:rsidRPr="006C0693">
        <w:rPr>
          <w:rFonts w:ascii="Times New Roman" w:hAnsi="Times New Roman" w:cs="Times New Roman"/>
          <w:sz w:val="24"/>
          <w:szCs w:val="24"/>
        </w:rPr>
        <w:t>non-</w:t>
      </w:r>
      <w:r w:rsidR="002A1A82" w:rsidRPr="006C0693">
        <w:rPr>
          <w:rFonts w:ascii="Times New Roman" w:hAnsi="Times New Roman" w:cs="Times New Roman"/>
          <w:sz w:val="24"/>
          <w:szCs w:val="24"/>
        </w:rPr>
        <w:t>S</w:t>
      </w:r>
      <w:r w:rsidR="00FE47DA" w:rsidRPr="006C0693">
        <w:rPr>
          <w:rFonts w:ascii="Times New Roman" w:hAnsi="Times New Roman" w:cs="Times New Roman"/>
          <w:sz w:val="24"/>
          <w:szCs w:val="24"/>
        </w:rPr>
        <w:t>tate</w:t>
      </w:r>
      <w:r w:rsidR="004C6CF3" w:rsidRPr="006C0693">
        <w:rPr>
          <w:rFonts w:ascii="Times New Roman" w:hAnsi="Times New Roman" w:cs="Times New Roman"/>
          <w:sz w:val="24"/>
          <w:szCs w:val="24"/>
        </w:rPr>
        <w:t>s</w:t>
      </w:r>
      <w:r w:rsidR="00FE47DA" w:rsidRPr="006C0693">
        <w:rPr>
          <w:rFonts w:ascii="Times New Roman" w:hAnsi="Times New Roman" w:cs="Times New Roman"/>
          <w:sz w:val="24"/>
          <w:szCs w:val="24"/>
        </w:rPr>
        <w:t xml:space="preserve"> actor </w:t>
      </w:r>
      <w:r w:rsidR="007F228A" w:rsidRPr="006C0693">
        <w:rPr>
          <w:rFonts w:ascii="Times New Roman" w:hAnsi="Times New Roman" w:cs="Times New Roman"/>
          <w:sz w:val="24"/>
          <w:szCs w:val="24"/>
        </w:rPr>
        <w:t xml:space="preserve">would be </w:t>
      </w:r>
      <w:r w:rsidR="00FE47DA" w:rsidRPr="006C0693">
        <w:rPr>
          <w:rFonts w:ascii="Times New Roman" w:hAnsi="Times New Roman" w:cs="Times New Roman"/>
          <w:sz w:val="24"/>
          <w:szCs w:val="24"/>
        </w:rPr>
        <w:t>pursuant to domestic criminal laws.</w:t>
      </w:r>
      <w:r w:rsidR="00974BED" w:rsidRPr="006C0693">
        <w:rPr>
          <w:rFonts w:ascii="Times New Roman" w:hAnsi="Times New Roman" w:cs="Times New Roman"/>
          <w:sz w:val="24"/>
          <w:szCs w:val="24"/>
        </w:rPr>
        <w:t xml:space="preserve"> </w:t>
      </w:r>
      <w:r w:rsidR="000506CD" w:rsidRPr="006C0693">
        <w:rPr>
          <w:rFonts w:ascii="Times New Roman" w:hAnsi="Times New Roman" w:cs="Times New Roman"/>
          <w:sz w:val="24"/>
          <w:szCs w:val="24"/>
        </w:rPr>
        <w:t xml:space="preserve"> </w:t>
      </w:r>
      <w:r w:rsidR="00974BED" w:rsidRPr="006C0693">
        <w:rPr>
          <w:rFonts w:ascii="Times New Roman" w:hAnsi="Times New Roman" w:cs="Times New Roman"/>
          <w:sz w:val="24"/>
          <w:szCs w:val="24"/>
        </w:rPr>
        <w:t xml:space="preserve">Even </w:t>
      </w:r>
      <w:r w:rsidR="0041086C" w:rsidRPr="006C0693">
        <w:rPr>
          <w:rFonts w:ascii="Times New Roman" w:hAnsi="Times New Roman" w:cs="Times New Roman"/>
          <w:sz w:val="24"/>
          <w:szCs w:val="24"/>
        </w:rPr>
        <w:t xml:space="preserve">among </w:t>
      </w:r>
      <w:r w:rsidR="006142AE" w:rsidRPr="006C0693">
        <w:rPr>
          <w:rFonts w:ascii="Times New Roman" w:hAnsi="Times New Roman" w:cs="Times New Roman"/>
          <w:sz w:val="24"/>
          <w:szCs w:val="24"/>
        </w:rPr>
        <w:t xml:space="preserve">delegations that </w:t>
      </w:r>
      <w:r w:rsidR="000506CD" w:rsidRPr="006C0693">
        <w:rPr>
          <w:rFonts w:ascii="Times New Roman" w:hAnsi="Times New Roman" w:cs="Times New Roman"/>
          <w:sz w:val="24"/>
          <w:szCs w:val="24"/>
        </w:rPr>
        <w:t>advanced the concept</w:t>
      </w:r>
      <w:r w:rsidR="00974BED" w:rsidRPr="006C0693">
        <w:rPr>
          <w:rFonts w:ascii="Times New Roman" w:hAnsi="Times New Roman" w:cs="Times New Roman"/>
          <w:sz w:val="24"/>
          <w:szCs w:val="24"/>
        </w:rPr>
        <w:t xml:space="preserve"> that the State had a duty to protect</w:t>
      </w:r>
      <w:r w:rsidR="005955AD" w:rsidRPr="006C0693">
        <w:rPr>
          <w:rFonts w:ascii="Times New Roman" w:hAnsi="Times New Roman" w:cs="Times New Roman"/>
          <w:sz w:val="24"/>
          <w:szCs w:val="24"/>
        </w:rPr>
        <w:t xml:space="preserve"> the life of the individual against anything that endangered it, the distinction was recognized between the danger coming from other men, with </w:t>
      </w:r>
      <w:r w:rsidR="000506CD" w:rsidRPr="006C0693">
        <w:rPr>
          <w:rFonts w:ascii="Times New Roman" w:hAnsi="Times New Roman" w:cs="Times New Roman"/>
          <w:sz w:val="24"/>
          <w:szCs w:val="24"/>
        </w:rPr>
        <w:t>“</w:t>
      </w:r>
      <w:r w:rsidR="005955AD" w:rsidRPr="006C0693">
        <w:rPr>
          <w:rFonts w:ascii="Times New Roman" w:hAnsi="Times New Roman" w:cs="Times New Roman"/>
          <w:sz w:val="24"/>
          <w:szCs w:val="24"/>
        </w:rPr>
        <w:t>protection against crime</w:t>
      </w:r>
      <w:r w:rsidR="000506CD" w:rsidRPr="006C0693">
        <w:rPr>
          <w:rFonts w:ascii="Times New Roman" w:hAnsi="Times New Roman" w:cs="Times New Roman"/>
          <w:sz w:val="24"/>
          <w:szCs w:val="24"/>
        </w:rPr>
        <w:t xml:space="preserve"> . . .</w:t>
      </w:r>
      <w:r w:rsidR="005955AD" w:rsidRPr="006C0693">
        <w:rPr>
          <w:rFonts w:ascii="Times New Roman" w:hAnsi="Times New Roman" w:cs="Times New Roman"/>
          <w:sz w:val="24"/>
          <w:szCs w:val="24"/>
        </w:rPr>
        <w:t xml:space="preserve"> inherent in the notion of civil and political rights</w:t>
      </w:r>
      <w:r w:rsidR="00993DCF">
        <w:rPr>
          <w:rFonts w:ascii="Times New Roman" w:hAnsi="Times New Roman" w:cs="Times New Roman"/>
          <w:sz w:val="24"/>
          <w:szCs w:val="24"/>
        </w:rPr>
        <w:t>,</w:t>
      </w:r>
      <w:r w:rsidR="000506CD" w:rsidRPr="006C0693">
        <w:rPr>
          <w:rFonts w:ascii="Times New Roman" w:hAnsi="Times New Roman" w:cs="Times New Roman"/>
          <w:sz w:val="24"/>
          <w:szCs w:val="24"/>
        </w:rPr>
        <w:t>”</w:t>
      </w:r>
      <w:r w:rsidR="005955AD" w:rsidRPr="006C0693">
        <w:rPr>
          <w:rFonts w:ascii="Times New Roman" w:hAnsi="Times New Roman" w:cs="Times New Roman"/>
          <w:sz w:val="24"/>
          <w:szCs w:val="24"/>
        </w:rPr>
        <w:t xml:space="preserve"> and </w:t>
      </w:r>
      <w:r w:rsidR="000506CD" w:rsidRPr="006C0693">
        <w:rPr>
          <w:rFonts w:ascii="Times New Roman" w:hAnsi="Times New Roman" w:cs="Times New Roman"/>
          <w:sz w:val="24"/>
          <w:szCs w:val="24"/>
        </w:rPr>
        <w:t xml:space="preserve">a </w:t>
      </w:r>
      <w:r w:rsidR="005955AD" w:rsidRPr="006C0693">
        <w:rPr>
          <w:rFonts w:ascii="Times New Roman" w:hAnsi="Times New Roman" w:cs="Times New Roman"/>
          <w:sz w:val="24"/>
          <w:szCs w:val="24"/>
        </w:rPr>
        <w:t xml:space="preserve">danger coming from natural or social phenomena, </w:t>
      </w:r>
      <w:r w:rsidR="000506CD" w:rsidRPr="006C0693">
        <w:rPr>
          <w:rFonts w:ascii="Times New Roman" w:hAnsi="Times New Roman" w:cs="Times New Roman"/>
          <w:sz w:val="24"/>
          <w:szCs w:val="24"/>
        </w:rPr>
        <w:t>with”</w:t>
      </w:r>
      <w:r w:rsidR="005955AD" w:rsidRPr="006C0693">
        <w:rPr>
          <w:rFonts w:ascii="Times New Roman" w:hAnsi="Times New Roman" w:cs="Times New Roman"/>
          <w:sz w:val="24"/>
          <w:szCs w:val="24"/>
        </w:rPr>
        <w:t xml:space="preserve"> the protection of life against accidents, sickness or </w:t>
      </w:r>
      <w:r w:rsidR="006142AE" w:rsidRPr="006C0693">
        <w:rPr>
          <w:rFonts w:ascii="Times New Roman" w:hAnsi="Times New Roman" w:cs="Times New Roman"/>
          <w:sz w:val="24"/>
          <w:szCs w:val="24"/>
        </w:rPr>
        <w:t>poverty .</w:t>
      </w:r>
      <w:r w:rsidR="000506CD" w:rsidRPr="006C0693">
        <w:rPr>
          <w:rFonts w:ascii="Times New Roman" w:hAnsi="Times New Roman" w:cs="Times New Roman"/>
          <w:sz w:val="24"/>
          <w:szCs w:val="24"/>
        </w:rPr>
        <w:t xml:space="preserve"> . .</w:t>
      </w:r>
      <w:r w:rsidR="005955AD" w:rsidRPr="006C0693">
        <w:rPr>
          <w:rFonts w:ascii="Times New Roman" w:hAnsi="Times New Roman" w:cs="Times New Roman"/>
          <w:sz w:val="24"/>
          <w:szCs w:val="24"/>
        </w:rPr>
        <w:t xml:space="preserve"> inherent in the notion of economic and </w:t>
      </w:r>
      <w:r w:rsidR="000506CD" w:rsidRPr="006C0693">
        <w:rPr>
          <w:rFonts w:ascii="Times New Roman" w:hAnsi="Times New Roman" w:cs="Times New Roman"/>
          <w:sz w:val="24"/>
          <w:szCs w:val="24"/>
        </w:rPr>
        <w:t>social</w:t>
      </w:r>
      <w:r w:rsidR="005955AD" w:rsidRPr="006C0693">
        <w:rPr>
          <w:rFonts w:ascii="Times New Roman" w:hAnsi="Times New Roman" w:cs="Times New Roman"/>
          <w:sz w:val="24"/>
          <w:szCs w:val="24"/>
        </w:rPr>
        <w:t xml:space="preserve"> rights.</w:t>
      </w:r>
      <w:r w:rsidR="000506CD" w:rsidRPr="006C0693">
        <w:rPr>
          <w:rFonts w:ascii="Times New Roman" w:hAnsi="Times New Roman" w:cs="Times New Roman"/>
          <w:sz w:val="24"/>
          <w:szCs w:val="24"/>
        </w:rPr>
        <w:t>”</w:t>
      </w:r>
      <w:r w:rsidR="0077796F" w:rsidRPr="006C0693">
        <w:rPr>
          <w:rStyle w:val="FootnoteReference"/>
          <w:rFonts w:ascii="Times New Roman" w:hAnsi="Times New Roman" w:cs="Times New Roman"/>
          <w:sz w:val="24"/>
          <w:szCs w:val="24"/>
        </w:rPr>
        <w:footnoteReference w:id="47"/>
      </w:r>
      <w:r w:rsidR="00FE47DA" w:rsidRPr="006C0693">
        <w:rPr>
          <w:rFonts w:ascii="Times New Roman" w:hAnsi="Times New Roman" w:cs="Times New Roman"/>
          <w:sz w:val="24"/>
          <w:szCs w:val="24"/>
        </w:rPr>
        <w:t xml:space="preserve">  </w:t>
      </w:r>
      <w:r w:rsidR="006142AE" w:rsidRPr="006C0693">
        <w:rPr>
          <w:rFonts w:ascii="Times New Roman" w:hAnsi="Times New Roman" w:cs="Times New Roman"/>
          <w:sz w:val="24"/>
          <w:szCs w:val="24"/>
        </w:rPr>
        <w:t xml:space="preserve">As expressed by the French representative in the </w:t>
      </w:r>
      <w:r w:rsidR="005D02F4" w:rsidRPr="006C0693">
        <w:rPr>
          <w:rFonts w:ascii="Times New Roman" w:hAnsi="Times New Roman" w:cs="Times New Roman"/>
          <w:sz w:val="24"/>
          <w:szCs w:val="24"/>
        </w:rPr>
        <w:t>Third</w:t>
      </w:r>
      <w:r w:rsidR="006142AE" w:rsidRPr="006C0693">
        <w:rPr>
          <w:rFonts w:ascii="Times New Roman" w:hAnsi="Times New Roman" w:cs="Times New Roman"/>
          <w:sz w:val="24"/>
          <w:szCs w:val="24"/>
        </w:rPr>
        <w:t xml:space="preserve"> Committee deliberations in 1957:  “Article 6 should be concerned solely with the civil and political protection of the life of the individual</w:t>
      </w:r>
      <w:r w:rsidR="00993DCF">
        <w:rPr>
          <w:rFonts w:ascii="Times New Roman" w:hAnsi="Times New Roman" w:cs="Times New Roman"/>
          <w:sz w:val="24"/>
          <w:szCs w:val="24"/>
        </w:rPr>
        <w:t>,</w:t>
      </w:r>
      <w:r w:rsidR="006142AE" w:rsidRPr="006C0693">
        <w:rPr>
          <w:rFonts w:ascii="Times New Roman" w:hAnsi="Times New Roman" w:cs="Times New Roman"/>
          <w:sz w:val="24"/>
          <w:szCs w:val="24"/>
        </w:rPr>
        <w:t xml:space="preserve">” and </w:t>
      </w:r>
      <w:r w:rsidR="00C70AF5" w:rsidRPr="006C0693">
        <w:rPr>
          <w:rFonts w:ascii="Times New Roman" w:hAnsi="Times New Roman" w:cs="Times New Roman"/>
          <w:sz w:val="24"/>
          <w:szCs w:val="24"/>
        </w:rPr>
        <w:t>Article 6(1)</w:t>
      </w:r>
      <w:r w:rsidR="006142AE" w:rsidRPr="006C0693">
        <w:rPr>
          <w:rFonts w:ascii="Times New Roman" w:hAnsi="Times New Roman" w:cs="Times New Roman"/>
          <w:sz w:val="24"/>
          <w:szCs w:val="24"/>
        </w:rPr>
        <w:t xml:space="preserve"> “simply stated the need for legal systems so framed as to safeguard the security of citizens.”</w:t>
      </w:r>
      <w:r w:rsidR="006142AE" w:rsidRPr="006C0693">
        <w:rPr>
          <w:rStyle w:val="FootnoteReference"/>
          <w:rFonts w:ascii="Times New Roman" w:hAnsi="Times New Roman" w:cs="Times New Roman"/>
          <w:sz w:val="24"/>
          <w:szCs w:val="24"/>
        </w:rPr>
        <w:footnoteReference w:id="48"/>
      </w:r>
      <w:r w:rsidR="006142AE" w:rsidRPr="006C0693">
        <w:rPr>
          <w:rFonts w:ascii="Times New Roman" w:hAnsi="Times New Roman" w:cs="Times New Roman"/>
          <w:sz w:val="24"/>
          <w:szCs w:val="24"/>
        </w:rPr>
        <w:t xml:space="preserve">  </w:t>
      </w:r>
      <w:r w:rsidR="00C70AF5" w:rsidRPr="006C0693">
        <w:rPr>
          <w:rFonts w:ascii="Times New Roman" w:hAnsi="Times New Roman" w:cs="Times New Roman"/>
          <w:sz w:val="24"/>
          <w:szCs w:val="24"/>
        </w:rPr>
        <w:t xml:space="preserve">None </w:t>
      </w:r>
      <w:r w:rsidR="001C6BF5" w:rsidRPr="006C0693">
        <w:rPr>
          <w:rFonts w:ascii="Times New Roman" w:hAnsi="Times New Roman" w:cs="Times New Roman"/>
          <w:sz w:val="24"/>
          <w:szCs w:val="24"/>
        </w:rPr>
        <w:t>of the types of threats or</w:t>
      </w:r>
      <w:r w:rsidR="00766AA8" w:rsidRPr="006C0693">
        <w:rPr>
          <w:rFonts w:ascii="Times New Roman" w:hAnsi="Times New Roman" w:cs="Times New Roman"/>
          <w:sz w:val="24"/>
          <w:szCs w:val="24"/>
        </w:rPr>
        <w:t xml:space="preserve"> </w:t>
      </w:r>
      <w:r w:rsidR="004C6CF3" w:rsidRPr="006C0693">
        <w:rPr>
          <w:rFonts w:ascii="Times New Roman" w:hAnsi="Times New Roman" w:cs="Times New Roman"/>
          <w:sz w:val="24"/>
          <w:szCs w:val="24"/>
        </w:rPr>
        <w:t xml:space="preserve">dangers </w:t>
      </w:r>
      <w:r w:rsidR="00C70AF5" w:rsidRPr="006C0693">
        <w:rPr>
          <w:rFonts w:ascii="Times New Roman" w:hAnsi="Times New Roman" w:cs="Times New Roman"/>
          <w:sz w:val="24"/>
          <w:szCs w:val="24"/>
        </w:rPr>
        <w:t xml:space="preserve">or threats </w:t>
      </w:r>
      <w:r w:rsidR="00766AA8" w:rsidRPr="006C0693">
        <w:rPr>
          <w:rFonts w:ascii="Times New Roman" w:hAnsi="Times New Roman" w:cs="Times New Roman"/>
          <w:sz w:val="24"/>
          <w:szCs w:val="24"/>
        </w:rPr>
        <w:t xml:space="preserve">identified in the </w:t>
      </w:r>
      <w:r w:rsidR="00444E26" w:rsidRPr="006C0693">
        <w:rPr>
          <w:rFonts w:ascii="Times New Roman" w:hAnsi="Times New Roman" w:cs="Times New Roman"/>
          <w:sz w:val="24"/>
          <w:szCs w:val="24"/>
        </w:rPr>
        <w:t xml:space="preserve">Committee’s </w:t>
      </w:r>
      <w:r w:rsidR="00766AA8" w:rsidRPr="006C0693">
        <w:rPr>
          <w:rFonts w:ascii="Times New Roman" w:hAnsi="Times New Roman" w:cs="Times New Roman"/>
          <w:sz w:val="24"/>
          <w:szCs w:val="24"/>
        </w:rPr>
        <w:t>draft g</w:t>
      </w:r>
      <w:r w:rsidR="001C6BF5" w:rsidRPr="006C0693">
        <w:rPr>
          <w:rFonts w:ascii="Times New Roman" w:hAnsi="Times New Roman" w:cs="Times New Roman"/>
          <w:sz w:val="24"/>
          <w:szCs w:val="24"/>
        </w:rPr>
        <w:t xml:space="preserve">eneral </w:t>
      </w:r>
      <w:r w:rsidR="00766AA8" w:rsidRPr="006C0693">
        <w:rPr>
          <w:rFonts w:ascii="Times New Roman" w:hAnsi="Times New Roman" w:cs="Times New Roman"/>
          <w:sz w:val="24"/>
          <w:szCs w:val="24"/>
        </w:rPr>
        <w:t>c</w:t>
      </w:r>
      <w:r w:rsidR="001C6BF5" w:rsidRPr="006C0693">
        <w:rPr>
          <w:rFonts w:ascii="Times New Roman" w:hAnsi="Times New Roman" w:cs="Times New Roman"/>
          <w:sz w:val="24"/>
          <w:szCs w:val="24"/>
        </w:rPr>
        <w:t>omment were addressed during the negotiations, no</w:t>
      </w:r>
      <w:r w:rsidR="007F228A" w:rsidRPr="006C0693">
        <w:rPr>
          <w:rFonts w:ascii="Times New Roman" w:hAnsi="Times New Roman" w:cs="Times New Roman"/>
          <w:sz w:val="24"/>
          <w:szCs w:val="24"/>
        </w:rPr>
        <w:t>r</w:t>
      </w:r>
      <w:r w:rsidR="001C6BF5" w:rsidRPr="006C0693">
        <w:rPr>
          <w:rFonts w:ascii="Times New Roman" w:hAnsi="Times New Roman" w:cs="Times New Roman"/>
          <w:sz w:val="24"/>
          <w:szCs w:val="24"/>
        </w:rPr>
        <w:t xml:space="preserve"> </w:t>
      </w:r>
      <w:r w:rsidR="00974BED" w:rsidRPr="006C0693">
        <w:rPr>
          <w:rFonts w:ascii="Times New Roman" w:hAnsi="Times New Roman" w:cs="Times New Roman"/>
          <w:sz w:val="24"/>
          <w:szCs w:val="24"/>
        </w:rPr>
        <w:t xml:space="preserve">was any </w:t>
      </w:r>
      <w:r w:rsidR="001C6BF5" w:rsidRPr="006C0693">
        <w:rPr>
          <w:rFonts w:ascii="Times New Roman" w:hAnsi="Times New Roman" w:cs="Times New Roman"/>
          <w:sz w:val="24"/>
          <w:szCs w:val="24"/>
        </w:rPr>
        <w:t xml:space="preserve">consideration </w:t>
      </w:r>
      <w:r w:rsidR="00974BED" w:rsidRPr="006C0693">
        <w:rPr>
          <w:rFonts w:ascii="Times New Roman" w:hAnsi="Times New Roman" w:cs="Times New Roman"/>
          <w:sz w:val="24"/>
          <w:szCs w:val="24"/>
        </w:rPr>
        <w:t>g</w:t>
      </w:r>
      <w:r w:rsidR="00444E26" w:rsidRPr="006C0693">
        <w:rPr>
          <w:rFonts w:ascii="Times New Roman" w:hAnsi="Times New Roman" w:cs="Times New Roman"/>
          <w:sz w:val="24"/>
          <w:szCs w:val="24"/>
        </w:rPr>
        <w:t>i</w:t>
      </w:r>
      <w:r w:rsidR="00974BED" w:rsidRPr="006C0693">
        <w:rPr>
          <w:rFonts w:ascii="Times New Roman" w:hAnsi="Times New Roman" w:cs="Times New Roman"/>
          <w:sz w:val="24"/>
          <w:szCs w:val="24"/>
        </w:rPr>
        <w:t xml:space="preserve">ven </w:t>
      </w:r>
      <w:r w:rsidR="00444E26" w:rsidRPr="006C0693">
        <w:rPr>
          <w:rFonts w:ascii="Times New Roman" w:hAnsi="Times New Roman" w:cs="Times New Roman"/>
          <w:sz w:val="24"/>
          <w:szCs w:val="24"/>
        </w:rPr>
        <w:t>to measures to regulate</w:t>
      </w:r>
      <w:r w:rsidR="001C6BF5" w:rsidRPr="006C0693">
        <w:rPr>
          <w:rFonts w:ascii="Times New Roman" w:hAnsi="Times New Roman" w:cs="Times New Roman"/>
          <w:sz w:val="24"/>
          <w:szCs w:val="24"/>
        </w:rPr>
        <w:t xml:space="preserve"> weapons</w:t>
      </w:r>
      <w:r w:rsidR="00F907FD" w:rsidRPr="006C0693">
        <w:rPr>
          <w:rFonts w:ascii="Times New Roman" w:hAnsi="Times New Roman" w:cs="Times New Roman"/>
          <w:sz w:val="24"/>
          <w:szCs w:val="24"/>
        </w:rPr>
        <w:t xml:space="preserve"> or of</w:t>
      </w:r>
      <w:r w:rsidR="00444E26" w:rsidRPr="006C0693">
        <w:rPr>
          <w:rFonts w:ascii="Times New Roman" w:hAnsi="Times New Roman" w:cs="Times New Roman"/>
          <w:sz w:val="24"/>
          <w:szCs w:val="24"/>
        </w:rPr>
        <w:t xml:space="preserve"> </w:t>
      </w:r>
      <w:r w:rsidR="001C6BF5" w:rsidRPr="006C0693">
        <w:rPr>
          <w:rFonts w:ascii="Times New Roman" w:hAnsi="Times New Roman" w:cs="Times New Roman"/>
          <w:sz w:val="24"/>
          <w:szCs w:val="24"/>
        </w:rPr>
        <w:t>environmental</w:t>
      </w:r>
      <w:r w:rsidR="007F228A" w:rsidRPr="006C0693">
        <w:rPr>
          <w:rFonts w:ascii="Times New Roman" w:hAnsi="Times New Roman" w:cs="Times New Roman"/>
          <w:sz w:val="24"/>
          <w:szCs w:val="24"/>
        </w:rPr>
        <w:t>-</w:t>
      </w:r>
      <w:r w:rsidR="001C6BF5" w:rsidRPr="006C0693">
        <w:rPr>
          <w:rFonts w:ascii="Times New Roman" w:hAnsi="Times New Roman" w:cs="Times New Roman"/>
          <w:sz w:val="24"/>
          <w:szCs w:val="24"/>
        </w:rPr>
        <w:t xml:space="preserve"> or health</w:t>
      </w:r>
      <w:r w:rsidR="007F228A" w:rsidRPr="006C0693">
        <w:rPr>
          <w:rFonts w:ascii="Times New Roman" w:hAnsi="Times New Roman" w:cs="Times New Roman"/>
          <w:sz w:val="24"/>
          <w:szCs w:val="24"/>
        </w:rPr>
        <w:t>-</w:t>
      </w:r>
      <w:r w:rsidR="001C6BF5" w:rsidRPr="006C0693">
        <w:rPr>
          <w:rFonts w:ascii="Times New Roman" w:hAnsi="Times New Roman" w:cs="Times New Roman"/>
          <w:sz w:val="24"/>
          <w:szCs w:val="24"/>
        </w:rPr>
        <w:t xml:space="preserve"> </w:t>
      </w:r>
      <w:r w:rsidR="007F228A" w:rsidRPr="006C0693">
        <w:rPr>
          <w:rFonts w:ascii="Times New Roman" w:hAnsi="Times New Roman" w:cs="Times New Roman"/>
          <w:sz w:val="24"/>
          <w:szCs w:val="24"/>
        </w:rPr>
        <w:t>or poverty-</w:t>
      </w:r>
      <w:r w:rsidR="001C6BF5" w:rsidRPr="006C0693">
        <w:rPr>
          <w:rFonts w:ascii="Times New Roman" w:hAnsi="Times New Roman" w:cs="Times New Roman"/>
          <w:sz w:val="24"/>
          <w:szCs w:val="24"/>
        </w:rPr>
        <w:t xml:space="preserve">related threats.  </w:t>
      </w:r>
    </w:p>
    <w:p w:rsidR="0081660F" w:rsidRPr="006C0693" w:rsidRDefault="007F671E" w:rsidP="006C0693">
      <w:pPr>
        <w:pStyle w:val="Default"/>
        <w:spacing w:line="276" w:lineRule="auto"/>
      </w:pPr>
      <w:r w:rsidRPr="006C0693">
        <w:rPr>
          <w:bCs/>
        </w:rPr>
        <w:t>3</w:t>
      </w:r>
      <w:r w:rsidR="00F907FD" w:rsidRPr="006C0693">
        <w:rPr>
          <w:bCs/>
        </w:rPr>
        <w:t>7</w:t>
      </w:r>
      <w:r w:rsidR="00363817" w:rsidRPr="006C0693">
        <w:rPr>
          <w:bCs/>
        </w:rPr>
        <w:t xml:space="preserve">.  </w:t>
      </w:r>
      <w:r w:rsidR="00F35784" w:rsidRPr="006C0693">
        <w:rPr>
          <w:bCs/>
        </w:rPr>
        <w:t>In light of</w:t>
      </w:r>
      <w:r w:rsidR="00444E26" w:rsidRPr="006C0693">
        <w:rPr>
          <w:bCs/>
        </w:rPr>
        <w:t xml:space="preserve"> the ordinary meaning of Article 6(1) and</w:t>
      </w:r>
      <w:r w:rsidR="00F35784" w:rsidRPr="006C0693">
        <w:rPr>
          <w:bCs/>
        </w:rPr>
        <w:t xml:space="preserve"> this negotiating history, there is no basis to seek to further expand </w:t>
      </w:r>
      <w:r w:rsidR="00444E26" w:rsidRPr="006C0693">
        <w:rPr>
          <w:bCs/>
        </w:rPr>
        <w:t xml:space="preserve">upon an </w:t>
      </w:r>
      <w:r w:rsidR="00F35784" w:rsidRPr="006C0693">
        <w:rPr>
          <w:bCs/>
        </w:rPr>
        <w:t xml:space="preserve">obligation </w:t>
      </w:r>
      <w:r w:rsidR="00F35784" w:rsidRPr="006C0693">
        <w:rPr>
          <w:lang w:bidi="he-IL"/>
        </w:rPr>
        <w:t xml:space="preserve">to ensure the right to life </w:t>
      </w:r>
      <w:r w:rsidR="00444E26" w:rsidRPr="006C0693">
        <w:rPr>
          <w:lang w:bidi="he-IL"/>
        </w:rPr>
        <w:t xml:space="preserve">that would </w:t>
      </w:r>
      <w:r w:rsidR="00F35784" w:rsidRPr="006C0693">
        <w:rPr>
          <w:lang w:bidi="he-IL"/>
        </w:rPr>
        <w:t xml:space="preserve">entail a duty to protect life from all foreseeable threats to life and to ensure the “effective enjoyment of the right life” (paragraph 28). </w:t>
      </w:r>
      <w:r w:rsidR="00B56D3C" w:rsidRPr="006C0693">
        <w:rPr>
          <w:lang w:bidi="he-IL"/>
        </w:rPr>
        <w:t xml:space="preserve"> </w:t>
      </w:r>
      <w:r w:rsidR="00F35784" w:rsidRPr="006C0693">
        <w:rPr>
          <w:lang w:bidi="he-IL"/>
        </w:rPr>
        <w:t>The United States does not agree</w:t>
      </w:r>
      <w:r w:rsidR="00F35784" w:rsidRPr="006C0693">
        <w:t xml:space="preserve"> that “[t]he obligation of States parties to respect and ensure the right to life extends to all threats that can result in loss of life” and that “States parties may be in violation of article 6 even if such threats have not actually resulted in loss of life”</w:t>
      </w:r>
      <w:r w:rsidR="006E1EAB" w:rsidRPr="006C0693">
        <w:t xml:space="preserve"> as suggested in paragraph 7 of the draft.</w:t>
      </w:r>
      <w:r w:rsidR="00F35784" w:rsidRPr="006C0693">
        <w:t xml:space="preserve">  Similarly, the United States does not agree with the Committee</w:t>
      </w:r>
      <w:r w:rsidR="004F436D" w:rsidRPr="006C0693">
        <w:t>’s</w:t>
      </w:r>
      <w:r w:rsidR="00F35784" w:rsidRPr="006C0693">
        <w:t xml:space="preserve"> </w:t>
      </w:r>
      <w:r w:rsidR="006E1EAB" w:rsidRPr="006C0693">
        <w:t xml:space="preserve">assertions of the positive measures articulated </w:t>
      </w:r>
      <w:r w:rsidR="00E5584F" w:rsidRPr="006C0693">
        <w:t>in paragraph</w:t>
      </w:r>
      <w:r w:rsidR="006E1EAB" w:rsidRPr="006C0693">
        <w:t>s</w:t>
      </w:r>
      <w:r w:rsidR="00E5584F" w:rsidRPr="006C0693">
        <w:t xml:space="preserve"> 25, </w:t>
      </w:r>
      <w:r w:rsidR="002826A1">
        <w:t xml:space="preserve"> </w:t>
      </w:r>
      <w:r w:rsidR="006E1EAB" w:rsidRPr="006C0693">
        <w:t xml:space="preserve">26, 27 and 30.  </w:t>
      </w:r>
      <w:r w:rsidR="00E5584F" w:rsidRPr="006C0693">
        <w:t xml:space="preserve"> </w:t>
      </w:r>
      <w:r w:rsidR="00A46FD7" w:rsidRPr="006C0693" w:rsidDel="00A46FD7">
        <w:t xml:space="preserve"> </w:t>
      </w:r>
    </w:p>
    <w:p w:rsidR="00DA79E9" w:rsidRPr="006C0693" w:rsidRDefault="007F671E" w:rsidP="006C0693">
      <w:pPr>
        <w:spacing w:before="240"/>
        <w:contextualSpacing/>
        <w:rPr>
          <w:rFonts w:ascii="Times New Roman" w:hAnsi="Times New Roman" w:cs="Times New Roman"/>
          <w:bCs/>
          <w:sz w:val="24"/>
          <w:szCs w:val="24"/>
        </w:rPr>
      </w:pPr>
      <w:r w:rsidRPr="006C0693">
        <w:rPr>
          <w:rFonts w:ascii="Times New Roman" w:hAnsi="Times New Roman" w:cs="Times New Roman"/>
          <w:sz w:val="24"/>
          <w:szCs w:val="24"/>
        </w:rPr>
        <w:t>3</w:t>
      </w:r>
      <w:r w:rsidR="00F907FD" w:rsidRPr="006C0693">
        <w:rPr>
          <w:rFonts w:ascii="Times New Roman" w:hAnsi="Times New Roman" w:cs="Times New Roman"/>
          <w:sz w:val="24"/>
          <w:szCs w:val="24"/>
        </w:rPr>
        <w:t>8</w:t>
      </w:r>
      <w:r w:rsidR="00363817" w:rsidRPr="006C0693">
        <w:rPr>
          <w:rFonts w:ascii="Times New Roman" w:hAnsi="Times New Roman" w:cs="Times New Roman"/>
          <w:sz w:val="24"/>
          <w:szCs w:val="24"/>
        </w:rPr>
        <w:t>.  Any suggestion, even</w:t>
      </w:r>
      <w:r w:rsidR="004D4537" w:rsidRPr="006C0693">
        <w:rPr>
          <w:rFonts w:ascii="Times New Roman" w:hAnsi="Times New Roman" w:cs="Times New Roman"/>
          <w:sz w:val="24"/>
          <w:szCs w:val="24"/>
        </w:rPr>
        <w:t xml:space="preserve"> </w:t>
      </w:r>
      <w:r w:rsidR="00363817" w:rsidRPr="006C0693">
        <w:rPr>
          <w:rFonts w:ascii="Times New Roman" w:hAnsi="Times New Roman" w:cs="Times New Roman"/>
          <w:sz w:val="24"/>
          <w:szCs w:val="24"/>
        </w:rPr>
        <w:t xml:space="preserve">if only </w:t>
      </w:r>
      <w:r w:rsidR="004D4537" w:rsidRPr="006C0693">
        <w:rPr>
          <w:rFonts w:ascii="Times New Roman" w:hAnsi="Times New Roman" w:cs="Times New Roman"/>
          <w:sz w:val="24"/>
          <w:szCs w:val="24"/>
        </w:rPr>
        <w:t xml:space="preserve">by implication, of a duty to protect life that would extend to addressing “general </w:t>
      </w:r>
      <w:r w:rsidR="00363817" w:rsidRPr="006C0693">
        <w:rPr>
          <w:rFonts w:ascii="Times New Roman" w:hAnsi="Times New Roman" w:cs="Times New Roman"/>
          <w:sz w:val="24"/>
          <w:szCs w:val="24"/>
        </w:rPr>
        <w:t xml:space="preserve">conditions </w:t>
      </w:r>
      <w:r w:rsidR="004D4537" w:rsidRPr="006C0693">
        <w:rPr>
          <w:rFonts w:ascii="Times New Roman" w:hAnsi="Times New Roman" w:cs="Times New Roman"/>
          <w:sz w:val="24"/>
          <w:szCs w:val="24"/>
        </w:rPr>
        <w:t xml:space="preserve">in society that may eventually give rise to direct threats to life or prevent individuals from enjoying their right to life with dignity” strays beyond the mandate of the Committee </w:t>
      </w:r>
      <w:r w:rsidR="00AF1151" w:rsidRPr="006C0693">
        <w:rPr>
          <w:rFonts w:ascii="Times New Roman" w:hAnsi="Times New Roman" w:cs="Times New Roman"/>
          <w:sz w:val="24"/>
          <w:szCs w:val="24"/>
        </w:rPr>
        <w:t xml:space="preserve">and </w:t>
      </w:r>
      <w:r w:rsidR="00FA3F73" w:rsidRPr="006C0693">
        <w:rPr>
          <w:rFonts w:ascii="Times New Roman" w:hAnsi="Times New Roman" w:cs="Times New Roman"/>
          <w:sz w:val="24"/>
          <w:szCs w:val="24"/>
        </w:rPr>
        <w:t>is un</w:t>
      </w:r>
      <w:r w:rsidR="00AF1151" w:rsidRPr="006C0693">
        <w:rPr>
          <w:rFonts w:ascii="Times New Roman" w:hAnsi="Times New Roman" w:cs="Times New Roman"/>
          <w:sz w:val="24"/>
          <w:szCs w:val="24"/>
        </w:rPr>
        <w:t>support</w:t>
      </w:r>
      <w:r w:rsidR="00FA3F73" w:rsidRPr="006C0693">
        <w:rPr>
          <w:rFonts w:ascii="Times New Roman" w:hAnsi="Times New Roman" w:cs="Times New Roman"/>
          <w:sz w:val="24"/>
          <w:szCs w:val="24"/>
        </w:rPr>
        <w:t>ed</w:t>
      </w:r>
      <w:r w:rsidR="00AF1151" w:rsidRPr="006C0693">
        <w:rPr>
          <w:rFonts w:ascii="Times New Roman" w:hAnsi="Times New Roman" w:cs="Times New Roman"/>
          <w:sz w:val="24"/>
          <w:szCs w:val="24"/>
        </w:rPr>
        <w:t xml:space="preserve"> </w:t>
      </w:r>
      <w:r w:rsidR="00FA3F73" w:rsidRPr="006C0693">
        <w:rPr>
          <w:rFonts w:ascii="Times New Roman" w:hAnsi="Times New Roman" w:cs="Times New Roman"/>
          <w:sz w:val="24"/>
          <w:szCs w:val="24"/>
        </w:rPr>
        <w:t>by</w:t>
      </w:r>
      <w:r w:rsidR="00AF1151" w:rsidRPr="006C0693">
        <w:rPr>
          <w:rFonts w:ascii="Times New Roman" w:hAnsi="Times New Roman" w:cs="Times New Roman"/>
          <w:sz w:val="24"/>
          <w:szCs w:val="24"/>
        </w:rPr>
        <w:t xml:space="preserve"> established rules of treaty interpretation</w:t>
      </w:r>
      <w:r w:rsidR="00974BED" w:rsidRPr="006C0693">
        <w:rPr>
          <w:rFonts w:ascii="Times New Roman" w:hAnsi="Times New Roman" w:cs="Times New Roman"/>
          <w:sz w:val="24"/>
          <w:szCs w:val="24"/>
        </w:rPr>
        <w:t xml:space="preserve"> with respect to Article 6</w:t>
      </w:r>
      <w:r w:rsidR="004D4537" w:rsidRPr="006C0693">
        <w:rPr>
          <w:rFonts w:ascii="Times New Roman" w:hAnsi="Times New Roman" w:cs="Times New Roman"/>
          <w:sz w:val="24"/>
          <w:szCs w:val="24"/>
        </w:rPr>
        <w:t xml:space="preserve">.  </w:t>
      </w:r>
      <w:r w:rsidR="001C5056" w:rsidRPr="006C0693">
        <w:rPr>
          <w:rFonts w:ascii="Times New Roman" w:hAnsi="Times New Roman" w:cs="Times New Roman"/>
          <w:sz w:val="24"/>
          <w:szCs w:val="24"/>
        </w:rPr>
        <w:t>Whatever steps a State may take to address such conditions as</w:t>
      </w:r>
      <w:r w:rsidR="006E1EAB" w:rsidRPr="006C0693">
        <w:rPr>
          <w:rFonts w:ascii="Times New Roman" w:hAnsi="Times New Roman" w:cs="Times New Roman"/>
          <w:sz w:val="24"/>
          <w:szCs w:val="24"/>
        </w:rPr>
        <w:t xml:space="preserve"> those addressed in the draft such as</w:t>
      </w:r>
      <w:r w:rsidR="001C5056" w:rsidRPr="006C0693">
        <w:rPr>
          <w:rFonts w:ascii="Times New Roman" w:hAnsi="Times New Roman" w:cs="Times New Roman"/>
          <w:sz w:val="24"/>
          <w:szCs w:val="24"/>
        </w:rPr>
        <w:t xml:space="preserve"> </w:t>
      </w:r>
      <w:r w:rsidR="004D4537" w:rsidRPr="006C0693">
        <w:rPr>
          <w:rFonts w:ascii="Times New Roman" w:hAnsi="Times New Roman" w:cs="Times New Roman"/>
          <w:sz w:val="24"/>
          <w:szCs w:val="24"/>
        </w:rPr>
        <w:t xml:space="preserve">environmental pollution, </w:t>
      </w:r>
      <w:r w:rsidR="001C5056" w:rsidRPr="006C0693">
        <w:rPr>
          <w:rFonts w:ascii="Times New Roman" w:hAnsi="Times New Roman" w:cs="Times New Roman"/>
          <w:sz w:val="24"/>
          <w:szCs w:val="24"/>
        </w:rPr>
        <w:t>life threatening disease, the adequacy of health care, traffic and industrial accidents, hunger, poverty or homelessness, natural disasters or cyber-attacks, none of these fall within the scope of ICCPR obligations</w:t>
      </w:r>
      <w:r w:rsidR="00FB0A28" w:rsidRPr="006C0693">
        <w:rPr>
          <w:rFonts w:ascii="Times New Roman" w:hAnsi="Times New Roman" w:cs="Times New Roman"/>
          <w:sz w:val="24"/>
          <w:szCs w:val="24"/>
        </w:rPr>
        <w:t>.</w:t>
      </w:r>
      <w:r w:rsidR="001C5056" w:rsidRPr="006C0693">
        <w:rPr>
          <w:rFonts w:ascii="Times New Roman" w:hAnsi="Times New Roman" w:cs="Times New Roman"/>
          <w:sz w:val="24"/>
          <w:szCs w:val="24"/>
        </w:rPr>
        <w:t xml:space="preserve"> </w:t>
      </w:r>
      <w:r w:rsidR="00B56D3C" w:rsidRPr="006C0693">
        <w:rPr>
          <w:rFonts w:ascii="Times New Roman" w:hAnsi="Times New Roman" w:cs="Times New Roman"/>
          <w:sz w:val="24"/>
          <w:szCs w:val="24"/>
        </w:rPr>
        <w:t xml:space="preserve"> </w:t>
      </w:r>
      <w:r w:rsidR="00FB0A28" w:rsidRPr="006C0693">
        <w:rPr>
          <w:rFonts w:ascii="Times New Roman" w:hAnsi="Times New Roman" w:cs="Times New Roman"/>
          <w:sz w:val="24"/>
          <w:szCs w:val="24"/>
        </w:rPr>
        <w:t>Attention</w:t>
      </w:r>
      <w:r w:rsidR="001C5056" w:rsidRPr="006C0693">
        <w:rPr>
          <w:rFonts w:ascii="Times New Roman" w:hAnsi="Times New Roman" w:cs="Times New Roman"/>
          <w:sz w:val="24"/>
          <w:szCs w:val="24"/>
        </w:rPr>
        <w:t xml:space="preserve"> </w:t>
      </w:r>
      <w:r w:rsidR="00FB0A28" w:rsidRPr="006C0693">
        <w:rPr>
          <w:rFonts w:ascii="Times New Roman" w:hAnsi="Times New Roman" w:cs="Times New Roman"/>
          <w:sz w:val="24"/>
          <w:szCs w:val="24"/>
        </w:rPr>
        <w:t>spent</w:t>
      </w:r>
      <w:r w:rsidR="001C5056" w:rsidRPr="006C0693">
        <w:rPr>
          <w:rFonts w:ascii="Times New Roman" w:hAnsi="Times New Roman" w:cs="Times New Roman"/>
          <w:sz w:val="24"/>
          <w:szCs w:val="24"/>
        </w:rPr>
        <w:t xml:space="preserve"> on such issues in the context of a </w:t>
      </w:r>
      <w:r w:rsidR="00A30B5A" w:rsidRPr="006C0693">
        <w:rPr>
          <w:rFonts w:ascii="Times New Roman" w:hAnsi="Times New Roman" w:cs="Times New Roman"/>
          <w:sz w:val="24"/>
          <w:szCs w:val="24"/>
        </w:rPr>
        <w:t xml:space="preserve">general comment </w:t>
      </w:r>
      <w:r w:rsidR="00083D7B" w:rsidRPr="006C0693">
        <w:rPr>
          <w:rFonts w:ascii="Times New Roman" w:hAnsi="Times New Roman" w:cs="Times New Roman"/>
          <w:sz w:val="24"/>
          <w:szCs w:val="24"/>
        </w:rPr>
        <w:t xml:space="preserve">or State Party periodic reporting </w:t>
      </w:r>
      <w:r w:rsidR="001C5056" w:rsidRPr="006C0693">
        <w:rPr>
          <w:rFonts w:ascii="Times New Roman" w:hAnsi="Times New Roman" w:cs="Times New Roman"/>
          <w:sz w:val="24"/>
          <w:szCs w:val="24"/>
        </w:rPr>
        <w:t xml:space="preserve">diverts attention from the essential issues for which </w:t>
      </w:r>
      <w:r w:rsidR="00FB0A28" w:rsidRPr="006C0693">
        <w:rPr>
          <w:rFonts w:ascii="Times New Roman" w:hAnsi="Times New Roman" w:cs="Times New Roman"/>
          <w:sz w:val="24"/>
          <w:szCs w:val="24"/>
        </w:rPr>
        <w:t>the Committe</w:t>
      </w:r>
      <w:r w:rsidR="005B23D4" w:rsidRPr="006C0693">
        <w:rPr>
          <w:rFonts w:ascii="Times New Roman" w:hAnsi="Times New Roman" w:cs="Times New Roman"/>
          <w:sz w:val="24"/>
          <w:szCs w:val="24"/>
        </w:rPr>
        <w:t>e</w:t>
      </w:r>
      <w:r w:rsidR="00FB0A28" w:rsidRPr="006C0693">
        <w:rPr>
          <w:rFonts w:ascii="Times New Roman" w:hAnsi="Times New Roman" w:cs="Times New Roman"/>
          <w:sz w:val="24"/>
          <w:szCs w:val="24"/>
        </w:rPr>
        <w:t xml:space="preserve"> </w:t>
      </w:r>
      <w:r w:rsidR="001C5056" w:rsidRPr="006C0693">
        <w:rPr>
          <w:rFonts w:ascii="Times New Roman" w:hAnsi="Times New Roman" w:cs="Times New Roman"/>
          <w:sz w:val="24"/>
          <w:szCs w:val="24"/>
        </w:rPr>
        <w:t>has responsibility</w:t>
      </w:r>
      <w:r w:rsidR="00344968" w:rsidRPr="006C0693">
        <w:rPr>
          <w:rFonts w:ascii="Times New Roman" w:hAnsi="Times New Roman" w:cs="Times New Roman"/>
          <w:sz w:val="24"/>
          <w:szCs w:val="24"/>
        </w:rPr>
        <w:t>.</w:t>
      </w:r>
      <w:r w:rsidR="001C5056" w:rsidRPr="006C0693">
        <w:rPr>
          <w:rFonts w:ascii="Times New Roman" w:hAnsi="Times New Roman" w:cs="Times New Roman"/>
          <w:sz w:val="24"/>
          <w:szCs w:val="24"/>
        </w:rPr>
        <w:t xml:space="preserve"> </w:t>
      </w:r>
    </w:p>
    <w:p w:rsidR="001C5056" w:rsidRPr="006C0693" w:rsidRDefault="001C5056" w:rsidP="006C0693">
      <w:pPr>
        <w:contextualSpacing/>
        <w:rPr>
          <w:rFonts w:ascii="Times New Roman" w:hAnsi="Times New Roman" w:cs="Times New Roman"/>
          <w:b/>
          <w:sz w:val="24"/>
          <w:szCs w:val="24"/>
        </w:rPr>
      </w:pPr>
    </w:p>
    <w:p w:rsidR="00B457A7" w:rsidRPr="006C0693" w:rsidRDefault="00C3140E" w:rsidP="006C0693">
      <w:pPr>
        <w:contextualSpacing/>
        <w:rPr>
          <w:rFonts w:ascii="Times New Roman" w:hAnsi="Times New Roman" w:cs="Times New Roman"/>
          <w:b/>
          <w:sz w:val="24"/>
          <w:szCs w:val="24"/>
        </w:rPr>
      </w:pPr>
      <w:r w:rsidRPr="006C0693">
        <w:rPr>
          <w:rFonts w:ascii="Times New Roman" w:hAnsi="Times New Roman" w:cs="Times New Roman"/>
          <w:b/>
          <w:sz w:val="24"/>
          <w:szCs w:val="24"/>
        </w:rPr>
        <w:lastRenderedPageBreak/>
        <w:t>IV.</w:t>
      </w:r>
      <w:r w:rsidR="00834D8C">
        <w:rPr>
          <w:rFonts w:ascii="Times New Roman" w:hAnsi="Times New Roman" w:cs="Times New Roman"/>
          <w:b/>
          <w:sz w:val="24"/>
          <w:szCs w:val="24"/>
        </w:rPr>
        <w:tab/>
      </w:r>
      <w:r w:rsidR="00A12DF0" w:rsidRPr="006C0693">
        <w:rPr>
          <w:rFonts w:ascii="Times New Roman" w:hAnsi="Times New Roman" w:cs="Times New Roman"/>
          <w:b/>
          <w:sz w:val="24"/>
          <w:szCs w:val="24"/>
        </w:rPr>
        <w:t>Death Penalty</w:t>
      </w:r>
    </w:p>
    <w:p w:rsidR="0041086C" w:rsidRPr="006C0693" w:rsidRDefault="0041086C" w:rsidP="006C0693">
      <w:pPr>
        <w:spacing w:before="240"/>
        <w:contextualSpacing/>
        <w:rPr>
          <w:rFonts w:ascii="Times New Roman" w:hAnsi="Times New Roman" w:cs="Times New Roman"/>
          <w:sz w:val="24"/>
          <w:szCs w:val="24"/>
        </w:rPr>
      </w:pPr>
    </w:p>
    <w:p w:rsidR="00A12DF0" w:rsidRPr="006C0693" w:rsidRDefault="00F907FD" w:rsidP="006C0693">
      <w:pPr>
        <w:spacing w:before="240"/>
        <w:contextualSpacing/>
        <w:rPr>
          <w:rFonts w:ascii="Times New Roman" w:hAnsi="Times New Roman" w:cs="Times New Roman"/>
          <w:sz w:val="24"/>
          <w:szCs w:val="24"/>
        </w:rPr>
      </w:pPr>
      <w:r w:rsidRPr="006C0693">
        <w:rPr>
          <w:rFonts w:ascii="Times New Roman" w:hAnsi="Times New Roman" w:cs="Times New Roman"/>
          <w:sz w:val="24"/>
          <w:szCs w:val="24"/>
        </w:rPr>
        <w:t>39</w:t>
      </w:r>
      <w:r w:rsidR="00363817" w:rsidRPr="006C0693">
        <w:rPr>
          <w:rFonts w:ascii="Times New Roman" w:hAnsi="Times New Roman" w:cs="Times New Roman"/>
          <w:sz w:val="24"/>
          <w:szCs w:val="24"/>
        </w:rPr>
        <w:t xml:space="preserve">.  </w:t>
      </w:r>
      <w:r w:rsidR="00A12DF0" w:rsidRPr="006C0693">
        <w:rPr>
          <w:rFonts w:ascii="Times New Roman" w:hAnsi="Times New Roman" w:cs="Times New Roman"/>
          <w:sz w:val="24"/>
          <w:szCs w:val="24"/>
        </w:rPr>
        <w:t>Consistent with its mandate, the sole responsibility of the Committee is to advise States Parties</w:t>
      </w:r>
      <w:r w:rsidR="00344968" w:rsidRPr="006C0693">
        <w:rPr>
          <w:rFonts w:ascii="Times New Roman" w:hAnsi="Times New Roman" w:cs="Times New Roman"/>
          <w:sz w:val="24"/>
          <w:szCs w:val="24"/>
        </w:rPr>
        <w:t>,</w:t>
      </w:r>
      <w:r w:rsidR="00A12DF0" w:rsidRPr="006C0693">
        <w:rPr>
          <w:rFonts w:ascii="Times New Roman" w:hAnsi="Times New Roman" w:cs="Times New Roman"/>
          <w:sz w:val="24"/>
          <w:szCs w:val="24"/>
        </w:rPr>
        <w:t xml:space="preserve"> which have not abolished the </w:t>
      </w:r>
      <w:r w:rsidR="002C20C5" w:rsidRPr="006C0693">
        <w:rPr>
          <w:rFonts w:ascii="Times New Roman" w:hAnsi="Times New Roman" w:cs="Times New Roman"/>
          <w:sz w:val="24"/>
          <w:szCs w:val="24"/>
        </w:rPr>
        <w:t>d</w:t>
      </w:r>
      <w:r w:rsidR="00A12DF0" w:rsidRPr="006C0693">
        <w:rPr>
          <w:rFonts w:ascii="Times New Roman" w:hAnsi="Times New Roman" w:cs="Times New Roman"/>
          <w:sz w:val="24"/>
          <w:szCs w:val="24"/>
        </w:rPr>
        <w:t xml:space="preserve">eath </w:t>
      </w:r>
      <w:r w:rsidR="002C20C5" w:rsidRPr="006C0693">
        <w:rPr>
          <w:rFonts w:ascii="Times New Roman" w:hAnsi="Times New Roman" w:cs="Times New Roman"/>
          <w:sz w:val="24"/>
          <w:szCs w:val="24"/>
        </w:rPr>
        <w:t>p</w:t>
      </w:r>
      <w:r w:rsidR="00A12DF0" w:rsidRPr="006C0693">
        <w:rPr>
          <w:rFonts w:ascii="Times New Roman" w:hAnsi="Times New Roman" w:cs="Times New Roman"/>
          <w:sz w:val="24"/>
          <w:szCs w:val="24"/>
        </w:rPr>
        <w:t>enalty</w:t>
      </w:r>
      <w:r w:rsidR="00344968" w:rsidRPr="006C0693">
        <w:rPr>
          <w:rFonts w:ascii="Times New Roman" w:hAnsi="Times New Roman" w:cs="Times New Roman"/>
          <w:sz w:val="24"/>
          <w:szCs w:val="24"/>
        </w:rPr>
        <w:t>,</w:t>
      </w:r>
      <w:r w:rsidR="00A12DF0" w:rsidRPr="006C0693">
        <w:rPr>
          <w:rFonts w:ascii="Times New Roman" w:hAnsi="Times New Roman" w:cs="Times New Roman"/>
          <w:sz w:val="24"/>
          <w:szCs w:val="24"/>
        </w:rPr>
        <w:t xml:space="preserve"> on issues that arise in its application to individual cases</w:t>
      </w:r>
      <w:r w:rsidR="00B457A7" w:rsidRPr="006C0693">
        <w:rPr>
          <w:rFonts w:ascii="Times New Roman" w:hAnsi="Times New Roman" w:cs="Times New Roman"/>
          <w:sz w:val="24"/>
          <w:szCs w:val="24"/>
        </w:rPr>
        <w:t xml:space="preserve"> within the terms of Article 6 (2)-(5).  </w:t>
      </w:r>
      <w:r w:rsidR="00A12DF0" w:rsidRPr="006C0693">
        <w:rPr>
          <w:rFonts w:ascii="Times New Roman" w:hAnsi="Times New Roman" w:cs="Times New Roman"/>
          <w:sz w:val="24"/>
          <w:szCs w:val="24"/>
        </w:rPr>
        <w:t>As the Committee correctly notes</w:t>
      </w:r>
      <w:r w:rsidR="00B457A7" w:rsidRPr="006C0693">
        <w:rPr>
          <w:rFonts w:ascii="Times New Roman" w:hAnsi="Times New Roman" w:cs="Times New Roman"/>
          <w:sz w:val="24"/>
          <w:szCs w:val="24"/>
        </w:rPr>
        <w:t xml:space="preserve"> in paragraph 37 of its draft, </w:t>
      </w:r>
      <w:r w:rsidR="00A12DF0" w:rsidRPr="006C0693">
        <w:rPr>
          <w:rFonts w:ascii="Times New Roman" w:hAnsi="Times New Roman" w:cs="Times New Roman"/>
          <w:sz w:val="24"/>
          <w:szCs w:val="24"/>
        </w:rPr>
        <w:t>Art</w:t>
      </w:r>
      <w:r w:rsidR="00B457A7" w:rsidRPr="006C0693">
        <w:rPr>
          <w:rFonts w:ascii="Times New Roman" w:hAnsi="Times New Roman" w:cs="Times New Roman"/>
          <w:sz w:val="24"/>
          <w:szCs w:val="24"/>
        </w:rPr>
        <w:t>icle</w:t>
      </w:r>
      <w:r w:rsidR="00A12DF0" w:rsidRPr="006C0693">
        <w:rPr>
          <w:rFonts w:ascii="Times New Roman" w:hAnsi="Times New Roman" w:cs="Times New Roman"/>
          <w:sz w:val="24"/>
          <w:szCs w:val="24"/>
        </w:rPr>
        <w:t xml:space="preserve"> 6 strictly limits the application of the death penalty</w:t>
      </w:r>
      <w:r w:rsidR="007F671E" w:rsidRPr="006C0693">
        <w:rPr>
          <w:rFonts w:ascii="Times New Roman" w:hAnsi="Times New Roman" w:cs="Times New Roman"/>
          <w:sz w:val="24"/>
          <w:szCs w:val="24"/>
        </w:rPr>
        <w:t xml:space="preserve"> </w:t>
      </w:r>
      <w:r w:rsidR="00FB0A28" w:rsidRPr="006C0693">
        <w:rPr>
          <w:rFonts w:ascii="Times New Roman" w:hAnsi="Times New Roman" w:cs="Times New Roman"/>
          <w:sz w:val="24"/>
          <w:szCs w:val="24"/>
        </w:rPr>
        <w:t>leaving</w:t>
      </w:r>
      <w:r w:rsidR="00A12DF0" w:rsidRPr="006C0693">
        <w:rPr>
          <w:rFonts w:ascii="Times New Roman" w:hAnsi="Times New Roman" w:cs="Times New Roman"/>
          <w:sz w:val="24"/>
          <w:szCs w:val="24"/>
        </w:rPr>
        <w:t xml:space="preserve"> little room for further interpretation or elaboration.  Any observations or advice by the Committee regarding </w:t>
      </w:r>
      <w:r w:rsidR="00BB772E" w:rsidRPr="006C0693">
        <w:rPr>
          <w:rFonts w:ascii="Times New Roman" w:hAnsi="Times New Roman" w:cs="Times New Roman"/>
          <w:sz w:val="24"/>
          <w:szCs w:val="24"/>
        </w:rPr>
        <w:t>S</w:t>
      </w:r>
      <w:r w:rsidR="00A12DF0" w:rsidRPr="006C0693">
        <w:rPr>
          <w:rFonts w:ascii="Times New Roman" w:hAnsi="Times New Roman" w:cs="Times New Roman"/>
          <w:sz w:val="24"/>
          <w:szCs w:val="24"/>
        </w:rPr>
        <w:t xml:space="preserve">tate practices in implementing their obligations </w:t>
      </w:r>
      <w:r w:rsidR="00FB0A28" w:rsidRPr="006C0693">
        <w:rPr>
          <w:rFonts w:ascii="Times New Roman" w:hAnsi="Times New Roman" w:cs="Times New Roman"/>
          <w:sz w:val="24"/>
          <w:szCs w:val="24"/>
        </w:rPr>
        <w:t>in this area</w:t>
      </w:r>
      <w:r w:rsidR="00A12DF0" w:rsidRPr="006C0693">
        <w:rPr>
          <w:rFonts w:ascii="Times New Roman" w:hAnsi="Times New Roman" w:cs="Times New Roman"/>
          <w:sz w:val="24"/>
          <w:szCs w:val="24"/>
        </w:rPr>
        <w:t xml:space="preserve"> need to be expressed </w:t>
      </w:r>
      <w:r w:rsidR="00F3282F" w:rsidRPr="006C0693">
        <w:rPr>
          <w:rFonts w:ascii="Times New Roman" w:hAnsi="Times New Roman" w:cs="Times New Roman"/>
          <w:sz w:val="24"/>
          <w:szCs w:val="24"/>
        </w:rPr>
        <w:t xml:space="preserve">as best practices or </w:t>
      </w:r>
      <w:r w:rsidR="00A12DF0" w:rsidRPr="006C0693">
        <w:rPr>
          <w:rFonts w:ascii="Times New Roman" w:hAnsi="Times New Roman" w:cs="Times New Roman"/>
          <w:sz w:val="24"/>
          <w:szCs w:val="24"/>
        </w:rPr>
        <w:t>in advisory “should” terms</w:t>
      </w:r>
      <w:r w:rsidR="00BB772E" w:rsidRPr="006C0693">
        <w:rPr>
          <w:rFonts w:ascii="Times New Roman" w:hAnsi="Times New Roman" w:cs="Times New Roman"/>
          <w:sz w:val="24"/>
          <w:szCs w:val="24"/>
        </w:rPr>
        <w:t>,</w:t>
      </w:r>
      <w:r w:rsidR="00A12DF0" w:rsidRPr="006C0693">
        <w:rPr>
          <w:rFonts w:ascii="Times New Roman" w:hAnsi="Times New Roman" w:cs="Times New Roman"/>
          <w:sz w:val="24"/>
          <w:szCs w:val="24"/>
        </w:rPr>
        <w:t xml:space="preserve"> rather than obligatory terms such as “have to” or “must.”  </w:t>
      </w:r>
    </w:p>
    <w:p w:rsidR="00A12DF0" w:rsidRPr="006C0693" w:rsidRDefault="00A12DF0" w:rsidP="006C0693">
      <w:pPr>
        <w:ind w:left="720"/>
        <w:contextualSpacing/>
        <w:rPr>
          <w:rFonts w:ascii="Times New Roman" w:hAnsi="Times New Roman" w:cs="Times New Roman"/>
          <w:sz w:val="24"/>
          <w:szCs w:val="24"/>
        </w:rPr>
      </w:pPr>
    </w:p>
    <w:p w:rsidR="00B457A7" w:rsidRPr="006C0693" w:rsidRDefault="00363817" w:rsidP="006C0693">
      <w:pPr>
        <w:contextualSpacing/>
        <w:rPr>
          <w:rFonts w:ascii="Times New Roman" w:hAnsi="Times New Roman" w:cs="Times New Roman"/>
          <w:sz w:val="24"/>
          <w:szCs w:val="24"/>
        </w:rPr>
      </w:pPr>
      <w:r w:rsidRPr="006C0693">
        <w:rPr>
          <w:rFonts w:ascii="Times New Roman" w:hAnsi="Times New Roman" w:cs="Times New Roman"/>
          <w:sz w:val="24"/>
          <w:szCs w:val="24"/>
        </w:rPr>
        <w:t>4</w:t>
      </w:r>
      <w:r w:rsidR="00F907FD" w:rsidRPr="006C0693">
        <w:rPr>
          <w:rFonts w:ascii="Times New Roman" w:hAnsi="Times New Roman" w:cs="Times New Roman"/>
          <w:sz w:val="24"/>
          <w:szCs w:val="24"/>
        </w:rPr>
        <w:t>0</w:t>
      </w:r>
      <w:r w:rsidRPr="006C0693">
        <w:rPr>
          <w:rFonts w:ascii="Times New Roman" w:hAnsi="Times New Roman" w:cs="Times New Roman"/>
          <w:sz w:val="24"/>
          <w:szCs w:val="24"/>
        </w:rPr>
        <w:t xml:space="preserve">.  </w:t>
      </w:r>
      <w:r w:rsidR="00A12DF0" w:rsidRPr="006C0693">
        <w:rPr>
          <w:rFonts w:ascii="Times New Roman" w:hAnsi="Times New Roman" w:cs="Times New Roman"/>
          <w:sz w:val="24"/>
          <w:szCs w:val="24"/>
        </w:rPr>
        <w:t>Committee views regarding abolition of the death penalty, and in particular the view that abolition is “legally irrevocable”</w:t>
      </w:r>
      <w:r w:rsidR="00B457A7" w:rsidRPr="006C0693">
        <w:rPr>
          <w:rFonts w:ascii="Times New Roman" w:hAnsi="Times New Roman" w:cs="Times New Roman"/>
          <w:sz w:val="24"/>
          <w:szCs w:val="24"/>
        </w:rPr>
        <w:t xml:space="preserve"> (</w:t>
      </w:r>
      <w:r w:rsidR="00B56D3C" w:rsidRPr="006C0693">
        <w:rPr>
          <w:rFonts w:ascii="Times New Roman" w:hAnsi="Times New Roman" w:cs="Times New Roman"/>
          <w:sz w:val="24"/>
          <w:szCs w:val="24"/>
        </w:rPr>
        <w:t>p</w:t>
      </w:r>
      <w:r w:rsidR="00B457A7" w:rsidRPr="006C0693">
        <w:rPr>
          <w:rFonts w:ascii="Times New Roman" w:hAnsi="Times New Roman" w:cs="Times New Roman"/>
          <w:sz w:val="24"/>
          <w:szCs w:val="24"/>
        </w:rPr>
        <w:t>ara</w:t>
      </w:r>
      <w:r w:rsidR="00B56D3C" w:rsidRPr="006C0693">
        <w:rPr>
          <w:rFonts w:ascii="Times New Roman" w:hAnsi="Times New Roman" w:cs="Times New Roman"/>
          <w:sz w:val="24"/>
          <w:szCs w:val="24"/>
        </w:rPr>
        <w:t>graph</w:t>
      </w:r>
      <w:r w:rsidR="00B457A7" w:rsidRPr="006C0693">
        <w:rPr>
          <w:rFonts w:ascii="Times New Roman" w:hAnsi="Times New Roman" w:cs="Times New Roman"/>
          <w:sz w:val="24"/>
          <w:szCs w:val="24"/>
        </w:rPr>
        <w:t xml:space="preserve"> 38),</w:t>
      </w:r>
      <w:r w:rsidR="00A12DF0" w:rsidRPr="006C0693">
        <w:rPr>
          <w:rFonts w:ascii="Times New Roman" w:hAnsi="Times New Roman" w:cs="Times New Roman"/>
          <w:sz w:val="24"/>
          <w:szCs w:val="24"/>
        </w:rPr>
        <w:t xml:space="preserve"> </w:t>
      </w:r>
      <w:r w:rsidR="00FB0A28" w:rsidRPr="006C0693">
        <w:rPr>
          <w:rFonts w:ascii="Times New Roman" w:hAnsi="Times New Roman" w:cs="Times New Roman"/>
          <w:sz w:val="24"/>
          <w:szCs w:val="24"/>
        </w:rPr>
        <w:t xml:space="preserve">lack </w:t>
      </w:r>
      <w:r w:rsidR="00A12DF0" w:rsidRPr="006C0693">
        <w:rPr>
          <w:rFonts w:ascii="Times New Roman" w:hAnsi="Times New Roman" w:cs="Times New Roman"/>
          <w:sz w:val="24"/>
          <w:szCs w:val="24"/>
        </w:rPr>
        <w:t xml:space="preserve">legal support </w:t>
      </w:r>
      <w:r w:rsidR="00652D8D" w:rsidRPr="006C0693">
        <w:rPr>
          <w:rFonts w:ascii="Times New Roman" w:hAnsi="Times New Roman" w:cs="Times New Roman"/>
          <w:sz w:val="24"/>
          <w:szCs w:val="24"/>
        </w:rPr>
        <w:t xml:space="preserve">grounded in the interpretive rules reflected in VCLT Article 31 and 32 </w:t>
      </w:r>
      <w:r w:rsidR="00A12DF0" w:rsidRPr="006C0693">
        <w:rPr>
          <w:rFonts w:ascii="Times New Roman" w:hAnsi="Times New Roman" w:cs="Times New Roman"/>
          <w:sz w:val="24"/>
          <w:szCs w:val="24"/>
        </w:rPr>
        <w:t xml:space="preserve">and should either be deleted or expressed </w:t>
      </w:r>
      <w:r w:rsidR="00B457A7" w:rsidRPr="006C0693">
        <w:rPr>
          <w:rFonts w:ascii="Times New Roman" w:hAnsi="Times New Roman" w:cs="Times New Roman"/>
          <w:sz w:val="24"/>
          <w:szCs w:val="24"/>
        </w:rPr>
        <w:t>as views of the Committee</w:t>
      </w:r>
      <w:r w:rsidR="00652D8D" w:rsidRPr="006C0693">
        <w:rPr>
          <w:rFonts w:ascii="Times New Roman" w:hAnsi="Times New Roman" w:cs="Times New Roman"/>
          <w:sz w:val="24"/>
          <w:szCs w:val="24"/>
        </w:rPr>
        <w:t xml:space="preserve"> regarding best practices</w:t>
      </w:r>
      <w:r w:rsidR="00A30B5A" w:rsidRPr="006C0693">
        <w:rPr>
          <w:rFonts w:ascii="Times New Roman" w:hAnsi="Times New Roman" w:cs="Times New Roman"/>
          <w:sz w:val="24"/>
          <w:szCs w:val="24"/>
        </w:rPr>
        <w:t xml:space="preserve">.  </w:t>
      </w:r>
      <w:r w:rsidR="00B457A7" w:rsidRPr="006C0693">
        <w:rPr>
          <w:rFonts w:ascii="Times New Roman" w:hAnsi="Times New Roman" w:cs="Times New Roman"/>
          <w:sz w:val="24"/>
          <w:szCs w:val="24"/>
        </w:rPr>
        <w:t xml:space="preserve">The ICCPR </w:t>
      </w:r>
      <w:r w:rsidR="00A12DF0" w:rsidRPr="006C0693">
        <w:rPr>
          <w:rFonts w:ascii="Times New Roman" w:hAnsi="Times New Roman" w:cs="Times New Roman"/>
          <w:sz w:val="24"/>
          <w:szCs w:val="24"/>
        </w:rPr>
        <w:t>is silent on the question of reinstating the death penalty after abolition.  This is in stark contrast with Article 4(</w:t>
      </w:r>
      <w:r w:rsidR="00B56D3C" w:rsidRPr="006C0693">
        <w:rPr>
          <w:rFonts w:ascii="Times New Roman" w:hAnsi="Times New Roman" w:cs="Times New Roman"/>
          <w:sz w:val="24"/>
          <w:szCs w:val="24"/>
        </w:rPr>
        <w:t>3</w:t>
      </w:r>
      <w:r w:rsidR="00A12DF0" w:rsidRPr="006C0693">
        <w:rPr>
          <w:rFonts w:ascii="Times New Roman" w:hAnsi="Times New Roman" w:cs="Times New Roman"/>
          <w:sz w:val="24"/>
          <w:szCs w:val="24"/>
        </w:rPr>
        <w:t xml:space="preserve">) </w:t>
      </w:r>
      <w:r w:rsidR="00B56D3C" w:rsidRPr="006C0693">
        <w:rPr>
          <w:rFonts w:ascii="Times New Roman" w:hAnsi="Times New Roman" w:cs="Times New Roman"/>
          <w:sz w:val="24"/>
          <w:szCs w:val="24"/>
        </w:rPr>
        <w:t xml:space="preserve">of </w:t>
      </w:r>
      <w:r w:rsidR="00A12DF0" w:rsidRPr="006C0693">
        <w:rPr>
          <w:rFonts w:ascii="Times New Roman" w:hAnsi="Times New Roman" w:cs="Times New Roman"/>
          <w:sz w:val="24"/>
          <w:szCs w:val="24"/>
        </w:rPr>
        <w:t>the American Convention on Human Rights</w:t>
      </w:r>
      <w:r w:rsidR="00BB772E" w:rsidRPr="006C0693">
        <w:rPr>
          <w:rFonts w:ascii="Times New Roman" w:hAnsi="Times New Roman" w:cs="Times New Roman"/>
          <w:sz w:val="24"/>
          <w:szCs w:val="24"/>
        </w:rPr>
        <w:t>,</w:t>
      </w:r>
      <w:r w:rsidR="00A12DF0" w:rsidRPr="006C0693">
        <w:rPr>
          <w:rFonts w:ascii="Times New Roman" w:hAnsi="Times New Roman" w:cs="Times New Roman"/>
          <w:sz w:val="24"/>
          <w:szCs w:val="24"/>
        </w:rPr>
        <w:t xml:space="preserve"> which states</w:t>
      </w:r>
      <w:r w:rsidR="00BB772E" w:rsidRPr="006C0693">
        <w:rPr>
          <w:rFonts w:ascii="Times New Roman" w:hAnsi="Times New Roman" w:cs="Times New Roman"/>
          <w:sz w:val="24"/>
          <w:szCs w:val="24"/>
        </w:rPr>
        <w:t>,</w:t>
      </w:r>
      <w:r w:rsidR="00A12DF0" w:rsidRPr="006C0693">
        <w:rPr>
          <w:rFonts w:ascii="Times New Roman" w:hAnsi="Times New Roman" w:cs="Times New Roman"/>
          <w:sz w:val="24"/>
          <w:szCs w:val="24"/>
        </w:rPr>
        <w:t xml:space="preserve"> “</w:t>
      </w:r>
      <w:r w:rsidR="001C1A3C" w:rsidRPr="006C0693">
        <w:rPr>
          <w:rFonts w:ascii="Times New Roman" w:hAnsi="Times New Roman" w:cs="Times New Roman"/>
          <w:sz w:val="24"/>
          <w:szCs w:val="24"/>
        </w:rPr>
        <w:t>T</w:t>
      </w:r>
      <w:r w:rsidR="00A12DF0" w:rsidRPr="006C0693">
        <w:rPr>
          <w:rFonts w:ascii="Times New Roman" w:hAnsi="Times New Roman" w:cs="Times New Roman"/>
          <w:sz w:val="24"/>
          <w:szCs w:val="24"/>
        </w:rPr>
        <w:t>he death penalty shall not be reestablished in states that have abolished it.</w:t>
      </w:r>
      <w:r w:rsidR="00BB772E" w:rsidRPr="006C0693">
        <w:rPr>
          <w:rFonts w:ascii="Times New Roman" w:hAnsi="Times New Roman" w:cs="Times New Roman"/>
          <w:sz w:val="24"/>
          <w:szCs w:val="24"/>
        </w:rPr>
        <w:t>”</w:t>
      </w:r>
      <w:r w:rsidR="00A12DF0" w:rsidRPr="006C0693">
        <w:rPr>
          <w:rFonts w:ascii="Times New Roman" w:hAnsi="Times New Roman" w:cs="Times New Roman"/>
          <w:sz w:val="24"/>
          <w:szCs w:val="24"/>
        </w:rPr>
        <w:t xml:space="preserve">  Given </w:t>
      </w:r>
      <w:r w:rsidR="004F436D" w:rsidRPr="006C0693">
        <w:rPr>
          <w:rFonts w:ascii="Times New Roman" w:hAnsi="Times New Roman" w:cs="Times New Roman"/>
          <w:sz w:val="24"/>
          <w:szCs w:val="24"/>
        </w:rPr>
        <w:t>absence of the same or similar language in the ICCPR,</w:t>
      </w:r>
      <w:r w:rsidR="00A12DF0" w:rsidRPr="006C0693">
        <w:rPr>
          <w:rFonts w:ascii="Times New Roman" w:hAnsi="Times New Roman" w:cs="Times New Roman"/>
          <w:sz w:val="24"/>
          <w:szCs w:val="24"/>
        </w:rPr>
        <w:t xml:space="preserve"> </w:t>
      </w:r>
      <w:r w:rsidR="00B457A7" w:rsidRPr="006C0693">
        <w:rPr>
          <w:rFonts w:ascii="Times New Roman" w:hAnsi="Times New Roman" w:cs="Times New Roman"/>
          <w:sz w:val="24"/>
          <w:szCs w:val="24"/>
        </w:rPr>
        <w:t xml:space="preserve">and the likelihood that the agreement of all States </w:t>
      </w:r>
      <w:r w:rsidR="00BB772E" w:rsidRPr="006C0693">
        <w:rPr>
          <w:rFonts w:ascii="Times New Roman" w:hAnsi="Times New Roman" w:cs="Times New Roman"/>
          <w:sz w:val="24"/>
          <w:szCs w:val="24"/>
        </w:rPr>
        <w:t>P</w:t>
      </w:r>
      <w:r w:rsidR="00B457A7" w:rsidRPr="006C0693">
        <w:rPr>
          <w:rFonts w:ascii="Times New Roman" w:hAnsi="Times New Roman" w:cs="Times New Roman"/>
          <w:sz w:val="24"/>
          <w:szCs w:val="24"/>
        </w:rPr>
        <w:t xml:space="preserve">arties to such a limitation would be as unachievable today as it would have been in the climate in which Article 6 was negotiated and concluded, </w:t>
      </w:r>
      <w:r w:rsidR="00A12DF0" w:rsidRPr="006C0693">
        <w:rPr>
          <w:rFonts w:ascii="Times New Roman" w:hAnsi="Times New Roman" w:cs="Times New Roman"/>
          <w:sz w:val="24"/>
          <w:szCs w:val="24"/>
        </w:rPr>
        <w:t xml:space="preserve">the Committee’s </w:t>
      </w:r>
      <w:r w:rsidR="008E7C42" w:rsidRPr="006C0693">
        <w:rPr>
          <w:rFonts w:ascii="Times New Roman" w:hAnsi="Times New Roman" w:cs="Times New Roman"/>
          <w:sz w:val="24"/>
          <w:szCs w:val="24"/>
        </w:rPr>
        <w:t xml:space="preserve">does not have the </w:t>
      </w:r>
      <w:r w:rsidR="00A12DF0" w:rsidRPr="006C0693">
        <w:rPr>
          <w:rFonts w:ascii="Times New Roman" w:hAnsi="Times New Roman" w:cs="Times New Roman"/>
          <w:sz w:val="24"/>
          <w:szCs w:val="24"/>
        </w:rPr>
        <w:t>authority to</w:t>
      </w:r>
      <w:r w:rsidR="007E09ED" w:rsidRPr="006C0693">
        <w:rPr>
          <w:rFonts w:ascii="Times New Roman" w:hAnsi="Times New Roman" w:cs="Times New Roman"/>
          <w:sz w:val="24"/>
          <w:szCs w:val="24"/>
        </w:rPr>
        <w:t xml:space="preserve"> now</w:t>
      </w:r>
      <w:r w:rsidR="00A12DF0" w:rsidRPr="006C0693">
        <w:rPr>
          <w:rFonts w:ascii="Times New Roman" w:hAnsi="Times New Roman" w:cs="Times New Roman"/>
          <w:sz w:val="24"/>
          <w:szCs w:val="24"/>
        </w:rPr>
        <w:t xml:space="preserve"> infer </w:t>
      </w:r>
      <w:r w:rsidR="00B457A7" w:rsidRPr="006C0693">
        <w:rPr>
          <w:rFonts w:ascii="Times New Roman" w:hAnsi="Times New Roman" w:cs="Times New Roman"/>
          <w:sz w:val="24"/>
          <w:szCs w:val="24"/>
        </w:rPr>
        <w:t>s</w:t>
      </w:r>
      <w:r w:rsidR="00F13436" w:rsidRPr="006C0693">
        <w:rPr>
          <w:rFonts w:ascii="Times New Roman" w:hAnsi="Times New Roman" w:cs="Times New Roman"/>
          <w:sz w:val="24"/>
          <w:szCs w:val="24"/>
        </w:rPr>
        <w:t>uch a limitation</w:t>
      </w:r>
      <w:r w:rsidR="007E09ED" w:rsidRPr="006C0693">
        <w:rPr>
          <w:rFonts w:ascii="Times New Roman" w:hAnsi="Times New Roman" w:cs="Times New Roman"/>
          <w:sz w:val="24"/>
          <w:szCs w:val="24"/>
        </w:rPr>
        <w:t>.</w:t>
      </w:r>
      <w:r w:rsidR="00B457A7" w:rsidRPr="006C0693">
        <w:rPr>
          <w:rFonts w:ascii="Times New Roman" w:hAnsi="Times New Roman" w:cs="Times New Roman"/>
          <w:sz w:val="24"/>
          <w:szCs w:val="24"/>
        </w:rPr>
        <w:t xml:space="preserve"> </w:t>
      </w:r>
    </w:p>
    <w:p w:rsidR="00F907FD" w:rsidRPr="006C0693" w:rsidRDefault="00F907FD" w:rsidP="006C0693">
      <w:pPr>
        <w:contextualSpacing/>
        <w:rPr>
          <w:rFonts w:ascii="Times New Roman" w:hAnsi="Times New Roman" w:cs="Times New Roman"/>
          <w:sz w:val="24"/>
          <w:szCs w:val="24"/>
        </w:rPr>
      </w:pPr>
    </w:p>
    <w:p w:rsidR="00A12DF0" w:rsidRPr="006C0693" w:rsidRDefault="00363817" w:rsidP="006C0693">
      <w:pPr>
        <w:spacing w:before="240"/>
        <w:contextualSpacing/>
        <w:rPr>
          <w:rFonts w:ascii="Times New Roman" w:hAnsi="Times New Roman" w:cs="Times New Roman"/>
          <w:sz w:val="24"/>
          <w:szCs w:val="24"/>
        </w:rPr>
      </w:pPr>
      <w:r w:rsidRPr="006C0693">
        <w:rPr>
          <w:rFonts w:ascii="Times New Roman" w:hAnsi="Times New Roman" w:cs="Times New Roman"/>
          <w:sz w:val="24"/>
          <w:szCs w:val="24"/>
        </w:rPr>
        <w:t>4</w:t>
      </w:r>
      <w:r w:rsidR="00F907FD" w:rsidRPr="006C0693">
        <w:rPr>
          <w:rFonts w:ascii="Times New Roman" w:hAnsi="Times New Roman" w:cs="Times New Roman"/>
          <w:sz w:val="24"/>
          <w:szCs w:val="24"/>
        </w:rPr>
        <w:t>1</w:t>
      </w:r>
      <w:r w:rsidRPr="006C0693">
        <w:rPr>
          <w:rFonts w:ascii="Times New Roman" w:hAnsi="Times New Roman" w:cs="Times New Roman"/>
          <w:sz w:val="24"/>
          <w:szCs w:val="24"/>
        </w:rPr>
        <w:t xml:space="preserve">.  </w:t>
      </w:r>
      <w:r w:rsidR="002C3BEC" w:rsidRPr="006C0693">
        <w:rPr>
          <w:rFonts w:ascii="Times New Roman" w:hAnsi="Times New Roman" w:cs="Times New Roman"/>
          <w:sz w:val="24"/>
          <w:szCs w:val="24"/>
        </w:rPr>
        <w:t xml:space="preserve">The same </w:t>
      </w:r>
      <w:r w:rsidR="00A12DF0" w:rsidRPr="006C0693">
        <w:rPr>
          <w:rFonts w:ascii="Times New Roman" w:hAnsi="Times New Roman" w:cs="Times New Roman"/>
          <w:sz w:val="24"/>
          <w:szCs w:val="24"/>
        </w:rPr>
        <w:t>applies to the Committee’s assertion</w:t>
      </w:r>
      <w:r w:rsidR="00B56D3C" w:rsidRPr="006C0693">
        <w:rPr>
          <w:rFonts w:ascii="Times New Roman" w:hAnsi="Times New Roman" w:cs="Times New Roman"/>
          <w:sz w:val="24"/>
          <w:szCs w:val="24"/>
        </w:rPr>
        <w:t xml:space="preserve"> in paragraph 38 of the draft</w:t>
      </w:r>
      <w:r w:rsidR="00A12DF0" w:rsidRPr="006C0693">
        <w:rPr>
          <w:rFonts w:ascii="Times New Roman" w:hAnsi="Times New Roman" w:cs="Times New Roman"/>
          <w:sz w:val="24"/>
          <w:szCs w:val="24"/>
        </w:rPr>
        <w:t xml:space="preserve"> that a State Party may not modify domestic laws after ratifying the Covenant in any way that would either create a new capital offense or remove legal conditions under an existing capital offense that would permit its imposition in circumstances not previously allowed.</w:t>
      </w:r>
      <w:r w:rsidR="00EE1869" w:rsidRPr="006C0693">
        <w:rPr>
          <w:rStyle w:val="FootnoteReference"/>
          <w:rFonts w:ascii="Times New Roman" w:hAnsi="Times New Roman" w:cs="Times New Roman"/>
          <w:sz w:val="24"/>
          <w:szCs w:val="24"/>
        </w:rPr>
        <w:footnoteReference w:id="49"/>
      </w:r>
      <w:r w:rsidR="00A12DF0" w:rsidRPr="006C0693">
        <w:rPr>
          <w:rFonts w:ascii="Times New Roman" w:hAnsi="Times New Roman" w:cs="Times New Roman"/>
          <w:sz w:val="24"/>
          <w:szCs w:val="24"/>
        </w:rPr>
        <w:t xml:space="preserve">  </w:t>
      </w:r>
      <w:r w:rsidR="00F3282F" w:rsidRPr="006C0693">
        <w:rPr>
          <w:rFonts w:ascii="Times New Roman" w:hAnsi="Times New Roman" w:cs="Times New Roman"/>
          <w:sz w:val="24"/>
          <w:szCs w:val="24"/>
        </w:rPr>
        <w:t xml:space="preserve">The article is silent and the Committee has provided no authoritative legal support or treaty analysis grounded in </w:t>
      </w:r>
      <w:r w:rsidR="00F3282F" w:rsidRPr="006C0693">
        <w:rPr>
          <w:rFonts w:ascii="Times New Roman" w:hAnsi="Times New Roman" w:cs="Times New Roman"/>
          <w:color w:val="000000"/>
          <w:sz w:val="24"/>
          <w:szCs w:val="24"/>
        </w:rPr>
        <w:t xml:space="preserve">established rules of treaty interpretation under international law. </w:t>
      </w:r>
      <w:r w:rsidR="00F3282F" w:rsidRPr="006C0693">
        <w:rPr>
          <w:rFonts w:ascii="Times New Roman" w:hAnsi="Times New Roman" w:cs="Times New Roman"/>
          <w:sz w:val="24"/>
          <w:szCs w:val="24"/>
        </w:rPr>
        <w:t xml:space="preserve"> </w:t>
      </w:r>
      <w:r w:rsidR="00A12DF0" w:rsidRPr="006C0693">
        <w:rPr>
          <w:rFonts w:ascii="Times New Roman" w:hAnsi="Times New Roman" w:cs="Times New Roman"/>
          <w:sz w:val="24"/>
          <w:szCs w:val="24"/>
        </w:rPr>
        <w:t xml:space="preserve">The only relevant </w:t>
      </w:r>
      <w:r w:rsidR="00B457A7" w:rsidRPr="006C0693">
        <w:rPr>
          <w:rFonts w:ascii="Times New Roman" w:hAnsi="Times New Roman" w:cs="Times New Roman"/>
          <w:sz w:val="24"/>
          <w:szCs w:val="24"/>
        </w:rPr>
        <w:t xml:space="preserve">ICCPR </w:t>
      </w:r>
      <w:r w:rsidR="00A12DF0" w:rsidRPr="006C0693">
        <w:rPr>
          <w:rFonts w:ascii="Times New Roman" w:hAnsi="Times New Roman" w:cs="Times New Roman"/>
          <w:sz w:val="24"/>
          <w:szCs w:val="24"/>
        </w:rPr>
        <w:t xml:space="preserve">obligation is the requirement in Article 6(2) that the </w:t>
      </w:r>
      <w:r w:rsidR="00FD233E" w:rsidRPr="006C0693">
        <w:rPr>
          <w:rFonts w:ascii="Times New Roman" w:hAnsi="Times New Roman" w:cs="Times New Roman"/>
          <w:sz w:val="24"/>
          <w:szCs w:val="24"/>
        </w:rPr>
        <w:t xml:space="preserve">death </w:t>
      </w:r>
      <w:r w:rsidR="00A12DF0" w:rsidRPr="006C0693">
        <w:rPr>
          <w:rFonts w:ascii="Times New Roman" w:hAnsi="Times New Roman" w:cs="Times New Roman"/>
          <w:sz w:val="24"/>
          <w:szCs w:val="24"/>
        </w:rPr>
        <w:t>penalty be imposed in accordance with the law in force at the time of the commission of the crime</w:t>
      </w:r>
      <w:r w:rsidR="00B457A7" w:rsidRPr="006C0693">
        <w:rPr>
          <w:rFonts w:ascii="Times New Roman" w:hAnsi="Times New Roman" w:cs="Times New Roman"/>
          <w:sz w:val="24"/>
          <w:szCs w:val="24"/>
        </w:rPr>
        <w:t>,</w:t>
      </w:r>
      <w:r w:rsidR="00A12DF0" w:rsidRPr="006C0693">
        <w:rPr>
          <w:rFonts w:ascii="Times New Roman" w:hAnsi="Times New Roman" w:cs="Times New Roman"/>
          <w:sz w:val="24"/>
          <w:szCs w:val="24"/>
        </w:rPr>
        <w:t xml:space="preserve"> applied in conformity with the Article 15 obligation that a heavier penalty not be imposed than the one applicable at that time.  Certainly</w:t>
      </w:r>
      <w:r w:rsidR="004F436D" w:rsidRPr="006C0693">
        <w:rPr>
          <w:rFonts w:ascii="Times New Roman" w:hAnsi="Times New Roman" w:cs="Times New Roman"/>
          <w:sz w:val="24"/>
          <w:szCs w:val="24"/>
        </w:rPr>
        <w:t>,</w:t>
      </w:r>
      <w:r w:rsidR="00A12DF0" w:rsidRPr="006C0693">
        <w:rPr>
          <w:rFonts w:ascii="Times New Roman" w:hAnsi="Times New Roman" w:cs="Times New Roman"/>
          <w:sz w:val="24"/>
          <w:szCs w:val="24"/>
        </w:rPr>
        <w:t xml:space="preserve"> if the States Parties had considered or agreed to any further restriction as proposed by the Committee, these provisions would not read as they do.</w:t>
      </w:r>
      <w:r w:rsidR="001C1A3C" w:rsidRPr="006C0693">
        <w:rPr>
          <w:rFonts w:ascii="Times New Roman" w:hAnsi="Times New Roman" w:cs="Times New Roman"/>
          <w:sz w:val="24"/>
          <w:szCs w:val="24"/>
        </w:rPr>
        <w:t xml:space="preserve"> </w:t>
      </w:r>
      <w:r w:rsidR="00A12DF0" w:rsidRPr="006C0693">
        <w:rPr>
          <w:rFonts w:ascii="Times New Roman" w:hAnsi="Times New Roman" w:cs="Times New Roman"/>
          <w:sz w:val="24"/>
          <w:szCs w:val="24"/>
        </w:rPr>
        <w:t xml:space="preserve"> </w:t>
      </w:r>
      <w:r w:rsidR="002C3BEC" w:rsidRPr="006C0693">
        <w:rPr>
          <w:rFonts w:ascii="Times New Roman" w:hAnsi="Times New Roman" w:cs="Times New Roman"/>
          <w:sz w:val="24"/>
          <w:szCs w:val="24"/>
        </w:rPr>
        <w:t xml:space="preserve">The Committee’s related arguments </w:t>
      </w:r>
      <w:r w:rsidR="00000A96" w:rsidRPr="006C0693">
        <w:rPr>
          <w:rFonts w:ascii="Times New Roman" w:hAnsi="Times New Roman" w:cs="Times New Roman"/>
          <w:sz w:val="24"/>
          <w:szCs w:val="24"/>
        </w:rPr>
        <w:t>in paragrap</w:t>
      </w:r>
      <w:r w:rsidR="006768ED" w:rsidRPr="006C0693">
        <w:rPr>
          <w:rFonts w:ascii="Times New Roman" w:hAnsi="Times New Roman" w:cs="Times New Roman"/>
          <w:sz w:val="24"/>
          <w:szCs w:val="24"/>
        </w:rPr>
        <w:t>h</w:t>
      </w:r>
      <w:r w:rsidR="00000A96" w:rsidRPr="006C0693">
        <w:rPr>
          <w:rFonts w:ascii="Times New Roman" w:hAnsi="Times New Roman" w:cs="Times New Roman"/>
          <w:sz w:val="24"/>
          <w:szCs w:val="24"/>
        </w:rPr>
        <w:t xml:space="preserve"> 38</w:t>
      </w:r>
      <w:r w:rsidR="00353DA5" w:rsidRPr="006C0693">
        <w:rPr>
          <w:rFonts w:ascii="Times New Roman" w:hAnsi="Times New Roman" w:cs="Times New Roman"/>
          <w:sz w:val="24"/>
          <w:szCs w:val="24"/>
        </w:rPr>
        <w:t xml:space="preserve"> </w:t>
      </w:r>
      <w:r w:rsidR="008E7C42" w:rsidRPr="006C0693">
        <w:rPr>
          <w:rFonts w:ascii="Times New Roman" w:hAnsi="Times New Roman" w:cs="Times New Roman"/>
          <w:sz w:val="24"/>
          <w:szCs w:val="24"/>
        </w:rPr>
        <w:t>a</w:t>
      </w:r>
      <w:r w:rsidR="00016984" w:rsidRPr="006C0693">
        <w:rPr>
          <w:rFonts w:ascii="Times New Roman" w:hAnsi="Times New Roman" w:cs="Times New Roman"/>
          <w:sz w:val="24"/>
          <w:szCs w:val="24"/>
        </w:rPr>
        <w:t xml:space="preserve">re addressed in Part </w:t>
      </w:r>
      <w:r w:rsidR="00FD233E" w:rsidRPr="006C0693">
        <w:rPr>
          <w:rFonts w:ascii="Times New Roman" w:hAnsi="Times New Roman" w:cs="Times New Roman"/>
          <w:sz w:val="24"/>
          <w:szCs w:val="24"/>
        </w:rPr>
        <w:t xml:space="preserve">II </w:t>
      </w:r>
      <w:r w:rsidR="00016984" w:rsidRPr="006C0693">
        <w:rPr>
          <w:rFonts w:ascii="Times New Roman" w:hAnsi="Times New Roman" w:cs="Times New Roman"/>
          <w:sz w:val="24"/>
          <w:szCs w:val="24"/>
        </w:rPr>
        <w:t>above.</w:t>
      </w:r>
    </w:p>
    <w:p w:rsidR="00F907FD" w:rsidRPr="006C0693" w:rsidRDefault="00F907FD" w:rsidP="006C0693">
      <w:pPr>
        <w:spacing w:before="240"/>
        <w:contextualSpacing/>
        <w:rPr>
          <w:rFonts w:ascii="Times New Roman" w:hAnsi="Times New Roman" w:cs="Times New Roman"/>
          <w:sz w:val="24"/>
          <w:szCs w:val="24"/>
          <w:u w:val="single"/>
        </w:rPr>
      </w:pPr>
    </w:p>
    <w:p w:rsidR="00A12DF0" w:rsidRPr="006C0693" w:rsidRDefault="00A12DF0" w:rsidP="006C0693">
      <w:pPr>
        <w:spacing w:before="240"/>
        <w:contextualSpacing/>
        <w:rPr>
          <w:rFonts w:ascii="Times New Roman" w:hAnsi="Times New Roman" w:cs="Times New Roman"/>
          <w:sz w:val="24"/>
          <w:szCs w:val="24"/>
          <w:u w:val="single"/>
        </w:rPr>
      </w:pPr>
      <w:r w:rsidRPr="006C0693">
        <w:rPr>
          <w:rFonts w:ascii="Times New Roman" w:hAnsi="Times New Roman" w:cs="Times New Roman"/>
          <w:sz w:val="24"/>
          <w:szCs w:val="24"/>
          <w:u w:val="single"/>
        </w:rPr>
        <w:lastRenderedPageBreak/>
        <w:t xml:space="preserve">Death Penalty in </w:t>
      </w:r>
      <w:r w:rsidR="00353DA5" w:rsidRPr="006C0693">
        <w:rPr>
          <w:rFonts w:ascii="Times New Roman" w:hAnsi="Times New Roman" w:cs="Times New Roman"/>
          <w:sz w:val="24"/>
          <w:szCs w:val="24"/>
          <w:u w:val="single"/>
        </w:rPr>
        <w:t xml:space="preserve">Relation </w:t>
      </w:r>
      <w:r w:rsidRPr="006C0693">
        <w:rPr>
          <w:rFonts w:ascii="Times New Roman" w:hAnsi="Times New Roman" w:cs="Times New Roman"/>
          <w:sz w:val="24"/>
          <w:szCs w:val="24"/>
          <w:u w:val="single"/>
        </w:rPr>
        <w:t xml:space="preserve">to </w:t>
      </w:r>
      <w:r w:rsidR="00353DA5" w:rsidRPr="006C0693">
        <w:rPr>
          <w:rFonts w:ascii="Times New Roman" w:hAnsi="Times New Roman" w:cs="Times New Roman"/>
          <w:sz w:val="24"/>
          <w:szCs w:val="24"/>
          <w:u w:val="single"/>
        </w:rPr>
        <w:t>O</w:t>
      </w:r>
      <w:r w:rsidRPr="006C0693">
        <w:rPr>
          <w:rFonts w:ascii="Times New Roman" w:hAnsi="Times New Roman" w:cs="Times New Roman"/>
          <w:sz w:val="24"/>
          <w:szCs w:val="24"/>
          <w:u w:val="single"/>
        </w:rPr>
        <w:t xml:space="preserve">ther Covenant </w:t>
      </w:r>
      <w:r w:rsidR="00453863" w:rsidRPr="006C0693">
        <w:rPr>
          <w:rFonts w:ascii="Times New Roman" w:hAnsi="Times New Roman" w:cs="Times New Roman"/>
          <w:sz w:val="24"/>
          <w:szCs w:val="24"/>
          <w:u w:val="single"/>
        </w:rPr>
        <w:t>Provisions</w:t>
      </w:r>
    </w:p>
    <w:p w:rsidR="00453863" w:rsidRPr="006C0693" w:rsidRDefault="00453863" w:rsidP="006C0693">
      <w:pPr>
        <w:contextualSpacing/>
        <w:rPr>
          <w:rFonts w:ascii="Times New Roman" w:hAnsi="Times New Roman" w:cs="Times New Roman"/>
          <w:sz w:val="24"/>
          <w:szCs w:val="24"/>
        </w:rPr>
      </w:pPr>
    </w:p>
    <w:p w:rsidR="00A12DF0" w:rsidRPr="006C0693" w:rsidRDefault="0025594A" w:rsidP="006C0693">
      <w:pPr>
        <w:contextualSpacing/>
        <w:rPr>
          <w:rFonts w:ascii="Times New Roman" w:hAnsi="Times New Roman" w:cs="Times New Roman"/>
          <w:sz w:val="24"/>
          <w:szCs w:val="24"/>
        </w:rPr>
      </w:pPr>
      <w:r w:rsidRPr="006C0693">
        <w:rPr>
          <w:rFonts w:ascii="Times New Roman" w:hAnsi="Times New Roman" w:cs="Times New Roman"/>
          <w:sz w:val="24"/>
          <w:szCs w:val="24"/>
        </w:rPr>
        <w:t>4</w:t>
      </w:r>
      <w:r w:rsidR="00F907FD" w:rsidRPr="006C0693">
        <w:rPr>
          <w:rFonts w:ascii="Times New Roman" w:hAnsi="Times New Roman" w:cs="Times New Roman"/>
          <w:sz w:val="24"/>
          <w:szCs w:val="24"/>
        </w:rPr>
        <w:t>2</w:t>
      </w:r>
      <w:r w:rsidRPr="006C0693">
        <w:rPr>
          <w:rFonts w:ascii="Times New Roman" w:hAnsi="Times New Roman" w:cs="Times New Roman"/>
          <w:sz w:val="24"/>
          <w:szCs w:val="24"/>
        </w:rPr>
        <w:t xml:space="preserve">.  </w:t>
      </w:r>
      <w:r w:rsidR="00453863" w:rsidRPr="006C0693">
        <w:rPr>
          <w:rFonts w:ascii="Times New Roman" w:hAnsi="Times New Roman" w:cs="Times New Roman"/>
          <w:sz w:val="24"/>
          <w:szCs w:val="24"/>
        </w:rPr>
        <w:t xml:space="preserve">We agree that under </w:t>
      </w:r>
      <w:r w:rsidR="00A12DF0" w:rsidRPr="006C0693">
        <w:rPr>
          <w:rFonts w:ascii="Times New Roman" w:hAnsi="Times New Roman" w:cs="Times New Roman"/>
          <w:sz w:val="24"/>
          <w:szCs w:val="24"/>
        </w:rPr>
        <w:t>Article 6</w:t>
      </w:r>
      <w:r w:rsidR="00453863" w:rsidRPr="006C0693">
        <w:rPr>
          <w:rFonts w:ascii="Times New Roman" w:hAnsi="Times New Roman" w:cs="Times New Roman"/>
          <w:sz w:val="24"/>
          <w:szCs w:val="24"/>
        </w:rPr>
        <w:t xml:space="preserve">, </w:t>
      </w:r>
      <w:r w:rsidR="00A12DF0" w:rsidRPr="006C0693">
        <w:rPr>
          <w:rFonts w:ascii="Times New Roman" w:hAnsi="Times New Roman" w:cs="Times New Roman"/>
          <w:sz w:val="24"/>
          <w:szCs w:val="24"/>
        </w:rPr>
        <w:t xml:space="preserve">the death penalty may not be </w:t>
      </w:r>
      <w:r w:rsidR="00453863" w:rsidRPr="006C0693">
        <w:rPr>
          <w:rFonts w:ascii="Times New Roman" w:hAnsi="Times New Roman" w:cs="Times New Roman"/>
          <w:sz w:val="24"/>
          <w:szCs w:val="24"/>
        </w:rPr>
        <w:t xml:space="preserve">imposed or </w:t>
      </w:r>
      <w:r w:rsidR="00A12DF0" w:rsidRPr="006C0693">
        <w:rPr>
          <w:rFonts w:ascii="Times New Roman" w:hAnsi="Times New Roman" w:cs="Times New Roman"/>
          <w:sz w:val="24"/>
          <w:szCs w:val="24"/>
        </w:rPr>
        <w:t xml:space="preserve">carried out in a manner </w:t>
      </w:r>
      <w:r w:rsidR="00453863" w:rsidRPr="006C0693">
        <w:rPr>
          <w:rFonts w:ascii="Times New Roman" w:hAnsi="Times New Roman" w:cs="Times New Roman"/>
          <w:sz w:val="24"/>
          <w:szCs w:val="24"/>
        </w:rPr>
        <w:t xml:space="preserve">that is contrary to the provisions of the ICCPR, including </w:t>
      </w:r>
      <w:r w:rsidR="00A12DF0" w:rsidRPr="006C0693">
        <w:rPr>
          <w:rFonts w:ascii="Times New Roman" w:hAnsi="Times New Roman" w:cs="Times New Roman"/>
          <w:sz w:val="24"/>
          <w:szCs w:val="24"/>
        </w:rPr>
        <w:t xml:space="preserve">Article 7 </w:t>
      </w:r>
      <w:r w:rsidR="00453863" w:rsidRPr="006C0693">
        <w:rPr>
          <w:rFonts w:ascii="Times New Roman" w:hAnsi="Times New Roman" w:cs="Times New Roman"/>
          <w:sz w:val="24"/>
          <w:szCs w:val="24"/>
        </w:rPr>
        <w:t xml:space="preserve">with respect to </w:t>
      </w:r>
      <w:r w:rsidR="000E4DD0" w:rsidRPr="006C0693">
        <w:rPr>
          <w:rFonts w:ascii="Times New Roman" w:hAnsi="Times New Roman" w:cs="Times New Roman"/>
          <w:sz w:val="24"/>
          <w:szCs w:val="24"/>
        </w:rPr>
        <w:t xml:space="preserve">any </w:t>
      </w:r>
      <w:r w:rsidR="00453863" w:rsidRPr="006C0693">
        <w:rPr>
          <w:rFonts w:ascii="Times New Roman" w:hAnsi="Times New Roman" w:cs="Times New Roman"/>
          <w:sz w:val="24"/>
          <w:szCs w:val="24"/>
        </w:rPr>
        <w:t xml:space="preserve">method that would amount to torture or </w:t>
      </w:r>
      <w:r w:rsidR="00353DA5" w:rsidRPr="006C0693">
        <w:rPr>
          <w:rFonts w:ascii="Times New Roman" w:hAnsi="Times New Roman" w:cs="Times New Roman"/>
          <w:sz w:val="24"/>
          <w:szCs w:val="24"/>
        </w:rPr>
        <w:t xml:space="preserve">to </w:t>
      </w:r>
      <w:r w:rsidR="00453863" w:rsidRPr="006C0693">
        <w:rPr>
          <w:rFonts w:ascii="Times New Roman" w:hAnsi="Times New Roman" w:cs="Times New Roman"/>
          <w:sz w:val="24"/>
          <w:szCs w:val="24"/>
        </w:rPr>
        <w:t>other cruel</w:t>
      </w:r>
      <w:r w:rsidR="000E4DD0" w:rsidRPr="006C0693">
        <w:rPr>
          <w:rFonts w:ascii="Times New Roman" w:hAnsi="Times New Roman" w:cs="Times New Roman"/>
          <w:sz w:val="24"/>
          <w:szCs w:val="24"/>
        </w:rPr>
        <w:t>,</w:t>
      </w:r>
      <w:r w:rsidRPr="006C0693">
        <w:rPr>
          <w:rFonts w:ascii="Times New Roman" w:hAnsi="Times New Roman" w:cs="Times New Roman"/>
          <w:sz w:val="24"/>
          <w:szCs w:val="24"/>
        </w:rPr>
        <w:t xml:space="preserve"> inhuman</w:t>
      </w:r>
      <w:r w:rsidR="00353DA5" w:rsidRPr="006C0693">
        <w:rPr>
          <w:rFonts w:ascii="Times New Roman" w:hAnsi="Times New Roman" w:cs="Times New Roman"/>
          <w:sz w:val="24"/>
          <w:szCs w:val="24"/>
        </w:rPr>
        <w:t>,</w:t>
      </w:r>
      <w:r w:rsidRPr="006C0693">
        <w:rPr>
          <w:rFonts w:ascii="Times New Roman" w:hAnsi="Times New Roman" w:cs="Times New Roman"/>
          <w:sz w:val="24"/>
          <w:szCs w:val="24"/>
        </w:rPr>
        <w:t xml:space="preserve"> </w:t>
      </w:r>
      <w:r w:rsidR="00353DA5" w:rsidRPr="006C0693">
        <w:rPr>
          <w:rFonts w:ascii="Times New Roman" w:hAnsi="Times New Roman" w:cs="Times New Roman"/>
          <w:sz w:val="24"/>
          <w:szCs w:val="24"/>
        </w:rPr>
        <w:t xml:space="preserve">or </w:t>
      </w:r>
      <w:r w:rsidRPr="006C0693">
        <w:rPr>
          <w:rFonts w:ascii="Times New Roman" w:hAnsi="Times New Roman" w:cs="Times New Roman"/>
          <w:sz w:val="24"/>
          <w:szCs w:val="24"/>
        </w:rPr>
        <w:t>degrading</w:t>
      </w:r>
      <w:r w:rsidR="00453863" w:rsidRPr="006C0693">
        <w:rPr>
          <w:rFonts w:ascii="Times New Roman" w:hAnsi="Times New Roman" w:cs="Times New Roman"/>
          <w:sz w:val="24"/>
          <w:szCs w:val="24"/>
        </w:rPr>
        <w:t xml:space="preserve"> punishment</w:t>
      </w:r>
      <w:r w:rsidR="00353DA5" w:rsidRPr="006C0693">
        <w:rPr>
          <w:rFonts w:ascii="Times New Roman" w:hAnsi="Times New Roman" w:cs="Times New Roman"/>
          <w:sz w:val="24"/>
          <w:szCs w:val="24"/>
        </w:rPr>
        <w:t xml:space="preserve"> or punishment</w:t>
      </w:r>
      <w:r w:rsidR="001C1A3C" w:rsidRPr="006C0693">
        <w:rPr>
          <w:rFonts w:ascii="Times New Roman" w:hAnsi="Times New Roman" w:cs="Times New Roman"/>
          <w:sz w:val="24"/>
          <w:szCs w:val="24"/>
        </w:rPr>
        <w:t>,</w:t>
      </w:r>
      <w:r w:rsidR="00453863" w:rsidRPr="006C0693">
        <w:rPr>
          <w:rFonts w:ascii="Times New Roman" w:hAnsi="Times New Roman" w:cs="Times New Roman"/>
          <w:sz w:val="24"/>
          <w:szCs w:val="24"/>
        </w:rPr>
        <w:t xml:space="preserve"> and </w:t>
      </w:r>
      <w:r w:rsidR="00A12DF0" w:rsidRPr="006C0693">
        <w:rPr>
          <w:rFonts w:ascii="Times New Roman" w:hAnsi="Times New Roman" w:cs="Times New Roman"/>
          <w:sz w:val="24"/>
          <w:szCs w:val="24"/>
        </w:rPr>
        <w:t xml:space="preserve">Article 14, </w:t>
      </w:r>
      <w:r w:rsidR="000E4DD0" w:rsidRPr="006C0693">
        <w:rPr>
          <w:rFonts w:ascii="Times New Roman" w:hAnsi="Times New Roman" w:cs="Times New Roman"/>
          <w:sz w:val="24"/>
          <w:szCs w:val="24"/>
        </w:rPr>
        <w:t xml:space="preserve">with respect to fair trial and appeal guarantees.  </w:t>
      </w:r>
      <w:r w:rsidRPr="006C0693">
        <w:rPr>
          <w:rFonts w:ascii="Times New Roman" w:hAnsi="Times New Roman" w:cs="Times New Roman"/>
          <w:sz w:val="24"/>
          <w:szCs w:val="24"/>
        </w:rPr>
        <w:t xml:space="preserve">We also agree </w:t>
      </w:r>
      <w:r w:rsidR="00A12DF0" w:rsidRPr="006C0693">
        <w:rPr>
          <w:rFonts w:ascii="Times New Roman" w:hAnsi="Times New Roman" w:cs="Times New Roman"/>
          <w:sz w:val="24"/>
          <w:szCs w:val="24"/>
        </w:rPr>
        <w:t>that violation of those article</w:t>
      </w:r>
      <w:r w:rsidR="00BB772E" w:rsidRPr="006C0693">
        <w:rPr>
          <w:rFonts w:ascii="Times New Roman" w:hAnsi="Times New Roman" w:cs="Times New Roman"/>
          <w:sz w:val="24"/>
          <w:szCs w:val="24"/>
        </w:rPr>
        <w:t>s</w:t>
      </w:r>
      <w:r w:rsidR="00A12DF0" w:rsidRPr="006C0693">
        <w:rPr>
          <w:rFonts w:ascii="Times New Roman" w:hAnsi="Times New Roman" w:cs="Times New Roman"/>
          <w:sz w:val="24"/>
          <w:szCs w:val="24"/>
        </w:rPr>
        <w:t xml:space="preserve"> in the course of applying the death penalty could </w:t>
      </w:r>
      <w:r w:rsidR="00582FFB" w:rsidRPr="006C0693">
        <w:rPr>
          <w:rFonts w:ascii="Times New Roman" w:hAnsi="Times New Roman" w:cs="Times New Roman"/>
          <w:sz w:val="24"/>
          <w:szCs w:val="24"/>
        </w:rPr>
        <w:t xml:space="preserve">also </w:t>
      </w:r>
      <w:r w:rsidR="00A12DF0" w:rsidRPr="006C0693">
        <w:rPr>
          <w:rFonts w:ascii="Times New Roman" w:hAnsi="Times New Roman" w:cs="Times New Roman"/>
          <w:sz w:val="24"/>
          <w:szCs w:val="24"/>
        </w:rPr>
        <w:t xml:space="preserve">lead to a violation of Article 6.  </w:t>
      </w:r>
      <w:r w:rsidR="00353DA5" w:rsidRPr="006C0693">
        <w:rPr>
          <w:rFonts w:ascii="Times New Roman" w:hAnsi="Times New Roman" w:cs="Times New Roman"/>
          <w:sz w:val="24"/>
          <w:szCs w:val="24"/>
        </w:rPr>
        <w:t>The p</w:t>
      </w:r>
      <w:r w:rsidR="00A12DF0" w:rsidRPr="006C0693">
        <w:rPr>
          <w:rFonts w:ascii="Times New Roman" w:hAnsi="Times New Roman" w:cs="Times New Roman"/>
          <w:sz w:val="24"/>
          <w:szCs w:val="24"/>
        </w:rPr>
        <w:t>lain language in Article 6(2) requires that it not be imposed</w:t>
      </w:r>
      <w:r w:rsidR="00A12DF0" w:rsidRPr="006C0693">
        <w:rPr>
          <w:rFonts w:ascii="Times New Roman" w:hAnsi="Times New Roman" w:cs="Times New Roman"/>
          <w:b/>
          <w:sz w:val="24"/>
          <w:szCs w:val="24"/>
        </w:rPr>
        <w:t xml:space="preserve"> </w:t>
      </w:r>
      <w:r w:rsidR="00A12DF0" w:rsidRPr="006C0693">
        <w:rPr>
          <w:rFonts w:ascii="Times New Roman" w:hAnsi="Times New Roman" w:cs="Times New Roman"/>
          <w:sz w:val="24"/>
          <w:szCs w:val="24"/>
        </w:rPr>
        <w:t xml:space="preserve">contrary to other Covenant provisions.  </w:t>
      </w:r>
    </w:p>
    <w:p w:rsidR="000B7C74" w:rsidRPr="006C0693" w:rsidRDefault="000B7C74" w:rsidP="006C0693">
      <w:pPr>
        <w:ind w:left="1800"/>
        <w:contextualSpacing/>
        <w:rPr>
          <w:rFonts w:ascii="Times New Roman" w:hAnsi="Times New Roman" w:cs="Times New Roman"/>
          <w:sz w:val="24"/>
          <w:szCs w:val="24"/>
        </w:rPr>
      </w:pPr>
    </w:p>
    <w:p w:rsidR="00A12DF0" w:rsidRPr="006C0693" w:rsidRDefault="0025594A" w:rsidP="006C0693">
      <w:pPr>
        <w:contextualSpacing/>
        <w:rPr>
          <w:rFonts w:ascii="Times New Roman" w:hAnsi="Times New Roman" w:cs="Times New Roman"/>
          <w:sz w:val="24"/>
          <w:szCs w:val="24"/>
        </w:rPr>
      </w:pPr>
      <w:r w:rsidRPr="006C0693">
        <w:rPr>
          <w:rFonts w:ascii="Times New Roman" w:hAnsi="Times New Roman" w:cs="Times New Roman"/>
          <w:sz w:val="24"/>
          <w:szCs w:val="24"/>
        </w:rPr>
        <w:t>4</w:t>
      </w:r>
      <w:r w:rsidR="00F907FD" w:rsidRPr="006C0693">
        <w:rPr>
          <w:rFonts w:ascii="Times New Roman" w:hAnsi="Times New Roman" w:cs="Times New Roman"/>
          <w:sz w:val="24"/>
          <w:szCs w:val="24"/>
        </w:rPr>
        <w:t>3</w:t>
      </w:r>
      <w:r w:rsidRPr="006C0693">
        <w:rPr>
          <w:rFonts w:ascii="Times New Roman" w:hAnsi="Times New Roman" w:cs="Times New Roman"/>
          <w:sz w:val="24"/>
          <w:szCs w:val="24"/>
        </w:rPr>
        <w:t xml:space="preserve">.  </w:t>
      </w:r>
      <w:r w:rsidR="008E7C42" w:rsidRPr="006C0693">
        <w:rPr>
          <w:rFonts w:ascii="Times New Roman" w:hAnsi="Times New Roman" w:cs="Times New Roman"/>
          <w:sz w:val="24"/>
          <w:szCs w:val="24"/>
        </w:rPr>
        <w:t>However, t</w:t>
      </w:r>
      <w:r w:rsidR="00A12DF0" w:rsidRPr="006C0693">
        <w:rPr>
          <w:rFonts w:ascii="Times New Roman" w:hAnsi="Times New Roman" w:cs="Times New Roman"/>
          <w:sz w:val="24"/>
          <w:szCs w:val="24"/>
        </w:rPr>
        <w:t xml:space="preserve">he United States disagrees with several of the views expressed </w:t>
      </w:r>
      <w:r w:rsidR="00720DB7" w:rsidRPr="006C0693">
        <w:rPr>
          <w:rFonts w:ascii="Times New Roman" w:hAnsi="Times New Roman" w:cs="Times New Roman"/>
          <w:sz w:val="24"/>
          <w:szCs w:val="24"/>
        </w:rPr>
        <w:t xml:space="preserve">in paragraph 44 of </w:t>
      </w:r>
      <w:r w:rsidR="008E7C42" w:rsidRPr="006C0693">
        <w:rPr>
          <w:rFonts w:ascii="Times New Roman" w:hAnsi="Times New Roman" w:cs="Times New Roman"/>
          <w:sz w:val="24"/>
          <w:szCs w:val="24"/>
        </w:rPr>
        <w:t xml:space="preserve">the </w:t>
      </w:r>
      <w:r w:rsidR="00720DB7" w:rsidRPr="006C0693">
        <w:rPr>
          <w:rFonts w:ascii="Times New Roman" w:hAnsi="Times New Roman" w:cs="Times New Roman"/>
          <w:sz w:val="24"/>
          <w:szCs w:val="24"/>
        </w:rPr>
        <w:t>draft</w:t>
      </w:r>
      <w:r w:rsidR="00353DA5" w:rsidRPr="006C0693">
        <w:rPr>
          <w:rFonts w:ascii="Times New Roman" w:hAnsi="Times New Roman" w:cs="Times New Roman"/>
          <w:sz w:val="24"/>
          <w:szCs w:val="24"/>
        </w:rPr>
        <w:t>,</w:t>
      </w:r>
      <w:r w:rsidR="00720DB7" w:rsidRPr="006C0693">
        <w:rPr>
          <w:rFonts w:ascii="Times New Roman" w:hAnsi="Times New Roman" w:cs="Times New Roman"/>
          <w:sz w:val="24"/>
          <w:szCs w:val="24"/>
        </w:rPr>
        <w:t xml:space="preserve"> </w:t>
      </w:r>
      <w:r w:rsidR="0067283A" w:rsidRPr="006C0693">
        <w:rPr>
          <w:rFonts w:ascii="Times New Roman" w:hAnsi="Times New Roman" w:cs="Times New Roman"/>
          <w:sz w:val="24"/>
          <w:szCs w:val="24"/>
        </w:rPr>
        <w:t xml:space="preserve">particularly </w:t>
      </w:r>
      <w:r w:rsidR="00720DB7" w:rsidRPr="006C0693">
        <w:rPr>
          <w:rFonts w:ascii="Times New Roman" w:hAnsi="Times New Roman" w:cs="Times New Roman"/>
          <w:sz w:val="24"/>
          <w:szCs w:val="24"/>
        </w:rPr>
        <w:t>regarding</w:t>
      </w:r>
      <w:r w:rsidR="0067283A" w:rsidRPr="006C0693">
        <w:rPr>
          <w:rFonts w:ascii="Times New Roman" w:hAnsi="Times New Roman" w:cs="Times New Roman"/>
          <w:sz w:val="24"/>
          <w:szCs w:val="24"/>
        </w:rPr>
        <w:t xml:space="preserve"> certain </w:t>
      </w:r>
      <w:r w:rsidR="00A12DF0" w:rsidRPr="006C0693">
        <w:rPr>
          <w:rFonts w:ascii="Times New Roman" w:hAnsi="Times New Roman" w:cs="Times New Roman"/>
          <w:sz w:val="24"/>
          <w:szCs w:val="24"/>
        </w:rPr>
        <w:t xml:space="preserve">methods of execution </w:t>
      </w:r>
      <w:r w:rsidR="0067283A" w:rsidRPr="006C0693">
        <w:rPr>
          <w:rFonts w:ascii="Times New Roman" w:hAnsi="Times New Roman" w:cs="Times New Roman"/>
          <w:sz w:val="24"/>
          <w:szCs w:val="24"/>
        </w:rPr>
        <w:t xml:space="preserve">and </w:t>
      </w:r>
      <w:r w:rsidR="00A12DF0" w:rsidRPr="006C0693">
        <w:rPr>
          <w:rFonts w:ascii="Times New Roman" w:hAnsi="Times New Roman" w:cs="Times New Roman"/>
          <w:sz w:val="24"/>
          <w:szCs w:val="24"/>
        </w:rPr>
        <w:t>the impact of solitary confinement or delays i</w:t>
      </w:r>
      <w:r w:rsidRPr="006C0693">
        <w:rPr>
          <w:rFonts w:ascii="Times New Roman" w:hAnsi="Times New Roman" w:cs="Times New Roman"/>
          <w:sz w:val="24"/>
          <w:szCs w:val="24"/>
        </w:rPr>
        <w:t>n carrying out the sentence</w:t>
      </w:r>
      <w:r w:rsidR="006768ED" w:rsidRPr="006C0693">
        <w:rPr>
          <w:rFonts w:ascii="Times New Roman" w:hAnsi="Times New Roman" w:cs="Times New Roman"/>
          <w:sz w:val="24"/>
          <w:szCs w:val="24"/>
        </w:rPr>
        <w:t>.</w:t>
      </w:r>
      <w:r w:rsidRPr="006C0693">
        <w:rPr>
          <w:rFonts w:ascii="Times New Roman" w:hAnsi="Times New Roman" w:cs="Times New Roman"/>
          <w:sz w:val="24"/>
          <w:szCs w:val="24"/>
        </w:rPr>
        <w:t xml:space="preserve"> </w:t>
      </w:r>
      <w:r w:rsidR="00834D8C">
        <w:rPr>
          <w:rFonts w:ascii="Times New Roman" w:hAnsi="Times New Roman" w:cs="Times New Roman"/>
          <w:sz w:val="24"/>
          <w:szCs w:val="24"/>
        </w:rPr>
        <w:t xml:space="preserve"> </w:t>
      </w:r>
      <w:r w:rsidR="00000A96" w:rsidRPr="006C0693">
        <w:rPr>
          <w:rFonts w:ascii="Times New Roman" w:hAnsi="Times New Roman" w:cs="Times New Roman"/>
          <w:sz w:val="24"/>
          <w:szCs w:val="24"/>
        </w:rPr>
        <w:t>W</w:t>
      </w:r>
      <w:r w:rsidRPr="006C0693">
        <w:rPr>
          <w:rFonts w:ascii="Times New Roman" w:hAnsi="Times New Roman" w:cs="Times New Roman"/>
          <w:sz w:val="24"/>
          <w:szCs w:val="24"/>
        </w:rPr>
        <w:t xml:space="preserve">e suggest that any discussion of </w:t>
      </w:r>
      <w:r w:rsidR="0067283A" w:rsidRPr="006C0693">
        <w:rPr>
          <w:rFonts w:ascii="Times New Roman" w:hAnsi="Times New Roman" w:cs="Times New Roman"/>
          <w:sz w:val="24"/>
          <w:szCs w:val="24"/>
        </w:rPr>
        <w:t>repercussions</w:t>
      </w:r>
      <w:r w:rsidR="00720DB7" w:rsidRPr="006C0693">
        <w:rPr>
          <w:rFonts w:ascii="Times New Roman" w:hAnsi="Times New Roman" w:cs="Times New Roman"/>
          <w:sz w:val="24"/>
          <w:szCs w:val="24"/>
        </w:rPr>
        <w:t xml:space="preserve"> and potential </w:t>
      </w:r>
      <w:r w:rsidRPr="006C0693">
        <w:rPr>
          <w:rFonts w:ascii="Times New Roman" w:hAnsi="Times New Roman" w:cs="Times New Roman"/>
          <w:sz w:val="24"/>
          <w:szCs w:val="24"/>
        </w:rPr>
        <w:t xml:space="preserve">violations of other Articles that do not lead to the death of an individual would more properly be addressed in Committee </w:t>
      </w:r>
      <w:r w:rsidR="00000A96" w:rsidRPr="006C0693">
        <w:rPr>
          <w:rFonts w:ascii="Times New Roman" w:hAnsi="Times New Roman" w:cs="Times New Roman"/>
          <w:sz w:val="24"/>
          <w:szCs w:val="24"/>
        </w:rPr>
        <w:t xml:space="preserve">general comments </w:t>
      </w:r>
      <w:r w:rsidRPr="006C0693">
        <w:rPr>
          <w:rFonts w:ascii="Times New Roman" w:hAnsi="Times New Roman" w:cs="Times New Roman"/>
          <w:sz w:val="24"/>
          <w:szCs w:val="24"/>
        </w:rPr>
        <w:t>on such other article</w:t>
      </w:r>
      <w:r w:rsidR="00720DB7" w:rsidRPr="006C0693">
        <w:rPr>
          <w:rFonts w:ascii="Times New Roman" w:hAnsi="Times New Roman" w:cs="Times New Roman"/>
          <w:sz w:val="24"/>
          <w:szCs w:val="24"/>
        </w:rPr>
        <w:t>s</w:t>
      </w:r>
      <w:r w:rsidRPr="006C0693">
        <w:rPr>
          <w:rFonts w:ascii="Times New Roman" w:hAnsi="Times New Roman" w:cs="Times New Roman"/>
          <w:sz w:val="24"/>
          <w:szCs w:val="24"/>
        </w:rPr>
        <w:t>.</w:t>
      </w:r>
    </w:p>
    <w:p w:rsidR="00A12DF0" w:rsidRPr="006C0693" w:rsidRDefault="00A12DF0" w:rsidP="006C0693">
      <w:pPr>
        <w:contextualSpacing/>
        <w:rPr>
          <w:rFonts w:ascii="Times New Roman" w:hAnsi="Times New Roman" w:cs="Times New Roman"/>
          <w:b/>
          <w:sz w:val="24"/>
          <w:szCs w:val="24"/>
        </w:rPr>
      </w:pPr>
    </w:p>
    <w:p w:rsidR="000B5252" w:rsidRPr="006C0693" w:rsidRDefault="000B5252" w:rsidP="006C0693">
      <w:pPr>
        <w:spacing w:after="0"/>
        <w:rPr>
          <w:rFonts w:ascii="Times New Roman" w:hAnsi="Times New Roman" w:cs="Times New Roman"/>
          <w:color w:val="1F497D"/>
          <w:sz w:val="24"/>
          <w:szCs w:val="24"/>
        </w:rPr>
      </w:pPr>
      <w:r w:rsidRPr="006C0693">
        <w:rPr>
          <w:rFonts w:ascii="Times New Roman" w:hAnsi="Times New Roman" w:cs="Times New Roman"/>
          <w:sz w:val="24"/>
          <w:szCs w:val="24"/>
        </w:rPr>
        <w:t>4</w:t>
      </w:r>
      <w:r w:rsidR="00F907FD" w:rsidRPr="006C0693">
        <w:rPr>
          <w:rFonts w:ascii="Times New Roman" w:hAnsi="Times New Roman" w:cs="Times New Roman"/>
          <w:sz w:val="24"/>
          <w:szCs w:val="24"/>
        </w:rPr>
        <w:t>4</w:t>
      </w:r>
      <w:r w:rsidRPr="006C0693">
        <w:rPr>
          <w:rFonts w:ascii="Times New Roman" w:hAnsi="Times New Roman" w:cs="Times New Roman"/>
          <w:sz w:val="24"/>
          <w:szCs w:val="24"/>
        </w:rPr>
        <w:t>.  We cannot agree with the Committee’s view that “</w:t>
      </w:r>
      <w:r w:rsidRPr="006C0693">
        <w:rPr>
          <w:rFonts w:ascii="Times New Roman" w:hAnsi="Times New Roman" w:cs="Times New Roman"/>
          <w:bCs/>
          <w:sz w:val="24"/>
          <w:szCs w:val="24"/>
          <w:lang w:val="en-GB"/>
        </w:rPr>
        <w:t>a failure to promptly inform detained foreign nationals charged with a capital crime of their right to consular notification pursuant to the Vienna Con</w:t>
      </w:r>
      <w:r w:rsidR="003E77AC" w:rsidRPr="006C0693">
        <w:rPr>
          <w:rFonts w:ascii="Times New Roman" w:hAnsi="Times New Roman" w:cs="Times New Roman"/>
          <w:bCs/>
          <w:sz w:val="24"/>
          <w:szCs w:val="24"/>
          <w:lang w:val="en-GB"/>
        </w:rPr>
        <w:t xml:space="preserve">vention on Consular Relations” </w:t>
      </w:r>
      <w:r w:rsidRPr="006C0693">
        <w:rPr>
          <w:rFonts w:ascii="Times New Roman" w:hAnsi="Times New Roman" w:cs="Times New Roman"/>
          <w:bCs/>
          <w:sz w:val="24"/>
          <w:szCs w:val="24"/>
          <w:lang w:val="en-GB"/>
        </w:rPr>
        <w:t xml:space="preserve">could </w:t>
      </w:r>
      <w:r w:rsidR="00000A96" w:rsidRPr="006C0693">
        <w:rPr>
          <w:rFonts w:ascii="Times New Roman" w:hAnsi="Times New Roman" w:cs="Times New Roman"/>
          <w:bCs/>
          <w:sz w:val="24"/>
          <w:szCs w:val="24"/>
          <w:lang w:val="en-GB"/>
        </w:rPr>
        <w:t>“</w:t>
      </w:r>
      <w:r w:rsidRPr="006C0693">
        <w:rPr>
          <w:rFonts w:ascii="Times New Roman" w:hAnsi="Times New Roman" w:cs="Times New Roman"/>
          <w:bCs/>
          <w:sz w:val="24"/>
          <w:szCs w:val="24"/>
          <w:lang w:val="en-GB"/>
        </w:rPr>
        <w:t xml:space="preserve">render the imposition of the death penalty contrary to </w:t>
      </w:r>
      <w:r w:rsidR="00000A96" w:rsidRPr="006C0693">
        <w:rPr>
          <w:rFonts w:ascii="Times New Roman" w:hAnsi="Times New Roman" w:cs="Times New Roman"/>
          <w:bCs/>
          <w:sz w:val="24"/>
          <w:szCs w:val="24"/>
          <w:lang w:val="en-GB"/>
        </w:rPr>
        <w:t>a</w:t>
      </w:r>
      <w:r w:rsidRPr="006C0693">
        <w:rPr>
          <w:rFonts w:ascii="Times New Roman" w:hAnsi="Times New Roman" w:cs="Times New Roman"/>
          <w:bCs/>
          <w:sz w:val="24"/>
          <w:szCs w:val="24"/>
          <w:lang w:val="en-GB"/>
        </w:rPr>
        <w:t>rticle 6</w:t>
      </w:r>
      <w:r w:rsidR="00000A96" w:rsidRPr="006C0693">
        <w:rPr>
          <w:rFonts w:ascii="Times New Roman" w:hAnsi="Times New Roman" w:cs="Times New Roman"/>
          <w:bCs/>
          <w:sz w:val="24"/>
          <w:szCs w:val="24"/>
          <w:lang w:val="en-GB"/>
        </w:rPr>
        <w:t xml:space="preserve"> (paragraph 46)</w:t>
      </w:r>
      <w:r w:rsidR="007E2E9B" w:rsidRPr="006C0693">
        <w:rPr>
          <w:rFonts w:ascii="Times New Roman" w:hAnsi="Times New Roman" w:cs="Times New Roman"/>
          <w:bCs/>
          <w:sz w:val="24"/>
          <w:szCs w:val="24"/>
          <w:lang w:val="en-GB"/>
        </w:rPr>
        <w:t>.</w:t>
      </w:r>
      <w:r w:rsidR="00A164A3" w:rsidRPr="006C0693">
        <w:rPr>
          <w:rFonts w:ascii="Times New Roman" w:hAnsi="Times New Roman" w:cs="Times New Roman"/>
          <w:bCs/>
          <w:sz w:val="24"/>
          <w:szCs w:val="24"/>
          <w:lang w:val="en-GB"/>
        </w:rPr>
        <w:t>”</w:t>
      </w:r>
      <w:r w:rsidRPr="006C0693">
        <w:rPr>
          <w:rFonts w:ascii="Times New Roman" w:hAnsi="Times New Roman" w:cs="Times New Roman"/>
          <w:bCs/>
          <w:sz w:val="24"/>
          <w:szCs w:val="24"/>
          <w:lang w:val="en-GB"/>
        </w:rPr>
        <w:t xml:space="preserve">  As the Committee recog</w:t>
      </w:r>
      <w:r w:rsidR="007E2E9B" w:rsidRPr="006C0693">
        <w:rPr>
          <w:rFonts w:ascii="Times New Roman" w:hAnsi="Times New Roman" w:cs="Times New Roman"/>
          <w:bCs/>
          <w:sz w:val="24"/>
          <w:szCs w:val="24"/>
          <w:lang w:val="en-GB"/>
        </w:rPr>
        <w:t>nizes</w:t>
      </w:r>
      <w:r w:rsidR="00000A96" w:rsidRPr="006C0693">
        <w:rPr>
          <w:rFonts w:ascii="Times New Roman" w:hAnsi="Times New Roman" w:cs="Times New Roman"/>
          <w:bCs/>
          <w:sz w:val="24"/>
          <w:szCs w:val="24"/>
          <w:lang w:val="en-GB"/>
        </w:rPr>
        <w:t xml:space="preserve"> in paragraph 46</w:t>
      </w:r>
      <w:r w:rsidR="007E2E9B" w:rsidRPr="006C0693">
        <w:rPr>
          <w:rFonts w:ascii="Times New Roman" w:hAnsi="Times New Roman" w:cs="Times New Roman"/>
          <w:bCs/>
          <w:sz w:val="24"/>
          <w:szCs w:val="24"/>
          <w:lang w:val="en-GB"/>
        </w:rPr>
        <w:t>, consular notification is</w:t>
      </w:r>
      <w:r w:rsidRPr="006C0693">
        <w:rPr>
          <w:rFonts w:ascii="Times New Roman" w:hAnsi="Times New Roman" w:cs="Times New Roman"/>
          <w:bCs/>
          <w:sz w:val="24"/>
          <w:szCs w:val="24"/>
          <w:lang w:val="en-GB"/>
        </w:rPr>
        <w:t xml:space="preserve"> not expressly required under Article 14 or any </w:t>
      </w:r>
      <w:r w:rsidR="003E77AC" w:rsidRPr="006C0693">
        <w:rPr>
          <w:rFonts w:ascii="Times New Roman" w:hAnsi="Times New Roman" w:cs="Times New Roman"/>
          <w:bCs/>
          <w:sz w:val="24"/>
          <w:szCs w:val="24"/>
          <w:lang w:val="en-GB"/>
        </w:rPr>
        <w:t xml:space="preserve">other </w:t>
      </w:r>
      <w:r w:rsidRPr="006C0693">
        <w:rPr>
          <w:rFonts w:ascii="Times New Roman" w:hAnsi="Times New Roman" w:cs="Times New Roman"/>
          <w:bCs/>
          <w:sz w:val="24"/>
          <w:szCs w:val="24"/>
          <w:lang w:val="en-GB"/>
        </w:rPr>
        <w:t>Covenant provision</w:t>
      </w:r>
      <w:r w:rsidR="007E2E9B" w:rsidRPr="006C0693">
        <w:rPr>
          <w:rFonts w:ascii="Times New Roman" w:hAnsi="Times New Roman" w:cs="Times New Roman"/>
          <w:bCs/>
          <w:sz w:val="24"/>
          <w:szCs w:val="24"/>
          <w:lang w:val="en-GB"/>
        </w:rPr>
        <w:t>,</w:t>
      </w:r>
      <w:r w:rsidRPr="006C0693">
        <w:rPr>
          <w:rFonts w:ascii="Times New Roman" w:hAnsi="Times New Roman" w:cs="Times New Roman"/>
          <w:bCs/>
          <w:sz w:val="24"/>
          <w:szCs w:val="24"/>
          <w:lang w:val="en-GB"/>
        </w:rPr>
        <w:t xml:space="preserve"> and the </w:t>
      </w:r>
      <w:r w:rsidR="003E77AC" w:rsidRPr="006C0693">
        <w:rPr>
          <w:rFonts w:ascii="Times New Roman" w:hAnsi="Times New Roman" w:cs="Times New Roman"/>
          <w:bCs/>
          <w:sz w:val="24"/>
          <w:szCs w:val="24"/>
          <w:lang w:val="en-GB"/>
        </w:rPr>
        <w:t>C</w:t>
      </w:r>
      <w:r w:rsidRPr="006C0693">
        <w:rPr>
          <w:rFonts w:ascii="Times New Roman" w:hAnsi="Times New Roman" w:cs="Times New Roman"/>
          <w:bCs/>
          <w:sz w:val="24"/>
          <w:szCs w:val="24"/>
          <w:lang w:val="en-GB"/>
        </w:rPr>
        <w:t xml:space="preserve">ommittee </w:t>
      </w:r>
      <w:r w:rsidR="003E77AC" w:rsidRPr="006C0693">
        <w:rPr>
          <w:rFonts w:ascii="Times New Roman" w:hAnsi="Times New Roman" w:cs="Times New Roman"/>
          <w:bCs/>
          <w:sz w:val="24"/>
          <w:szCs w:val="24"/>
          <w:lang w:val="en-GB"/>
        </w:rPr>
        <w:t xml:space="preserve">has </w:t>
      </w:r>
      <w:r w:rsidRPr="006C0693">
        <w:rPr>
          <w:rFonts w:ascii="Times New Roman" w:hAnsi="Times New Roman" w:cs="Times New Roman"/>
          <w:bCs/>
          <w:sz w:val="24"/>
          <w:szCs w:val="24"/>
          <w:lang w:val="en-GB"/>
        </w:rPr>
        <w:t>offer</w:t>
      </w:r>
      <w:r w:rsidR="003E77AC" w:rsidRPr="006C0693">
        <w:rPr>
          <w:rFonts w:ascii="Times New Roman" w:hAnsi="Times New Roman" w:cs="Times New Roman"/>
          <w:bCs/>
          <w:sz w:val="24"/>
          <w:szCs w:val="24"/>
          <w:lang w:val="en-GB"/>
        </w:rPr>
        <w:t>ed</w:t>
      </w:r>
      <w:r w:rsidRPr="006C0693">
        <w:rPr>
          <w:rFonts w:ascii="Times New Roman" w:hAnsi="Times New Roman" w:cs="Times New Roman"/>
          <w:bCs/>
          <w:sz w:val="24"/>
          <w:szCs w:val="24"/>
          <w:lang w:val="en-GB"/>
        </w:rPr>
        <w:t xml:space="preserve"> no</w:t>
      </w:r>
      <w:r w:rsidRPr="006C0693">
        <w:rPr>
          <w:rFonts w:ascii="Times New Roman" w:hAnsi="Times New Roman" w:cs="Times New Roman"/>
          <w:sz w:val="24"/>
          <w:szCs w:val="24"/>
          <w:lang w:val="en-GB"/>
        </w:rPr>
        <w:t xml:space="preserve"> </w:t>
      </w:r>
      <w:r w:rsidRPr="006C0693">
        <w:rPr>
          <w:rFonts w:ascii="Times New Roman" w:hAnsi="Times New Roman" w:cs="Times New Roman"/>
          <w:sz w:val="24"/>
          <w:szCs w:val="24"/>
        </w:rPr>
        <w:t>treaty analysis grounded in VCLT</w:t>
      </w:r>
      <w:r w:rsidR="003E77AC" w:rsidRPr="006C0693">
        <w:rPr>
          <w:rFonts w:ascii="Times New Roman" w:hAnsi="Times New Roman" w:cs="Times New Roman"/>
          <w:sz w:val="24"/>
          <w:szCs w:val="24"/>
        </w:rPr>
        <w:t xml:space="preserve"> </w:t>
      </w:r>
      <w:r w:rsidRPr="006C0693">
        <w:rPr>
          <w:rFonts w:ascii="Times New Roman" w:hAnsi="Times New Roman" w:cs="Times New Roman"/>
          <w:sz w:val="24"/>
          <w:szCs w:val="24"/>
        </w:rPr>
        <w:t xml:space="preserve">Articles 31 </w:t>
      </w:r>
      <w:r w:rsidR="007E2E9B" w:rsidRPr="006C0693">
        <w:rPr>
          <w:rFonts w:ascii="Times New Roman" w:hAnsi="Times New Roman" w:cs="Times New Roman"/>
          <w:sz w:val="24"/>
          <w:szCs w:val="24"/>
        </w:rPr>
        <w:t>or</w:t>
      </w:r>
      <w:r w:rsidRPr="006C0693">
        <w:rPr>
          <w:rFonts w:ascii="Times New Roman" w:hAnsi="Times New Roman" w:cs="Times New Roman"/>
          <w:sz w:val="24"/>
          <w:szCs w:val="24"/>
        </w:rPr>
        <w:t xml:space="preserve"> 32 to support such a view.</w:t>
      </w:r>
      <w:r w:rsidRPr="006C0693">
        <w:rPr>
          <w:rFonts w:ascii="Times New Roman" w:hAnsi="Times New Roman" w:cs="Times New Roman"/>
          <w:bCs/>
          <w:sz w:val="24"/>
          <w:szCs w:val="24"/>
          <w:lang w:val="en-GB"/>
        </w:rPr>
        <w:t xml:space="preserve">  </w:t>
      </w:r>
      <w:r w:rsidRPr="006C0693">
        <w:rPr>
          <w:rFonts w:ascii="Times New Roman" w:hAnsi="Times New Roman" w:cs="Times New Roman"/>
          <w:sz w:val="24"/>
          <w:szCs w:val="24"/>
        </w:rPr>
        <w:t>Consular notification is not a “right” owed to a foreign national in detention</w:t>
      </w:r>
      <w:r w:rsidR="007E2E9B" w:rsidRPr="006C0693">
        <w:rPr>
          <w:rFonts w:ascii="Times New Roman" w:hAnsi="Times New Roman" w:cs="Times New Roman"/>
          <w:sz w:val="24"/>
          <w:szCs w:val="24"/>
        </w:rPr>
        <w:t>.</w:t>
      </w:r>
      <w:r w:rsidRPr="006C0693">
        <w:rPr>
          <w:rFonts w:ascii="Times New Roman" w:hAnsi="Times New Roman" w:cs="Times New Roman"/>
          <w:sz w:val="24"/>
          <w:szCs w:val="24"/>
        </w:rPr>
        <w:t xml:space="preserve"> </w:t>
      </w:r>
      <w:r w:rsidR="00834D8C">
        <w:rPr>
          <w:rFonts w:ascii="Times New Roman" w:hAnsi="Times New Roman" w:cs="Times New Roman"/>
          <w:sz w:val="24"/>
          <w:szCs w:val="24"/>
        </w:rPr>
        <w:t xml:space="preserve"> </w:t>
      </w:r>
      <w:r w:rsidR="007E2E9B" w:rsidRPr="006C0693">
        <w:rPr>
          <w:rFonts w:ascii="Times New Roman" w:hAnsi="Times New Roman" w:cs="Times New Roman"/>
          <w:sz w:val="24"/>
          <w:szCs w:val="24"/>
        </w:rPr>
        <w:t>Rather</w:t>
      </w:r>
      <w:r w:rsidRPr="006C0693">
        <w:rPr>
          <w:rFonts w:ascii="Times New Roman" w:hAnsi="Times New Roman" w:cs="Times New Roman"/>
          <w:sz w:val="24"/>
          <w:szCs w:val="24"/>
        </w:rPr>
        <w:t>, consular access and assistance is a right exercised by the detained in</w:t>
      </w:r>
      <w:r w:rsidR="000A2537" w:rsidRPr="006C0693">
        <w:rPr>
          <w:rFonts w:ascii="Times New Roman" w:hAnsi="Times New Roman" w:cs="Times New Roman"/>
          <w:sz w:val="24"/>
          <w:szCs w:val="24"/>
        </w:rPr>
        <w:t>dividual’s State of nationality</w:t>
      </w:r>
      <w:r w:rsidRPr="006C0693">
        <w:rPr>
          <w:rFonts w:ascii="Times New Roman" w:hAnsi="Times New Roman" w:cs="Times New Roman"/>
          <w:sz w:val="24"/>
          <w:szCs w:val="24"/>
        </w:rPr>
        <w:t xml:space="preserve">. </w:t>
      </w:r>
      <w:r w:rsidR="00000A96" w:rsidRPr="006C0693">
        <w:rPr>
          <w:rFonts w:ascii="Times New Roman" w:hAnsi="Times New Roman" w:cs="Times New Roman"/>
          <w:sz w:val="24"/>
          <w:szCs w:val="24"/>
        </w:rPr>
        <w:t xml:space="preserve"> </w:t>
      </w:r>
      <w:r w:rsidRPr="006C0693">
        <w:rPr>
          <w:rFonts w:ascii="Times New Roman" w:hAnsi="Times New Roman" w:cs="Times New Roman"/>
          <w:sz w:val="24"/>
          <w:szCs w:val="24"/>
        </w:rPr>
        <w:t xml:space="preserve">The consular notification protections </w:t>
      </w:r>
      <w:r w:rsidR="007E2E9B" w:rsidRPr="006C0693">
        <w:rPr>
          <w:rFonts w:ascii="Times New Roman" w:hAnsi="Times New Roman" w:cs="Times New Roman"/>
          <w:sz w:val="24"/>
          <w:szCs w:val="24"/>
        </w:rPr>
        <w:t xml:space="preserve">under the Vienna Convention on Consular Relations (VCCR) </w:t>
      </w:r>
      <w:r w:rsidRPr="006C0693">
        <w:rPr>
          <w:rFonts w:ascii="Times New Roman" w:hAnsi="Times New Roman" w:cs="Times New Roman"/>
          <w:sz w:val="24"/>
          <w:szCs w:val="24"/>
        </w:rPr>
        <w:t xml:space="preserve">are based on principles of reciprocity, nationality, and function. </w:t>
      </w:r>
      <w:r w:rsidR="001C1A3C" w:rsidRPr="006C0693">
        <w:rPr>
          <w:rFonts w:ascii="Times New Roman" w:hAnsi="Times New Roman" w:cs="Times New Roman"/>
          <w:sz w:val="24"/>
          <w:szCs w:val="24"/>
        </w:rPr>
        <w:t xml:space="preserve"> </w:t>
      </w:r>
      <w:r w:rsidR="00353DA5" w:rsidRPr="006C0693">
        <w:rPr>
          <w:rFonts w:ascii="Times New Roman" w:hAnsi="Times New Roman" w:cs="Times New Roman"/>
          <w:sz w:val="24"/>
          <w:szCs w:val="24"/>
        </w:rPr>
        <w:t>Nor</w:t>
      </w:r>
      <w:r w:rsidR="0086220F" w:rsidRPr="006C0693">
        <w:rPr>
          <w:rFonts w:ascii="Times New Roman" w:hAnsi="Times New Roman" w:cs="Times New Roman"/>
          <w:sz w:val="24"/>
          <w:szCs w:val="24"/>
        </w:rPr>
        <w:t xml:space="preserve"> </w:t>
      </w:r>
      <w:r w:rsidRPr="006C0693">
        <w:rPr>
          <w:rFonts w:ascii="Times New Roman" w:hAnsi="Times New Roman" w:cs="Times New Roman"/>
          <w:sz w:val="24"/>
          <w:szCs w:val="24"/>
        </w:rPr>
        <w:t xml:space="preserve">is consular notification a necessary component of the right to a fair trial or the right to due process in criminal proceedings. </w:t>
      </w:r>
      <w:r w:rsidR="00000A96" w:rsidRPr="006C0693">
        <w:rPr>
          <w:rFonts w:ascii="Times New Roman" w:hAnsi="Times New Roman" w:cs="Times New Roman"/>
          <w:sz w:val="24"/>
          <w:szCs w:val="24"/>
        </w:rPr>
        <w:t xml:space="preserve"> </w:t>
      </w:r>
      <w:r w:rsidR="008E7C42" w:rsidRPr="006C0693">
        <w:rPr>
          <w:rFonts w:ascii="Times New Roman" w:hAnsi="Times New Roman" w:cs="Times New Roman"/>
          <w:sz w:val="24"/>
          <w:szCs w:val="24"/>
        </w:rPr>
        <w:t>T</w:t>
      </w:r>
      <w:r w:rsidRPr="006C0693">
        <w:rPr>
          <w:rFonts w:ascii="Times New Roman" w:hAnsi="Times New Roman" w:cs="Times New Roman"/>
          <w:sz w:val="24"/>
          <w:szCs w:val="24"/>
        </w:rPr>
        <w:t xml:space="preserve">he </w:t>
      </w:r>
      <w:r w:rsidR="00000A96" w:rsidRPr="006C0693">
        <w:rPr>
          <w:rFonts w:ascii="Times New Roman" w:hAnsi="Times New Roman" w:cs="Times New Roman"/>
          <w:sz w:val="24"/>
          <w:szCs w:val="24"/>
        </w:rPr>
        <w:t xml:space="preserve">ICJ </w:t>
      </w:r>
      <w:r w:rsidRPr="006C0693">
        <w:rPr>
          <w:rFonts w:ascii="Times New Roman" w:hAnsi="Times New Roman" w:cs="Times New Roman"/>
          <w:sz w:val="24"/>
          <w:szCs w:val="24"/>
        </w:rPr>
        <w:t xml:space="preserve">noted in the case of </w:t>
      </w:r>
      <w:r w:rsidRPr="006C0693">
        <w:rPr>
          <w:rFonts w:ascii="Times New Roman" w:hAnsi="Times New Roman" w:cs="Times New Roman"/>
          <w:i/>
          <w:iCs/>
          <w:sz w:val="24"/>
          <w:szCs w:val="24"/>
        </w:rPr>
        <w:t>Avena and Other Mexican Nationals (Mex. v. U.S</w:t>
      </w:r>
      <w:r w:rsidR="00834D8C">
        <w:rPr>
          <w:rFonts w:ascii="Times New Roman" w:hAnsi="Times New Roman" w:cs="Times New Roman"/>
          <w:i/>
          <w:iCs/>
          <w:sz w:val="24"/>
          <w:szCs w:val="24"/>
        </w:rPr>
        <w:t>.</w:t>
      </w:r>
      <w:r w:rsidR="007E2E9B" w:rsidRPr="006C0693">
        <w:rPr>
          <w:rFonts w:ascii="Times New Roman" w:hAnsi="Times New Roman" w:cs="Times New Roman"/>
          <w:i/>
          <w:iCs/>
          <w:sz w:val="24"/>
          <w:szCs w:val="24"/>
        </w:rPr>
        <w:t>)</w:t>
      </w:r>
      <w:r w:rsidRPr="006C0693">
        <w:rPr>
          <w:rFonts w:ascii="Times New Roman" w:hAnsi="Times New Roman" w:cs="Times New Roman"/>
          <w:sz w:val="24"/>
          <w:szCs w:val="24"/>
        </w:rPr>
        <w:t xml:space="preserve"> that neither the text, </w:t>
      </w:r>
      <w:r w:rsidR="0086220F" w:rsidRPr="006C0693">
        <w:rPr>
          <w:rFonts w:ascii="Times New Roman" w:hAnsi="Times New Roman" w:cs="Times New Roman"/>
          <w:sz w:val="24"/>
          <w:szCs w:val="24"/>
        </w:rPr>
        <w:t xml:space="preserve">nor </w:t>
      </w:r>
      <w:r w:rsidRPr="006C0693">
        <w:rPr>
          <w:rFonts w:ascii="Times New Roman" w:hAnsi="Times New Roman" w:cs="Times New Roman"/>
          <w:sz w:val="24"/>
          <w:szCs w:val="24"/>
        </w:rPr>
        <w:t xml:space="preserve">the object and purpose, nor the </w:t>
      </w:r>
      <w:r w:rsidRPr="006C0693">
        <w:rPr>
          <w:rFonts w:ascii="Times New Roman" w:hAnsi="Times New Roman" w:cs="Times New Roman"/>
          <w:i/>
          <w:iCs/>
          <w:sz w:val="24"/>
          <w:szCs w:val="24"/>
        </w:rPr>
        <w:t xml:space="preserve">travaux </w:t>
      </w:r>
      <w:r w:rsidRPr="006C0693">
        <w:rPr>
          <w:rFonts w:ascii="Times New Roman" w:hAnsi="Times New Roman" w:cs="Times New Roman"/>
          <w:sz w:val="24"/>
          <w:szCs w:val="24"/>
        </w:rPr>
        <w:t xml:space="preserve">of the </w:t>
      </w:r>
      <w:r w:rsidR="00000A96" w:rsidRPr="006C0693">
        <w:rPr>
          <w:rFonts w:ascii="Times New Roman" w:hAnsi="Times New Roman" w:cs="Times New Roman"/>
          <w:sz w:val="24"/>
          <w:szCs w:val="24"/>
        </w:rPr>
        <w:t xml:space="preserve">VCCR </w:t>
      </w:r>
      <w:r w:rsidRPr="006C0693">
        <w:rPr>
          <w:rFonts w:ascii="Times New Roman" w:hAnsi="Times New Roman" w:cs="Times New Roman"/>
          <w:sz w:val="24"/>
          <w:szCs w:val="24"/>
        </w:rPr>
        <w:t>supports the conclusion that consular notification is an essential element of due process in criminal proceedings.</w:t>
      </w:r>
      <w:r w:rsidR="007E2E9B" w:rsidRPr="006C0693">
        <w:rPr>
          <w:rStyle w:val="FootnoteReference"/>
          <w:rFonts w:ascii="Times New Roman" w:hAnsi="Times New Roman" w:cs="Times New Roman"/>
          <w:sz w:val="24"/>
          <w:szCs w:val="24"/>
        </w:rPr>
        <w:footnoteReference w:id="50"/>
      </w:r>
      <w:r w:rsidRPr="006C0693">
        <w:rPr>
          <w:rFonts w:ascii="Times New Roman" w:hAnsi="Times New Roman" w:cs="Times New Roman"/>
          <w:sz w:val="24"/>
          <w:szCs w:val="24"/>
        </w:rPr>
        <w:t xml:space="preserve"> </w:t>
      </w:r>
      <w:r w:rsidR="00834D8C">
        <w:rPr>
          <w:rFonts w:ascii="Times New Roman" w:hAnsi="Times New Roman" w:cs="Times New Roman"/>
          <w:sz w:val="24"/>
          <w:szCs w:val="24"/>
        </w:rPr>
        <w:t xml:space="preserve"> </w:t>
      </w:r>
      <w:r w:rsidRPr="006C0693">
        <w:rPr>
          <w:rFonts w:ascii="Times New Roman" w:hAnsi="Times New Roman" w:cs="Times New Roman"/>
          <w:sz w:val="24"/>
          <w:szCs w:val="24"/>
        </w:rPr>
        <w:t>As the plain text of Article 36(l)(c)</w:t>
      </w:r>
      <w:r w:rsidR="00000A96" w:rsidRPr="006C0693">
        <w:rPr>
          <w:rFonts w:ascii="Times New Roman" w:hAnsi="Times New Roman" w:cs="Times New Roman"/>
          <w:sz w:val="24"/>
          <w:szCs w:val="24"/>
        </w:rPr>
        <w:t xml:space="preserve"> of the VCCR</w:t>
      </w:r>
      <w:r w:rsidRPr="006C0693">
        <w:rPr>
          <w:rFonts w:ascii="Times New Roman" w:hAnsi="Times New Roman" w:cs="Times New Roman"/>
          <w:sz w:val="24"/>
          <w:szCs w:val="24"/>
        </w:rPr>
        <w:t xml:space="preserve"> provides: “</w:t>
      </w:r>
      <w:r w:rsidRPr="006C0693">
        <w:rPr>
          <w:rFonts w:ascii="Times New Roman" w:hAnsi="Times New Roman" w:cs="Times New Roman"/>
          <w:i/>
          <w:iCs/>
          <w:sz w:val="24"/>
          <w:szCs w:val="24"/>
        </w:rPr>
        <w:t xml:space="preserve">consular officers </w:t>
      </w:r>
      <w:r w:rsidRPr="006C0693">
        <w:rPr>
          <w:rFonts w:ascii="Times New Roman" w:hAnsi="Times New Roman" w:cs="Times New Roman"/>
          <w:sz w:val="24"/>
          <w:szCs w:val="24"/>
        </w:rPr>
        <w:t xml:space="preserve">shall have the right to visit a national of the sending State who is in prison, custody or detention, to converse and correspond with him and to arrange for his legal representation” (emphasis added). </w:t>
      </w:r>
      <w:r w:rsidR="00000A96" w:rsidRPr="006C0693">
        <w:rPr>
          <w:rFonts w:ascii="Times New Roman" w:hAnsi="Times New Roman" w:cs="Times New Roman"/>
          <w:sz w:val="24"/>
          <w:szCs w:val="24"/>
        </w:rPr>
        <w:t xml:space="preserve"> </w:t>
      </w:r>
      <w:r w:rsidRPr="006C0693">
        <w:rPr>
          <w:rFonts w:ascii="Times New Roman" w:hAnsi="Times New Roman" w:cs="Times New Roman"/>
          <w:sz w:val="24"/>
          <w:szCs w:val="24"/>
        </w:rPr>
        <w:t xml:space="preserve">Nothing in this provision suggests that the right to access may be privately enforced by the detained individual. To suggest that a consular notification claim could amount to a human rights violation, let alone a </w:t>
      </w:r>
      <w:r w:rsidR="007356DC" w:rsidRPr="006C0693">
        <w:rPr>
          <w:rFonts w:ascii="Times New Roman" w:hAnsi="Times New Roman" w:cs="Times New Roman"/>
          <w:sz w:val="24"/>
          <w:szCs w:val="24"/>
        </w:rPr>
        <w:t>violation of the right to life,</w:t>
      </w:r>
      <w:r w:rsidRPr="006C0693">
        <w:rPr>
          <w:rFonts w:ascii="Times New Roman" w:hAnsi="Times New Roman" w:cs="Times New Roman"/>
          <w:sz w:val="24"/>
          <w:szCs w:val="24"/>
        </w:rPr>
        <w:t xml:space="preserve"> would lead to the untenable conclusion that any foreign national who does not receive consular assistance from his or her country’s </w:t>
      </w:r>
      <w:r w:rsidRPr="006C0693">
        <w:rPr>
          <w:rFonts w:ascii="Times New Roman" w:hAnsi="Times New Roman" w:cs="Times New Roman"/>
          <w:sz w:val="24"/>
          <w:szCs w:val="24"/>
        </w:rPr>
        <w:lastRenderedPageBreak/>
        <w:t>consular officers, because of an absence of consular relations or because those consular officers did not provide such assistance, cannot receive a fair trial or due process of law.</w:t>
      </w:r>
    </w:p>
    <w:p w:rsidR="00A12DF0" w:rsidRPr="006C0693" w:rsidRDefault="00A12DF0" w:rsidP="006C0693">
      <w:pPr>
        <w:contextualSpacing/>
        <w:rPr>
          <w:rFonts w:ascii="Times New Roman" w:hAnsi="Times New Roman" w:cs="Times New Roman"/>
          <w:b/>
          <w:sz w:val="24"/>
          <w:szCs w:val="24"/>
        </w:rPr>
      </w:pPr>
    </w:p>
    <w:p w:rsidR="00A12DF0" w:rsidRPr="006C0693" w:rsidRDefault="00F907FD" w:rsidP="006C0693">
      <w:pPr>
        <w:contextualSpacing/>
        <w:rPr>
          <w:rFonts w:ascii="Times New Roman" w:hAnsi="Times New Roman" w:cs="Times New Roman"/>
          <w:sz w:val="24"/>
          <w:szCs w:val="24"/>
        </w:rPr>
      </w:pPr>
      <w:r w:rsidRPr="006C0693">
        <w:rPr>
          <w:rFonts w:ascii="Times New Roman" w:hAnsi="Times New Roman" w:cs="Times New Roman"/>
          <w:sz w:val="24"/>
          <w:szCs w:val="24"/>
        </w:rPr>
        <w:t>45</w:t>
      </w:r>
      <w:r w:rsidR="00716C13" w:rsidRPr="006C0693">
        <w:rPr>
          <w:rFonts w:ascii="Times New Roman" w:hAnsi="Times New Roman" w:cs="Times New Roman"/>
          <w:sz w:val="24"/>
          <w:szCs w:val="24"/>
        </w:rPr>
        <w:t xml:space="preserve">.  We strongly disagree with the Committee’s assertion in paragraph 50 that either the requirement of a final judgment before execution </w:t>
      </w:r>
      <w:r w:rsidR="007356DC" w:rsidRPr="006C0693">
        <w:rPr>
          <w:rFonts w:ascii="Times New Roman" w:hAnsi="Times New Roman" w:cs="Times New Roman"/>
          <w:sz w:val="24"/>
          <w:szCs w:val="24"/>
        </w:rPr>
        <w:t xml:space="preserve">under Article 6(2) </w:t>
      </w:r>
      <w:r w:rsidR="00716C13" w:rsidRPr="006C0693">
        <w:rPr>
          <w:rFonts w:ascii="Times New Roman" w:hAnsi="Times New Roman" w:cs="Times New Roman"/>
          <w:sz w:val="24"/>
          <w:szCs w:val="24"/>
        </w:rPr>
        <w:t xml:space="preserve">or the right of the sentenced person to seek pardon or commutation under Article </w:t>
      </w:r>
      <w:r w:rsidR="007356DC" w:rsidRPr="006C0693">
        <w:rPr>
          <w:rFonts w:ascii="Times New Roman" w:hAnsi="Times New Roman" w:cs="Times New Roman"/>
          <w:sz w:val="24"/>
          <w:szCs w:val="24"/>
        </w:rPr>
        <w:t>6</w:t>
      </w:r>
      <w:r w:rsidR="00716C13" w:rsidRPr="006C0693">
        <w:rPr>
          <w:rFonts w:ascii="Times New Roman" w:hAnsi="Times New Roman" w:cs="Times New Roman"/>
          <w:sz w:val="24"/>
          <w:szCs w:val="24"/>
        </w:rPr>
        <w:t xml:space="preserve">(4) can be </w:t>
      </w:r>
      <w:r w:rsidR="00AB757D" w:rsidRPr="006C0693">
        <w:rPr>
          <w:rFonts w:ascii="Times New Roman" w:hAnsi="Times New Roman" w:cs="Times New Roman"/>
          <w:sz w:val="24"/>
          <w:szCs w:val="24"/>
        </w:rPr>
        <w:t xml:space="preserve">considered </w:t>
      </w:r>
      <w:r w:rsidR="00716C13" w:rsidRPr="006C0693">
        <w:rPr>
          <w:rFonts w:ascii="Times New Roman" w:hAnsi="Times New Roman" w:cs="Times New Roman"/>
          <w:sz w:val="24"/>
          <w:szCs w:val="24"/>
        </w:rPr>
        <w:t>to encompass appeals to any and all “available non-judicial avenues,” to include international commissions, monitoring bodies</w:t>
      </w:r>
      <w:r w:rsidR="00353DA5" w:rsidRPr="006C0693">
        <w:rPr>
          <w:rFonts w:ascii="Times New Roman" w:hAnsi="Times New Roman" w:cs="Times New Roman"/>
          <w:sz w:val="24"/>
          <w:szCs w:val="24"/>
        </w:rPr>
        <w:t>,</w:t>
      </w:r>
      <w:r w:rsidR="00716C13" w:rsidRPr="006C0693">
        <w:rPr>
          <w:rFonts w:ascii="Times New Roman" w:hAnsi="Times New Roman" w:cs="Times New Roman"/>
          <w:sz w:val="24"/>
          <w:szCs w:val="24"/>
        </w:rPr>
        <w:t xml:space="preserve"> or U</w:t>
      </w:r>
      <w:r w:rsidR="00000A96" w:rsidRPr="006C0693">
        <w:rPr>
          <w:rFonts w:ascii="Times New Roman" w:hAnsi="Times New Roman" w:cs="Times New Roman"/>
          <w:sz w:val="24"/>
          <w:szCs w:val="24"/>
        </w:rPr>
        <w:t>.</w:t>
      </w:r>
      <w:r w:rsidR="00716C13" w:rsidRPr="006C0693">
        <w:rPr>
          <w:rFonts w:ascii="Times New Roman" w:hAnsi="Times New Roman" w:cs="Times New Roman"/>
          <w:sz w:val="24"/>
          <w:szCs w:val="24"/>
        </w:rPr>
        <w:t>N</w:t>
      </w:r>
      <w:r w:rsidR="00000A96" w:rsidRPr="006C0693">
        <w:rPr>
          <w:rFonts w:ascii="Times New Roman" w:hAnsi="Times New Roman" w:cs="Times New Roman"/>
          <w:sz w:val="24"/>
          <w:szCs w:val="24"/>
        </w:rPr>
        <w:t>.</w:t>
      </w:r>
      <w:r w:rsidR="00716C13" w:rsidRPr="006C0693">
        <w:rPr>
          <w:rFonts w:ascii="Times New Roman" w:hAnsi="Times New Roman" w:cs="Times New Roman"/>
          <w:sz w:val="24"/>
          <w:szCs w:val="24"/>
        </w:rPr>
        <w:t xml:space="preserve"> treaty bodies</w:t>
      </w:r>
      <w:r w:rsidR="007356DC" w:rsidRPr="006C0693">
        <w:rPr>
          <w:rFonts w:ascii="Times New Roman" w:hAnsi="Times New Roman" w:cs="Times New Roman"/>
          <w:sz w:val="24"/>
          <w:szCs w:val="24"/>
        </w:rPr>
        <w:t xml:space="preserve">.  </w:t>
      </w:r>
      <w:r w:rsidR="008E7C42" w:rsidRPr="006C0693">
        <w:rPr>
          <w:rFonts w:ascii="Times New Roman" w:hAnsi="Times New Roman" w:cs="Times New Roman"/>
          <w:sz w:val="24"/>
          <w:szCs w:val="24"/>
        </w:rPr>
        <w:t xml:space="preserve">Further, </w:t>
      </w:r>
      <w:r w:rsidR="007356DC" w:rsidRPr="006C0693">
        <w:rPr>
          <w:rFonts w:ascii="Times New Roman" w:hAnsi="Times New Roman" w:cs="Times New Roman"/>
          <w:sz w:val="24"/>
          <w:szCs w:val="24"/>
        </w:rPr>
        <w:t xml:space="preserve">there is no support for the </w:t>
      </w:r>
      <w:r w:rsidR="00716C13" w:rsidRPr="006C0693">
        <w:rPr>
          <w:rFonts w:ascii="Times New Roman" w:hAnsi="Times New Roman" w:cs="Times New Roman"/>
          <w:sz w:val="24"/>
          <w:szCs w:val="24"/>
        </w:rPr>
        <w:t>suggest</w:t>
      </w:r>
      <w:r w:rsidR="007356DC" w:rsidRPr="006C0693">
        <w:rPr>
          <w:rFonts w:ascii="Times New Roman" w:hAnsi="Times New Roman" w:cs="Times New Roman"/>
          <w:sz w:val="24"/>
          <w:szCs w:val="24"/>
        </w:rPr>
        <w:t>ion</w:t>
      </w:r>
      <w:r w:rsidR="00716C13" w:rsidRPr="006C0693">
        <w:rPr>
          <w:rFonts w:ascii="Times New Roman" w:hAnsi="Times New Roman" w:cs="Times New Roman"/>
          <w:sz w:val="24"/>
          <w:szCs w:val="24"/>
        </w:rPr>
        <w:t xml:space="preserve"> that a failure to implement non-binding recommendations, interim measures</w:t>
      </w:r>
      <w:r w:rsidR="00353DA5" w:rsidRPr="006C0693">
        <w:rPr>
          <w:rFonts w:ascii="Times New Roman" w:hAnsi="Times New Roman" w:cs="Times New Roman"/>
          <w:sz w:val="24"/>
          <w:szCs w:val="24"/>
        </w:rPr>
        <w:t>,</w:t>
      </w:r>
      <w:r w:rsidR="00716C13" w:rsidRPr="006C0693">
        <w:rPr>
          <w:rFonts w:ascii="Times New Roman" w:hAnsi="Times New Roman" w:cs="Times New Roman"/>
          <w:sz w:val="24"/>
          <w:szCs w:val="24"/>
        </w:rPr>
        <w:t xml:space="preserve"> or other requests </w:t>
      </w:r>
      <w:r w:rsidR="00000A96" w:rsidRPr="006C0693">
        <w:rPr>
          <w:rFonts w:ascii="Times New Roman" w:hAnsi="Times New Roman" w:cs="Times New Roman"/>
          <w:sz w:val="24"/>
          <w:szCs w:val="24"/>
        </w:rPr>
        <w:t xml:space="preserve">in paragraph 50 </w:t>
      </w:r>
      <w:r w:rsidR="00716C13" w:rsidRPr="006C0693">
        <w:rPr>
          <w:rFonts w:ascii="Times New Roman" w:hAnsi="Times New Roman" w:cs="Times New Roman"/>
          <w:sz w:val="24"/>
          <w:szCs w:val="24"/>
        </w:rPr>
        <w:t xml:space="preserve">by such international bodies would be contrary to any </w:t>
      </w:r>
      <w:r w:rsidR="007356DC" w:rsidRPr="006C0693">
        <w:rPr>
          <w:rFonts w:ascii="Times New Roman" w:hAnsi="Times New Roman" w:cs="Times New Roman"/>
          <w:sz w:val="24"/>
          <w:szCs w:val="24"/>
        </w:rPr>
        <w:t xml:space="preserve">ICCPR </w:t>
      </w:r>
      <w:r w:rsidR="00716C13" w:rsidRPr="006C0693">
        <w:rPr>
          <w:rFonts w:ascii="Times New Roman" w:hAnsi="Times New Roman" w:cs="Times New Roman"/>
          <w:sz w:val="24"/>
          <w:szCs w:val="24"/>
        </w:rPr>
        <w:t xml:space="preserve">obligation, including the reporting obligation under Article 40 to submit reports in response to the Committee’s request. </w:t>
      </w:r>
      <w:r w:rsidR="006F3D3E" w:rsidRPr="006C0693">
        <w:rPr>
          <w:rFonts w:ascii="Times New Roman" w:hAnsi="Times New Roman" w:cs="Times New Roman"/>
          <w:sz w:val="24"/>
          <w:szCs w:val="24"/>
        </w:rPr>
        <w:t xml:space="preserve"> </w:t>
      </w:r>
      <w:r w:rsidR="00A12DF0" w:rsidRPr="006C0693">
        <w:rPr>
          <w:rFonts w:ascii="Times New Roman" w:hAnsi="Times New Roman" w:cs="Times New Roman"/>
          <w:sz w:val="24"/>
          <w:szCs w:val="24"/>
        </w:rPr>
        <w:t xml:space="preserve">The </w:t>
      </w:r>
      <w:r w:rsidR="00B1014D" w:rsidRPr="006C0693">
        <w:rPr>
          <w:rFonts w:ascii="Times New Roman" w:hAnsi="Times New Roman" w:cs="Times New Roman"/>
          <w:sz w:val="24"/>
          <w:szCs w:val="24"/>
        </w:rPr>
        <w:t xml:space="preserve">requirement under Article 6(2) </w:t>
      </w:r>
      <w:r w:rsidR="00A12DF0" w:rsidRPr="006C0693">
        <w:rPr>
          <w:rFonts w:ascii="Times New Roman" w:hAnsi="Times New Roman" w:cs="Times New Roman"/>
          <w:sz w:val="24"/>
          <w:szCs w:val="24"/>
        </w:rPr>
        <w:t>that the death penalty can only be carried out “pursuant to a final judg</w:t>
      </w:r>
      <w:r w:rsidR="006F3D3E" w:rsidRPr="006C0693">
        <w:rPr>
          <w:rFonts w:ascii="Times New Roman" w:hAnsi="Times New Roman" w:cs="Times New Roman"/>
          <w:sz w:val="24"/>
          <w:szCs w:val="24"/>
        </w:rPr>
        <w:t>e</w:t>
      </w:r>
      <w:r w:rsidR="00A12DF0" w:rsidRPr="006C0693">
        <w:rPr>
          <w:rFonts w:ascii="Times New Roman" w:hAnsi="Times New Roman" w:cs="Times New Roman"/>
          <w:sz w:val="24"/>
          <w:szCs w:val="24"/>
        </w:rPr>
        <w:t xml:space="preserve">ment rendered by a competent court” </w:t>
      </w:r>
      <w:r w:rsidR="007356DC" w:rsidRPr="006C0693">
        <w:rPr>
          <w:rFonts w:ascii="Times New Roman" w:hAnsi="Times New Roman" w:cs="Times New Roman"/>
          <w:sz w:val="24"/>
          <w:szCs w:val="24"/>
        </w:rPr>
        <w:t>can only</w:t>
      </w:r>
      <w:r w:rsidR="00B1014D" w:rsidRPr="006C0693">
        <w:rPr>
          <w:rFonts w:ascii="Times New Roman" w:hAnsi="Times New Roman" w:cs="Times New Roman"/>
          <w:sz w:val="24"/>
          <w:szCs w:val="24"/>
        </w:rPr>
        <w:t xml:space="preserve"> </w:t>
      </w:r>
      <w:r w:rsidR="00A12DF0" w:rsidRPr="006C0693">
        <w:rPr>
          <w:rFonts w:ascii="Times New Roman" w:hAnsi="Times New Roman" w:cs="Times New Roman"/>
          <w:sz w:val="24"/>
          <w:szCs w:val="24"/>
        </w:rPr>
        <w:t xml:space="preserve">be read in </w:t>
      </w:r>
      <w:r w:rsidR="00B1014D" w:rsidRPr="006C0693">
        <w:rPr>
          <w:rFonts w:ascii="Times New Roman" w:hAnsi="Times New Roman" w:cs="Times New Roman"/>
          <w:sz w:val="24"/>
          <w:szCs w:val="24"/>
        </w:rPr>
        <w:t>conjunction</w:t>
      </w:r>
      <w:r w:rsidR="00A12DF0" w:rsidRPr="006C0693">
        <w:rPr>
          <w:rFonts w:ascii="Times New Roman" w:hAnsi="Times New Roman" w:cs="Times New Roman"/>
          <w:sz w:val="24"/>
          <w:szCs w:val="24"/>
        </w:rPr>
        <w:t xml:space="preserve"> </w:t>
      </w:r>
      <w:r w:rsidR="00B1014D" w:rsidRPr="006C0693">
        <w:rPr>
          <w:rFonts w:ascii="Times New Roman" w:hAnsi="Times New Roman" w:cs="Times New Roman"/>
          <w:sz w:val="24"/>
          <w:szCs w:val="24"/>
        </w:rPr>
        <w:t>with</w:t>
      </w:r>
      <w:r w:rsidR="00A12DF0" w:rsidRPr="006C0693">
        <w:rPr>
          <w:rFonts w:ascii="Times New Roman" w:hAnsi="Times New Roman" w:cs="Times New Roman"/>
          <w:sz w:val="24"/>
          <w:szCs w:val="24"/>
        </w:rPr>
        <w:t xml:space="preserve"> Article 14(1) and (5) to mean a competent, independent and impartial higher tribunal established by law.  </w:t>
      </w:r>
      <w:r w:rsidR="006F3D3E" w:rsidRPr="006C0693">
        <w:rPr>
          <w:rFonts w:ascii="Times New Roman" w:hAnsi="Times New Roman" w:cs="Times New Roman"/>
          <w:sz w:val="24"/>
          <w:szCs w:val="24"/>
        </w:rPr>
        <w:t>The United States is not subject to the jurisdiction of any international court that would fall within such terms.  It is for States that are subject to the jurisdiction of such an international court to interpret the scope of their obligation in that regard.</w:t>
      </w:r>
      <w:r w:rsidR="00A12DF0" w:rsidRPr="006C0693">
        <w:rPr>
          <w:rFonts w:ascii="Times New Roman" w:hAnsi="Times New Roman" w:cs="Times New Roman"/>
          <w:sz w:val="24"/>
          <w:szCs w:val="24"/>
        </w:rPr>
        <w:t xml:space="preserve"> </w:t>
      </w:r>
    </w:p>
    <w:p w:rsidR="0086220F" w:rsidRPr="006C0693" w:rsidRDefault="0086220F" w:rsidP="006C0693">
      <w:pPr>
        <w:spacing w:after="150"/>
        <w:contextualSpacing/>
        <w:rPr>
          <w:rFonts w:ascii="Times New Roman" w:hAnsi="Times New Roman" w:cs="Times New Roman"/>
          <w:sz w:val="24"/>
          <w:szCs w:val="24"/>
        </w:rPr>
      </w:pPr>
    </w:p>
    <w:p w:rsidR="00A12DF0" w:rsidRPr="006C0693" w:rsidRDefault="00F907FD" w:rsidP="006C0693">
      <w:pPr>
        <w:spacing w:after="150"/>
        <w:contextualSpacing/>
        <w:rPr>
          <w:rFonts w:ascii="Times New Roman" w:hAnsi="Times New Roman" w:cs="Times New Roman"/>
          <w:sz w:val="24"/>
          <w:szCs w:val="24"/>
        </w:rPr>
      </w:pPr>
      <w:r w:rsidRPr="006C0693">
        <w:rPr>
          <w:rFonts w:ascii="Times New Roman" w:hAnsi="Times New Roman" w:cs="Times New Roman"/>
          <w:sz w:val="24"/>
          <w:szCs w:val="24"/>
        </w:rPr>
        <w:t>46</w:t>
      </w:r>
      <w:r w:rsidR="00716C13" w:rsidRPr="006C0693">
        <w:rPr>
          <w:rFonts w:ascii="Times New Roman" w:hAnsi="Times New Roman" w:cs="Times New Roman"/>
          <w:sz w:val="24"/>
          <w:szCs w:val="24"/>
        </w:rPr>
        <w:t xml:space="preserve">.  </w:t>
      </w:r>
      <w:r w:rsidR="00A12DF0" w:rsidRPr="006C0693">
        <w:rPr>
          <w:rFonts w:ascii="Times New Roman" w:hAnsi="Times New Roman" w:cs="Times New Roman"/>
          <w:sz w:val="24"/>
          <w:szCs w:val="24"/>
        </w:rPr>
        <w:t xml:space="preserve">With respect to the question of abolition, there is no basis for the assertion in paragraph 54 that Article 6, paragraph 6 reaffirms </w:t>
      </w:r>
      <w:r w:rsidR="006F3D3E" w:rsidRPr="006C0693">
        <w:rPr>
          <w:rFonts w:ascii="Times New Roman" w:hAnsi="Times New Roman" w:cs="Times New Roman"/>
          <w:sz w:val="24"/>
          <w:szCs w:val="24"/>
        </w:rPr>
        <w:t xml:space="preserve">the </w:t>
      </w:r>
      <w:r w:rsidR="00A12DF0" w:rsidRPr="006C0693">
        <w:rPr>
          <w:rFonts w:ascii="Times New Roman" w:hAnsi="Times New Roman" w:cs="Times New Roman"/>
          <w:sz w:val="24"/>
          <w:szCs w:val="24"/>
        </w:rPr>
        <w:t xml:space="preserve">position of States Parties that there should be “an irrevocable path towards complete abolition.” </w:t>
      </w:r>
      <w:r w:rsidR="00FB26C2" w:rsidRPr="006C0693">
        <w:rPr>
          <w:rFonts w:ascii="Times New Roman" w:hAnsi="Times New Roman" w:cs="Times New Roman"/>
          <w:sz w:val="24"/>
          <w:szCs w:val="24"/>
        </w:rPr>
        <w:t xml:space="preserve"> Neither the wording nor </w:t>
      </w:r>
      <w:r w:rsidR="00AB757D" w:rsidRPr="006C0693">
        <w:rPr>
          <w:rFonts w:ascii="Times New Roman" w:hAnsi="Times New Roman" w:cs="Times New Roman"/>
          <w:sz w:val="24"/>
          <w:szCs w:val="24"/>
        </w:rPr>
        <w:t xml:space="preserve">the </w:t>
      </w:r>
      <w:r w:rsidR="00AB757D" w:rsidRPr="006C0693">
        <w:rPr>
          <w:rFonts w:ascii="Times New Roman" w:hAnsi="Times New Roman" w:cs="Times New Roman"/>
          <w:i/>
          <w:sz w:val="24"/>
          <w:szCs w:val="24"/>
        </w:rPr>
        <w:t xml:space="preserve">travaux </w:t>
      </w:r>
      <w:r w:rsidR="001C1A3C" w:rsidRPr="006C0693">
        <w:rPr>
          <w:rFonts w:ascii="Times New Roman" w:hAnsi="Times New Roman" w:cs="Times New Roman"/>
          <w:i/>
          <w:sz w:val="24"/>
          <w:szCs w:val="24"/>
        </w:rPr>
        <w:t>préparatoires</w:t>
      </w:r>
      <w:r w:rsidR="00AB757D" w:rsidRPr="006C0693">
        <w:rPr>
          <w:rFonts w:ascii="Times New Roman" w:hAnsi="Times New Roman" w:cs="Times New Roman"/>
          <w:sz w:val="24"/>
          <w:szCs w:val="24"/>
        </w:rPr>
        <w:t xml:space="preserve"> </w:t>
      </w:r>
      <w:r w:rsidR="00FB26C2" w:rsidRPr="006C0693">
        <w:rPr>
          <w:rFonts w:ascii="Times New Roman" w:hAnsi="Times New Roman" w:cs="Times New Roman"/>
          <w:sz w:val="24"/>
          <w:szCs w:val="24"/>
        </w:rPr>
        <w:t xml:space="preserve">supports such a view, particularly in view of how controversial the subject was </w:t>
      </w:r>
      <w:r w:rsidR="00AB757D" w:rsidRPr="006C0693">
        <w:rPr>
          <w:rFonts w:ascii="Times New Roman" w:hAnsi="Times New Roman" w:cs="Times New Roman"/>
          <w:sz w:val="24"/>
          <w:szCs w:val="24"/>
        </w:rPr>
        <w:t>throughout th</w:t>
      </w:r>
      <w:r w:rsidR="00FB26C2" w:rsidRPr="006C0693">
        <w:rPr>
          <w:rFonts w:ascii="Times New Roman" w:hAnsi="Times New Roman" w:cs="Times New Roman"/>
          <w:sz w:val="24"/>
          <w:szCs w:val="24"/>
        </w:rPr>
        <w:t>e</w:t>
      </w:r>
      <w:r w:rsidR="00AB757D" w:rsidRPr="006C0693">
        <w:rPr>
          <w:rFonts w:ascii="Times New Roman" w:hAnsi="Times New Roman" w:cs="Times New Roman"/>
          <w:sz w:val="24"/>
          <w:szCs w:val="24"/>
        </w:rPr>
        <w:t xml:space="preserve"> negotiation</w:t>
      </w:r>
      <w:r w:rsidR="00FB26C2" w:rsidRPr="006C0693">
        <w:rPr>
          <w:rFonts w:ascii="Times New Roman" w:hAnsi="Times New Roman" w:cs="Times New Roman"/>
          <w:sz w:val="24"/>
          <w:szCs w:val="24"/>
        </w:rPr>
        <w:t xml:space="preserve"> </w:t>
      </w:r>
      <w:r w:rsidR="00AB757D" w:rsidRPr="006C0693">
        <w:rPr>
          <w:rFonts w:ascii="Times New Roman" w:hAnsi="Times New Roman" w:cs="Times New Roman"/>
          <w:sz w:val="24"/>
          <w:szCs w:val="24"/>
        </w:rPr>
        <w:t>of Article 6</w:t>
      </w:r>
      <w:r w:rsidR="004C6BEC" w:rsidRPr="006C0693">
        <w:rPr>
          <w:rFonts w:ascii="Times New Roman" w:hAnsi="Times New Roman" w:cs="Times New Roman"/>
          <w:sz w:val="24"/>
          <w:szCs w:val="24"/>
        </w:rPr>
        <w:t>.</w:t>
      </w:r>
      <w:r w:rsidR="00AB757D" w:rsidRPr="006C0693">
        <w:rPr>
          <w:rFonts w:ascii="Times New Roman" w:hAnsi="Times New Roman" w:cs="Times New Roman"/>
          <w:sz w:val="24"/>
          <w:szCs w:val="24"/>
        </w:rPr>
        <w:t xml:space="preserve"> </w:t>
      </w:r>
      <w:r w:rsidR="00CB4580" w:rsidRPr="006C0693">
        <w:rPr>
          <w:rStyle w:val="FootnoteReference"/>
          <w:rFonts w:ascii="Times New Roman" w:hAnsi="Times New Roman" w:cs="Times New Roman"/>
          <w:sz w:val="24"/>
          <w:szCs w:val="24"/>
        </w:rPr>
        <w:t xml:space="preserve"> </w:t>
      </w:r>
      <w:r w:rsidR="00CB4580" w:rsidRPr="006C0693">
        <w:rPr>
          <w:rFonts w:ascii="Times New Roman" w:hAnsi="Times New Roman" w:cs="Times New Roman"/>
          <w:sz w:val="24"/>
          <w:szCs w:val="24"/>
        </w:rPr>
        <w:t xml:space="preserve"> </w:t>
      </w:r>
      <w:r w:rsidR="00353DA5" w:rsidRPr="006C0693">
        <w:rPr>
          <w:rFonts w:ascii="Times New Roman" w:hAnsi="Times New Roman" w:cs="Times New Roman"/>
          <w:sz w:val="24"/>
          <w:szCs w:val="24"/>
        </w:rPr>
        <w:t xml:space="preserve">Although </w:t>
      </w:r>
      <w:r w:rsidR="00CB4580" w:rsidRPr="006C0693">
        <w:rPr>
          <w:rFonts w:ascii="Times New Roman" w:hAnsi="Times New Roman" w:cs="Times New Roman"/>
          <w:sz w:val="24"/>
          <w:szCs w:val="24"/>
        </w:rPr>
        <w:t xml:space="preserve">this may have been </w:t>
      </w:r>
      <w:r w:rsidR="00A12DF0" w:rsidRPr="006C0693">
        <w:rPr>
          <w:rFonts w:ascii="Times New Roman" w:hAnsi="Times New Roman" w:cs="Times New Roman"/>
          <w:sz w:val="24"/>
          <w:szCs w:val="24"/>
        </w:rPr>
        <w:t xml:space="preserve">the view of some States during the drafting, it was not </w:t>
      </w:r>
      <w:r w:rsidR="00353DA5" w:rsidRPr="006C0693">
        <w:rPr>
          <w:rFonts w:ascii="Times New Roman" w:hAnsi="Times New Roman" w:cs="Times New Roman"/>
          <w:sz w:val="24"/>
          <w:szCs w:val="24"/>
        </w:rPr>
        <w:t xml:space="preserve">the view </w:t>
      </w:r>
      <w:r w:rsidR="00A12DF0" w:rsidRPr="006C0693">
        <w:rPr>
          <w:rFonts w:ascii="Times New Roman" w:hAnsi="Times New Roman" w:cs="Times New Roman"/>
          <w:sz w:val="24"/>
          <w:szCs w:val="24"/>
        </w:rPr>
        <w:t>of all</w:t>
      </w:r>
      <w:r w:rsidR="00353DA5" w:rsidRPr="006C0693">
        <w:rPr>
          <w:rFonts w:ascii="Times New Roman" w:hAnsi="Times New Roman" w:cs="Times New Roman"/>
          <w:sz w:val="24"/>
          <w:szCs w:val="24"/>
        </w:rPr>
        <w:t xml:space="preserve"> States</w:t>
      </w:r>
      <w:r w:rsidR="00A12DF0" w:rsidRPr="006C0693">
        <w:rPr>
          <w:rFonts w:ascii="Times New Roman" w:hAnsi="Times New Roman" w:cs="Times New Roman"/>
          <w:sz w:val="24"/>
          <w:szCs w:val="24"/>
        </w:rPr>
        <w:t xml:space="preserve">, and the entire Article, including paragraph 6, </w:t>
      </w:r>
      <w:r w:rsidR="00CB4580" w:rsidRPr="006C0693">
        <w:rPr>
          <w:rFonts w:ascii="Times New Roman" w:hAnsi="Times New Roman" w:cs="Times New Roman"/>
          <w:sz w:val="24"/>
          <w:szCs w:val="24"/>
        </w:rPr>
        <w:t>was</w:t>
      </w:r>
      <w:r w:rsidR="00A12DF0" w:rsidRPr="006C0693">
        <w:rPr>
          <w:rFonts w:ascii="Times New Roman" w:hAnsi="Times New Roman" w:cs="Times New Roman"/>
          <w:sz w:val="24"/>
          <w:szCs w:val="24"/>
        </w:rPr>
        <w:t xml:space="preserve"> neutral</w:t>
      </w:r>
      <w:r w:rsidR="00CB4580" w:rsidRPr="006C0693">
        <w:rPr>
          <w:rFonts w:ascii="Times New Roman" w:hAnsi="Times New Roman" w:cs="Times New Roman"/>
          <w:sz w:val="24"/>
          <w:szCs w:val="24"/>
        </w:rPr>
        <w:t>ly drafted</w:t>
      </w:r>
      <w:r w:rsidR="00A12DF0" w:rsidRPr="006C0693">
        <w:rPr>
          <w:rFonts w:ascii="Times New Roman" w:hAnsi="Times New Roman" w:cs="Times New Roman"/>
          <w:sz w:val="24"/>
          <w:szCs w:val="24"/>
        </w:rPr>
        <w:t xml:space="preserve"> for that reason. </w:t>
      </w:r>
      <w:r w:rsidR="006F3D3E" w:rsidRPr="006C0693">
        <w:rPr>
          <w:rFonts w:ascii="Times New Roman" w:hAnsi="Times New Roman" w:cs="Times New Roman"/>
          <w:sz w:val="24"/>
          <w:szCs w:val="24"/>
        </w:rPr>
        <w:t xml:space="preserve"> </w:t>
      </w:r>
      <w:r w:rsidR="00A12DF0" w:rsidRPr="006C0693">
        <w:rPr>
          <w:rFonts w:ascii="Times New Roman" w:hAnsi="Times New Roman" w:cs="Times New Roman"/>
          <w:sz w:val="24"/>
          <w:szCs w:val="24"/>
        </w:rPr>
        <w:t>There is also no basis for the Committee to suggest that any steps taken by States Parties to increase or alter the use of the death penalty can reasonably be considered as contrary to the object and purposes of the ICCPR</w:t>
      </w:r>
      <w:r w:rsidR="006A1B0B" w:rsidRPr="006C0693">
        <w:rPr>
          <w:rFonts w:ascii="Times New Roman" w:hAnsi="Times New Roman" w:cs="Times New Roman"/>
          <w:sz w:val="24"/>
          <w:szCs w:val="24"/>
        </w:rPr>
        <w:t xml:space="preserve"> or what the Committee refers to as “the object and </w:t>
      </w:r>
      <w:r w:rsidR="006437B7" w:rsidRPr="006C0693">
        <w:rPr>
          <w:rFonts w:ascii="Times New Roman" w:hAnsi="Times New Roman" w:cs="Times New Roman"/>
          <w:sz w:val="24"/>
          <w:szCs w:val="24"/>
        </w:rPr>
        <w:t>p</w:t>
      </w:r>
      <w:r w:rsidR="006A1B0B" w:rsidRPr="006C0693">
        <w:rPr>
          <w:rFonts w:ascii="Times New Roman" w:hAnsi="Times New Roman" w:cs="Times New Roman"/>
          <w:sz w:val="24"/>
          <w:szCs w:val="24"/>
        </w:rPr>
        <w:t>urpose of Article 6.”</w:t>
      </w:r>
      <w:r w:rsidR="00A12DF0" w:rsidRPr="006C0693">
        <w:rPr>
          <w:rFonts w:ascii="Times New Roman" w:hAnsi="Times New Roman" w:cs="Times New Roman"/>
          <w:sz w:val="24"/>
          <w:szCs w:val="24"/>
        </w:rPr>
        <w:t xml:space="preserve">  </w:t>
      </w:r>
      <w:r w:rsidR="008E7C42" w:rsidRPr="006C0693">
        <w:rPr>
          <w:rFonts w:ascii="Times New Roman" w:hAnsi="Times New Roman" w:cs="Times New Roman"/>
          <w:sz w:val="24"/>
          <w:szCs w:val="24"/>
        </w:rPr>
        <w:t>U</w:t>
      </w:r>
      <w:r w:rsidR="00A12DF0" w:rsidRPr="006C0693">
        <w:rPr>
          <w:rFonts w:ascii="Times New Roman" w:hAnsi="Times New Roman" w:cs="Times New Roman"/>
          <w:sz w:val="24"/>
          <w:szCs w:val="24"/>
        </w:rPr>
        <w:t xml:space="preserve">nder the rules of treaty interpretation reflected in the </w:t>
      </w:r>
      <w:r w:rsidR="00AF3672" w:rsidRPr="006C0693">
        <w:rPr>
          <w:rFonts w:ascii="Times New Roman" w:hAnsi="Times New Roman" w:cs="Times New Roman"/>
          <w:sz w:val="24"/>
          <w:szCs w:val="24"/>
        </w:rPr>
        <w:t>VCLT</w:t>
      </w:r>
      <w:r w:rsidR="00A12DF0" w:rsidRPr="006C0693">
        <w:rPr>
          <w:rFonts w:ascii="Times New Roman" w:hAnsi="Times New Roman" w:cs="Times New Roman"/>
          <w:sz w:val="24"/>
          <w:szCs w:val="24"/>
        </w:rPr>
        <w:t xml:space="preserve">, it is the treaty that has an object and purpose, not the individual provisions. </w:t>
      </w:r>
      <w:r w:rsidR="006437B7" w:rsidRPr="006C0693">
        <w:rPr>
          <w:rFonts w:ascii="Times New Roman" w:hAnsi="Times New Roman" w:cs="Times New Roman"/>
          <w:sz w:val="24"/>
          <w:szCs w:val="24"/>
        </w:rPr>
        <w:t>But, more centrally, the only conditions that</w:t>
      </w:r>
      <w:r w:rsidRPr="006C0693">
        <w:rPr>
          <w:rFonts w:ascii="Times New Roman" w:hAnsi="Times New Roman" w:cs="Times New Roman"/>
          <w:sz w:val="24"/>
          <w:szCs w:val="24"/>
        </w:rPr>
        <w:t xml:space="preserve"> the</w:t>
      </w:r>
      <w:r w:rsidR="006437B7" w:rsidRPr="006C0693">
        <w:rPr>
          <w:rFonts w:ascii="Times New Roman" w:hAnsi="Times New Roman" w:cs="Times New Roman"/>
          <w:sz w:val="24"/>
          <w:szCs w:val="24"/>
        </w:rPr>
        <w:t xml:space="preserve"> ICCPR creates with respect to the application of the death penalty are those specified in the text of Article 6.  While the provisions of Article 6 are, of course, to be interpreted in light of the Covenant’s object and purpose, reference to the Covenant’s object and purpose cannot create new conditions not specified in the text.</w:t>
      </w:r>
      <w:r w:rsidR="00A12DF0" w:rsidRPr="006C0693">
        <w:rPr>
          <w:rFonts w:ascii="Times New Roman" w:hAnsi="Times New Roman" w:cs="Times New Roman"/>
          <w:sz w:val="24"/>
          <w:szCs w:val="24"/>
        </w:rPr>
        <w:t xml:space="preserve"> </w:t>
      </w:r>
      <w:r w:rsidR="00CB4580" w:rsidRPr="006C0693">
        <w:rPr>
          <w:rFonts w:ascii="Times New Roman" w:hAnsi="Times New Roman" w:cs="Times New Roman"/>
          <w:sz w:val="24"/>
          <w:szCs w:val="24"/>
        </w:rPr>
        <w:t xml:space="preserve"> </w:t>
      </w:r>
    </w:p>
    <w:p w:rsidR="00A12DF0" w:rsidRPr="006C0693" w:rsidRDefault="00A12DF0" w:rsidP="006C0693">
      <w:pPr>
        <w:spacing w:after="150"/>
        <w:ind w:left="720"/>
        <w:contextualSpacing/>
        <w:rPr>
          <w:rFonts w:ascii="Times New Roman" w:hAnsi="Times New Roman" w:cs="Times New Roman"/>
          <w:sz w:val="24"/>
          <w:szCs w:val="24"/>
        </w:rPr>
      </w:pPr>
    </w:p>
    <w:p w:rsidR="00A12DF0" w:rsidRPr="006C0693" w:rsidRDefault="00F907FD" w:rsidP="006C0693">
      <w:pPr>
        <w:spacing w:after="150"/>
        <w:contextualSpacing/>
        <w:rPr>
          <w:rFonts w:ascii="Times New Roman" w:hAnsi="Times New Roman" w:cs="Times New Roman"/>
          <w:sz w:val="24"/>
          <w:szCs w:val="24"/>
        </w:rPr>
      </w:pPr>
      <w:r w:rsidRPr="006C0693">
        <w:rPr>
          <w:rFonts w:ascii="Times New Roman" w:hAnsi="Times New Roman" w:cs="Times New Roman"/>
          <w:sz w:val="24"/>
          <w:szCs w:val="24"/>
        </w:rPr>
        <w:t>47</w:t>
      </w:r>
      <w:r w:rsidR="00716C13" w:rsidRPr="006C0693">
        <w:rPr>
          <w:rFonts w:ascii="Times New Roman" w:hAnsi="Times New Roman" w:cs="Times New Roman"/>
          <w:sz w:val="24"/>
          <w:szCs w:val="24"/>
        </w:rPr>
        <w:t xml:space="preserve">.  </w:t>
      </w:r>
      <w:r w:rsidR="00A12DF0" w:rsidRPr="006C0693">
        <w:rPr>
          <w:rFonts w:ascii="Times New Roman" w:hAnsi="Times New Roman" w:cs="Times New Roman"/>
          <w:sz w:val="24"/>
          <w:szCs w:val="24"/>
        </w:rPr>
        <w:t xml:space="preserve">The Committee’s </w:t>
      </w:r>
      <w:r w:rsidR="009E0A5D" w:rsidRPr="006C0693">
        <w:rPr>
          <w:rFonts w:ascii="Times New Roman" w:hAnsi="Times New Roman" w:cs="Times New Roman"/>
          <w:sz w:val="24"/>
          <w:szCs w:val="24"/>
        </w:rPr>
        <w:t xml:space="preserve">statement </w:t>
      </w:r>
      <w:r w:rsidR="00A12DF0" w:rsidRPr="006C0693">
        <w:rPr>
          <w:rFonts w:ascii="Times New Roman" w:hAnsi="Times New Roman" w:cs="Times New Roman"/>
          <w:sz w:val="24"/>
          <w:szCs w:val="24"/>
        </w:rPr>
        <w:t xml:space="preserve">in favor of abolition in paragraph 55 is clearly addressed to an audience other than the States Parties who do not support abolition and who continue to apply the death penalty and be bound by the conditions for its application contained in Article 6.  </w:t>
      </w:r>
      <w:r w:rsidR="0039201D" w:rsidRPr="006C0693">
        <w:rPr>
          <w:rFonts w:ascii="Times New Roman" w:hAnsi="Times New Roman" w:cs="Times New Roman"/>
          <w:sz w:val="24"/>
          <w:szCs w:val="24"/>
        </w:rPr>
        <w:t>With regard to the Committee’s comments in paragraph 55 regarding abolition, t</w:t>
      </w:r>
      <w:r w:rsidR="00A12DF0" w:rsidRPr="006C0693">
        <w:rPr>
          <w:rFonts w:ascii="Times New Roman" w:hAnsi="Times New Roman" w:cs="Times New Roman"/>
          <w:sz w:val="24"/>
          <w:szCs w:val="24"/>
        </w:rPr>
        <w:t xml:space="preserve">he death penalty was a contentious issue in drafting Article 6.  As the Committee has acknowledged, there was no consensus and there remains no consensus today, that the death penalty </w:t>
      </w:r>
      <w:r w:rsidR="00A12DF0" w:rsidRPr="006C0693">
        <w:rPr>
          <w:rFonts w:ascii="Times New Roman" w:hAnsi="Times New Roman" w:cs="Times New Roman"/>
          <w:i/>
          <w:sz w:val="24"/>
          <w:szCs w:val="24"/>
        </w:rPr>
        <w:t>per se</w:t>
      </w:r>
      <w:r w:rsidR="00A12DF0" w:rsidRPr="006C0693">
        <w:rPr>
          <w:rFonts w:ascii="Times New Roman" w:hAnsi="Times New Roman" w:cs="Times New Roman"/>
          <w:sz w:val="24"/>
          <w:szCs w:val="24"/>
        </w:rPr>
        <w:t xml:space="preserve"> is cruel, inhuman </w:t>
      </w:r>
      <w:r w:rsidR="00A12DF0" w:rsidRPr="006C0693">
        <w:rPr>
          <w:rFonts w:ascii="Times New Roman" w:hAnsi="Times New Roman" w:cs="Times New Roman"/>
          <w:sz w:val="24"/>
          <w:szCs w:val="24"/>
        </w:rPr>
        <w:lastRenderedPageBreak/>
        <w:t>or degrading punishment, or otherwise unlawful under international law.  One cannot presume that each of the 79 State</w:t>
      </w:r>
      <w:r w:rsidR="001B1E16" w:rsidRPr="006C0693">
        <w:rPr>
          <w:rFonts w:ascii="Times New Roman" w:hAnsi="Times New Roman" w:cs="Times New Roman"/>
          <w:sz w:val="24"/>
          <w:szCs w:val="24"/>
        </w:rPr>
        <w:t>s</w:t>
      </w:r>
      <w:r w:rsidR="00A12DF0" w:rsidRPr="006C0693">
        <w:rPr>
          <w:rFonts w:ascii="Times New Roman" w:hAnsi="Times New Roman" w:cs="Times New Roman"/>
          <w:sz w:val="24"/>
          <w:szCs w:val="24"/>
        </w:rPr>
        <w:t xml:space="preserve"> Parties that have abolished the </w:t>
      </w:r>
      <w:r w:rsidR="0039201D" w:rsidRPr="006C0693">
        <w:rPr>
          <w:rFonts w:ascii="Times New Roman" w:hAnsi="Times New Roman" w:cs="Times New Roman"/>
          <w:sz w:val="24"/>
          <w:szCs w:val="24"/>
        </w:rPr>
        <w:t xml:space="preserve">death </w:t>
      </w:r>
      <w:r w:rsidR="00A12DF0" w:rsidRPr="006C0693">
        <w:rPr>
          <w:rFonts w:ascii="Times New Roman" w:hAnsi="Times New Roman" w:cs="Times New Roman"/>
          <w:sz w:val="24"/>
          <w:szCs w:val="24"/>
        </w:rPr>
        <w:t xml:space="preserve">penalty without reservation have done so because it has concluded that the death penalty is legally impermissible.  Absent evidence of a State Party’s legal theory in this regard, abolition is evidence of nothing more than a decision to cease applying the penalty for whatever legal or political reason. </w:t>
      </w:r>
    </w:p>
    <w:p w:rsidR="003007AA" w:rsidRPr="00907689" w:rsidRDefault="00F907FD" w:rsidP="006C0693">
      <w:pPr>
        <w:pStyle w:val="Default"/>
        <w:spacing w:line="276" w:lineRule="auto"/>
      </w:pPr>
      <w:r w:rsidRPr="006C0693">
        <w:rPr>
          <w:color w:val="auto"/>
        </w:rPr>
        <w:t>48</w:t>
      </w:r>
      <w:r w:rsidR="001C1A3C" w:rsidRPr="006C0693">
        <w:rPr>
          <w:color w:val="auto"/>
        </w:rPr>
        <w:t>.</w:t>
      </w:r>
      <w:r w:rsidR="00851E43" w:rsidRPr="006C0693">
        <w:rPr>
          <w:color w:val="auto"/>
        </w:rPr>
        <w:t xml:space="preserve">  </w:t>
      </w:r>
      <w:r w:rsidR="00EE446E" w:rsidRPr="006C0693">
        <w:rPr>
          <w:color w:val="auto"/>
        </w:rPr>
        <w:t xml:space="preserve">In conclusion, </w:t>
      </w:r>
      <w:r w:rsidR="00A461BD" w:rsidRPr="006C0693">
        <w:rPr>
          <w:color w:val="auto"/>
        </w:rPr>
        <w:t>t</w:t>
      </w:r>
      <w:r w:rsidR="00851E43" w:rsidRPr="006C0693">
        <w:rPr>
          <w:color w:val="auto"/>
        </w:rPr>
        <w:t xml:space="preserve">he U.S. Government </w:t>
      </w:r>
      <w:r w:rsidR="00EE446E" w:rsidRPr="006C0693">
        <w:rPr>
          <w:color w:val="auto"/>
        </w:rPr>
        <w:t xml:space="preserve">emphasizes again that the observations </w:t>
      </w:r>
      <w:r w:rsidR="00A461BD" w:rsidRPr="006C0693">
        <w:rPr>
          <w:color w:val="auto"/>
        </w:rPr>
        <w:t xml:space="preserve">noted above </w:t>
      </w:r>
      <w:r w:rsidR="00EE446E" w:rsidRPr="006C0693">
        <w:rPr>
          <w:color w:val="auto"/>
        </w:rPr>
        <w:t xml:space="preserve">are only examples of our numerous objections to the general comment as currently drafted.  </w:t>
      </w:r>
      <w:r w:rsidR="00851E43" w:rsidRPr="006C0693">
        <w:rPr>
          <w:color w:val="auto"/>
        </w:rPr>
        <w:t xml:space="preserve">The United States fully appreciates the Committee’s </w:t>
      </w:r>
      <w:r w:rsidR="00395CC1" w:rsidRPr="006C0693">
        <w:rPr>
          <w:color w:val="auto"/>
        </w:rPr>
        <w:t>c</w:t>
      </w:r>
      <w:r w:rsidR="00851E43" w:rsidRPr="006C0693">
        <w:rPr>
          <w:color w:val="auto"/>
        </w:rPr>
        <w:t>ontinuing efforts to advise States Parties on issues related to their implementation of the treaty and</w:t>
      </w:r>
      <w:r w:rsidR="00C70AF5" w:rsidRPr="006C0693">
        <w:rPr>
          <w:color w:val="auto"/>
        </w:rPr>
        <w:t>, in so doing,</w:t>
      </w:r>
      <w:r w:rsidR="00851E43" w:rsidRPr="006C0693">
        <w:rPr>
          <w:color w:val="auto"/>
        </w:rPr>
        <w:t xml:space="preserve"> </w:t>
      </w:r>
      <w:r w:rsidR="00EE446E" w:rsidRPr="006C0693">
        <w:rPr>
          <w:color w:val="auto"/>
        </w:rPr>
        <w:t xml:space="preserve">urges </w:t>
      </w:r>
      <w:r w:rsidR="00C70AF5" w:rsidRPr="006C0693">
        <w:rPr>
          <w:color w:val="auto"/>
        </w:rPr>
        <w:t>it</w:t>
      </w:r>
      <w:r w:rsidR="00EE446E" w:rsidRPr="006C0693">
        <w:rPr>
          <w:color w:val="auto"/>
        </w:rPr>
        <w:t xml:space="preserve"> to consider these observations</w:t>
      </w:r>
      <w:r w:rsidR="00C70AF5" w:rsidRPr="006C0693">
        <w:rPr>
          <w:color w:val="auto"/>
        </w:rPr>
        <w:t>,</w:t>
      </w:r>
      <w:r w:rsidR="00EE446E" w:rsidRPr="006C0693">
        <w:rPr>
          <w:color w:val="auto"/>
        </w:rPr>
        <w:t xml:space="preserve"> along with those </w:t>
      </w:r>
      <w:r w:rsidR="00C70AF5" w:rsidRPr="006C0693">
        <w:rPr>
          <w:color w:val="auto"/>
        </w:rPr>
        <w:t>received from</w:t>
      </w:r>
      <w:r w:rsidR="00EE446E" w:rsidRPr="006C0693">
        <w:rPr>
          <w:color w:val="auto"/>
        </w:rPr>
        <w:t xml:space="preserve"> other States Parties</w:t>
      </w:r>
      <w:r w:rsidR="00C70AF5" w:rsidRPr="006C0693">
        <w:rPr>
          <w:color w:val="auto"/>
        </w:rPr>
        <w:t>,</w:t>
      </w:r>
      <w:r w:rsidR="00EE446E" w:rsidRPr="006C0693">
        <w:rPr>
          <w:color w:val="auto"/>
        </w:rPr>
        <w:t xml:space="preserve"> as it </w:t>
      </w:r>
      <w:r w:rsidR="00C70AF5" w:rsidRPr="006C0693">
        <w:rPr>
          <w:color w:val="auto"/>
        </w:rPr>
        <w:t>pursues</w:t>
      </w:r>
      <w:r w:rsidR="00EE446E" w:rsidRPr="006C0693">
        <w:rPr>
          <w:color w:val="auto"/>
        </w:rPr>
        <w:t xml:space="preserve"> its work on this draft and</w:t>
      </w:r>
      <w:r w:rsidR="00C70AF5" w:rsidRPr="006C0693">
        <w:rPr>
          <w:color w:val="auto"/>
        </w:rPr>
        <w:t xml:space="preserve"> to also </w:t>
      </w:r>
      <w:r w:rsidR="00EE446E" w:rsidRPr="006C0693">
        <w:rPr>
          <w:color w:val="auto"/>
        </w:rPr>
        <w:t xml:space="preserve">reflect the </w:t>
      </w:r>
      <w:r w:rsidR="00C70AF5" w:rsidRPr="006C0693">
        <w:rPr>
          <w:color w:val="auto"/>
        </w:rPr>
        <w:t>positions</w:t>
      </w:r>
      <w:r w:rsidR="00EE446E" w:rsidRPr="006C0693">
        <w:rPr>
          <w:color w:val="auto"/>
        </w:rPr>
        <w:t xml:space="preserve"> of States Parties in any final general comment that is produced.  The United States</w:t>
      </w:r>
      <w:r w:rsidR="00EE446E">
        <w:rPr>
          <w:color w:val="auto"/>
        </w:rPr>
        <w:t xml:space="preserve"> </w:t>
      </w:r>
      <w:r w:rsidR="00851E43" w:rsidRPr="00907689">
        <w:rPr>
          <w:color w:val="auto"/>
        </w:rPr>
        <w:t>looks forward to its continuing dialogue with the Committee.</w:t>
      </w:r>
    </w:p>
    <w:sectPr w:rsidR="003007AA" w:rsidRPr="00907689" w:rsidSect="001E7040">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B88" w:rsidRDefault="00657B88" w:rsidP="003007AA">
      <w:pPr>
        <w:spacing w:after="0" w:line="240" w:lineRule="auto"/>
      </w:pPr>
      <w:r>
        <w:separator/>
      </w:r>
    </w:p>
  </w:endnote>
  <w:endnote w:type="continuationSeparator" w:id="0">
    <w:p w:rsidR="00657B88" w:rsidRDefault="00657B88" w:rsidP="0030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w:altName w:val="Futura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F66" w:rsidRPr="0087392A" w:rsidRDefault="007F3F66">
    <w:pPr>
      <w:pStyle w:val="Footer"/>
      <w:jc w:val="center"/>
      <w:rPr>
        <w:rFonts w:ascii="Times New Roman" w:hAnsi="Times New Roman" w:cs="Times New Roman"/>
        <w:sz w:val="24"/>
        <w:szCs w:val="24"/>
      </w:rPr>
    </w:pPr>
  </w:p>
  <w:p w:rsidR="007F3F66" w:rsidRDefault="007F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B88" w:rsidRDefault="00657B88" w:rsidP="003007AA">
      <w:pPr>
        <w:spacing w:after="0" w:line="240" w:lineRule="auto"/>
      </w:pPr>
      <w:r>
        <w:separator/>
      </w:r>
    </w:p>
  </w:footnote>
  <w:footnote w:type="continuationSeparator" w:id="0">
    <w:p w:rsidR="00657B88" w:rsidRDefault="00657B88" w:rsidP="003007AA">
      <w:pPr>
        <w:spacing w:after="0" w:line="240" w:lineRule="auto"/>
      </w:pPr>
      <w:r>
        <w:continuationSeparator/>
      </w:r>
    </w:p>
  </w:footnote>
  <w:footnote w:id="1">
    <w:p w:rsidR="007F3F66" w:rsidRPr="00AE141D" w:rsidRDefault="007F3F66" w:rsidP="00AE141D">
      <w:pPr>
        <w:pStyle w:val="Default"/>
        <w:rPr>
          <w:sz w:val="20"/>
          <w:szCs w:val="20"/>
        </w:rPr>
      </w:pPr>
      <w:r w:rsidRPr="00AE141D">
        <w:rPr>
          <w:rStyle w:val="FootnoteReference"/>
          <w:sz w:val="20"/>
          <w:szCs w:val="20"/>
        </w:rPr>
        <w:footnoteRef/>
      </w:r>
      <w:r w:rsidRPr="00AE141D">
        <w:rPr>
          <w:sz w:val="20"/>
          <w:szCs w:val="20"/>
        </w:rPr>
        <w:t xml:space="preserve"> Draft General Comment No. 36 </w:t>
      </w:r>
      <w:r w:rsidRPr="00AE141D">
        <w:rPr>
          <w:bCs/>
          <w:sz w:val="20"/>
          <w:szCs w:val="20"/>
        </w:rPr>
        <w:t>on article 6 of the International Covenant on Civil and Political Rights, on the right to life</w:t>
      </w:r>
      <w:r w:rsidR="0093073F">
        <w:rPr>
          <w:bCs/>
          <w:sz w:val="20"/>
          <w:szCs w:val="20"/>
        </w:rPr>
        <w:t>,</w:t>
      </w:r>
      <w:r w:rsidRPr="00AE141D">
        <w:rPr>
          <w:bCs/>
          <w:sz w:val="20"/>
          <w:szCs w:val="20"/>
        </w:rPr>
        <w:t xml:space="preserve"> </w:t>
      </w:r>
      <w:r w:rsidR="0093073F">
        <w:rPr>
          <w:bCs/>
          <w:sz w:val="20"/>
          <w:szCs w:val="20"/>
        </w:rPr>
        <w:t>a</w:t>
      </w:r>
      <w:r w:rsidRPr="00AE141D">
        <w:rPr>
          <w:bCs/>
          <w:sz w:val="20"/>
          <w:szCs w:val="20"/>
        </w:rPr>
        <w:t xml:space="preserve">vailable at </w:t>
      </w:r>
      <w:hyperlink r:id="rId1" w:history="1">
        <w:r w:rsidRPr="00AE141D">
          <w:rPr>
            <w:rStyle w:val="Hyperlink"/>
            <w:bCs/>
            <w:sz w:val="20"/>
            <w:szCs w:val="20"/>
          </w:rPr>
          <w:t>http://www.ohchr.org/Documents/HRBodies/CCPR/GCArticle6/GCArticle6_EN.pdf</w:t>
        </w:r>
      </w:hyperlink>
      <w:r w:rsidRPr="00AE141D">
        <w:rPr>
          <w:bCs/>
          <w:sz w:val="20"/>
          <w:szCs w:val="20"/>
        </w:rPr>
        <w:t>.</w:t>
      </w:r>
    </w:p>
  </w:footnote>
  <w:footnote w:id="2">
    <w:p w:rsidR="00631634" w:rsidRPr="00AE141D" w:rsidRDefault="00631634"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See, e.g</w:t>
      </w:r>
      <w:r w:rsidRPr="00AE141D">
        <w:rPr>
          <w:rFonts w:ascii="Times New Roman" w:hAnsi="Times New Roman" w:cs="Times New Roman"/>
        </w:rPr>
        <w:t xml:space="preserve">., U.N. Human Rights Committee, </w:t>
      </w:r>
      <w:r w:rsidRPr="00AE141D">
        <w:rPr>
          <w:rFonts w:ascii="Times New Roman" w:hAnsi="Times New Roman" w:cs="Times New Roman"/>
          <w:i/>
        </w:rPr>
        <w:t>Annual Report</w:t>
      </w:r>
      <w:r w:rsidRPr="00AE141D">
        <w:rPr>
          <w:rFonts w:ascii="Times New Roman" w:hAnsi="Times New Roman" w:cs="Times New Roman"/>
        </w:rPr>
        <w:t>, p. 151, U.N. Doc. A/43/40 (1988) (“The Committee’s decisions on the merits are non-binding recommendations and as such are referred to as ‘views’ under article 5, paragraph 4, of the Optional Protocol.”).</w:t>
      </w:r>
    </w:p>
  </w:footnote>
  <w:footnote w:id="3">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See</w:t>
      </w:r>
      <w:r w:rsidRPr="00AE141D">
        <w:rPr>
          <w:rFonts w:ascii="Times New Roman" w:hAnsi="Times New Roman" w:cs="Times New Roman"/>
        </w:rPr>
        <w:t xml:space="preserve"> Vienna Convention on the Law of Treaties, May 23, 1969, 1155 U.N.T.S. 331.  While the United States has signed but not ratified the treaty, it considers the Vienna Convention to be the “authoritative guide” to treaty law and practice.  </w:t>
      </w:r>
      <w:r w:rsidRPr="00AE141D">
        <w:rPr>
          <w:rFonts w:ascii="Times New Roman" w:hAnsi="Times New Roman" w:cs="Times New Roman"/>
          <w:i/>
        </w:rPr>
        <w:t>See</w:t>
      </w:r>
      <w:r w:rsidRPr="00AE141D">
        <w:rPr>
          <w:rFonts w:ascii="Times New Roman" w:hAnsi="Times New Roman" w:cs="Times New Roman"/>
        </w:rPr>
        <w:t xml:space="preserve"> “Letter of Submittal from Secretary of State Rodgers to President Nixon Transmitting the Vienna Convention on the Law of Treaties,” Oct. 28, 1971, Ex. L., 92d. Cong. 1st Sess. at 1.</w:t>
      </w:r>
    </w:p>
  </w:footnote>
  <w:footnote w:id="4">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See</w:t>
      </w:r>
      <w:r w:rsidRPr="00AE141D">
        <w:rPr>
          <w:rFonts w:ascii="Times New Roman" w:hAnsi="Times New Roman" w:cs="Times New Roman"/>
        </w:rPr>
        <w:t xml:space="preserve"> Observations of the United States of Americ</w:t>
      </w:r>
      <w:r w:rsidR="00D3328F">
        <w:rPr>
          <w:rFonts w:ascii="Times New Roman" w:hAnsi="Times New Roman" w:cs="Times New Roman"/>
        </w:rPr>
        <w:t>a on the Human Rights Committee’</w:t>
      </w:r>
      <w:r w:rsidRPr="00AE141D">
        <w:rPr>
          <w:rFonts w:ascii="Times New Roman" w:hAnsi="Times New Roman" w:cs="Times New Roman"/>
        </w:rPr>
        <w:t>s General Comment 33: The Obligations of States Parties under the Optional Protocol to the International Covenant on Civil and Political Rights December 22, 2008 (hereinafter “U.S. Observations on General Comment No. 33”), paragraph 9</w:t>
      </w:r>
      <w:r w:rsidR="00D3328F">
        <w:rPr>
          <w:rFonts w:ascii="Times New Roman" w:hAnsi="Times New Roman" w:cs="Times New Roman"/>
        </w:rPr>
        <w:t>,</w:t>
      </w:r>
      <w:r w:rsidRPr="00AE141D">
        <w:rPr>
          <w:rFonts w:ascii="Times New Roman" w:hAnsi="Times New Roman" w:cs="Times New Roman"/>
        </w:rPr>
        <w:t xml:space="preserve"> </w:t>
      </w:r>
      <w:r w:rsidR="0093073F">
        <w:rPr>
          <w:rFonts w:ascii="Times New Roman" w:hAnsi="Times New Roman" w:cs="Times New Roman"/>
        </w:rPr>
        <w:t>a</w:t>
      </w:r>
      <w:r w:rsidRPr="00AE141D">
        <w:rPr>
          <w:rFonts w:ascii="Times New Roman" w:hAnsi="Times New Roman" w:cs="Times New Roman"/>
        </w:rPr>
        <w:t xml:space="preserve">vailable at </w:t>
      </w:r>
      <w:hyperlink r:id="rId2" w:history="1">
        <w:r w:rsidRPr="00AE141D">
          <w:rPr>
            <w:rStyle w:val="Hyperlink"/>
            <w:rFonts w:ascii="Times New Roman" w:hAnsi="Times New Roman" w:cs="Times New Roman"/>
          </w:rPr>
          <w:t>https://www.state.gov/documents/organization/138852.pdf</w:t>
        </w:r>
      </w:hyperlink>
      <w:r w:rsidR="001F0087" w:rsidRPr="00AE141D">
        <w:rPr>
          <w:rFonts w:ascii="Times New Roman" w:hAnsi="Times New Roman" w:cs="Times New Roman"/>
        </w:rPr>
        <w:t>.</w:t>
      </w:r>
    </w:p>
  </w:footnote>
  <w:footnote w:id="5">
    <w:p w:rsidR="007F3F66" w:rsidRPr="00AE141D" w:rsidRDefault="007F3F66" w:rsidP="00AE141D">
      <w:pPr>
        <w:autoSpaceDE w:val="0"/>
        <w:autoSpaceDN w:val="0"/>
        <w:adjustRightInd w:val="0"/>
        <w:spacing w:after="0" w:line="240" w:lineRule="auto"/>
        <w:rPr>
          <w:rFonts w:ascii="Times New Roman" w:hAnsi="Times New Roman" w:cs="Times New Roman"/>
          <w:sz w:val="20"/>
          <w:szCs w:val="20"/>
        </w:rPr>
      </w:pPr>
      <w:r w:rsidRPr="00AE141D">
        <w:rPr>
          <w:rStyle w:val="FootnoteReference"/>
          <w:rFonts w:ascii="Times New Roman" w:hAnsi="Times New Roman" w:cs="Times New Roman"/>
          <w:sz w:val="20"/>
          <w:szCs w:val="20"/>
        </w:rPr>
        <w:footnoteRef/>
      </w:r>
      <w:r w:rsidRPr="00AE141D">
        <w:rPr>
          <w:rFonts w:ascii="Times New Roman" w:hAnsi="Times New Roman" w:cs="Times New Roman"/>
          <w:sz w:val="20"/>
          <w:szCs w:val="20"/>
        </w:rPr>
        <w:t xml:space="preserve"> </w:t>
      </w:r>
      <w:r w:rsidRPr="00AE141D">
        <w:rPr>
          <w:rFonts w:ascii="Times New Roman" w:hAnsi="Times New Roman" w:cs="Times New Roman"/>
          <w:i/>
          <w:iCs/>
          <w:sz w:val="20"/>
          <w:szCs w:val="20"/>
        </w:rPr>
        <w:t xml:space="preserve">See </w:t>
      </w:r>
      <w:r w:rsidRPr="00AE141D">
        <w:rPr>
          <w:rFonts w:ascii="Times New Roman" w:hAnsi="Times New Roman" w:cs="Times New Roman"/>
          <w:sz w:val="20"/>
          <w:szCs w:val="20"/>
        </w:rPr>
        <w:t>Statement of Robert K. Harris to the UN Human Rights Committee, July 17-18, 2006, reprinted in Digest of United States Practice in International Law 2006 (hereinafter “Harris Statement,” pp. 284-287 at p. 285, paragraph 2</w:t>
      </w:r>
      <w:r w:rsidR="0093073F">
        <w:rPr>
          <w:rFonts w:ascii="Times New Roman" w:hAnsi="Times New Roman" w:cs="Times New Roman"/>
          <w:sz w:val="20"/>
          <w:szCs w:val="20"/>
        </w:rPr>
        <w:t>,</w:t>
      </w:r>
      <w:r w:rsidRPr="00AE141D">
        <w:rPr>
          <w:rFonts w:ascii="Times New Roman" w:hAnsi="Times New Roman" w:cs="Times New Roman"/>
          <w:sz w:val="20"/>
          <w:szCs w:val="20"/>
        </w:rPr>
        <w:t xml:space="preserve"> </w:t>
      </w:r>
      <w:r w:rsidR="0093073F">
        <w:rPr>
          <w:rFonts w:ascii="Times New Roman" w:hAnsi="Times New Roman" w:cs="Times New Roman"/>
          <w:sz w:val="20"/>
          <w:szCs w:val="20"/>
        </w:rPr>
        <w:t>a</w:t>
      </w:r>
      <w:r w:rsidRPr="00AE141D">
        <w:rPr>
          <w:rFonts w:ascii="Times New Roman" w:hAnsi="Times New Roman" w:cs="Times New Roman"/>
          <w:sz w:val="20"/>
          <w:szCs w:val="20"/>
        </w:rPr>
        <w:t xml:space="preserve">vailable at </w:t>
      </w:r>
      <w:hyperlink r:id="rId3" w:history="1">
        <w:r w:rsidR="00CE4545" w:rsidRPr="00AE141D">
          <w:rPr>
            <w:rStyle w:val="Hyperlink"/>
            <w:rFonts w:ascii="Times New Roman" w:hAnsi="Times New Roman" w:cs="Times New Roman"/>
            <w:sz w:val="20"/>
            <w:szCs w:val="20"/>
          </w:rPr>
          <w:t>https://www.state.gov/s/l/2006/98334.htm</w:t>
        </w:r>
      </w:hyperlink>
      <w:r w:rsidR="00CE4545" w:rsidRPr="00AE141D">
        <w:rPr>
          <w:rFonts w:ascii="Times New Roman" w:hAnsi="Times New Roman" w:cs="Times New Roman"/>
          <w:sz w:val="20"/>
          <w:szCs w:val="20"/>
        </w:rPr>
        <w:t xml:space="preserve">. </w:t>
      </w:r>
    </w:p>
  </w:footnote>
  <w:footnote w:id="6">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Id</w:t>
      </w:r>
      <w:r w:rsidR="001F0087" w:rsidRPr="00AE141D">
        <w:rPr>
          <w:rFonts w:ascii="Times New Roman" w:hAnsi="Times New Roman" w:cs="Times New Roman"/>
        </w:rPr>
        <w:t>.</w:t>
      </w:r>
      <w:r w:rsidRPr="00AE141D">
        <w:rPr>
          <w:rFonts w:ascii="Times New Roman" w:hAnsi="Times New Roman" w:cs="Times New Roman"/>
        </w:rPr>
        <w:t xml:space="preserve"> at </w:t>
      </w:r>
      <w:r w:rsidR="001F0087" w:rsidRPr="00AE141D">
        <w:rPr>
          <w:rFonts w:ascii="Times New Roman" w:hAnsi="Times New Roman" w:cs="Times New Roman"/>
        </w:rPr>
        <w:t xml:space="preserve">286, </w:t>
      </w:r>
      <w:r w:rsidRPr="00AE141D">
        <w:rPr>
          <w:rFonts w:ascii="Times New Roman" w:hAnsi="Times New Roman" w:cs="Times New Roman"/>
        </w:rPr>
        <w:t>paragraph 3.</w:t>
      </w:r>
    </w:p>
  </w:footnote>
  <w:footnote w:id="7">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001F0087" w:rsidRPr="00AE141D">
        <w:rPr>
          <w:rFonts w:ascii="Times New Roman" w:hAnsi="Times New Roman" w:cs="Times New Roman"/>
          <w:i/>
        </w:rPr>
        <w:t>Id</w:t>
      </w:r>
      <w:r w:rsidR="001F0087" w:rsidRPr="00AE141D">
        <w:rPr>
          <w:rFonts w:ascii="Times New Roman" w:hAnsi="Times New Roman" w:cs="Times New Roman"/>
        </w:rPr>
        <w:t>.</w:t>
      </w:r>
    </w:p>
  </w:footnote>
  <w:footnote w:id="8">
    <w:p w:rsidR="007F3F66" w:rsidRPr="00AE141D" w:rsidRDefault="007F3F66" w:rsidP="00AE141D">
      <w:pPr>
        <w:pStyle w:val="CommentText"/>
        <w:spacing w:after="0"/>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Id</w:t>
      </w:r>
      <w:r w:rsidRPr="00AE141D">
        <w:rPr>
          <w:rFonts w:ascii="Times New Roman" w:hAnsi="Times New Roman" w:cs="Times New Roman"/>
        </w:rPr>
        <w:t xml:space="preserve">.  </w:t>
      </w:r>
      <w:r w:rsidRPr="00AE141D">
        <w:rPr>
          <w:rFonts w:ascii="Times New Roman" w:hAnsi="Times New Roman" w:cs="Times New Roman"/>
          <w:i/>
        </w:rPr>
        <w:t>See</w:t>
      </w:r>
      <w:r w:rsidRPr="00AE141D">
        <w:rPr>
          <w:rFonts w:ascii="Times New Roman" w:hAnsi="Times New Roman" w:cs="Times New Roman"/>
        </w:rPr>
        <w:t xml:space="preserve"> also U.S. Observations on General Comment No. 33, </w:t>
      </w:r>
      <w:r w:rsidRPr="00AE141D">
        <w:rPr>
          <w:rFonts w:ascii="Times New Roman" w:hAnsi="Times New Roman" w:cs="Times New Roman"/>
          <w:i/>
        </w:rPr>
        <w:t>supra</w:t>
      </w:r>
      <w:r w:rsidRPr="00AE141D">
        <w:rPr>
          <w:rFonts w:ascii="Times New Roman" w:hAnsi="Times New Roman" w:cs="Times New Roman"/>
        </w:rPr>
        <w:t xml:space="preserve"> note </w:t>
      </w:r>
      <w:r w:rsidR="001F0087" w:rsidRPr="00AE141D">
        <w:rPr>
          <w:rFonts w:ascii="Times New Roman" w:hAnsi="Times New Roman" w:cs="Times New Roman"/>
        </w:rPr>
        <w:t>4</w:t>
      </w:r>
      <w:r w:rsidRPr="00AE141D">
        <w:rPr>
          <w:rFonts w:ascii="Times New Roman" w:hAnsi="Times New Roman" w:cs="Times New Roman"/>
        </w:rPr>
        <w:t xml:space="preserve"> at paragraph 9.</w:t>
      </w:r>
    </w:p>
  </w:footnote>
  <w:footnote w:id="9">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Harris Statement, </w:t>
      </w:r>
      <w:r w:rsidRPr="00AE141D">
        <w:rPr>
          <w:rFonts w:ascii="Times New Roman" w:hAnsi="Times New Roman" w:cs="Times New Roman"/>
          <w:i/>
        </w:rPr>
        <w:t xml:space="preserve">supra </w:t>
      </w:r>
      <w:r w:rsidRPr="00AE141D">
        <w:rPr>
          <w:rFonts w:ascii="Times New Roman" w:hAnsi="Times New Roman" w:cs="Times New Roman"/>
        </w:rPr>
        <w:t xml:space="preserve">note </w:t>
      </w:r>
      <w:r w:rsidR="003B27AD" w:rsidRPr="00AE141D">
        <w:rPr>
          <w:rFonts w:ascii="Times New Roman" w:hAnsi="Times New Roman" w:cs="Times New Roman"/>
        </w:rPr>
        <w:t>5</w:t>
      </w:r>
      <w:r w:rsidRPr="00AE141D">
        <w:rPr>
          <w:rFonts w:ascii="Times New Roman" w:hAnsi="Times New Roman" w:cs="Times New Roman"/>
        </w:rPr>
        <w:t xml:space="preserve"> at 286, paragraph 3.</w:t>
      </w:r>
    </w:p>
  </w:footnote>
  <w:footnote w:id="10">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Id</w:t>
      </w:r>
      <w:r w:rsidR="00805406" w:rsidRPr="00AE141D">
        <w:rPr>
          <w:rFonts w:ascii="Times New Roman" w:hAnsi="Times New Roman" w:cs="Times New Roman"/>
          <w:i/>
        </w:rPr>
        <w:t>.</w:t>
      </w:r>
      <w:r w:rsidRPr="00AE141D">
        <w:rPr>
          <w:rFonts w:ascii="Times New Roman" w:hAnsi="Times New Roman" w:cs="Times New Roman"/>
        </w:rPr>
        <w:t xml:space="preserve"> at 287, paragraph 3.</w:t>
      </w:r>
    </w:p>
  </w:footnote>
  <w:footnote w:id="11">
    <w:p w:rsidR="007F3F66" w:rsidRPr="00AE141D" w:rsidRDefault="007F3F66" w:rsidP="00AE141D">
      <w:pPr>
        <w:pStyle w:val="FootnoteText"/>
        <w:rPr>
          <w:rFonts w:ascii="Times New Roman" w:hAnsi="Times New Roman" w:cs="Times New Roman"/>
          <w:i/>
        </w:rPr>
      </w:pPr>
      <w:r w:rsidRPr="00AE141D">
        <w:rPr>
          <w:rStyle w:val="FootnoteReference"/>
          <w:rFonts w:ascii="Times New Roman" w:hAnsi="Times New Roman" w:cs="Times New Roman"/>
        </w:rPr>
        <w:footnoteRef/>
      </w:r>
      <w:r w:rsidR="008A2016" w:rsidRPr="00AE141D">
        <w:rPr>
          <w:rFonts w:ascii="Times New Roman" w:hAnsi="Times New Roman" w:cs="Times New Roman"/>
        </w:rPr>
        <w:t xml:space="preserve"> </w:t>
      </w:r>
      <w:r w:rsidR="008A2016" w:rsidRPr="00AE141D">
        <w:rPr>
          <w:rFonts w:ascii="Times New Roman" w:hAnsi="Times New Roman" w:cs="Times New Roman"/>
          <w:i/>
        </w:rPr>
        <w:t>I</w:t>
      </w:r>
      <w:r w:rsidRPr="00AE141D">
        <w:rPr>
          <w:rFonts w:ascii="Times New Roman" w:hAnsi="Times New Roman" w:cs="Times New Roman"/>
          <w:i/>
        </w:rPr>
        <w:t>d.</w:t>
      </w:r>
    </w:p>
  </w:footnote>
  <w:footnote w:id="12">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Moreover, paragraph 65 of the draft refers to the so-called “precautionary principle</w:t>
      </w:r>
      <w:r w:rsidR="00CF1738">
        <w:rPr>
          <w:rFonts w:ascii="Times New Roman" w:hAnsi="Times New Roman" w:cs="Times New Roman"/>
        </w:rPr>
        <w:t>;</w:t>
      </w:r>
      <w:r w:rsidRPr="00AE141D">
        <w:rPr>
          <w:rFonts w:ascii="Times New Roman" w:hAnsi="Times New Roman" w:cs="Times New Roman"/>
        </w:rPr>
        <w:t>” the United States has long opposed such a term, as there is no uniform understanding of precaution that could be said to constitute a “principle,” let alone a legal principle of general applicability.</w:t>
      </w:r>
    </w:p>
  </w:footnote>
  <w:footnote w:id="13">
    <w:p w:rsidR="007F3F66" w:rsidRPr="00AE141D" w:rsidRDefault="007F3F66" w:rsidP="00AE141D">
      <w:pPr>
        <w:autoSpaceDE w:val="0"/>
        <w:autoSpaceDN w:val="0"/>
        <w:adjustRightInd w:val="0"/>
        <w:spacing w:after="0" w:line="240" w:lineRule="auto"/>
        <w:rPr>
          <w:rFonts w:ascii="Times New Roman" w:hAnsi="Times New Roman" w:cs="Times New Roman"/>
          <w:sz w:val="20"/>
          <w:szCs w:val="20"/>
        </w:rPr>
      </w:pPr>
      <w:r w:rsidRPr="00AE141D">
        <w:rPr>
          <w:rStyle w:val="FootnoteReference"/>
          <w:rFonts w:ascii="Times New Roman" w:hAnsi="Times New Roman" w:cs="Times New Roman"/>
          <w:sz w:val="20"/>
          <w:szCs w:val="20"/>
        </w:rPr>
        <w:footnoteRef/>
      </w:r>
      <w:r w:rsidRPr="00AE141D">
        <w:rPr>
          <w:rFonts w:ascii="Times New Roman" w:hAnsi="Times New Roman" w:cs="Times New Roman"/>
          <w:sz w:val="20"/>
          <w:szCs w:val="20"/>
        </w:rPr>
        <w:t xml:space="preserve"> </w:t>
      </w:r>
      <w:r w:rsidRPr="00AE141D">
        <w:rPr>
          <w:rFonts w:ascii="Times New Roman" w:hAnsi="Times New Roman" w:cs="Times New Roman"/>
          <w:i/>
          <w:sz w:val="20"/>
          <w:szCs w:val="20"/>
        </w:rPr>
        <w:t>See</w:t>
      </w:r>
      <w:r w:rsidRPr="00AE141D">
        <w:rPr>
          <w:rFonts w:ascii="Times New Roman" w:hAnsi="Times New Roman" w:cs="Times New Roman"/>
          <w:sz w:val="20"/>
          <w:szCs w:val="20"/>
        </w:rPr>
        <w:t xml:space="preserve"> Observations of the United States of America on the Human Rights Committee</w:t>
      </w:r>
      <w:r w:rsidR="00A37220">
        <w:rPr>
          <w:rFonts w:ascii="Times New Roman" w:hAnsi="Times New Roman" w:cs="Times New Roman"/>
          <w:sz w:val="20"/>
          <w:szCs w:val="20"/>
        </w:rPr>
        <w:t>’</w:t>
      </w:r>
      <w:r w:rsidRPr="00AE141D">
        <w:rPr>
          <w:rFonts w:ascii="Times New Roman" w:hAnsi="Times New Roman" w:cs="Times New Roman"/>
          <w:sz w:val="20"/>
          <w:szCs w:val="20"/>
        </w:rPr>
        <w:t xml:space="preserve">s General Comment 24, transmitted March 28, 1995 (hereinafter “U.S. Observations on General Comment No. 24”), reprinted in substantial part in Digest of United States Practice in International Law 1991-1999, available at </w:t>
      </w:r>
      <w:hyperlink r:id="rId4" w:history="1">
        <w:r w:rsidRPr="00AE141D">
          <w:rPr>
            <w:rStyle w:val="Hyperlink"/>
            <w:rFonts w:ascii="Times New Roman" w:hAnsi="Times New Roman" w:cs="Times New Roman"/>
            <w:sz w:val="20"/>
            <w:szCs w:val="20"/>
          </w:rPr>
          <w:t>https://www.state.gov/documents/organization/139394.pdf</w:t>
        </w:r>
      </w:hyperlink>
      <w:r w:rsidRPr="00AE141D">
        <w:rPr>
          <w:rStyle w:val="Hyperlink"/>
          <w:rFonts w:ascii="Times New Roman" w:hAnsi="Times New Roman" w:cs="Times New Roman"/>
          <w:sz w:val="20"/>
          <w:szCs w:val="20"/>
        </w:rPr>
        <w:t>,</w:t>
      </w:r>
      <w:r w:rsidRPr="00AE141D">
        <w:rPr>
          <w:rFonts w:ascii="Times New Roman" w:hAnsi="Times New Roman" w:cs="Times New Roman"/>
          <w:sz w:val="20"/>
          <w:szCs w:val="20"/>
        </w:rPr>
        <w:t xml:space="preserve"> at pp. 880-881, and generally pp. 878-883 (</w:t>
      </w:r>
      <w:r w:rsidRPr="00AE141D">
        <w:rPr>
          <w:rFonts w:ascii="Times New Roman" w:hAnsi="Times New Roman" w:cs="Times New Roman"/>
          <w:color w:val="000000"/>
          <w:sz w:val="20"/>
          <w:szCs w:val="20"/>
        </w:rPr>
        <w:t xml:space="preserve">“It is clear that a State cannot exempt itself from a peremptory norm of international law by making a reservation to the Covenant.  It is not at all clear that a State cannot choose to exclude one means of enforcement of particular norms by reserving against inclusion of those norms in its Covenant obligations.  The proposition that any reservation which contravenes a norm of customary international law is </w:t>
      </w:r>
      <w:r w:rsidRPr="00AE141D">
        <w:rPr>
          <w:rFonts w:ascii="Times New Roman" w:hAnsi="Times New Roman" w:cs="Times New Roman"/>
          <w:i/>
          <w:color w:val="000000"/>
          <w:sz w:val="20"/>
          <w:szCs w:val="20"/>
        </w:rPr>
        <w:t>per se</w:t>
      </w:r>
      <w:r w:rsidRPr="00AE141D">
        <w:rPr>
          <w:rFonts w:ascii="Times New Roman" w:hAnsi="Times New Roman" w:cs="Times New Roman"/>
          <w:color w:val="000000"/>
          <w:sz w:val="20"/>
          <w:szCs w:val="20"/>
        </w:rPr>
        <w:t xml:space="preserve"> incompatible with the object and purpose of this or any convention, however, is a much more significant and sweeping premise.</w:t>
      </w:r>
      <w:r w:rsidRPr="00AE141D">
        <w:rPr>
          <w:rFonts w:ascii="Times New Roman" w:hAnsi="Times New Roman" w:cs="Times New Roman"/>
          <w:sz w:val="20"/>
          <w:szCs w:val="20"/>
        </w:rPr>
        <w:t xml:space="preserve"> It is, moreover, wholly unsupported by and is in fact contrary to international law.”).</w:t>
      </w:r>
    </w:p>
  </w:footnote>
  <w:footnote w:id="14">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The United States notes in this regard, that in previewing this general comment during an informal meeting with States Parties on July 20, 2017, the Rapporteur for the general comment, Mr. Shany, summarized the Committee’s view of its practice as follows: “Although general comments were not binding legal obligations, they were a highly influential source of norms for the Committee; they guided the work of the Committee and impacted its decisions and those of other international entities such as the International Court of Justice; they eventually shaped State practice and treaty interpretation; and they often evolved into customary international law.” </w:t>
      </w:r>
      <w:r w:rsidR="00CF1738">
        <w:rPr>
          <w:rFonts w:ascii="Times New Roman" w:hAnsi="Times New Roman" w:cs="Times New Roman"/>
        </w:rPr>
        <w:t xml:space="preserve"> </w:t>
      </w:r>
      <w:r w:rsidRPr="00AE141D">
        <w:rPr>
          <w:rFonts w:ascii="Times New Roman" w:hAnsi="Times New Roman" w:cs="Times New Roman"/>
          <w:i/>
        </w:rPr>
        <w:t>See</w:t>
      </w:r>
      <w:r w:rsidRPr="00AE141D">
        <w:rPr>
          <w:rFonts w:ascii="Times New Roman" w:hAnsi="Times New Roman" w:cs="Times New Roman"/>
        </w:rPr>
        <w:t xml:space="preserve"> </w:t>
      </w:r>
      <w:r w:rsidRPr="00AE141D">
        <w:rPr>
          <w:rFonts w:ascii="Times New Roman" w:hAnsi="Times New Roman" w:cs="Times New Roman"/>
          <w:bCs/>
        </w:rPr>
        <w:t>Summary record (partial)</w:t>
      </w:r>
      <w:r w:rsidRPr="00AE141D">
        <w:rPr>
          <w:rFonts w:ascii="Times New Roman" w:hAnsi="Times New Roman" w:cs="Times New Roman"/>
        </w:rPr>
        <w:t xml:space="preserve"> </w:t>
      </w:r>
      <w:r w:rsidRPr="00AE141D">
        <w:rPr>
          <w:rFonts w:ascii="Times New Roman" w:hAnsi="Times New Roman" w:cs="Times New Roman"/>
          <w:bCs/>
        </w:rPr>
        <w:t>of the 3400th meeting of the Human Rights Committee,</w:t>
      </w:r>
      <w:r w:rsidRPr="00AE141D">
        <w:rPr>
          <w:rFonts w:ascii="Times New Roman" w:hAnsi="Times New Roman" w:cs="Times New Roman"/>
        </w:rPr>
        <w:t xml:space="preserve"> 20 July 2017, paragraph 13, </w:t>
      </w:r>
      <w:r w:rsidRPr="00AE141D">
        <w:rPr>
          <w:rFonts w:ascii="Times New Roman" w:hAnsi="Times New Roman" w:cs="Times New Roman"/>
          <w:bCs/>
        </w:rPr>
        <w:t>CCPR/C/SR.3400.  We do not consider a purpose of influencing other international entities or an evolution of customary international law to fall within the Committee’s mandate either under Article 40 or the Protocol, and no general comment should be drafted with such goals in mind.</w:t>
      </w:r>
      <w:r w:rsidRPr="00AE141D">
        <w:rPr>
          <w:rFonts w:ascii="Times New Roman" w:hAnsi="Times New Roman" w:cs="Times New Roman"/>
        </w:rPr>
        <w:t xml:space="preserve"> </w:t>
      </w:r>
    </w:p>
  </w:footnote>
  <w:footnote w:id="15">
    <w:p w:rsidR="00066E2A" w:rsidRPr="00AE141D" w:rsidRDefault="00066E2A" w:rsidP="00AE141D">
      <w:pPr>
        <w:autoSpaceDE w:val="0"/>
        <w:autoSpaceDN w:val="0"/>
        <w:adjustRightInd w:val="0"/>
        <w:spacing w:after="0" w:line="240" w:lineRule="auto"/>
        <w:rPr>
          <w:rFonts w:ascii="Times New Roman" w:hAnsi="Times New Roman" w:cs="Times New Roman"/>
          <w:sz w:val="20"/>
          <w:szCs w:val="20"/>
        </w:rPr>
      </w:pPr>
      <w:r w:rsidRPr="00AE141D">
        <w:rPr>
          <w:rStyle w:val="FootnoteReference"/>
          <w:rFonts w:ascii="Times New Roman" w:hAnsi="Times New Roman" w:cs="Times New Roman"/>
          <w:sz w:val="20"/>
          <w:szCs w:val="20"/>
        </w:rPr>
        <w:footnoteRef/>
      </w:r>
      <w:r w:rsidRPr="00AE141D">
        <w:rPr>
          <w:rFonts w:ascii="Times New Roman" w:hAnsi="Times New Roman" w:cs="Times New Roman"/>
          <w:sz w:val="20"/>
          <w:szCs w:val="20"/>
        </w:rPr>
        <w:t xml:space="preserve"> </w:t>
      </w:r>
      <w:r w:rsidR="0076684A" w:rsidRPr="00AE141D">
        <w:rPr>
          <w:rFonts w:ascii="Times New Roman" w:hAnsi="Times New Roman" w:cs="Times New Roman"/>
          <w:sz w:val="20"/>
          <w:szCs w:val="20"/>
        </w:rPr>
        <w:t>Previous concerns were initially articulated in 1995 in its observations on General Comment No. 24, submitted in conjunction with presentation of its initial report before the Committee.  In that context, the Committee sought to dispense with established rules of interpretation of treaties governing the question of acceptability of reservations and to arrogate to itself authority to make binding legal determinations.  The United States responded, “This would be a rather significant departure from the Covenant scheme, which does not impose on the States Parties an obligation to give effect to the Committee</w:t>
      </w:r>
      <w:r w:rsidR="00A37220">
        <w:rPr>
          <w:rFonts w:ascii="Times New Roman" w:hAnsi="Times New Roman" w:cs="Times New Roman"/>
          <w:sz w:val="20"/>
          <w:szCs w:val="20"/>
        </w:rPr>
        <w:t>’</w:t>
      </w:r>
      <w:r w:rsidR="0076684A" w:rsidRPr="00AE141D">
        <w:rPr>
          <w:rFonts w:ascii="Times New Roman" w:hAnsi="Times New Roman" w:cs="Times New Roman"/>
          <w:sz w:val="20"/>
          <w:szCs w:val="20"/>
        </w:rPr>
        <w:t xml:space="preserve">s interpretations or confer on the Committee the power to render definitive or binding interpretations of the Covenant.”  </w:t>
      </w:r>
      <w:r w:rsidR="0076684A" w:rsidRPr="00AE141D">
        <w:rPr>
          <w:rFonts w:ascii="Times New Roman" w:hAnsi="Times New Roman" w:cs="Times New Roman"/>
          <w:i/>
          <w:sz w:val="20"/>
          <w:szCs w:val="20"/>
        </w:rPr>
        <w:t>See</w:t>
      </w:r>
      <w:r w:rsidR="0076684A" w:rsidRPr="00AE141D">
        <w:rPr>
          <w:rFonts w:ascii="Times New Roman" w:hAnsi="Times New Roman" w:cs="Times New Roman"/>
          <w:sz w:val="20"/>
          <w:szCs w:val="20"/>
        </w:rPr>
        <w:t xml:space="preserve"> U.S. Observations on General Comment No. 24, </w:t>
      </w:r>
      <w:r w:rsidR="0076684A" w:rsidRPr="00AE141D">
        <w:rPr>
          <w:rFonts w:ascii="Times New Roman" w:hAnsi="Times New Roman" w:cs="Times New Roman"/>
          <w:i/>
          <w:sz w:val="20"/>
          <w:szCs w:val="20"/>
        </w:rPr>
        <w:t>supra</w:t>
      </w:r>
      <w:r w:rsidR="0076684A" w:rsidRPr="00AE141D">
        <w:rPr>
          <w:rFonts w:ascii="Times New Roman" w:hAnsi="Times New Roman" w:cs="Times New Roman"/>
          <w:sz w:val="20"/>
          <w:szCs w:val="20"/>
        </w:rPr>
        <w:t xml:space="preserve"> note 1</w:t>
      </w:r>
      <w:r w:rsidR="008A2016" w:rsidRPr="00AE141D">
        <w:rPr>
          <w:rFonts w:ascii="Times New Roman" w:hAnsi="Times New Roman" w:cs="Times New Roman"/>
          <w:sz w:val="20"/>
          <w:szCs w:val="20"/>
        </w:rPr>
        <w:t>3</w:t>
      </w:r>
      <w:r w:rsidR="0076684A" w:rsidRPr="00AE141D">
        <w:rPr>
          <w:rFonts w:ascii="Times New Roman" w:hAnsi="Times New Roman" w:cs="Times New Roman"/>
          <w:sz w:val="20"/>
          <w:szCs w:val="20"/>
        </w:rPr>
        <w:t>, p. 879.  In our response to General Comment No. 33 in 2008, the United States reiterated that, as a matter of international law, the Committee enjoys only those powers and authorities granted to it by the ICCPR and the Optional Protocol.  The Committee is not a body established pursuant to the Covenant that is intended to provide authoritative interpretations of the treaty.  Rather, the Committee is intended to assist and facilitate States Parties</w:t>
      </w:r>
      <w:r w:rsidR="00CF1738">
        <w:rPr>
          <w:rFonts w:ascii="Times New Roman" w:hAnsi="Times New Roman" w:cs="Times New Roman"/>
          <w:sz w:val="20"/>
          <w:szCs w:val="20"/>
        </w:rPr>
        <w:t>’</w:t>
      </w:r>
      <w:r w:rsidR="0076684A" w:rsidRPr="00AE141D">
        <w:rPr>
          <w:rFonts w:ascii="Times New Roman" w:hAnsi="Times New Roman" w:cs="Times New Roman"/>
          <w:sz w:val="20"/>
          <w:szCs w:val="20"/>
        </w:rPr>
        <w:t xml:space="preserve"> implementation of the Covenant.  </w:t>
      </w:r>
      <w:r w:rsidR="0076684A" w:rsidRPr="00AE141D">
        <w:rPr>
          <w:rFonts w:ascii="Times New Roman" w:hAnsi="Times New Roman" w:cs="Times New Roman"/>
          <w:i/>
          <w:sz w:val="20"/>
          <w:szCs w:val="20"/>
        </w:rPr>
        <w:t>See</w:t>
      </w:r>
      <w:r w:rsidR="0076684A" w:rsidRPr="00AE141D">
        <w:rPr>
          <w:rFonts w:ascii="Times New Roman" w:hAnsi="Times New Roman" w:cs="Times New Roman"/>
          <w:sz w:val="20"/>
          <w:szCs w:val="20"/>
        </w:rPr>
        <w:t xml:space="preserve"> U.S. Observations on General Comment No. 33, </w:t>
      </w:r>
      <w:r w:rsidR="0076684A" w:rsidRPr="00AE141D">
        <w:rPr>
          <w:rFonts w:ascii="Times New Roman" w:hAnsi="Times New Roman" w:cs="Times New Roman"/>
          <w:i/>
          <w:sz w:val="20"/>
          <w:szCs w:val="20"/>
        </w:rPr>
        <w:t xml:space="preserve">supra </w:t>
      </w:r>
      <w:r w:rsidR="0076684A" w:rsidRPr="00AE141D">
        <w:rPr>
          <w:rFonts w:ascii="Times New Roman" w:hAnsi="Times New Roman" w:cs="Times New Roman"/>
          <w:sz w:val="20"/>
          <w:szCs w:val="20"/>
        </w:rPr>
        <w:t xml:space="preserve">note </w:t>
      </w:r>
      <w:r w:rsidR="002413E0" w:rsidRPr="00AE141D">
        <w:rPr>
          <w:rFonts w:ascii="Times New Roman" w:hAnsi="Times New Roman" w:cs="Times New Roman"/>
          <w:sz w:val="20"/>
          <w:szCs w:val="20"/>
        </w:rPr>
        <w:t>4</w:t>
      </w:r>
      <w:r w:rsidR="0076684A" w:rsidRPr="00AE141D">
        <w:rPr>
          <w:rFonts w:ascii="Times New Roman" w:hAnsi="Times New Roman" w:cs="Times New Roman"/>
          <w:sz w:val="20"/>
          <w:szCs w:val="20"/>
        </w:rPr>
        <w:t xml:space="preserve"> </w:t>
      </w:r>
      <w:r w:rsidR="00C01F65" w:rsidRPr="00AE141D">
        <w:rPr>
          <w:rFonts w:ascii="Times New Roman" w:hAnsi="Times New Roman" w:cs="Times New Roman"/>
          <w:sz w:val="20"/>
          <w:szCs w:val="20"/>
        </w:rPr>
        <w:t xml:space="preserve">at </w:t>
      </w:r>
      <w:r w:rsidR="0076684A" w:rsidRPr="00AE141D">
        <w:rPr>
          <w:rFonts w:ascii="Times New Roman" w:hAnsi="Times New Roman" w:cs="Times New Roman"/>
          <w:sz w:val="20"/>
          <w:szCs w:val="20"/>
        </w:rPr>
        <w:t>paragraph 9</w:t>
      </w:r>
      <w:r w:rsidR="002413E0" w:rsidRPr="00AE141D">
        <w:rPr>
          <w:rFonts w:ascii="Times New Roman" w:hAnsi="Times New Roman" w:cs="Times New Roman"/>
          <w:sz w:val="20"/>
          <w:szCs w:val="20"/>
        </w:rPr>
        <w:t>.</w:t>
      </w:r>
      <w:r w:rsidR="0076684A" w:rsidRPr="00AE141D">
        <w:rPr>
          <w:rFonts w:ascii="Times New Roman" w:hAnsi="Times New Roman" w:cs="Times New Roman"/>
          <w:sz w:val="20"/>
          <w:szCs w:val="20"/>
        </w:rPr>
        <w:t xml:space="preserve">  The States Parties to the Covenant and Optional Protocol remain the authoritative interpreters of the instruments as discussed above.  </w:t>
      </w:r>
      <w:r w:rsidR="0076684A" w:rsidRPr="00AE141D">
        <w:rPr>
          <w:rFonts w:ascii="Times New Roman" w:hAnsi="Times New Roman" w:cs="Times New Roman"/>
          <w:i/>
          <w:sz w:val="20"/>
          <w:szCs w:val="20"/>
        </w:rPr>
        <w:t>Id</w:t>
      </w:r>
      <w:r w:rsidR="00EA1332">
        <w:rPr>
          <w:rFonts w:ascii="Times New Roman" w:hAnsi="Times New Roman" w:cs="Times New Roman"/>
          <w:sz w:val="20"/>
          <w:szCs w:val="20"/>
        </w:rPr>
        <w:t>.</w:t>
      </w:r>
      <w:r w:rsidR="0076684A" w:rsidRPr="00AE141D">
        <w:rPr>
          <w:rFonts w:ascii="Times New Roman" w:hAnsi="Times New Roman" w:cs="Times New Roman"/>
          <w:i/>
          <w:sz w:val="20"/>
          <w:szCs w:val="20"/>
        </w:rPr>
        <w:t xml:space="preserve"> </w:t>
      </w:r>
      <w:r w:rsidR="0076684A" w:rsidRPr="00EA1332">
        <w:rPr>
          <w:rFonts w:ascii="Times New Roman" w:hAnsi="Times New Roman" w:cs="Times New Roman"/>
          <w:sz w:val="20"/>
          <w:szCs w:val="20"/>
        </w:rPr>
        <w:t>at</w:t>
      </w:r>
      <w:r w:rsidR="0076684A" w:rsidRPr="00AE141D">
        <w:rPr>
          <w:rFonts w:ascii="Times New Roman" w:hAnsi="Times New Roman" w:cs="Times New Roman"/>
          <w:i/>
          <w:sz w:val="20"/>
          <w:szCs w:val="20"/>
        </w:rPr>
        <w:t xml:space="preserve"> </w:t>
      </w:r>
      <w:r w:rsidR="0076684A" w:rsidRPr="00AE141D">
        <w:rPr>
          <w:rFonts w:ascii="Times New Roman" w:hAnsi="Times New Roman" w:cs="Times New Roman"/>
          <w:sz w:val="20"/>
          <w:szCs w:val="20"/>
        </w:rPr>
        <w:t xml:space="preserve">paragraph 12, and </w:t>
      </w:r>
      <w:r w:rsidR="0076684A" w:rsidRPr="00AE141D">
        <w:rPr>
          <w:rFonts w:ascii="Times New Roman" w:hAnsi="Times New Roman" w:cs="Times New Roman"/>
          <w:i/>
          <w:sz w:val="20"/>
          <w:szCs w:val="20"/>
        </w:rPr>
        <w:t>generally</w:t>
      </w:r>
      <w:r w:rsidR="0076684A" w:rsidRPr="00AE141D">
        <w:rPr>
          <w:rFonts w:ascii="Times New Roman" w:hAnsi="Times New Roman" w:cs="Times New Roman"/>
          <w:sz w:val="20"/>
          <w:szCs w:val="20"/>
        </w:rPr>
        <w:t xml:space="preserve"> at paragraphs 5-13.</w:t>
      </w:r>
    </w:p>
  </w:footnote>
  <w:footnote w:id="16">
    <w:p w:rsidR="007F3F66" w:rsidRPr="00AE141D" w:rsidRDefault="007F3F66" w:rsidP="00AE141D">
      <w:pPr>
        <w:autoSpaceDE w:val="0"/>
        <w:autoSpaceDN w:val="0"/>
        <w:adjustRightInd w:val="0"/>
        <w:spacing w:after="0" w:line="240" w:lineRule="auto"/>
        <w:rPr>
          <w:rFonts w:ascii="Times New Roman" w:hAnsi="Times New Roman" w:cs="Times New Roman"/>
          <w:sz w:val="20"/>
          <w:szCs w:val="20"/>
        </w:rPr>
      </w:pPr>
      <w:r w:rsidRPr="00AE141D">
        <w:rPr>
          <w:rStyle w:val="FootnoteReference"/>
          <w:rFonts w:ascii="Times New Roman" w:hAnsi="Times New Roman" w:cs="Times New Roman"/>
          <w:sz w:val="20"/>
          <w:szCs w:val="20"/>
        </w:rPr>
        <w:footnoteRef/>
      </w:r>
      <w:r w:rsidRPr="00AE141D">
        <w:rPr>
          <w:rFonts w:ascii="Times New Roman" w:hAnsi="Times New Roman" w:cs="Times New Roman"/>
          <w:sz w:val="20"/>
          <w:szCs w:val="20"/>
        </w:rPr>
        <w:t xml:space="preserve"> </w:t>
      </w:r>
      <w:r w:rsidRPr="00AE141D">
        <w:rPr>
          <w:rFonts w:ascii="Times New Roman" w:hAnsi="Times New Roman" w:cs="Times New Roman"/>
          <w:i/>
          <w:iCs/>
          <w:sz w:val="20"/>
          <w:szCs w:val="20"/>
        </w:rPr>
        <w:t xml:space="preserve">See </w:t>
      </w:r>
      <w:r w:rsidRPr="00AE141D">
        <w:rPr>
          <w:rFonts w:ascii="Times New Roman" w:hAnsi="Times New Roman" w:cs="Times New Roman"/>
          <w:sz w:val="20"/>
          <w:szCs w:val="20"/>
        </w:rPr>
        <w:t>Observations of the United States of America on the Human Rights Committee</w:t>
      </w:r>
      <w:r w:rsidR="00CF1738">
        <w:rPr>
          <w:rFonts w:ascii="Times New Roman" w:hAnsi="Times New Roman" w:cs="Times New Roman"/>
          <w:sz w:val="20"/>
          <w:szCs w:val="20"/>
        </w:rPr>
        <w:t>’</w:t>
      </w:r>
      <w:r w:rsidRPr="00AE141D">
        <w:rPr>
          <w:rFonts w:ascii="Times New Roman" w:hAnsi="Times New Roman" w:cs="Times New Roman"/>
          <w:sz w:val="20"/>
          <w:szCs w:val="20"/>
        </w:rPr>
        <w:t xml:space="preserve">s Draft General Comment 35: Article 9, June 10, 2014 (hereinafter “U.S. Observations on Draft General Comment No. 35”), </w:t>
      </w:r>
      <w:r w:rsidRPr="00AE141D">
        <w:rPr>
          <w:rFonts w:ascii="Times New Roman" w:hAnsi="Times New Roman" w:cs="Times New Roman"/>
          <w:i/>
          <w:sz w:val="20"/>
          <w:szCs w:val="20"/>
        </w:rPr>
        <w:t>excerpted</w:t>
      </w:r>
      <w:r w:rsidRPr="00AE141D">
        <w:rPr>
          <w:rFonts w:ascii="Times New Roman" w:hAnsi="Times New Roman" w:cs="Times New Roman"/>
          <w:i/>
          <w:iCs/>
          <w:sz w:val="20"/>
          <w:szCs w:val="20"/>
        </w:rPr>
        <w:t xml:space="preserve"> in </w:t>
      </w:r>
      <w:r w:rsidRPr="00AE141D">
        <w:rPr>
          <w:rFonts w:ascii="Times New Roman" w:hAnsi="Times New Roman" w:cs="Times New Roman"/>
          <w:sz w:val="20"/>
          <w:szCs w:val="20"/>
        </w:rPr>
        <w:t>Digest of U.S. Practice in International Law 2014, p. 179, at paragraph 4</w:t>
      </w:r>
      <w:r w:rsidR="0093073F">
        <w:rPr>
          <w:rFonts w:ascii="Times New Roman" w:hAnsi="Times New Roman" w:cs="Times New Roman"/>
          <w:sz w:val="20"/>
          <w:szCs w:val="20"/>
        </w:rPr>
        <w:t>,</w:t>
      </w:r>
      <w:r w:rsidR="000E3241" w:rsidRPr="00AE141D">
        <w:rPr>
          <w:rFonts w:ascii="Times New Roman" w:hAnsi="Times New Roman" w:cs="Times New Roman"/>
          <w:sz w:val="20"/>
          <w:szCs w:val="20"/>
        </w:rPr>
        <w:t xml:space="preserve"> </w:t>
      </w:r>
      <w:r w:rsidR="0093073F">
        <w:rPr>
          <w:rFonts w:ascii="Times New Roman" w:hAnsi="Times New Roman" w:cs="Times New Roman"/>
          <w:sz w:val="20"/>
          <w:szCs w:val="20"/>
        </w:rPr>
        <w:t>a</w:t>
      </w:r>
      <w:r w:rsidRPr="00AE141D">
        <w:rPr>
          <w:rFonts w:ascii="Times New Roman" w:hAnsi="Times New Roman" w:cs="Times New Roman"/>
          <w:sz w:val="20"/>
          <w:szCs w:val="20"/>
        </w:rPr>
        <w:t xml:space="preserve">vailable at </w:t>
      </w:r>
      <w:hyperlink r:id="rId5" w:history="1">
        <w:r w:rsidRPr="00AE141D">
          <w:rPr>
            <w:rStyle w:val="Hyperlink"/>
            <w:rFonts w:ascii="Times New Roman" w:hAnsi="Times New Roman" w:cs="Times New Roman"/>
            <w:sz w:val="20"/>
            <w:szCs w:val="20"/>
          </w:rPr>
          <w:t>https://www.state.gov/documents/organization/244445.pdf</w:t>
        </w:r>
      </w:hyperlink>
      <w:r w:rsidRPr="00AE141D">
        <w:rPr>
          <w:rFonts w:ascii="Times New Roman" w:hAnsi="Times New Roman" w:cs="Times New Roman"/>
          <w:sz w:val="20"/>
          <w:szCs w:val="20"/>
        </w:rPr>
        <w:t>.</w:t>
      </w:r>
    </w:p>
  </w:footnote>
  <w:footnote w:id="17">
    <w:p w:rsidR="007F3F66" w:rsidRPr="00AE141D" w:rsidRDefault="007F3F66" w:rsidP="00AE141D">
      <w:pPr>
        <w:pStyle w:val="NoSpacing"/>
        <w:rPr>
          <w:rFonts w:ascii="Times New Roman" w:hAnsi="Times New Roman" w:cs="Times New Roman"/>
          <w:sz w:val="20"/>
          <w:szCs w:val="20"/>
        </w:rPr>
      </w:pPr>
      <w:r w:rsidRPr="00AE141D">
        <w:rPr>
          <w:rStyle w:val="FootnoteReference"/>
          <w:rFonts w:ascii="Times New Roman" w:hAnsi="Times New Roman" w:cs="Times New Roman"/>
          <w:sz w:val="20"/>
          <w:szCs w:val="20"/>
        </w:rPr>
        <w:footnoteRef/>
      </w:r>
      <w:r w:rsidRPr="00AE141D">
        <w:rPr>
          <w:rFonts w:ascii="Times New Roman" w:hAnsi="Times New Roman" w:cs="Times New Roman"/>
          <w:sz w:val="20"/>
          <w:szCs w:val="20"/>
        </w:rPr>
        <w:t xml:space="preserve"> </w:t>
      </w:r>
      <w:r w:rsidRPr="00AE141D">
        <w:rPr>
          <w:rFonts w:ascii="Times New Roman" w:hAnsi="Times New Roman" w:cs="Times New Roman"/>
          <w:i/>
          <w:sz w:val="20"/>
          <w:szCs w:val="20"/>
        </w:rPr>
        <w:t>See</w:t>
      </w:r>
      <w:r w:rsidRPr="00AE141D">
        <w:rPr>
          <w:rFonts w:ascii="Times New Roman" w:hAnsi="Times New Roman" w:cs="Times New Roman"/>
          <w:sz w:val="20"/>
          <w:szCs w:val="20"/>
        </w:rPr>
        <w:t xml:space="preserve"> Observations of the United States of America on Human Rights Committee General Comment 31: Nature of the General Legal Obligations Imposed on States Parties to the Covenant, dated December 27, 2007, paragraphs 3-9 (hereinafter “U.S. Observations on General Comment No. 31”)</w:t>
      </w:r>
      <w:r w:rsidR="0093073F">
        <w:rPr>
          <w:rFonts w:ascii="Times New Roman" w:hAnsi="Times New Roman" w:cs="Times New Roman"/>
          <w:sz w:val="20"/>
          <w:szCs w:val="20"/>
        </w:rPr>
        <w:t>,</w:t>
      </w:r>
      <w:r w:rsidRPr="00AE141D">
        <w:rPr>
          <w:rFonts w:ascii="Times New Roman" w:hAnsi="Times New Roman" w:cs="Times New Roman"/>
          <w:sz w:val="20"/>
          <w:szCs w:val="20"/>
        </w:rPr>
        <w:t xml:space="preserve"> </w:t>
      </w:r>
      <w:r w:rsidR="0093073F">
        <w:rPr>
          <w:rFonts w:ascii="Times New Roman" w:hAnsi="Times New Roman" w:cs="Times New Roman"/>
          <w:sz w:val="20"/>
          <w:szCs w:val="20"/>
        </w:rPr>
        <w:t>a</w:t>
      </w:r>
      <w:r w:rsidRPr="00AE141D">
        <w:rPr>
          <w:rFonts w:ascii="Times New Roman" w:hAnsi="Times New Roman" w:cs="Times New Roman"/>
          <w:sz w:val="20"/>
          <w:szCs w:val="20"/>
        </w:rPr>
        <w:t xml:space="preserve">vailable at </w:t>
      </w:r>
      <w:hyperlink r:id="rId6" w:history="1">
        <w:r w:rsidRPr="00AE141D">
          <w:rPr>
            <w:rStyle w:val="Hyperlink"/>
            <w:rFonts w:ascii="Times New Roman" w:hAnsi="Times New Roman" w:cs="Times New Roman"/>
            <w:sz w:val="20"/>
            <w:szCs w:val="20"/>
          </w:rPr>
          <w:t>http://2001-2009.state.gov/s/l/2007/112674.htm</w:t>
        </w:r>
      </w:hyperlink>
      <w:r w:rsidRPr="00AE141D">
        <w:rPr>
          <w:rFonts w:ascii="Times New Roman" w:hAnsi="Times New Roman" w:cs="Times New Roman"/>
          <w:sz w:val="20"/>
          <w:szCs w:val="20"/>
        </w:rPr>
        <w:t>.</w:t>
      </w:r>
    </w:p>
  </w:footnote>
  <w:footnote w:id="18">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See</w:t>
      </w:r>
      <w:r w:rsidRPr="00AE141D">
        <w:rPr>
          <w:rFonts w:ascii="Times New Roman" w:hAnsi="Times New Roman" w:cs="Times New Roman"/>
        </w:rPr>
        <w:t xml:space="preserve"> U.S. Observations on Draft General Comment No. 35, </w:t>
      </w:r>
      <w:r w:rsidRPr="00AE141D">
        <w:rPr>
          <w:rFonts w:ascii="Times New Roman" w:hAnsi="Times New Roman" w:cs="Times New Roman"/>
          <w:i/>
        </w:rPr>
        <w:t xml:space="preserve">supra </w:t>
      </w:r>
      <w:r w:rsidRPr="00AE141D">
        <w:rPr>
          <w:rFonts w:ascii="Times New Roman" w:hAnsi="Times New Roman" w:cs="Times New Roman"/>
        </w:rPr>
        <w:t>note</w:t>
      </w:r>
      <w:r w:rsidRPr="00AE141D">
        <w:rPr>
          <w:rFonts w:ascii="Times New Roman" w:hAnsi="Times New Roman" w:cs="Times New Roman"/>
          <w:i/>
        </w:rPr>
        <w:t xml:space="preserve"> </w:t>
      </w:r>
      <w:r w:rsidRPr="00AE141D">
        <w:rPr>
          <w:rFonts w:ascii="Times New Roman" w:hAnsi="Times New Roman" w:cs="Times New Roman"/>
        </w:rPr>
        <w:t>1</w:t>
      </w:r>
      <w:r w:rsidR="008A2016" w:rsidRPr="00AE141D">
        <w:rPr>
          <w:rFonts w:ascii="Times New Roman" w:hAnsi="Times New Roman" w:cs="Times New Roman"/>
        </w:rPr>
        <w:t>6</w:t>
      </w:r>
      <w:r w:rsidRPr="00AE141D">
        <w:rPr>
          <w:rFonts w:ascii="Times New Roman" w:hAnsi="Times New Roman" w:cs="Times New Roman"/>
        </w:rPr>
        <w:t xml:space="preserve"> at paragraph 5.</w:t>
      </w:r>
    </w:p>
  </w:footnote>
  <w:footnote w:id="19">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 xml:space="preserve">See </w:t>
      </w:r>
      <w:r w:rsidRPr="00AE141D">
        <w:rPr>
          <w:rFonts w:ascii="Times New Roman" w:hAnsi="Times New Roman" w:cs="Times New Roman"/>
        </w:rPr>
        <w:t>International Convention on Maritime Search and Rescue, 1979, done at Hamburg, April 27, 1979, as amended, Annex paragraph 2.1.7.</w:t>
      </w:r>
    </w:p>
  </w:footnote>
  <w:footnote w:id="20">
    <w:p w:rsidR="007F3F66" w:rsidRPr="00AE141D" w:rsidRDefault="007F3F66" w:rsidP="00AE141D">
      <w:pPr>
        <w:pStyle w:val="Pa63"/>
        <w:spacing w:line="240" w:lineRule="auto"/>
        <w:rPr>
          <w:rFonts w:ascii="Times New Roman" w:hAnsi="Times New Roman" w:cs="Times New Roman"/>
          <w:color w:val="211D1E"/>
          <w:sz w:val="20"/>
          <w:szCs w:val="20"/>
        </w:rPr>
      </w:pPr>
      <w:r w:rsidRPr="00AE141D">
        <w:rPr>
          <w:rStyle w:val="FootnoteReference"/>
          <w:rFonts w:ascii="Times New Roman" w:hAnsi="Times New Roman" w:cs="Times New Roman"/>
          <w:sz w:val="20"/>
          <w:szCs w:val="20"/>
        </w:rPr>
        <w:footnoteRef/>
      </w:r>
      <w:r w:rsidRPr="00AE141D">
        <w:rPr>
          <w:rFonts w:ascii="Times New Roman" w:hAnsi="Times New Roman" w:cs="Times New Roman"/>
          <w:sz w:val="20"/>
          <w:szCs w:val="20"/>
        </w:rPr>
        <w:t xml:space="preserve"> </w:t>
      </w:r>
      <w:r w:rsidRPr="00AE141D">
        <w:rPr>
          <w:rFonts w:ascii="Times New Roman" w:hAnsi="Times New Roman" w:cs="Times New Roman"/>
          <w:i/>
          <w:sz w:val="20"/>
          <w:szCs w:val="20"/>
        </w:rPr>
        <w:t>See, e.g.,</w:t>
      </w:r>
      <w:r w:rsidRPr="00AE141D">
        <w:rPr>
          <w:rFonts w:ascii="Times New Roman" w:hAnsi="Times New Roman" w:cs="Times New Roman"/>
          <w:sz w:val="20"/>
          <w:szCs w:val="20"/>
        </w:rPr>
        <w:t xml:space="preserve"> Article 1 of the European Convention </w:t>
      </w:r>
      <w:r w:rsidRPr="00AE141D">
        <w:rPr>
          <w:rFonts w:ascii="Times New Roman" w:hAnsi="Times New Roman" w:cs="Times New Roman"/>
          <w:bCs/>
          <w:color w:val="211D1E"/>
          <w:sz w:val="20"/>
          <w:szCs w:val="20"/>
        </w:rPr>
        <w:t>for the Protection of Human Rights and Fundamental Freedoms</w:t>
      </w:r>
      <w:r w:rsidRPr="00AE141D">
        <w:rPr>
          <w:rFonts w:ascii="Times New Roman" w:hAnsi="Times New Roman" w:cs="Times New Roman"/>
          <w:b/>
          <w:bCs/>
          <w:color w:val="211D1E"/>
          <w:sz w:val="20"/>
          <w:szCs w:val="20"/>
        </w:rPr>
        <w:t xml:space="preserve"> </w:t>
      </w:r>
    </w:p>
    <w:p w:rsidR="007F3F66" w:rsidRPr="00AE141D" w:rsidRDefault="007F3F66" w:rsidP="00AE141D">
      <w:pPr>
        <w:pStyle w:val="FootnoteText"/>
        <w:rPr>
          <w:rFonts w:ascii="Times New Roman" w:hAnsi="Times New Roman" w:cs="Times New Roman"/>
          <w:color w:val="211D1E"/>
        </w:rPr>
      </w:pPr>
      <w:r w:rsidRPr="00AE141D">
        <w:rPr>
          <w:rFonts w:ascii="Times New Roman" w:hAnsi="Times New Roman" w:cs="Times New Roman"/>
          <w:color w:val="211D1E"/>
        </w:rPr>
        <w:t>(“</w:t>
      </w:r>
      <w:r w:rsidRPr="00AE141D">
        <w:rPr>
          <w:rFonts w:ascii="Times New Roman" w:hAnsi="Times New Roman" w:cs="Times New Roman"/>
        </w:rPr>
        <w:t>The High Contracting Parties shall secure to everyone within their jurisdiction the rights and freedoms defined in Section I of this Convention.”); and Article 1(1) of the American Convention on Human Rights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00D3328F">
        <w:rPr>
          <w:rFonts w:ascii="Times New Roman" w:hAnsi="Times New Roman" w:cs="Times New Roman"/>
        </w:rPr>
        <w:t>/</w:t>
      </w:r>
    </w:p>
  </w:footnote>
  <w:footnote w:id="21">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00A37220">
        <w:rPr>
          <w:rFonts w:ascii="Times New Roman" w:hAnsi="Times New Roman" w:cs="Times New Roman"/>
        </w:rPr>
        <w:t xml:space="preserve"> </w:t>
      </w:r>
      <w:r w:rsidRPr="00AE141D">
        <w:rPr>
          <w:rFonts w:ascii="Times New Roman" w:hAnsi="Times New Roman" w:cs="Times New Roman"/>
          <w:i/>
        </w:rPr>
        <w:t>See</w:t>
      </w:r>
      <w:r w:rsidRPr="00AE141D">
        <w:rPr>
          <w:rFonts w:ascii="Times New Roman" w:hAnsi="Times New Roman" w:cs="Times New Roman"/>
        </w:rPr>
        <w:t xml:space="preserve"> U.S. Observations on General Comment No. 31, </w:t>
      </w:r>
      <w:r w:rsidRPr="00AE141D">
        <w:rPr>
          <w:rFonts w:ascii="Times New Roman" w:hAnsi="Times New Roman" w:cs="Times New Roman"/>
          <w:i/>
        </w:rPr>
        <w:t xml:space="preserve">supra </w:t>
      </w:r>
      <w:r w:rsidRPr="00AE141D">
        <w:rPr>
          <w:rFonts w:ascii="Times New Roman" w:hAnsi="Times New Roman" w:cs="Times New Roman"/>
        </w:rPr>
        <w:t xml:space="preserve">note </w:t>
      </w:r>
      <w:r w:rsidR="003E63C4" w:rsidRPr="00AE141D">
        <w:rPr>
          <w:rFonts w:ascii="Times New Roman" w:hAnsi="Times New Roman" w:cs="Times New Roman"/>
        </w:rPr>
        <w:t>1</w:t>
      </w:r>
      <w:r w:rsidR="00C01F65" w:rsidRPr="00AE141D">
        <w:rPr>
          <w:rFonts w:ascii="Times New Roman" w:hAnsi="Times New Roman" w:cs="Times New Roman"/>
        </w:rPr>
        <w:t>7</w:t>
      </w:r>
      <w:r w:rsidRPr="00AE141D">
        <w:rPr>
          <w:rFonts w:ascii="Times New Roman" w:hAnsi="Times New Roman" w:cs="Times New Roman"/>
        </w:rPr>
        <w:t>, paragraphs 24-27</w:t>
      </w:r>
      <w:r w:rsidR="00D3328F">
        <w:rPr>
          <w:rFonts w:ascii="Times New Roman" w:hAnsi="Times New Roman" w:cs="Times New Roman"/>
        </w:rPr>
        <w:t>;</w:t>
      </w:r>
      <w:r w:rsidRPr="00AE141D">
        <w:rPr>
          <w:rFonts w:ascii="Times New Roman" w:hAnsi="Times New Roman" w:cs="Times New Roman"/>
        </w:rPr>
        <w:t xml:space="preserve"> and U.S. Observations on Draft General Comment No. 35, </w:t>
      </w:r>
      <w:r w:rsidRPr="00AE141D">
        <w:rPr>
          <w:rFonts w:ascii="Times New Roman" w:hAnsi="Times New Roman" w:cs="Times New Roman"/>
          <w:i/>
        </w:rPr>
        <w:t xml:space="preserve">supra </w:t>
      </w:r>
      <w:r w:rsidRPr="00AE141D">
        <w:rPr>
          <w:rFonts w:ascii="Times New Roman" w:hAnsi="Times New Roman" w:cs="Times New Roman"/>
        </w:rPr>
        <w:t>note 1</w:t>
      </w:r>
      <w:r w:rsidR="00AE141D" w:rsidRPr="00AE141D">
        <w:rPr>
          <w:rFonts w:ascii="Times New Roman" w:hAnsi="Times New Roman" w:cs="Times New Roman"/>
        </w:rPr>
        <w:t>6</w:t>
      </w:r>
      <w:r w:rsidR="00D3328F">
        <w:rPr>
          <w:rFonts w:ascii="Times New Roman" w:hAnsi="Times New Roman" w:cs="Times New Roman"/>
        </w:rPr>
        <w:t xml:space="preserve"> at paragraph</w:t>
      </w:r>
      <w:r w:rsidRPr="00AE141D">
        <w:rPr>
          <w:rFonts w:ascii="Times New Roman" w:hAnsi="Times New Roman" w:cs="Times New Roman"/>
        </w:rPr>
        <w:t xml:space="preserve"> 5. </w:t>
      </w:r>
    </w:p>
  </w:footnote>
  <w:footnote w:id="22">
    <w:p w:rsidR="007F3F66" w:rsidRPr="00993DCF" w:rsidRDefault="007F3F66" w:rsidP="00AE141D">
      <w:pPr>
        <w:spacing w:after="0" w:line="240" w:lineRule="auto"/>
        <w:rPr>
          <w:rFonts w:ascii="Times New Roman" w:hAnsi="Times New Roman" w:cs="Times New Roman"/>
          <w:sz w:val="20"/>
          <w:szCs w:val="20"/>
        </w:rPr>
      </w:pPr>
      <w:r w:rsidRPr="00AE141D">
        <w:rPr>
          <w:rStyle w:val="FootnoteReference"/>
          <w:rFonts w:ascii="Times New Roman" w:hAnsi="Times New Roman" w:cs="Times New Roman"/>
          <w:sz w:val="20"/>
          <w:szCs w:val="20"/>
        </w:rPr>
        <w:footnoteRef/>
      </w:r>
      <w:r w:rsidRPr="00AE141D">
        <w:rPr>
          <w:rFonts w:ascii="Times New Roman" w:hAnsi="Times New Roman" w:cs="Times New Roman"/>
          <w:sz w:val="20"/>
          <w:szCs w:val="20"/>
        </w:rPr>
        <w:t xml:space="preserve"> </w:t>
      </w:r>
      <w:r w:rsidRPr="00AE141D">
        <w:rPr>
          <w:rFonts w:ascii="Times New Roman" w:eastAsia="Cambria" w:hAnsi="Times New Roman" w:cs="Times New Roman"/>
          <w:sz w:val="20"/>
          <w:szCs w:val="20"/>
        </w:rPr>
        <w:t xml:space="preserve">The sole reference cited as “relevant international standards” does not discuss or pertain to situations of armed conflict, nor can it accurately be characterized as “international standards.”  Rather it is a document produced by the U.N. Special Rapporteur on </w:t>
      </w:r>
      <w:r w:rsidRPr="00AE141D">
        <w:rPr>
          <w:rFonts w:ascii="Times New Roman" w:hAnsi="Times New Roman" w:cs="Times New Roman"/>
          <w:sz w:val="20"/>
          <w:szCs w:val="20"/>
        </w:rPr>
        <w:t>Extrajudicial, Summary or Arbitrary Executions that was never endorsed, approved, or adopted in its final form by the Human Rights Council or any U.N. body of Member States.  The draft general comment also inaccurately refers to it as the “Revised United Nations Manual on the Effective Prevention and Investigation of Extra-legal, Arbitrary and Summary Executions (2016),” which is not correct in view of its unapproved status.  The OHCHR has published an advance version, entitled The Minnesota Protocol on the Investigation of Potentially Unlawful Death (2016)</w:t>
      </w:r>
      <w:r w:rsidR="0093073F">
        <w:rPr>
          <w:rFonts w:ascii="Times New Roman" w:hAnsi="Times New Roman" w:cs="Times New Roman"/>
          <w:sz w:val="20"/>
          <w:szCs w:val="20"/>
        </w:rPr>
        <w:t>,</w:t>
      </w:r>
      <w:r w:rsidR="00A37220">
        <w:rPr>
          <w:rFonts w:ascii="Times New Roman" w:hAnsi="Times New Roman" w:cs="Times New Roman"/>
          <w:sz w:val="20"/>
          <w:szCs w:val="20"/>
        </w:rPr>
        <w:t xml:space="preserve"> </w:t>
      </w:r>
      <w:r w:rsidR="0093073F">
        <w:rPr>
          <w:rFonts w:ascii="Times New Roman" w:hAnsi="Times New Roman" w:cs="Times New Roman"/>
          <w:sz w:val="20"/>
          <w:szCs w:val="20"/>
        </w:rPr>
        <w:t>a</w:t>
      </w:r>
      <w:r w:rsidRPr="00AE141D">
        <w:rPr>
          <w:rFonts w:ascii="Times New Roman" w:hAnsi="Times New Roman" w:cs="Times New Roman"/>
          <w:sz w:val="20"/>
          <w:szCs w:val="20"/>
        </w:rPr>
        <w:t xml:space="preserve">vailable at </w:t>
      </w:r>
      <w:hyperlink r:id="rId7" w:history="1">
        <w:r w:rsidRPr="00AE141D">
          <w:rPr>
            <w:rStyle w:val="Hyperlink"/>
            <w:rFonts w:ascii="Times New Roman" w:eastAsia="Times New Roman" w:hAnsi="Times New Roman" w:cs="Times New Roman"/>
            <w:sz w:val="20"/>
            <w:szCs w:val="20"/>
          </w:rPr>
          <w:t>http://www.ohchr.org/EN/Issues/Executions/Pages/RevisionoftheUNManualPreventionExtraLegalArbitrary.aspx</w:t>
        </w:r>
      </w:hyperlink>
      <w:r w:rsidR="00993DCF">
        <w:rPr>
          <w:rStyle w:val="Hyperlink"/>
          <w:rFonts w:ascii="Times New Roman" w:eastAsia="Times New Roman" w:hAnsi="Times New Roman" w:cs="Times New Roman"/>
          <w:sz w:val="20"/>
          <w:szCs w:val="20"/>
          <w:u w:val="none"/>
        </w:rPr>
        <w:t>.</w:t>
      </w:r>
    </w:p>
  </w:footnote>
  <w:footnote w:id="23">
    <w:p w:rsidR="007F3F66" w:rsidRPr="00AE141D" w:rsidRDefault="007F3F66" w:rsidP="00AE141D">
      <w:pPr>
        <w:autoSpaceDE w:val="0"/>
        <w:autoSpaceDN w:val="0"/>
        <w:adjustRightInd w:val="0"/>
        <w:spacing w:after="0" w:line="240" w:lineRule="auto"/>
        <w:rPr>
          <w:rFonts w:ascii="Times New Roman" w:hAnsi="Times New Roman" w:cs="Times New Roman"/>
          <w:sz w:val="20"/>
          <w:szCs w:val="20"/>
        </w:rPr>
      </w:pPr>
      <w:r w:rsidRPr="00AE141D">
        <w:rPr>
          <w:rStyle w:val="FootnoteReference"/>
          <w:rFonts w:ascii="Times New Roman" w:hAnsi="Times New Roman" w:cs="Times New Roman"/>
          <w:sz w:val="20"/>
          <w:szCs w:val="20"/>
        </w:rPr>
        <w:footnoteRef/>
      </w:r>
      <w:r w:rsidR="00A37220">
        <w:rPr>
          <w:rFonts w:ascii="Times New Roman" w:hAnsi="Times New Roman" w:cs="Times New Roman"/>
          <w:sz w:val="20"/>
          <w:szCs w:val="20"/>
        </w:rPr>
        <w:t xml:space="preserve"> </w:t>
      </w:r>
      <w:r w:rsidRPr="00AE141D">
        <w:rPr>
          <w:rFonts w:ascii="Times New Roman" w:hAnsi="Times New Roman" w:cs="Times New Roman"/>
          <w:i/>
          <w:iCs/>
          <w:sz w:val="20"/>
          <w:szCs w:val="20"/>
        </w:rPr>
        <w:t xml:space="preserve">Legality of the Threat or Use of Nuclear Weapons, Advisory Opinion, </w:t>
      </w:r>
      <w:r w:rsidR="00F74A8F" w:rsidRPr="00AE141D">
        <w:rPr>
          <w:rFonts w:ascii="Times New Roman" w:hAnsi="Times New Roman" w:cs="Times New Roman"/>
          <w:bCs/>
          <w:i/>
          <w:iCs/>
          <w:sz w:val="20"/>
          <w:szCs w:val="20"/>
        </w:rPr>
        <w:t>I.</w:t>
      </w:r>
      <w:r w:rsidRPr="00AE141D">
        <w:rPr>
          <w:rFonts w:ascii="Times New Roman" w:hAnsi="Times New Roman" w:cs="Times New Roman"/>
          <w:i/>
          <w:iCs/>
          <w:sz w:val="20"/>
          <w:szCs w:val="20"/>
        </w:rPr>
        <w:t xml:space="preserve">C.J. Reports 1996, </w:t>
      </w:r>
      <w:r w:rsidRPr="00AE141D">
        <w:rPr>
          <w:rFonts w:ascii="Times New Roman" w:hAnsi="Times New Roman" w:cs="Times New Roman"/>
          <w:sz w:val="20"/>
          <w:szCs w:val="20"/>
        </w:rPr>
        <w:t>p. 226, at p.</w:t>
      </w:r>
      <w:r w:rsidR="00A37220">
        <w:rPr>
          <w:rFonts w:ascii="Times New Roman" w:hAnsi="Times New Roman" w:cs="Times New Roman"/>
          <w:sz w:val="20"/>
          <w:szCs w:val="20"/>
        </w:rPr>
        <w:t xml:space="preserve"> </w:t>
      </w:r>
      <w:r w:rsidRPr="00AE141D">
        <w:rPr>
          <w:rFonts w:ascii="Times New Roman" w:hAnsi="Times New Roman" w:cs="Times New Roman"/>
          <w:sz w:val="20"/>
          <w:szCs w:val="20"/>
        </w:rPr>
        <w:t>266, paragraph 105(2)(B).</w:t>
      </w:r>
    </w:p>
  </w:footnote>
  <w:footnote w:id="24">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00A37220">
        <w:rPr>
          <w:rFonts w:ascii="Times New Roman" w:hAnsi="Times New Roman" w:cs="Times New Roman"/>
        </w:rPr>
        <w:t xml:space="preserve"> </w:t>
      </w:r>
      <w:r w:rsidR="00F74A8F" w:rsidRPr="00AE141D">
        <w:rPr>
          <w:rFonts w:ascii="Times New Roman" w:hAnsi="Times New Roman" w:cs="Times New Roman"/>
          <w:i/>
        </w:rPr>
        <w:t>I</w:t>
      </w:r>
      <w:r w:rsidR="00993DCF">
        <w:rPr>
          <w:rFonts w:ascii="Times New Roman" w:hAnsi="Times New Roman" w:cs="Times New Roman"/>
          <w:i/>
        </w:rPr>
        <w:t>d</w:t>
      </w:r>
      <w:r w:rsidR="00F74A8F" w:rsidRPr="00AE141D">
        <w:rPr>
          <w:rFonts w:ascii="Times New Roman" w:hAnsi="Times New Roman" w:cs="Times New Roman"/>
          <w:i/>
        </w:rPr>
        <w:t>.</w:t>
      </w:r>
      <w:r w:rsidRPr="00AE141D">
        <w:rPr>
          <w:rFonts w:ascii="Times New Roman" w:hAnsi="Times New Roman" w:cs="Times New Roman"/>
        </w:rPr>
        <w:t xml:space="preserve"> at p. 240, paragraph 25. </w:t>
      </w:r>
    </w:p>
  </w:footnote>
  <w:footnote w:id="25">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See</w:t>
      </w:r>
      <w:r w:rsidRPr="00AE141D">
        <w:rPr>
          <w:rFonts w:ascii="Times New Roman" w:hAnsi="Times New Roman" w:cs="Times New Roman"/>
        </w:rPr>
        <w:t xml:space="preserve"> U.S. Observations on Draft General Comment No. 35, </w:t>
      </w:r>
      <w:r w:rsidRPr="00AE141D">
        <w:rPr>
          <w:rFonts w:ascii="Times New Roman" w:hAnsi="Times New Roman" w:cs="Times New Roman"/>
          <w:i/>
        </w:rPr>
        <w:t xml:space="preserve">supra </w:t>
      </w:r>
      <w:r w:rsidRPr="00AE141D">
        <w:rPr>
          <w:rFonts w:ascii="Times New Roman" w:hAnsi="Times New Roman" w:cs="Times New Roman"/>
        </w:rPr>
        <w:t>note 1</w:t>
      </w:r>
      <w:r w:rsidR="00AE141D" w:rsidRPr="00AE141D">
        <w:rPr>
          <w:rFonts w:ascii="Times New Roman" w:hAnsi="Times New Roman" w:cs="Times New Roman"/>
        </w:rPr>
        <w:t>6</w:t>
      </w:r>
      <w:r w:rsidRPr="00AE141D">
        <w:rPr>
          <w:rFonts w:ascii="Times New Roman" w:hAnsi="Times New Roman" w:cs="Times New Roman"/>
        </w:rPr>
        <w:t xml:space="preserve"> at paragraph 24.</w:t>
      </w:r>
    </w:p>
  </w:footnote>
  <w:footnote w:id="26">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i/>
        </w:rPr>
        <w:t xml:space="preserve"> See</w:t>
      </w:r>
      <w:r w:rsidRPr="00AE141D">
        <w:rPr>
          <w:rFonts w:ascii="Times New Roman" w:hAnsi="Times New Roman" w:cs="Times New Roman"/>
        </w:rPr>
        <w:t xml:space="preserve"> U.S. Observations on General Comment No. 31, </w:t>
      </w:r>
      <w:r w:rsidRPr="00AE141D">
        <w:rPr>
          <w:rFonts w:ascii="Times New Roman" w:hAnsi="Times New Roman" w:cs="Times New Roman"/>
          <w:i/>
        </w:rPr>
        <w:t xml:space="preserve">supra </w:t>
      </w:r>
      <w:r w:rsidRPr="00AE141D">
        <w:rPr>
          <w:rFonts w:ascii="Times New Roman" w:hAnsi="Times New Roman" w:cs="Times New Roman"/>
        </w:rPr>
        <w:t xml:space="preserve">note </w:t>
      </w:r>
      <w:r w:rsidR="00F74A8F" w:rsidRPr="00AE141D">
        <w:rPr>
          <w:rFonts w:ascii="Times New Roman" w:hAnsi="Times New Roman" w:cs="Times New Roman"/>
        </w:rPr>
        <w:t>1</w:t>
      </w:r>
      <w:r w:rsidR="00AE141D" w:rsidRPr="00AE141D">
        <w:rPr>
          <w:rFonts w:ascii="Times New Roman" w:hAnsi="Times New Roman" w:cs="Times New Roman"/>
        </w:rPr>
        <w:t>7</w:t>
      </w:r>
      <w:r w:rsidR="008D2F1B">
        <w:rPr>
          <w:rFonts w:ascii="Times New Roman" w:hAnsi="Times New Roman" w:cs="Times New Roman"/>
        </w:rPr>
        <w:t>,</w:t>
      </w:r>
      <w:r w:rsidRPr="00AE141D">
        <w:rPr>
          <w:rFonts w:ascii="Times New Roman" w:hAnsi="Times New Roman" w:cs="Times New Roman"/>
        </w:rPr>
        <w:t xml:space="preserve"> paragraphs 19-23; and U.S. Observations on Draft General Comment No. 35, </w:t>
      </w:r>
      <w:r w:rsidRPr="00AE141D">
        <w:rPr>
          <w:rFonts w:ascii="Times New Roman" w:hAnsi="Times New Roman" w:cs="Times New Roman"/>
          <w:i/>
        </w:rPr>
        <w:t xml:space="preserve">supra </w:t>
      </w:r>
      <w:r w:rsidRPr="00AE141D">
        <w:rPr>
          <w:rFonts w:ascii="Times New Roman" w:hAnsi="Times New Roman" w:cs="Times New Roman"/>
        </w:rPr>
        <w:t xml:space="preserve">note </w:t>
      </w:r>
      <w:r w:rsidR="00F74A8F" w:rsidRPr="00AE141D">
        <w:rPr>
          <w:rFonts w:ascii="Times New Roman" w:hAnsi="Times New Roman" w:cs="Times New Roman"/>
        </w:rPr>
        <w:t>1</w:t>
      </w:r>
      <w:r w:rsidR="00AE141D" w:rsidRPr="00AE141D">
        <w:rPr>
          <w:rFonts w:ascii="Times New Roman" w:hAnsi="Times New Roman" w:cs="Times New Roman"/>
        </w:rPr>
        <w:t>6</w:t>
      </w:r>
      <w:r w:rsidRPr="00AE141D">
        <w:rPr>
          <w:rFonts w:ascii="Times New Roman" w:hAnsi="Times New Roman" w:cs="Times New Roman"/>
        </w:rPr>
        <w:t xml:space="preserve"> at paragraph 43.</w:t>
      </w:r>
    </w:p>
  </w:footnote>
  <w:footnote w:id="27">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2826A1">
        <w:rPr>
          <w:rFonts w:ascii="Times New Roman" w:hAnsi="Times New Roman" w:cs="Times New Roman"/>
          <w:i/>
        </w:rPr>
        <w:t>See</w:t>
      </w:r>
      <w:r w:rsidRPr="00AE141D">
        <w:rPr>
          <w:rFonts w:ascii="Times New Roman" w:hAnsi="Times New Roman" w:cs="Times New Roman"/>
        </w:rPr>
        <w:t xml:space="preserve"> U.S. Observations on General Comment </w:t>
      </w:r>
      <w:r w:rsidR="00467B72">
        <w:rPr>
          <w:rFonts w:ascii="Times New Roman" w:hAnsi="Times New Roman" w:cs="Times New Roman"/>
        </w:rPr>
        <w:t xml:space="preserve">No. </w:t>
      </w:r>
      <w:r w:rsidRPr="00AE141D">
        <w:rPr>
          <w:rFonts w:ascii="Times New Roman" w:hAnsi="Times New Roman" w:cs="Times New Roman"/>
        </w:rPr>
        <w:t xml:space="preserve">24, </w:t>
      </w:r>
      <w:r w:rsidRPr="00AE141D">
        <w:rPr>
          <w:rFonts w:ascii="Times New Roman" w:hAnsi="Times New Roman" w:cs="Times New Roman"/>
          <w:i/>
        </w:rPr>
        <w:t xml:space="preserve">supra </w:t>
      </w:r>
      <w:r w:rsidRPr="00AE141D">
        <w:rPr>
          <w:rFonts w:ascii="Times New Roman" w:hAnsi="Times New Roman" w:cs="Times New Roman"/>
        </w:rPr>
        <w:t>note 1</w:t>
      </w:r>
      <w:r w:rsidR="00AE141D" w:rsidRPr="00AE141D">
        <w:rPr>
          <w:rFonts w:ascii="Times New Roman" w:hAnsi="Times New Roman" w:cs="Times New Roman"/>
        </w:rPr>
        <w:t>3</w:t>
      </w:r>
      <w:r w:rsidR="00C477B1">
        <w:rPr>
          <w:rFonts w:ascii="Times New Roman" w:hAnsi="Times New Roman" w:cs="Times New Roman"/>
        </w:rPr>
        <w:t xml:space="preserve">, </w:t>
      </w:r>
      <w:r w:rsidR="008D2F1B">
        <w:rPr>
          <w:rFonts w:ascii="Times New Roman" w:hAnsi="Times New Roman" w:cs="Times New Roman"/>
        </w:rPr>
        <w:t xml:space="preserve">p. </w:t>
      </w:r>
      <w:r w:rsidR="00C477B1">
        <w:rPr>
          <w:rFonts w:ascii="Times New Roman" w:hAnsi="Times New Roman" w:cs="Times New Roman"/>
        </w:rPr>
        <w:t>880 at</w:t>
      </w:r>
      <w:r w:rsidR="00C01F65" w:rsidRPr="00AE141D">
        <w:rPr>
          <w:rFonts w:ascii="Times New Roman" w:hAnsi="Times New Roman" w:cs="Times New Roman"/>
        </w:rPr>
        <w:t xml:space="preserve"> paragraph</w:t>
      </w:r>
      <w:r w:rsidRPr="00AE141D">
        <w:rPr>
          <w:rFonts w:ascii="Times New Roman" w:hAnsi="Times New Roman" w:cs="Times New Roman"/>
        </w:rPr>
        <w:t xml:space="preserve"> 3</w:t>
      </w:r>
      <w:r w:rsidR="00993DCF">
        <w:rPr>
          <w:rFonts w:ascii="Times New Roman" w:hAnsi="Times New Roman" w:cs="Times New Roman"/>
        </w:rPr>
        <w:t>.</w:t>
      </w:r>
      <w:r w:rsidRPr="00AE141D">
        <w:rPr>
          <w:rFonts w:ascii="Times New Roman" w:hAnsi="Times New Roman" w:cs="Times New Roman"/>
        </w:rPr>
        <w:t xml:space="preserve"> </w:t>
      </w:r>
    </w:p>
  </w:footnote>
  <w:footnote w:id="28">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smallCaps/>
        </w:rPr>
        <w:t>Guide to the “Travaux Préparatoires” of the International Covenant on Civil and Political Rights</w:t>
      </w:r>
      <w:r w:rsidRPr="00AE141D">
        <w:rPr>
          <w:rFonts w:ascii="Times New Roman" w:hAnsi="Times New Roman" w:cs="Times New Roman"/>
        </w:rPr>
        <w:t xml:space="preserve"> 116 (Marc. J. Bossuyt ed., 1987) [hereinafter Bossuyt]; E/CN.4/SR.139, p</w:t>
      </w:r>
      <w:r w:rsidR="00834D8C">
        <w:rPr>
          <w:rFonts w:ascii="Times New Roman" w:hAnsi="Times New Roman" w:cs="Times New Roman"/>
        </w:rPr>
        <w:t>p</w:t>
      </w:r>
      <w:r w:rsidRPr="00AE141D">
        <w:rPr>
          <w:rFonts w:ascii="Times New Roman" w:hAnsi="Times New Roman" w:cs="Times New Roman"/>
        </w:rPr>
        <w:t>. 5-8 (March 30, 1950).</w:t>
      </w:r>
    </w:p>
  </w:footnote>
  <w:footnote w:id="29">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Id</w:t>
      </w:r>
      <w:r w:rsidR="00993DCF">
        <w:rPr>
          <w:rFonts w:ascii="Times New Roman" w:hAnsi="Times New Roman" w:cs="Times New Roman"/>
        </w:rPr>
        <w:t>.</w:t>
      </w:r>
      <w:r w:rsidRPr="00AE141D">
        <w:rPr>
          <w:rFonts w:ascii="Times New Roman" w:hAnsi="Times New Roman" w:cs="Times New Roman"/>
        </w:rPr>
        <w:t xml:space="preserve"> at pp 4-5; </w:t>
      </w:r>
      <w:r w:rsidRPr="00AE141D">
        <w:rPr>
          <w:rFonts w:ascii="Times New Roman" w:hAnsi="Times New Roman" w:cs="Times New Roman"/>
          <w:i/>
        </w:rPr>
        <w:t>see also</w:t>
      </w:r>
      <w:r w:rsidRPr="00AE141D">
        <w:rPr>
          <w:rFonts w:ascii="Times New Roman" w:hAnsi="Times New Roman" w:cs="Times New Roman"/>
        </w:rPr>
        <w:t xml:space="preserve"> U.N. GAOR, 5</w:t>
      </w:r>
      <w:r w:rsidR="00A37220" w:rsidRPr="00A37220">
        <w:rPr>
          <w:rFonts w:ascii="Times New Roman" w:hAnsi="Times New Roman" w:cs="Times New Roman"/>
          <w:vertAlign w:val="superscript"/>
        </w:rPr>
        <w:t>th</w:t>
      </w:r>
      <w:r w:rsidR="00A37220">
        <w:rPr>
          <w:rFonts w:ascii="Times New Roman" w:hAnsi="Times New Roman" w:cs="Times New Roman"/>
        </w:rPr>
        <w:t xml:space="preserve"> </w:t>
      </w:r>
      <w:r w:rsidRPr="00AE141D">
        <w:rPr>
          <w:rFonts w:ascii="Times New Roman" w:hAnsi="Times New Roman" w:cs="Times New Roman"/>
        </w:rPr>
        <w:t>Sess., at 8, U.N. Doc. E/CN.4/SR.90, p. 9 (May 18, 1949) (U.S.).</w:t>
      </w:r>
    </w:p>
  </w:footnote>
  <w:footnote w:id="30">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U.N. Doc. E/CN.4/SR.97, p. 6 (U.S.) (May 24, 1949).</w:t>
      </w:r>
    </w:p>
  </w:footnote>
  <w:footnote w:id="31">
    <w:p w:rsidR="001F5F57" w:rsidRPr="00AE141D" w:rsidRDefault="001F5F57"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See</w:t>
      </w:r>
      <w:r w:rsidRPr="00AE141D">
        <w:rPr>
          <w:rFonts w:ascii="Times New Roman" w:hAnsi="Times New Roman" w:cs="Times New Roman"/>
        </w:rPr>
        <w:t xml:space="preserve"> Report of the Third Committee, 12</w:t>
      </w:r>
      <w:r w:rsidRPr="00AE141D">
        <w:rPr>
          <w:rFonts w:ascii="Times New Roman" w:hAnsi="Times New Roman" w:cs="Times New Roman"/>
          <w:vertAlign w:val="superscript"/>
        </w:rPr>
        <w:t>th</w:t>
      </w:r>
      <w:r w:rsidRPr="00AE141D">
        <w:rPr>
          <w:rFonts w:ascii="Times New Roman" w:hAnsi="Times New Roman" w:cs="Times New Roman"/>
        </w:rPr>
        <w:t xml:space="preserve"> Sess., U.N. Doc. A/3764, paragraph 114.</w:t>
      </w:r>
    </w:p>
  </w:footnote>
  <w:footnote w:id="32">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Id</w:t>
      </w:r>
      <w:r w:rsidRPr="00AE141D">
        <w:rPr>
          <w:rFonts w:ascii="Times New Roman" w:hAnsi="Times New Roman" w:cs="Times New Roman"/>
        </w:rPr>
        <w:t xml:space="preserve">.; </w:t>
      </w:r>
      <w:r w:rsidRPr="00AE141D">
        <w:rPr>
          <w:rFonts w:ascii="Times New Roman" w:hAnsi="Times New Roman" w:cs="Times New Roman"/>
          <w:i/>
        </w:rPr>
        <w:t>see also</w:t>
      </w:r>
      <w:r w:rsidRPr="00AE141D">
        <w:rPr>
          <w:rFonts w:ascii="Times New Roman" w:hAnsi="Times New Roman" w:cs="Times New Roman"/>
        </w:rPr>
        <w:t xml:space="preserve"> Bossuyt at 124.</w:t>
      </w:r>
    </w:p>
  </w:footnote>
  <w:footnote w:id="33">
    <w:p w:rsidR="00B25614" w:rsidRPr="00AE141D" w:rsidRDefault="00B25614" w:rsidP="00AE141D">
      <w:pPr>
        <w:pStyle w:val="FootnoteText"/>
        <w:rPr>
          <w:rFonts w:ascii="Times New Roman" w:hAnsi="Times New Roman" w:cs="Times New Roman"/>
          <w:i/>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Id.</w:t>
      </w:r>
      <w:r w:rsidRPr="00AE141D">
        <w:rPr>
          <w:rFonts w:ascii="Times New Roman" w:hAnsi="Times New Roman" w:cs="Times New Roman"/>
        </w:rPr>
        <w:t xml:space="preserve">; </w:t>
      </w:r>
      <w:r w:rsidRPr="00AE141D">
        <w:rPr>
          <w:rFonts w:ascii="Times New Roman" w:hAnsi="Times New Roman" w:cs="Times New Roman"/>
          <w:i/>
        </w:rPr>
        <w:t>see also</w:t>
      </w:r>
      <w:r w:rsidRPr="00AE141D">
        <w:rPr>
          <w:rFonts w:ascii="Times New Roman" w:hAnsi="Times New Roman" w:cs="Times New Roman"/>
        </w:rPr>
        <w:t xml:space="preserve"> A/C.3/SR.815, paragraph 22 (Chile stating “the records of the debates in the Commission on Human Rights during the drafting of article 6 should be studied in connexion with the current discussion.  The word ‘</w:t>
      </w:r>
      <w:r w:rsidR="00263D95" w:rsidRPr="00AE141D">
        <w:rPr>
          <w:rFonts w:ascii="Times New Roman" w:hAnsi="Times New Roman" w:cs="Times New Roman"/>
        </w:rPr>
        <w:t>arbitrarily’ for</w:t>
      </w:r>
      <w:r w:rsidRPr="00AE141D">
        <w:rPr>
          <w:rFonts w:ascii="Times New Roman" w:hAnsi="Times New Roman" w:cs="Times New Roman"/>
        </w:rPr>
        <w:t xml:space="preserve"> instance, had been accepted in a spirit of compromise after much discussion in order to meet the position of those countries which could not accept the first sentence of paragraph 1 without qualification”).</w:t>
      </w:r>
    </w:p>
  </w:footnote>
  <w:footnote w:id="34">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 xml:space="preserve">See, for example, </w:t>
      </w:r>
      <w:r w:rsidRPr="00AE141D">
        <w:rPr>
          <w:rFonts w:ascii="Times New Roman" w:hAnsi="Times New Roman" w:cs="Times New Roman"/>
        </w:rPr>
        <w:t>U.N. GAOR, 6</w:t>
      </w:r>
      <w:r w:rsidR="00993DCF" w:rsidRPr="002826A1">
        <w:rPr>
          <w:rFonts w:ascii="Times New Roman" w:hAnsi="Times New Roman" w:cs="Times New Roman"/>
          <w:vertAlign w:val="superscript"/>
        </w:rPr>
        <w:t>t</w:t>
      </w:r>
      <w:r w:rsidRPr="00AE141D">
        <w:rPr>
          <w:rFonts w:ascii="Times New Roman" w:hAnsi="Times New Roman" w:cs="Times New Roman"/>
          <w:vertAlign w:val="superscript"/>
        </w:rPr>
        <w:t>h</w:t>
      </w:r>
      <w:r w:rsidRPr="00AE141D">
        <w:rPr>
          <w:rFonts w:ascii="Times New Roman" w:hAnsi="Times New Roman" w:cs="Times New Roman"/>
        </w:rPr>
        <w:t xml:space="preserve"> Sess., at 12, U.N. Doc. E/CN.4/SR.140 (April 7, 1950) (Uruguay</w:t>
      </w:r>
      <w:r w:rsidR="00DA5675" w:rsidRPr="00AE141D">
        <w:rPr>
          <w:rFonts w:ascii="Times New Roman" w:hAnsi="Times New Roman" w:cs="Times New Roman"/>
        </w:rPr>
        <w:t xml:space="preserve"> stating: “The draft covenant would become an international convention, as distinct from a penal code concerning crimes committed by individuals. . . . It was not a question of examining individual crimes; that was left to the internal legal machinery of the individual state.”</w:t>
      </w:r>
      <w:r w:rsidRPr="00AE141D">
        <w:rPr>
          <w:rFonts w:ascii="Times New Roman" w:hAnsi="Times New Roman" w:cs="Times New Roman"/>
        </w:rPr>
        <w:t>).  Chile stated that “in general states dealt satisfactorily” with the legal principle that people do not have a right to kill</w:t>
      </w:r>
      <w:r w:rsidR="00DA5675" w:rsidRPr="00AE141D">
        <w:rPr>
          <w:rFonts w:ascii="Times New Roman" w:hAnsi="Times New Roman" w:cs="Times New Roman"/>
        </w:rPr>
        <w:t xml:space="preserve">.  While </w:t>
      </w:r>
      <w:r w:rsidRPr="00AE141D">
        <w:rPr>
          <w:rFonts w:ascii="Times New Roman" w:hAnsi="Times New Roman" w:cs="Times New Roman"/>
        </w:rPr>
        <w:t xml:space="preserve">Lebanon supported the UK’s list of exceptions, </w:t>
      </w:r>
      <w:r w:rsidR="00F44CA3" w:rsidRPr="00AE141D">
        <w:rPr>
          <w:rFonts w:ascii="Times New Roman" w:hAnsi="Times New Roman" w:cs="Times New Roman"/>
        </w:rPr>
        <w:t>it would have omitted exemptions/defenses for individuals and added</w:t>
      </w:r>
      <w:r w:rsidRPr="00AE141D">
        <w:rPr>
          <w:rFonts w:ascii="Times New Roman" w:hAnsi="Times New Roman" w:cs="Times New Roman"/>
        </w:rPr>
        <w:t xml:space="preserve"> language that “national law should prevail in other cases which resulted from acts occurring as between individuals.”</w:t>
      </w:r>
    </w:p>
  </w:footnote>
  <w:footnote w:id="35">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See</w:t>
      </w:r>
      <w:r w:rsidRPr="00AE141D">
        <w:rPr>
          <w:rFonts w:ascii="Times New Roman" w:hAnsi="Times New Roman" w:cs="Times New Roman"/>
        </w:rPr>
        <w:t xml:space="preserve"> U.S. Observa</w:t>
      </w:r>
      <w:r w:rsidR="00D3328F">
        <w:rPr>
          <w:rFonts w:ascii="Times New Roman" w:hAnsi="Times New Roman" w:cs="Times New Roman"/>
        </w:rPr>
        <w:t>tions on General Comment No. 31,</w:t>
      </w:r>
      <w:r w:rsidRPr="00AE141D">
        <w:rPr>
          <w:rFonts w:ascii="Times New Roman" w:hAnsi="Times New Roman" w:cs="Times New Roman"/>
        </w:rPr>
        <w:t xml:space="preserve"> </w:t>
      </w:r>
      <w:r w:rsidRPr="00AE141D">
        <w:rPr>
          <w:rFonts w:ascii="Times New Roman" w:hAnsi="Times New Roman" w:cs="Times New Roman"/>
          <w:i/>
        </w:rPr>
        <w:t>supra</w:t>
      </w:r>
      <w:r w:rsidRPr="00AE141D">
        <w:rPr>
          <w:rFonts w:ascii="Times New Roman" w:hAnsi="Times New Roman" w:cs="Times New Roman"/>
        </w:rPr>
        <w:t xml:space="preserve"> note </w:t>
      </w:r>
      <w:r w:rsidR="002669DF" w:rsidRPr="00AE141D">
        <w:rPr>
          <w:rFonts w:ascii="Times New Roman" w:hAnsi="Times New Roman" w:cs="Times New Roman"/>
        </w:rPr>
        <w:t>1</w:t>
      </w:r>
      <w:r w:rsidR="00AE141D" w:rsidRPr="00AE141D">
        <w:rPr>
          <w:rFonts w:ascii="Times New Roman" w:hAnsi="Times New Roman" w:cs="Times New Roman"/>
        </w:rPr>
        <w:t>7</w:t>
      </w:r>
      <w:r w:rsidR="00C01F65" w:rsidRPr="00AE141D">
        <w:rPr>
          <w:rFonts w:ascii="Times New Roman" w:hAnsi="Times New Roman" w:cs="Times New Roman"/>
        </w:rPr>
        <w:t>,</w:t>
      </w:r>
      <w:r w:rsidRPr="00AE141D">
        <w:rPr>
          <w:rFonts w:ascii="Times New Roman" w:hAnsi="Times New Roman" w:cs="Times New Roman"/>
        </w:rPr>
        <w:t xml:space="preserve"> paragraphs 10-18</w:t>
      </w:r>
      <w:r w:rsidR="00D3328F">
        <w:rPr>
          <w:rFonts w:ascii="Times New Roman" w:hAnsi="Times New Roman" w:cs="Times New Roman"/>
        </w:rPr>
        <w:t>;</w:t>
      </w:r>
      <w:r w:rsidRPr="00AE141D">
        <w:rPr>
          <w:rFonts w:ascii="Times New Roman" w:hAnsi="Times New Roman" w:cs="Times New Roman"/>
        </w:rPr>
        <w:t xml:space="preserve"> and U.S. Observations on Draft General Comment No. 35,</w:t>
      </w:r>
      <w:r w:rsidRPr="00AE141D">
        <w:rPr>
          <w:rFonts w:ascii="Times New Roman" w:hAnsi="Times New Roman" w:cs="Times New Roman"/>
          <w:i/>
        </w:rPr>
        <w:t xml:space="preserve"> supra</w:t>
      </w:r>
      <w:r w:rsidRPr="00AE141D">
        <w:rPr>
          <w:rFonts w:ascii="Times New Roman" w:hAnsi="Times New Roman" w:cs="Times New Roman"/>
        </w:rPr>
        <w:t xml:space="preserve"> note </w:t>
      </w:r>
      <w:r w:rsidR="002669DF" w:rsidRPr="00AE141D">
        <w:rPr>
          <w:rFonts w:ascii="Times New Roman" w:hAnsi="Times New Roman" w:cs="Times New Roman"/>
        </w:rPr>
        <w:t>1</w:t>
      </w:r>
      <w:r w:rsidR="00AE141D" w:rsidRPr="00AE141D">
        <w:rPr>
          <w:rFonts w:ascii="Times New Roman" w:hAnsi="Times New Roman" w:cs="Times New Roman"/>
        </w:rPr>
        <w:t>6</w:t>
      </w:r>
      <w:r w:rsidR="00D3328F">
        <w:rPr>
          <w:rFonts w:ascii="Times New Roman" w:hAnsi="Times New Roman" w:cs="Times New Roman"/>
        </w:rPr>
        <w:t>,</w:t>
      </w:r>
      <w:r w:rsidRPr="00AE141D">
        <w:rPr>
          <w:rFonts w:ascii="Times New Roman" w:hAnsi="Times New Roman" w:cs="Times New Roman"/>
        </w:rPr>
        <w:t xml:space="preserve"> para</w:t>
      </w:r>
      <w:r w:rsidR="00993DCF">
        <w:rPr>
          <w:rFonts w:ascii="Times New Roman" w:hAnsi="Times New Roman" w:cs="Times New Roman"/>
        </w:rPr>
        <w:t>graph</w:t>
      </w:r>
      <w:r w:rsidRPr="00AE141D">
        <w:rPr>
          <w:rFonts w:ascii="Times New Roman" w:hAnsi="Times New Roman" w:cs="Times New Roman"/>
        </w:rPr>
        <w:t>s 10-18.</w:t>
      </w:r>
    </w:p>
  </w:footnote>
  <w:footnote w:id="36">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00CF4D95" w:rsidRPr="00AE141D">
        <w:rPr>
          <w:rFonts w:ascii="Times New Roman" w:hAnsi="Times New Roman" w:cs="Times New Roman"/>
          <w:i/>
        </w:rPr>
        <w:t>Id</w:t>
      </w:r>
      <w:r w:rsidR="00CF4D95" w:rsidRPr="00AE141D">
        <w:rPr>
          <w:rFonts w:ascii="Times New Roman" w:hAnsi="Times New Roman" w:cs="Times New Roman"/>
        </w:rPr>
        <w:t>.; s</w:t>
      </w:r>
      <w:r w:rsidRPr="00AE141D">
        <w:rPr>
          <w:rFonts w:ascii="Times New Roman" w:hAnsi="Times New Roman" w:cs="Times New Roman"/>
          <w:i/>
        </w:rPr>
        <w:t xml:space="preserve">ee in particular </w:t>
      </w:r>
      <w:r w:rsidRPr="00AE141D">
        <w:rPr>
          <w:rFonts w:ascii="Times New Roman" w:hAnsi="Times New Roman" w:cs="Times New Roman"/>
        </w:rPr>
        <w:t>U.S. Observations on Draft General Comment No. 35, enumerating a list of such treaties at paragraphs 14-17.</w:t>
      </w:r>
    </w:p>
  </w:footnote>
  <w:footnote w:id="37">
    <w:p w:rsidR="00331752" w:rsidRPr="00AE141D" w:rsidRDefault="00331752"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i/>
        </w:rPr>
        <w:t xml:space="preserve"> See</w:t>
      </w:r>
      <w:r w:rsidRPr="00AE141D">
        <w:rPr>
          <w:rFonts w:ascii="Times New Roman" w:hAnsi="Times New Roman" w:cs="Times New Roman"/>
        </w:rPr>
        <w:t xml:space="preserve"> U.S. Observa</w:t>
      </w:r>
      <w:r w:rsidR="00D3328F">
        <w:rPr>
          <w:rFonts w:ascii="Times New Roman" w:hAnsi="Times New Roman" w:cs="Times New Roman"/>
        </w:rPr>
        <w:t>tions on General Comment No. 31,</w:t>
      </w:r>
      <w:r w:rsidRPr="00AE141D">
        <w:rPr>
          <w:rFonts w:ascii="Times New Roman" w:hAnsi="Times New Roman" w:cs="Times New Roman"/>
        </w:rPr>
        <w:t xml:space="preserve"> </w:t>
      </w:r>
      <w:r w:rsidRPr="00AE141D">
        <w:rPr>
          <w:rFonts w:ascii="Times New Roman" w:hAnsi="Times New Roman" w:cs="Times New Roman"/>
          <w:i/>
        </w:rPr>
        <w:t>supra</w:t>
      </w:r>
      <w:r w:rsidRPr="00AE141D">
        <w:rPr>
          <w:rFonts w:ascii="Times New Roman" w:hAnsi="Times New Roman" w:cs="Times New Roman"/>
        </w:rPr>
        <w:t xml:space="preserve"> note 1</w:t>
      </w:r>
      <w:r w:rsidR="00AE141D" w:rsidRPr="00AE141D">
        <w:rPr>
          <w:rFonts w:ascii="Times New Roman" w:hAnsi="Times New Roman" w:cs="Times New Roman"/>
        </w:rPr>
        <w:t>7</w:t>
      </w:r>
      <w:r w:rsidR="00C01F65" w:rsidRPr="00AE141D">
        <w:rPr>
          <w:rFonts w:ascii="Times New Roman" w:hAnsi="Times New Roman" w:cs="Times New Roman"/>
        </w:rPr>
        <w:t xml:space="preserve"> at</w:t>
      </w:r>
      <w:r w:rsidRPr="00AE141D">
        <w:rPr>
          <w:rFonts w:ascii="Times New Roman" w:hAnsi="Times New Roman" w:cs="Times New Roman"/>
        </w:rPr>
        <w:t xml:space="preserve"> paragraph 8</w:t>
      </w:r>
      <w:r w:rsidR="00993DCF">
        <w:rPr>
          <w:rFonts w:ascii="Times New Roman" w:hAnsi="Times New Roman" w:cs="Times New Roman"/>
        </w:rPr>
        <w:t>.</w:t>
      </w:r>
    </w:p>
  </w:footnote>
  <w:footnote w:id="38">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00A37220">
        <w:rPr>
          <w:rFonts w:ascii="Times New Roman" w:hAnsi="Times New Roman" w:cs="Times New Roman"/>
        </w:rPr>
        <w:t xml:space="preserve"> U.N. GAOR, 6</w:t>
      </w:r>
      <w:r w:rsidR="00A37220" w:rsidRPr="00A37220">
        <w:rPr>
          <w:rFonts w:ascii="Times New Roman" w:hAnsi="Times New Roman" w:cs="Times New Roman"/>
          <w:vertAlign w:val="superscript"/>
        </w:rPr>
        <w:t>th</w:t>
      </w:r>
      <w:r w:rsidR="00A37220">
        <w:rPr>
          <w:rFonts w:ascii="Times New Roman" w:hAnsi="Times New Roman" w:cs="Times New Roman"/>
        </w:rPr>
        <w:t xml:space="preserve"> </w:t>
      </w:r>
      <w:r w:rsidRPr="00AE141D">
        <w:rPr>
          <w:rFonts w:ascii="Times New Roman" w:hAnsi="Times New Roman" w:cs="Times New Roman"/>
        </w:rPr>
        <w:t>Sess., at 3, 11, U.N. Doc. E/CN.4/SR.140 (April 7, 1950) (Chile) (“The principal aim of the draft covenant was to protect the individual against such action by governments,” and also stating that they “agreed with the Lebanese representative that the greatest danger to be guarded against was that of actions of the State against the individual” and while States generally dealt with violence among private persons, little protection was already in place to guard the individual from the State).</w:t>
      </w:r>
    </w:p>
  </w:footnote>
  <w:footnote w:id="39">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U.N. GAOR, </w:t>
      </w:r>
      <w:r w:rsidRPr="00993DCF">
        <w:rPr>
          <w:rFonts w:ascii="Times New Roman" w:hAnsi="Times New Roman" w:cs="Times New Roman"/>
        </w:rPr>
        <w:t>6</w:t>
      </w:r>
      <w:r w:rsidR="00993DCF">
        <w:rPr>
          <w:rFonts w:ascii="Times New Roman" w:hAnsi="Times New Roman" w:cs="Times New Roman"/>
          <w:vertAlign w:val="superscript"/>
        </w:rPr>
        <w:t>t</w:t>
      </w:r>
      <w:r w:rsidRPr="00993DCF">
        <w:rPr>
          <w:rFonts w:ascii="Times New Roman" w:hAnsi="Times New Roman" w:cs="Times New Roman"/>
          <w:vertAlign w:val="superscript"/>
        </w:rPr>
        <w:t>h</w:t>
      </w:r>
      <w:r w:rsidRPr="00AE141D">
        <w:rPr>
          <w:rFonts w:ascii="Times New Roman" w:hAnsi="Times New Roman" w:cs="Times New Roman"/>
        </w:rPr>
        <w:t xml:space="preserve"> Sess., at 14, U.N. Doc. E/CN.4/SR.140 (April 7, 1950) (Australia) (proposing that two separate articles be drafted if the Commission decided that the article should apply to acts by private individuals as well as acts by the State); U.N. GAOR, </w:t>
      </w:r>
      <w:r w:rsidRPr="00993DCF">
        <w:rPr>
          <w:rFonts w:ascii="Times New Roman" w:hAnsi="Times New Roman" w:cs="Times New Roman"/>
        </w:rPr>
        <w:t>6</w:t>
      </w:r>
      <w:r w:rsidR="00993DCF">
        <w:rPr>
          <w:rFonts w:ascii="Times New Roman" w:hAnsi="Times New Roman" w:cs="Times New Roman"/>
          <w:vertAlign w:val="superscript"/>
        </w:rPr>
        <w:t>t</w:t>
      </w:r>
      <w:r w:rsidRPr="00993DCF">
        <w:rPr>
          <w:rFonts w:ascii="Times New Roman" w:hAnsi="Times New Roman" w:cs="Times New Roman"/>
          <w:vertAlign w:val="superscript"/>
        </w:rPr>
        <w:t>h</w:t>
      </w:r>
      <w:r w:rsidRPr="00AE141D">
        <w:rPr>
          <w:rFonts w:ascii="Times New Roman" w:hAnsi="Times New Roman" w:cs="Times New Roman"/>
        </w:rPr>
        <w:t xml:space="preserve"> Sess., at 6, U.N. Doc. E/CN.4/SR.144 (April 3, 1950) (Lebanon) (stating that the Commission must solve the fundamental problem “of whether the Commission was trying to protect human life against actions by the State, or against actions by private persons as well as by the State,” and thought a solution might be to simply state “that it was the duty of every State to protect human life by law, without […] entering into details of all the cases in which life must be protected and persons violating the penal code must be punished”).</w:t>
      </w:r>
    </w:p>
  </w:footnote>
  <w:footnote w:id="40">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U.N. GAOR, 6</w:t>
      </w:r>
      <w:r w:rsidR="00993DCF" w:rsidRPr="002826A1">
        <w:rPr>
          <w:rFonts w:ascii="Times New Roman" w:hAnsi="Times New Roman" w:cs="Times New Roman"/>
          <w:vertAlign w:val="superscript"/>
        </w:rPr>
        <w:t>t</w:t>
      </w:r>
      <w:r w:rsidRPr="00AE141D">
        <w:rPr>
          <w:rFonts w:ascii="Times New Roman" w:hAnsi="Times New Roman" w:cs="Times New Roman"/>
          <w:vertAlign w:val="superscript"/>
        </w:rPr>
        <w:t>h</w:t>
      </w:r>
      <w:r w:rsidRPr="00AE141D">
        <w:rPr>
          <w:rFonts w:ascii="Times New Roman" w:hAnsi="Times New Roman" w:cs="Times New Roman"/>
        </w:rPr>
        <w:t xml:space="preserve"> Sess., at 13, U.N. Doc. E/CN.4/SR.144 (April 12, 1950)</w:t>
      </w:r>
      <w:r w:rsidR="00614F46" w:rsidRPr="00AE141D">
        <w:rPr>
          <w:rFonts w:ascii="Times New Roman" w:hAnsi="Times New Roman" w:cs="Times New Roman"/>
        </w:rPr>
        <w:t>.</w:t>
      </w:r>
    </w:p>
  </w:footnote>
  <w:footnote w:id="41">
    <w:p w:rsidR="00C003C4" w:rsidRPr="00AE141D" w:rsidRDefault="00C003C4"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U.N. GAOR, 14</w:t>
      </w:r>
      <w:r w:rsidRPr="00AE141D">
        <w:rPr>
          <w:rFonts w:ascii="Times New Roman" w:hAnsi="Times New Roman" w:cs="Times New Roman"/>
          <w:vertAlign w:val="superscript"/>
        </w:rPr>
        <w:t>th</w:t>
      </w:r>
      <w:r w:rsidRPr="00AE141D">
        <w:rPr>
          <w:rFonts w:ascii="Times New Roman" w:hAnsi="Times New Roman" w:cs="Times New Roman"/>
        </w:rPr>
        <w:t xml:space="preserve"> Sess., Suppl. no. 4, at 25, U.N. Doc. E/CN.4/669 (1952);</w:t>
      </w:r>
      <w:r w:rsidRPr="00AE141D">
        <w:rPr>
          <w:rFonts w:ascii="Times New Roman" w:hAnsi="Times New Roman" w:cs="Times New Roman"/>
          <w:i/>
        </w:rPr>
        <w:t xml:space="preserve"> see</w:t>
      </w:r>
      <w:r w:rsidRPr="00AE141D">
        <w:rPr>
          <w:rFonts w:ascii="Times New Roman" w:hAnsi="Times New Roman" w:cs="Times New Roman"/>
        </w:rPr>
        <w:t xml:space="preserve"> generally, U.N. GAOR, 8</w:t>
      </w:r>
      <w:r w:rsidR="00993DCF" w:rsidRPr="002826A1">
        <w:rPr>
          <w:rFonts w:ascii="Times New Roman" w:hAnsi="Times New Roman" w:cs="Times New Roman"/>
          <w:vertAlign w:val="superscript"/>
        </w:rPr>
        <w:t>t</w:t>
      </w:r>
      <w:r w:rsidRPr="00AE141D">
        <w:rPr>
          <w:rFonts w:ascii="Times New Roman" w:hAnsi="Times New Roman" w:cs="Times New Roman"/>
          <w:vertAlign w:val="superscript"/>
        </w:rPr>
        <w:t>h</w:t>
      </w:r>
      <w:r w:rsidRPr="00AE141D">
        <w:rPr>
          <w:rFonts w:ascii="Times New Roman" w:hAnsi="Times New Roman" w:cs="Times New Roman"/>
        </w:rPr>
        <w:t xml:space="preserve"> Sess., U.N. Doc. E/CN.4/SR.309 (June 10, 1952); U.N. Doc. E/CN.4/SR.310( 1952); U.N. GAOR, 8</w:t>
      </w:r>
      <w:r w:rsidR="00993DCF" w:rsidRPr="002826A1">
        <w:rPr>
          <w:rFonts w:ascii="Times New Roman" w:hAnsi="Times New Roman" w:cs="Times New Roman"/>
          <w:vertAlign w:val="superscript"/>
        </w:rPr>
        <w:t>t</w:t>
      </w:r>
      <w:r w:rsidRPr="00AE141D">
        <w:rPr>
          <w:rFonts w:ascii="Times New Roman" w:hAnsi="Times New Roman" w:cs="Times New Roman"/>
          <w:vertAlign w:val="superscript"/>
        </w:rPr>
        <w:t>h</w:t>
      </w:r>
      <w:r w:rsidRPr="00AE141D">
        <w:rPr>
          <w:rFonts w:ascii="Times New Roman" w:hAnsi="Times New Roman" w:cs="Times New Roman"/>
        </w:rPr>
        <w:t xml:space="preserve"> Sess., U.N. Doc. E/CN.4/SR.311 (June 12, 1952).</w:t>
      </w:r>
    </w:p>
  </w:footnote>
  <w:footnote w:id="42">
    <w:p w:rsidR="00720245" w:rsidRPr="00AE141D" w:rsidRDefault="00720245"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U.N. GAOR, 8</w:t>
      </w:r>
      <w:r w:rsidR="00993DCF" w:rsidRPr="002826A1">
        <w:rPr>
          <w:rFonts w:ascii="Times New Roman" w:hAnsi="Times New Roman" w:cs="Times New Roman"/>
          <w:vertAlign w:val="superscript"/>
        </w:rPr>
        <w:t>t</w:t>
      </w:r>
      <w:r w:rsidRPr="00AE141D">
        <w:rPr>
          <w:rFonts w:ascii="Times New Roman" w:hAnsi="Times New Roman" w:cs="Times New Roman"/>
          <w:vertAlign w:val="superscript"/>
        </w:rPr>
        <w:t>h</w:t>
      </w:r>
      <w:r w:rsidRPr="00AE141D">
        <w:rPr>
          <w:rFonts w:ascii="Times New Roman" w:hAnsi="Times New Roman" w:cs="Times New Roman"/>
        </w:rPr>
        <w:t xml:space="preserve"> Sess., at 15, U.N. Doc. E/CN.4/SR.310 (June 11, 1952) (Chile).  Pakistan also expressed that the text should be drafted in the broadest terms.</w:t>
      </w:r>
    </w:p>
  </w:footnote>
  <w:footnote w:id="43">
    <w:p w:rsidR="00720245" w:rsidRPr="00AE141D" w:rsidRDefault="00720245"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U.N. GAOR, 14</w:t>
      </w:r>
      <w:r w:rsidRPr="00AE141D">
        <w:rPr>
          <w:rFonts w:ascii="Times New Roman" w:hAnsi="Times New Roman" w:cs="Times New Roman"/>
          <w:vertAlign w:val="superscript"/>
        </w:rPr>
        <w:t>th</w:t>
      </w:r>
      <w:r w:rsidRPr="00AE141D">
        <w:rPr>
          <w:rFonts w:ascii="Times New Roman" w:hAnsi="Times New Roman" w:cs="Times New Roman"/>
        </w:rPr>
        <w:t xml:space="preserve"> Sess., Suppl. no. 4, at 25, U.N. Doc. E/CN.4/669 (1952).</w:t>
      </w:r>
    </w:p>
  </w:footnote>
  <w:footnote w:id="44">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 xml:space="preserve">See </w:t>
      </w:r>
      <w:r w:rsidRPr="00AE141D">
        <w:rPr>
          <w:rFonts w:ascii="Times New Roman" w:hAnsi="Times New Roman" w:cs="Times New Roman"/>
        </w:rPr>
        <w:t>U.N. GAOR, 3</w:t>
      </w:r>
      <w:r w:rsidRPr="00AE141D">
        <w:rPr>
          <w:rFonts w:ascii="Times New Roman" w:hAnsi="Times New Roman" w:cs="Times New Roman"/>
          <w:vertAlign w:val="superscript"/>
        </w:rPr>
        <w:t>rd</w:t>
      </w:r>
      <w:r w:rsidRPr="00AE141D">
        <w:rPr>
          <w:rFonts w:ascii="Times New Roman" w:hAnsi="Times New Roman" w:cs="Times New Roman"/>
        </w:rPr>
        <w:t xml:space="preserve"> Committee, 12</w:t>
      </w:r>
      <w:r w:rsidRPr="00AE141D">
        <w:rPr>
          <w:rFonts w:ascii="Times New Roman" w:hAnsi="Times New Roman" w:cs="Times New Roman"/>
          <w:vertAlign w:val="superscript"/>
        </w:rPr>
        <w:t>th</w:t>
      </w:r>
      <w:r w:rsidRPr="00AE141D">
        <w:rPr>
          <w:rFonts w:ascii="Times New Roman" w:hAnsi="Times New Roman" w:cs="Times New Roman"/>
        </w:rPr>
        <w:t xml:space="preserve"> Sess., U.N. Docs. A/C.3/SR.811-820 (1957).</w:t>
      </w:r>
    </w:p>
  </w:footnote>
  <w:footnote w:id="45">
    <w:p w:rsidR="00752FCF" w:rsidRPr="00AE141D" w:rsidRDefault="00752FCF"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See El Salvador proposal at U.N. GAOR, 3</w:t>
      </w:r>
      <w:r w:rsidRPr="00AE141D">
        <w:rPr>
          <w:rFonts w:ascii="Times New Roman" w:hAnsi="Times New Roman" w:cs="Times New Roman"/>
          <w:vertAlign w:val="superscript"/>
        </w:rPr>
        <w:t>rd</w:t>
      </w:r>
      <w:r w:rsidRPr="00AE141D">
        <w:rPr>
          <w:rFonts w:ascii="Times New Roman" w:hAnsi="Times New Roman" w:cs="Times New Roman"/>
        </w:rPr>
        <w:t xml:space="preserve"> Committee, 12</w:t>
      </w:r>
      <w:r w:rsidRPr="00AE141D">
        <w:rPr>
          <w:rFonts w:ascii="Times New Roman" w:hAnsi="Times New Roman" w:cs="Times New Roman"/>
          <w:vertAlign w:val="superscript"/>
        </w:rPr>
        <w:t>th</w:t>
      </w:r>
      <w:r w:rsidRPr="00AE141D">
        <w:rPr>
          <w:rFonts w:ascii="Times New Roman" w:hAnsi="Times New Roman" w:cs="Times New Roman"/>
        </w:rPr>
        <w:t xml:space="preserve"> Sess., 811</w:t>
      </w:r>
      <w:r w:rsidRPr="00AE141D">
        <w:rPr>
          <w:rFonts w:ascii="Times New Roman" w:hAnsi="Times New Roman" w:cs="Times New Roman"/>
          <w:vertAlign w:val="superscript"/>
        </w:rPr>
        <w:t>th</w:t>
      </w:r>
      <w:r w:rsidRPr="00AE141D">
        <w:rPr>
          <w:rFonts w:ascii="Times New Roman" w:hAnsi="Times New Roman" w:cs="Times New Roman"/>
        </w:rPr>
        <w:t xml:space="preserve"> mtg. at 245, U.N. Doc. A/C.3/SR.811 (1957), paragraph 4 (“The right to life is inherent in the human person and shall be under the protection of the State” As the representative further explained: “States would thus be placed under an obligation to protect the right, not merely to recognize it.”)</w:t>
      </w:r>
      <w:r w:rsidR="00D3328F">
        <w:rPr>
          <w:rFonts w:ascii="Times New Roman" w:hAnsi="Times New Roman" w:cs="Times New Roman"/>
        </w:rPr>
        <w:t>.</w:t>
      </w:r>
    </w:p>
  </w:footnote>
  <w:footnote w:id="46">
    <w:p w:rsidR="00752FCF" w:rsidRPr="00AE141D" w:rsidRDefault="00752FCF"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States opposing El Salvador’s proposal included Italy, Australia, Peru, Israel, and the UK.  </w:t>
      </w:r>
      <w:r w:rsidRPr="00AE141D">
        <w:rPr>
          <w:rFonts w:ascii="Times New Roman" w:hAnsi="Times New Roman" w:cs="Times New Roman"/>
          <w:i/>
        </w:rPr>
        <w:t>See, e.g</w:t>
      </w:r>
      <w:r w:rsidRPr="00AE141D">
        <w:rPr>
          <w:rFonts w:ascii="Times New Roman" w:hAnsi="Times New Roman" w:cs="Times New Roman"/>
        </w:rPr>
        <w:t>., U.N. GAOR, 3</w:t>
      </w:r>
      <w:r w:rsidRPr="00AE141D">
        <w:rPr>
          <w:rFonts w:ascii="Times New Roman" w:hAnsi="Times New Roman" w:cs="Times New Roman"/>
          <w:vertAlign w:val="superscript"/>
        </w:rPr>
        <w:t>rd</w:t>
      </w:r>
      <w:r w:rsidRPr="00AE141D">
        <w:rPr>
          <w:rFonts w:ascii="Times New Roman" w:hAnsi="Times New Roman" w:cs="Times New Roman"/>
        </w:rPr>
        <w:t xml:space="preserve"> Committee, 12</w:t>
      </w:r>
      <w:r w:rsidRPr="00AE141D">
        <w:rPr>
          <w:rFonts w:ascii="Times New Roman" w:hAnsi="Times New Roman" w:cs="Times New Roman"/>
          <w:vertAlign w:val="superscript"/>
        </w:rPr>
        <w:t>th</w:t>
      </w:r>
      <w:r w:rsidRPr="00AE141D">
        <w:rPr>
          <w:rFonts w:ascii="Times New Roman" w:hAnsi="Times New Roman" w:cs="Times New Roman"/>
        </w:rPr>
        <w:t xml:space="preserve"> Sess., 812</w:t>
      </w:r>
      <w:r w:rsidRPr="00AE141D">
        <w:rPr>
          <w:rFonts w:ascii="Times New Roman" w:hAnsi="Times New Roman" w:cs="Times New Roman"/>
          <w:vertAlign w:val="superscript"/>
        </w:rPr>
        <w:t>th</w:t>
      </w:r>
      <w:r w:rsidRPr="00AE141D">
        <w:rPr>
          <w:rFonts w:ascii="Times New Roman" w:hAnsi="Times New Roman" w:cs="Times New Roman"/>
        </w:rPr>
        <w:t xml:space="preserve"> mtg. at 252, U.N. Doc. A/C.3/SR.812 (1957) (UK stating: “a provision of that kind would make it possible to hold the State responsible for compensation in cases of deprivation of life.”); and 814</w:t>
      </w:r>
      <w:r w:rsidRPr="00AE141D">
        <w:rPr>
          <w:rFonts w:ascii="Times New Roman" w:hAnsi="Times New Roman" w:cs="Times New Roman"/>
          <w:vertAlign w:val="superscript"/>
        </w:rPr>
        <w:t>th</w:t>
      </w:r>
      <w:r w:rsidRPr="00AE141D">
        <w:rPr>
          <w:rFonts w:ascii="Times New Roman" w:hAnsi="Times New Roman" w:cs="Times New Roman"/>
        </w:rPr>
        <w:t xml:space="preserve"> mtg. at 261, U.N. Doc. A/C.3/SR.814 (1957), paragraph 15 (Italy stating: “that change might create a misunderstanding with regard to the role of the State; for his delegation, action by the State was based on law, which was a broader notion than that of the State.”); and Paragraph 21 (Israel stating: “since that wording had given rise to the apprehension that States might thereby accept direct responsibility far beyond their normal capacities, she favored retention of the statement in its original text”)</w:t>
      </w:r>
      <w:r w:rsidR="00993DCF">
        <w:rPr>
          <w:rFonts w:ascii="Times New Roman" w:hAnsi="Times New Roman" w:cs="Times New Roman"/>
        </w:rPr>
        <w:t>.</w:t>
      </w:r>
    </w:p>
  </w:footnote>
  <w:footnote w:id="47">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U.N. GAOR, 3</w:t>
      </w:r>
      <w:r w:rsidRPr="00AE141D">
        <w:rPr>
          <w:rFonts w:ascii="Times New Roman" w:hAnsi="Times New Roman" w:cs="Times New Roman"/>
          <w:vertAlign w:val="superscript"/>
        </w:rPr>
        <w:t>rd</w:t>
      </w:r>
      <w:r w:rsidRPr="00AE141D">
        <w:rPr>
          <w:rFonts w:ascii="Times New Roman" w:hAnsi="Times New Roman" w:cs="Times New Roman"/>
        </w:rPr>
        <w:t xml:space="preserve"> Committee, 12</w:t>
      </w:r>
      <w:r w:rsidRPr="00AE141D">
        <w:rPr>
          <w:rFonts w:ascii="Times New Roman" w:hAnsi="Times New Roman" w:cs="Times New Roman"/>
          <w:vertAlign w:val="superscript"/>
        </w:rPr>
        <w:t>th</w:t>
      </w:r>
      <w:r w:rsidRPr="00AE141D">
        <w:rPr>
          <w:rFonts w:ascii="Times New Roman" w:hAnsi="Times New Roman" w:cs="Times New Roman"/>
        </w:rPr>
        <w:t xml:space="preserve"> Sess., 810</w:t>
      </w:r>
      <w:r w:rsidRPr="00AE141D">
        <w:rPr>
          <w:rFonts w:ascii="Times New Roman" w:hAnsi="Times New Roman" w:cs="Times New Roman"/>
          <w:vertAlign w:val="superscript"/>
        </w:rPr>
        <w:t>th</w:t>
      </w:r>
      <w:r w:rsidRPr="00AE141D">
        <w:rPr>
          <w:rFonts w:ascii="Times New Roman" w:hAnsi="Times New Roman" w:cs="Times New Roman"/>
        </w:rPr>
        <w:t xml:space="preserve"> mtg., at 242, paragraph 10, U.N. Doc. A/C.3/SR.810 (1957)</w:t>
      </w:r>
    </w:p>
  </w:footnote>
  <w:footnote w:id="48">
    <w:p w:rsidR="007F3F66" w:rsidRPr="00AE141D" w:rsidRDefault="007F3F66" w:rsidP="00AE141D">
      <w:pPr>
        <w:pStyle w:val="FootnoteText"/>
        <w:rPr>
          <w:rFonts w:ascii="Times New Roman" w:hAnsi="Times New Roman" w:cs="Times New Roman"/>
        </w:rPr>
      </w:pPr>
      <w:r w:rsidRPr="00AE141D">
        <w:rPr>
          <w:rStyle w:val="FootnoteReference"/>
          <w:rFonts w:ascii="Times New Roman" w:hAnsi="Times New Roman" w:cs="Times New Roman"/>
        </w:rPr>
        <w:footnoteRef/>
      </w:r>
      <w:r w:rsidRPr="00AE141D">
        <w:rPr>
          <w:rFonts w:ascii="Times New Roman" w:hAnsi="Times New Roman" w:cs="Times New Roman"/>
        </w:rPr>
        <w:t xml:space="preserve"> </w:t>
      </w:r>
      <w:r w:rsidRPr="00AE141D">
        <w:rPr>
          <w:rFonts w:ascii="Times New Roman" w:hAnsi="Times New Roman" w:cs="Times New Roman"/>
          <w:i/>
        </w:rPr>
        <w:t>Id</w:t>
      </w:r>
      <w:r w:rsidRPr="00AE141D">
        <w:rPr>
          <w:rFonts w:ascii="Times New Roman" w:hAnsi="Times New Roman" w:cs="Times New Roman"/>
        </w:rPr>
        <w:t>.</w:t>
      </w:r>
      <w:r w:rsidR="00834D8C">
        <w:rPr>
          <w:rFonts w:ascii="Times New Roman" w:hAnsi="Times New Roman" w:cs="Times New Roman"/>
        </w:rPr>
        <w:t xml:space="preserve"> </w:t>
      </w:r>
      <w:r w:rsidRPr="00AE141D">
        <w:rPr>
          <w:rFonts w:ascii="Times New Roman" w:hAnsi="Times New Roman" w:cs="Times New Roman"/>
        </w:rPr>
        <w:t>at paragraph 11</w:t>
      </w:r>
      <w:r w:rsidR="00834D8C">
        <w:rPr>
          <w:rFonts w:ascii="Times New Roman" w:hAnsi="Times New Roman" w:cs="Times New Roman"/>
        </w:rPr>
        <w:t>.</w:t>
      </w:r>
    </w:p>
  </w:footnote>
  <w:footnote w:id="49">
    <w:p w:rsidR="007F3F66" w:rsidRPr="00AE141D" w:rsidRDefault="007F3F66" w:rsidP="00AE141D">
      <w:pPr>
        <w:spacing w:line="240" w:lineRule="auto"/>
        <w:contextualSpacing/>
        <w:rPr>
          <w:rFonts w:ascii="Times New Roman" w:hAnsi="Times New Roman" w:cs="Times New Roman"/>
          <w:sz w:val="20"/>
          <w:szCs w:val="20"/>
        </w:rPr>
      </w:pPr>
      <w:r w:rsidRPr="00AE141D">
        <w:rPr>
          <w:rStyle w:val="FootnoteReference"/>
          <w:rFonts w:ascii="Times New Roman" w:hAnsi="Times New Roman" w:cs="Times New Roman"/>
          <w:sz w:val="20"/>
          <w:szCs w:val="20"/>
        </w:rPr>
        <w:footnoteRef/>
      </w:r>
      <w:r w:rsidRPr="00AE141D">
        <w:rPr>
          <w:rFonts w:ascii="Times New Roman" w:hAnsi="Times New Roman" w:cs="Times New Roman"/>
          <w:sz w:val="20"/>
          <w:szCs w:val="20"/>
        </w:rPr>
        <w:t xml:space="preserve"> To the extent that the Committee advances legal conclusions interpreting the Second Optional Protocol, the United States reminds the Committee that it has no mandate under that Protocol and it is beyond the Committee’s competence or authority to express its views on how State Party obligations should be interpreted under that Protocol.</w:t>
      </w:r>
    </w:p>
    <w:p w:rsidR="007F3F66" w:rsidRPr="00AE141D" w:rsidRDefault="007F3F66" w:rsidP="00AE141D">
      <w:pPr>
        <w:pStyle w:val="FootnoteText"/>
        <w:rPr>
          <w:rFonts w:ascii="Times New Roman" w:hAnsi="Times New Roman" w:cs="Times New Roman"/>
        </w:rPr>
      </w:pPr>
    </w:p>
  </w:footnote>
  <w:footnote w:id="50">
    <w:p w:rsidR="007F3F66" w:rsidRPr="0086220F" w:rsidRDefault="007F3F66" w:rsidP="00AE141D">
      <w:pPr>
        <w:autoSpaceDE w:val="0"/>
        <w:autoSpaceDN w:val="0"/>
        <w:adjustRightInd w:val="0"/>
        <w:spacing w:after="0" w:line="240" w:lineRule="auto"/>
        <w:rPr>
          <w:rFonts w:ascii="Times New Roman" w:hAnsi="Times New Roman" w:cs="Times New Roman"/>
          <w:sz w:val="20"/>
          <w:szCs w:val="20"/>
        </w:rPr>
      </w:pPr>
      <w:r w:rsidRPr="00AE141D">
        <w:rPr>
          <w:rStyle w:val="FootnoteReference"/>
          <w:rFonts w:ascii="Times New Roman" w:hAnsi="Times New Roman" w:cs="Times New Roman"/>
          <w:sz w:val="20"/>
          <w:szCs w:val="20"/>
        </w:rPr>
        <w:footnoteRef/>
      </w:r>
      <w:r w:rsidRPr="00AE141D">
        <w:rPr>
          <w:rFonts w:ascii="Times New Roman" w:hAnsi="Times New Roman" w:cs="Times New Roman"/>
          <w:sz w:val="20"/>
          <w:szCs w:val="20"/>
        </w:rPr>
        <w:t xml:space="preserve"> </w:t>
      </w:r>
      <w:r w:rsidRPr="00AE141D">
        <w:rPr>
          <w:rFonts w:ascii="Times New Roman" w:hAnsi="Times New Roman" w:cs="Times New Roman"/>
          <w:i/>
          <w:sz w:val="20"/>
          <w:szCs w:val="20"/>
        </w:rPr>
        <w:t xml:space="preserve">See </w:t>
      </w:r>
      <w:r w:rsidR="0086220F" w:rsidRPr="00AE141D">
        <w:rPr>
          <w:rFonts w:ascii="Times New Roman" w:hAnsi="Times New Roman" w:cs="Times New Roman"/>
          <w:bCs/>
          <w:i/>
          <w:iCs/>
          <w:sz w:val="20"/>
          <w:szCs w:val="20"/>
        </w:rPr>
        <w:t xml:space="preserve">Avena and Other Mexican Nationals (Mexico </w:t>
      </w:r>
      <w:r w:rsidR="0086220F" w:rsidRPr="00AE141D">
        <w:rPr>
          <w:rFonts w:ascii="Times New Roman" w:hAnsi="Times New Roman" w:cs="Times New Roman"/>
          <w:bCs/>
          <w:sz w:val="20"/>
          <w:szCs w:val="20"/>
        </w:rPr>
        <w:t xml:space="preserve">v. </w:t>
      </w:r>
      <w:r w:rsidR="0086220F" w:rsidRPr="00AE141D">
        <w:rPr>
          <w:rFonts w:ascii="Times New Roman" w:hAnsi="Times New Roman" w:cs="Times New Roman"/>
          <w:bCs/>
          <w:i/>
          <w:iCs/>
          <w:sz w:val="20"/>
          <w:szCs w:val="20"/>
        </w:rPr>
        <w:t>United S</w:t>
      </w:r>
      <w:r w:rsidR="00036DFD" w:rsidRPr="00AE141D">
        <w:rPr>
          <w:rFonts w:ascii="Times New Roman" w:hAnsi="Times New Roman" w:cs="Times New Roman"/>
          <w:bCs/>
          <w:i/>
          <w:iCs/>
          <w:sz w:val="20"/>
          <w:szCs w:val="20"/>
        </w:rPr>
        <w:t>t</w:t>
      </w:r>
      <w:r w:rsidR="0086220F" w:rsidRPr="00AE141D">
        <w:rPr>
          <w:rFonts w:ascii="Times New Roman" w:hAnsi="Times New Roman" w:cs="Times New Roman"/>
          <w:bCs/>
          <w:i/>
          <w:iCs/>
          <w:sz w:val="20"/>
          <w:szCs w:val="20"/>
        </w:rPr>
        <w:t xml:space="preserve">ates of America), Judgment, I. C. J. Reports 2004, </w:t>
      </w:r>
      <w:r w:rsidR="0086220F" w:rsidRPr="00AE141D">
        <w:rPr>
          <w:rFonts w:ascii="Times New Roman" w:hAnsi="Times New Roman" w:cs="Times New Roman"/>
          <w:bCs/>
          <w:sz w:val="20"/>
          <w:szCs w:val="20"/>
        </w:rPr>
        <w:t xml:space="preserve">p. </w:t>
      </w:r>
      <w:r w:rsidR="0086220F" w:rsidRPr="00AE141D">
        <w:rPr>
          <w:rFonts w:ascii="Times New Roman" w:hAnsi="Times New Roman" w:cs="Times New Roman"/>
          <w:sz w:val="20"/>
          <w:szCs w:val="20"/>
        </w:rPr>
        <w:t xml:space="preserve">12 </w:t>
      </w:r>
      <w:r w:rsidRPr="00AE141D">
        <w:rPr>
          <w:rFonts w:ascii="Times New Roman" w:hAnsi="Times New Roman" w:cs="Times New Roman"/>
          <w:sz w:val="20"/>
          <w:szCs w:val="20"/>
        </w:rPr>
        <w:t>(</w:t>
      </w:r>
      <w:r w:rsidR="0086220F" w:rsidRPr="00AE141D">
        <w:rPr>
          <w:rFonts w:ascii="Times New Roman" w:hAnsi="Times New Roman" w:cs="Times New Roman"/>
          <w:sz w:val="20"/>
          <w:szCs w:val="20"/>
        </w:rPr>
        <w:t>March</w:t>
      </w:r>
      <w:r w:rsidR="0086220F">
        <w:rPr>
          <w:rFonts w:ascii="Times New Roman" w:hAnsi="Times New Roman" w:cs="Times New Roman"/>
          <w:sz w:val="20"/>
          <w:szCs w:val="20"/>
        </w:rPr>
        <w:t xml:space="preserve"> 31, </w:t>
      </w:r>
      <w:r w:rsidRPr="0086220F">
        <w:rPr>
          <w:rFonts w:ascii="Times New Roman" w:hAnsi="Times New Roman" w:cs="Times New Roman"/>
          <w:sz w:val="20"/>
          <w:szCs w:val="20"/>
        </w:rPr>
        <w:t>2004) ¶ 124.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95575"/>
      <w:docPartObj>
        <w:docPartGallery w:val="Page Numbers (Top of Page)"/>
        <w:docPartUnique/>
      </w:docPartObj>
    </w:sdtPr>
    <w:sdtEndPr>
      <w:rPr>
        <w:rFonts w:ascii="Times New Roman" w:hAnsi="Times New Roman" w:cs="Times New Roman"/>
        <w:noProof/>
        <w:sz w:val="24"/>
        <w:szCs w:val="24"/>
      </w:rPr>
    </w:sdtEndPr>
    <w:sdtContent>
      <w:p w:rsidR="007F3F66" w:rsidRPr="001E7040" w:rsidRDefault="007F3F66">
        <w:pPr>
          <w:pStyle w:val="Header"/>
          <w:jc w:val="center"/>
          <w:rPr>
            <w:rFonts w:ascii="Times New Roman" w:hAnsi="Times New Roman" w:cs="Times New Roman"/>
            <w:sz w:val="24"/>
            <w:szCs w:val="24"/>
          </w:rPr>
        </w:pPr>
        <w:r w:rsidRPr="001E7040">
          <w:rPr>
            <w:rFonts w:ascii="Times New Roman" w:hAnsi="Times New Roman" w:cs="Times New Roman"/>
            <w:sz w:val="24"/>
            <w:szCs w:val="24"/>
          </w:rPr>
          <w:fldChar w:fldCharType="begin"/>
        </w:r>
        <w:r w:rsidRPr="001E7040">
          <w:rPr>
            <w:rFonts w:ascii="Times New Roman" w:hAnsi="Times New Roman" w:cs="Times New Roman"/>
            <w:sz w:val="24"/>
            <w:szCs w:val="24"/>
          </w:rPr>
          <w:instrText xml:space="preserve"> PAGE   \* MERGEFORMAT </w:instrText>
        </w:r>
        <w:r w:rsidRPr="001E7040">
          <w:rPr>
            <w:rFonts w:ascii="Times New Roman" w:hAnsi="Times New Roman" w:cs="Times New Roman"/>
            <w:sz w:val="24"/>
            <w:szCs w:val="24"/>
          </w:rPr>
          <w:fldChar w:fldCharType="separate"/>
        </w:r>
        <w:r w:rsidR="00E73AAE">
          <w:rPr>
            <w:rFonts w:ascii="Times New Roman" w:hAnsi="Times New Roman" w:cs="Times New Roman"/>
            <w:noProof/>
            <w:sz w:val="24"/>
            <w:szCs w:val="24"/>
          </w:rPr>
          <w:t>2</w:t>
        </w:r>
        <w:r w:rsidRPr="001E7040">
          <w:rPr>
            <w:rFonts w:ascii="Times New Roman" w:hAnsi="Times New Roman" w:cs="Times New Roman"/>
            <w:noProof/>
            <w:sz w:val="24"/>
            <w:szCs w:val="24"/>
          </w:rPr>
          <w:fldChar w:fldCharType="end"/>
        </w:r>
      </w:p>
    </w:sdtContent>
  </w:sdt>
  <w:p w:rsidR="007F3F66" w:rsidRDefault="007F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90D"/>
    <w:multiLevelType w:val="hybridMultilevel"/>
    <w:tmpl w:val="FB44010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7">
      <w:start w:val="1"/>
      <w:numFmt w:val="lowerLetter"/>
      <w:lvlText w:val="%3)"/>
      <w:lvlJc w:val="left"/>
      <w:pPr>
        <w:ind w:left="2880" w:hanging="180"/>
      </w:pPr>
    </w:lvl>
    <w:lvl w:ilvl="3" w:tplc="04090019">
      <w:start w:val="1"/>
      <w:numFmt w:val="lowerLetter"/>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353C2B"/>
    <w:multiLevelType w:val="hybridMultilevel"/>
    <w:tmpl w:val="0BF4F7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F2CF2"/>
    <w:multiLevelType w:val="hybridMultilevel"/>
    <w:tmpl w:val="033420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E0E3F"/>
    <w:multiLevelType w:val="hybridMultilevel"/>
    <w:tmpl w:val="5E80A7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C775B"/>
    <w:multiLevelType w:val="hybridMultilevel"/>
    <w:tmpl w:val="5C466F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1475A"/>
    <w:multiLevelType w:val="hybridMultilevel"/>
    <w:tmpl w:val="0288946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3615"/>
    <w:multiLevelType w:val="hybridMultilevel"/>
    <w:tmpl w:val="EEB069A6"/>
    <w:lvl w:ilvl="0" w:tplc="35069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643F4"/>
    <w:multiLevelType w:val="hybridMultilevel"/>
    <w:tmpl w:val="DBE8D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D96259"/>
    <w:multiLevelType w:val="hybridMultilevel"/>
    <w:tmpl w:val="2DC66A54"/>
    <w:lvl w:ilvl="0" w:tplc="BC0481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97E71"/>
    <w:multiLevelType w:val="hybridMultilevel"/>
    <w:tmpl w:val="7F82415C"/>
    <w:lvl w:ilvl="0" w:tplc="0409000F">
      <w:start w:val="1"/>
      <w:numFmt w:val="decimal"/>
      <w:lvlText w:val="%1."/>
      <w:lvlJc w:val="left"/>
      <w:pPr>
        <w:ind w:left="2160" w:hanging="360"/>
      </w:pPr>
    </w:lvl>
    <w:lvl w:ilvl="1" w:tplc="E1AAC848">
      <w:start w:val="1"/>
      <w:numFmt w:val="decimal"/>
      <w:lvlText w:val="%2."/>
      <w:lvlJc w:val="left"/>
      <w:pPr>
        <w:ind w:left="2880" w:hanging="360"/>
      </w:pPr>
      <w:rPr>
        <w:rFonts w:ascii="Times New Roman" w:eastAsiaTheme="minorHAnsi" w:hAnsi="Times New Roman"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C6B3F9C"/>
    <w:multiLevelType w:val="hybridMultilevel"/>
    <w:tmpl w:val="9C62CB6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A51A68"/>
    <w:multiLevelType w:val="hybridMultilevel"/>
    <w:tmpl w:val="11261C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4D797367"/>
    <w:multiLevelType w:val="hybridMultilevel"/>
    <w:tmpl w:val="06F0666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E32FC7"/>
    <w:multiLevelType w:val="hybridMultilevel"/>
    <w:tmpl w:val="A4EE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11F20"/>
    <w:multiLevelType w:val="hybridMultilevel"/>
    <w:tmpl w:val="8584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B423F"/>
    <w:multiLevelType w:val="hybridMultilevel"/>
    <w:tmpl w:val="F3F49300"/>
    <w:lvl w:ilvl="0" w:tplc="FA228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3D0D7F"/>
    <w:multiLevelType w:val="hybridMultilevel"/>
    <w:tmpl w:val="D6B699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E92291"/>
    <w:multiLevelType w:val="hybridMultilevel"/>
    <w:tmpl w:val="9BF4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F6EE0"/>
    <w:multiLevelType w:val="hybridMultilevel"/>
    <w:tmpl w:val="07AA4054"/>
    <w:lvl w:ilvl="0" w:tplc="E17AC9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D39DC"/>
    <w:multiLevelType w:val="hybridMultilevel"/>
    <w:tmpl w:val="F604BD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F935C9"/>
    <w:multiLevelType w:val="hybridMultilevel"/>
    <w:tmpl w:val="AB80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67751"/>
    <w:multiLevelType w:val="hybridMultilevel"/>
    <w:tmpl w:val="43B4C4C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945EE8"/>
    <w:multiLevelType w:val="hybridMultilevel"/>
    <w:tmpl w:val="5DD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41E43"/>
    <w:multiLevelType w:val="hybridMultilevel"/>
    <w:tmpl w:val="A88811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A701F"/>
    <w:multiLevelType w:val="hybridMultilevel"/>
    <w:tmpl w:val="CED0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24"/>
  </w:num>
  <w:num w:numId="5">
    <w:abstractNumId w:val="14"/>
  </w:num>
  <w:num w:numId="6">
    <w:abstractNumId w:val="20"/>
  </w:num>
  <w:num w:numId="7">
    <w:abstractNumId w:val="5"/>
  </w:num>
  <w:num w:numId="8">
    <w:abstractNumId w:val="6"/>
  </w:num>
  <w:num w:numId="9">
    <w:abstractNumId w:val="22"/>
  </w:num>
  <w:num w:numId="10">
    <w:abstractNumId w:val="7"/>
  </w:num>
  <w:num w:numId="11">
    <w:abstractNumId w:val="12"/>
  </w:num>
  <w:num w:numId="12">
    <w:abstractNumId w:val="18"/>
  </w:num>
  <w:num w:numId="13">
    <w:abstractNumId w:val="21"/>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3"/>
  </w:num>
  <w:num w:numId="17">
    <w:abstractNumId w:val="9"/>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5"/>
  </w:num>
  <w:num w:numId="22">
    <w:abstractNumId w:val="3"/>
  </w:num>
  <w:num w:numId="23">
    <w:abstractNumId w:val="4"/>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71"/>
    <w:rsid w:val="00000A96"/>
    <w:rsid w:val="00000F2E"/>
    <w:rsid w:val="00002559"/>
    <w:rsid w:val="00002677"/>
    <w:rsid w:val="00002A93"/>
    <w:rsid w:val="00003B42"/>
    <w:rsid w:val="00004B36"/>
    <w:rsid w:val="00006D91"/>
    <w:rsid w:val="00014D38"/>
    <w:rsid w:val="00016984"/>
    <w:rsid w:val="00016DF9"/>
    <w:rsid w:val="000233A4"/>
    <w:rsid w:val="00025CA7"/>
    <w:rsid w:val="0003552B"/>
    <w:rsid w:val="00036DFD"/>
    <w:rsid w:val="0004297B"/>
    <w:rsid w:val="000459A8"/>
    <w:rsid w:val="000506CD"/>
    <w:rsid w:val="00054599"/>
    <w:rsid w:val="00066E2A"/>
    <w:rsid w:val="00074259"/>
    <w:rsid w:val="000829F1"/>
    <w:rsid w:val="00082C5B"/>
    <w:rsid w:val="00083859"/>
    <w:rsid w:val="00083CAD"/>
    <w:rsid w:val="00083D7B"/>
    <w:rsid w:val="00085BB5"/>
    <w:rsid w:val="00085DAF"/>
    <w:rsid w:val="000A04EA"/>
    <w:rsid w:val="000A2537"/>
    <w:rsid w:val="000A3B01"/>
    <w:rsid w:val="000A707A"/>
    <w:rsid w:val="000B5252"/>
    <w:rsid w:val="000B7C74"/>
    <w:rsid w:val="000C2466"/>
    <w:rsid w:val="000C6F8E"/>
    <w:rsid w:val="000D7399"/>
    <w:rsid w:val="000E31E3"/>
    <w:rsid w:val="000E3241"/>
    <w:rsid w:val="000E4DD0"/>
    <w:rsid w:val="000F3F80"/>
    <w:rsid w:val="000F4355"/>
    <w:rsid w:val="000F4646"/>
    <w:rsid w:val="000F73C7"/>
    <w:rsid w:val="00101ADB"/>
    <w:rsid w:val="00102CE1"/>
    <w:rsid w:val="0010319B"/>
    <w:rsid w:val="00103DF6"/>
    <w:rsid w:val="001054BC"/>
    <w:rsid w:val="00113210"/>
    <w:rsid w:val="00116448"/>
    <w:rsid w:val="001165D7"/>
    <w:rsid w:val="00120E72"/>
    <w:rsid w:val="0012153D"/>
    <w:rsid w:val="0012387D"/>
    <w:rsid w:val="001252B4"/>
    <w:rsid w:val="00126C80"/>
    <w:rsid w:val="00135665"/>
    <w:rsid w:val="001378A1"/>
    <w:rsid w:val="00140EB0"/>
    <w:rsid w:val="00141C91"/>
    <w:rsid w:val="00151153"/>
    <w:rsid w:val="0015505C"/>
    <w:rsid w:val="001641B1"/>
    <w:rsid w:val="00165304"/>
    <w:rsid w:val="0016657E"/>
    <w:rsid w:val="00166A85"/>
    <w:rsid w:val="00167265"/>
    <w:rsid w:val="00167DC1"/>
    <w:rsid w:val="00173DD5"/>
    <w:rsid w:val="0017515E"/>
    <w:rsid w:val="00181069"/>
    <w:rsid w:val="00182D58"/>
    <w:rsid w:val="0018319D"/>
    <w:rsid w:val="00186320"/>
    <w:rsid w:val="001904B6"/>
    <w:rsid w:val="00192DD6"/>
    <w:rsid w:val="001935D7"/>
    <w:rsid w:val="0019412B"/>
    <w:rsid w:val="001A0DAA"/>
    <w:rsid w:val="001B0DA7"/>
    <w:rsid w:val="001B1E16"/>
    <w:rsid w:val="001B315F"/>
    <w:rsid w:val="001B3ED4"/>
    <w:rsid w:val="001C1A3C"/>
    <w:rsid w:val="001C40E1"/>
    <w:rsid w:val="001C5056"/>
    <w:rsid w:val="001C6BF5"/>
    <w:rsid w:val="001C7BBF"/>
    <w:rsid w:val="001D3B1D"/>
    <w:rsid w:val="001E245E"/>
    <w:rsid w:val="001E3620"/>
    <w:rsid w:val="001E36BF"/>
    <w:rsid w:val="001E4D30"/>
    <w:rsid w:val="001E4FC4"/>
    <w:rsid w:val="001E7040"/>
    <w:rsid w:val="001F0087"/>
    <w:rsid w:val="001F0D46"/>
    <w:rsid w:val="001F151F"/>
    <w:rsid w:val="001F1A72"/>
    <w:rsid w:val="001F5F57"/>
    <w:rsid w:val="001F76BA"/>
    <w:rsid w:val="0020109D"/>
    <w:rsid w:val="00207056"/>
    <w:rsid w:val="00213482"/>
    <w:rsid w:val="00216050"/>
    <w:rsid w:val="002318A8"/>
    <w:rsid w:val="00235A32"/>
    <w:rsid w:val="00240D90"/>
    <w:rsid w:val="002413E0"/>
    <w:rsid w:val="00241961"/>
    <w:rsid w:val="00247A8A"/>
    <w:rsid w:val="00247E4E"/>
    <w:rsid w:val="002538F0"/>
    <w:rsid w:val="00254092"/>
    <w:rsid w:val="00254641"/>
    <w:rsid w:val="0025565B"/>
    <w:rsid w:val="0025594A"/>
    <w:rsid w:val="00263D95"/>
    <w:rsid w:val="002669DF"/>
    <w:rsid w:val="00267850"/>
    <w:rsid w:val="00274912"/>
    <w:rsid w:val="00276D09"/>
    <w:rsid w:val="00277FC9"/>
    <w:rsid w:val="002800C0"/>
    <w:rsid w:val="002826A1"/>
    <w:rsid w:val="00284E26"/>
    <w:rsid w:val="0029587C"/>
    <w:rsid w:val="002A1A82"/>
    <w:rsid w:val="002A3996"/>
    <w:rsid w:val="002A692B"/>
    <w:rsid w:val="002B1D3F"/>
    <w:rsid w:val="002B1F26"/>
    <w:rsid w:val="002C0D5B"/>
    <w:rsid w:val="002C20C5"/>
    <w:rsid w:val="002C3BEC"/>
    <w:rsid w:val="002C47F2"/>
    <w:rsid w:val="002C504A"/>
    <w:rsid w:val="002C7409"/>
    <w:rsid w:val="002D0C6E"/>
    <w:rsid w:val="002D28D1"/>
    <w:rsid w:val="002D5546"/>
    <w:rsid w:val="002D5C65"/>
    <w:rsid w:val="002E2E56"/>
    <w:rsid w:val="002F3A05"/>
    <w:rsid w:val="002F4080"/>
    <w:rsid w:val="002F7F2F"/>
    <w:rsid w:val="003007AA"/>
    <w:rsid w:val="00302535"/>
    <w:rsid w:val="00303E0A"/>
    <w:rsid w:val="00306871"/>
    <w:rsid w:val="003115EC"/>
    <w:rsid w:val="00313716"/>
    <w:rsid w:val="003146E4"/>
    <w:rsid w:val="0031567F"/>
    <w:rsid w:val="00323249"/>
    <w:rsid w:val="00331752"/>
    <w:rsid w:val="00332B04"/>
    <w:rsid w:val="00336A55"/>
    <w:rsid w:val="0033709A"/>
    <w:rsid w:val="00344968"/>
    <w:rsid w:val="00353DA5"/>
    <w:rsid w:val="003560B4"/>
    <w:rsid w:val="003626A6"/>
    <w:rsid w:val="00363817"/>
    <w:rsid w:val="00363AC1"/>
    <w:rsid w:val="003649EE"/>
    <w:rsid w:val="003712F2"/>
    <w:rsid w:val="003776EE"/>
    <w:rsid w:val="00380B11"/>
    <w:rsid w:val="003843E4"/>
    <w:rsid w:val="0039201D"/>
    <w:rsid w:val="003950E5"/>
    <w:rsid w:val="00395CC1"/>
    <w:rsid w:val="003A27F0"/>
    <w:rsid w:val="003A3158"/>
    <w:rsid w:val="003A3D1C"/>
    <w:rsid w:val="003B24FB"/>
    <w:rsid w:val="003B27AD"/>
    <w:rsid w:val="003B508E"/>
    <w:rsid w:val="003C1474"/>
    <w:rsid w:val="003C7A2B"/>
    <w:rsid w:val="003E62C7"/>
    <w:rsid w:val="003E63C4"/>
    <w:rsid w:val="003E7101"/>
    <w:rsid w:val="003E77AC"/>
    <w:rsid w:val="003F31D0"/>
    <w:rsid w:val="003F4B6D"/>
    <w:rsid w:val="003F79F3"/>
    <w:rsid w:val="0041086C"/>
    <w:rsid w:val="00411A0A"/>
    <w:rsid w:val="00423FE2"/>
    <w:rsid w:val="00425D7E"/>
    <w:rsid w:val="004364F0"/>
    <w:rsid w:val="00440272"/>
    <w:rsid w:val="004409EA"/>
    <w:rsid w:val="00444E26"/>
    <w:rsid w:val="0044536E"/>
    <w:rsid w:val="00446041"/>
    <w:rsid w:val="0045037E"/>
    <w:rsid w:val="00451091"/>
    <w:rsid w:val="004530E2"/>
    <w:rsid w:val="00453863"/>
    <w:rsid w:val="00464D94"/>
    <w:rsid w:val="00464F61"/>
    <w:rsid w:val="00466DDA"/>
    <w:rsid w:val="00467B72"/>
    <w:rsid w:val="00467EA8"/>
    <w:rsid w:val="00474C92"/>
    <w:rsid w:val="00477D56"/>
    <w:rsid w:val="00487BE3"/>
    <w:rsid w:val="0049530B"/>
    <w:rsid w:val="00495359"/>
    <w:rsid w:val="004A3211"/>
    <w:rsid w:val="004A6F03"/>
    <w:rsid w:val="004B3AEE"/>
    <w:rsid w:val="004B5479"/>
    <w:rsid w:val="004B75BE"/>
    <w:rsid w:val="004C1827"/>
    <w:rsid w:val="004C6BEC"/>
    <w:rsid w:val="004C6CF3"/>
    <w:rsid w:val="004C766E"/>
    <w:rsid w:val="004D35AF"/>
    <w:rsid w:val="004D3604"/>
    <w:rsid w:val="004D37AF"/>
    <w:rsid w:val="004D3D9C"/>
    <w:rsid w:val="004D4537"/>
    <w:rsid w:val="004D792E"/>
    <w:rsid w:val="004E39D9"/>
    <w:rsid w:val="004F1CA1"/>
    <w:rsid w:val="004F3B63"/>
    <w:rsid w:val="004F436D"/>
    <w:rsid w:val="004F4C98"/>
    <w:rsid w:val="00501D15"/>
    <w:rsid w:val="00501D3D"/>
    <w:rsid w:val="005112E1"/>
    <w:rsid w:val="00513829"/>
    <w:rsid w:val="00513B60"/>
    <w:rsid w:val="0051552D"/>
    <w:rsid w:val="005157ED"/>
    <w:rsid w:val="00516BFA"/>
    <w:rsid w:val="005170A0"/>
    <w:rsid w:val="0051713B"/>
    <w:rsid w:val="00517E0D"/>
    <w:rsid w:val="00523BA7"/>
    <w:rsid w:val="005276F0"/>
    <w:rsid w:val="00531C4E"/>
    <w:rsid w:val="00534F13"/>
    <w:rsid w:val="00536629"/>
    <w:rsid w:val="0054611F"/>
    <w:rsid w:val="0055068E"/>
    <w:rsid w:val="00553DB2"/>
    <w:rsid w:val="0055653D"/>
    <w:rsid w:val="005566CD"/>
    <w:rsid w:val="00563F2B"/>
    <w:rsid w:val="00566B61"/>
    <w:rsid w:val="00582FFB"/>
    <w:rsid w:val="00583156"/>
    <w:rsid w:val="0058498B"/>
    <w:rsid w:val="00593F1F"/>
    <w:rsid w:val="005955AD"/>
    <w:rsid w:val="005A08B3"/>
    <w:rsid w:val="005A3A43"/>
    <w:rsid w:val="005A53F2"/>
    <w:rsid w:val="005A7A64"/>
    <w:rsid w:val="005B23D4"/>
    <w:rsid w:val="005B2AD9"/>
    <w:rsid w:val="005B486E"/>
    <w:rsid w:val="005B4B52"/>
    <w:rsid w:val="005C1450"/>
    <w:rsid w:val="005C3CE3"/>
    <w:rsid w:val="005C5A5E"/>
    <w:rsid w:val="005C6D6A"/>
    <w:rsid w:val="005D02F4"/>
    <w:rsid w:val="005D12CB"/>
    <w:rsid w:val="005D7C2D"/>
    <w:rsid w:val="005E401A"/>
    <w:rsid w:val="005E692C"/>
    <w:rsid w:val="005F1021"/>
    <w:rsid w:val="005F70E0"/>
    <w:rsid w:val="006010B6"/>
    <w:rsid w:val="006034E0"/>
    <w:rsid w:val="00604CC4"/>
    <w:rsid w:val="00606F82"/>
    <w:rsid w:val="0060777C"/>
    <w:rsid w:val="0061428E"/>
    <w:rsid w:val="006142AE"/>
    <w:rsid w:val="00614CBA"/>
    <w:rsid w:val="00614F46"/>
    <w:rsid w:val="00623446"/>
    <w:rsid w:val="00623680"/>
    <w:rsid w:val="006243C5"/>
    <w:rsid w:val="0062536E"/>
    <w:rsid w:val="00626161"/>
    <w:rsid w:val="00631634"/>
    <w:rsid w:val="006428E7"/>
    <w:rsid w:val="006437B7"/>
    <w:rsid w:val="00645882"/>
    <w:rsid w:val="00652B2D"/>
    <w:rsid w:val="00652D8D"/>
    <w:rsid w:val="0065451F"/>
    <w:rsid w:val="0065590C"/>
    <w:rsid w:val="00656F2E"/>
    <w:rsid w:val="00657B88"/>
    <w:rsid w:val="00663060"/>
    <w:rsid w:val="0066592C"/>
    <w:rsid w:val="00665961"/>
    <w:rsid w:val="00667CB9"/>
    <w:rsid w:val="00671D6D"/>
    <w:rsid w:val="0067283A"/>
    <w:rsid w:val="006768ED"/>
    <w:rsid w:val="00697150"/>
    <w:rsid w:val="00697695"/>
    <w:rsid w:val="006A1B0B"/>
    <w:rsid w:val="006A233F"/>
    <w:rsid w:val="006A663B"/>
    <w:rsid w:val="006B41E8"/>
    <w:rsid w:val="006C0693"/>
    <w:rsid w:val="006C10A7"/>
    <w:rsid w:val="006C24BB"/>
    <w:rsid w:val="006D580C"/>
    <w:rsid w:val="006D5B24"/>
    <w:rsid w:val="006E1AFA"/>
    <w:rsid w:val="006E1EAB"/>
    <w:rsid w:val="006E6B7C"/>
    <w:rsid w:val="006F1C98"/>
    <w:rsid w:val="006F3D3E"/>
    <w:rsid w:val="006F438B"/>
    <w:rsid w:val="00707D48"/>
    <w:rsid w:val="00716C13"/>
    <w:rsid w:val="00717000"/>
    <w:rsid w:val="00720245"/>
    <w:rsid w:val="00720B5C"/>
    <w:rsid w:val="00720DB7"/>
    <w:rsid w:val="00721A7B"/>
    <w:rsid w:val="007344C1"/>
    <w:rsid w:val="007356DC"/>
    <w:rsid w:val="007373B5"/>
    <w:rsid w:val="007408CB"/>
    <w:rsid w:val="0074618C"/>
    <w:rsid w:val="00752FCF"/>
    <w:rsid w:val="007612FC"/>
    <w:rsid w:val="00763EDD"/>
    <w:rsid w:val="0076684A"/>
    <w:rsid w:val="00766AA8"/>
    <w:rsid w:val="0077796F"/>
    <w:rsid w:val="00784D2E"/>
    <w:rsid w:val="00785415"/>
    <w:rsid w:val="0078603E"/>
    <w:rsid w:val="00787A3C"/>
    <w:rsid w:val="00790543"/>
    <w:rsid w:val="007926AE"/>
    <w:rsid w:val="007945B4"/>
    <w:rsid w:val="00794D5B"/>
    <w:rsid w:val="00795A40"/>
    <w:rsid w:val="00797086"/>
    <w:rsid w:val="007A01B1"/>
    <w:rsid w:val="007A05E0"/>
    <w:rsid w:val="007A0A17"/>
    <w:rsid w:val="007A31B4"/>
    <w:rsid w:val="007A359D"/>
    <w:rsid w:val="007A7CA3"/>
    <w:rsid w:val="007B1F7F"/>
    <w:rsid w:val="007B2069"/>
    <w:rsid w:val="007B3C09"/>
    <w:rsid w:val="007B647F"/>
    <w:rsid w:val="007B7D7C"/>
    <w:rsid w:val="007C04AF"/>
    <w:rsid w:val="007D1751"/>
    <w:rsid w:val="007E09ED"/>
    <w:rsid w:val="007E21D0"/>
    <w:rsid w:val="007E2E9B"/>
    <w:rsid w:val="007E5452"/>
    <w:rsid w:val="007F228A"/>
    <w:rsid w:val="007F2E12"/>
    <w:rsid w:val="007F3F66"/>
    <w:rsid w:val="007F671E"/>
    <w:rsid w:val="007F7A4D"/>
    <w:rsid w:val="00800303"/>
    <w:rsid w:val="00802F37"/>
    <w:rsid w:val="00803E66"/>
    <w:rsid w:val="00804102"/>
    <w:rsid w:val="00805406"/>
    <w:rsid w:val="0081267F"/>
    <w:rsid w:val="0081430D"/>
    <w:rsid w:val="0081660F"/>
    <w:rsid w:val="00821696"/>
    <w:rsid w:val="00821AA4"/>
    <w:rsid w:val="00826FFD"/>
    <w:rsid w:val="00827423"/>
    <w:rsid w:val="00831BF0"/>
    <w:rsid w:val="0083438E"/>
    <w:rsid w:val="00834D8C"/>
    <w:rsid w:val="00836956"/>
    <w:rsid w:val="0084250B"/>
    <w:rsid w:val="0084502B"/>
    <w:rsid w:val="00845275"/>
    <w:rsid w:val="00847190"/>
    <w:rsid w:val="00851E43"/>
    <w:rsid w:val="00851EAB"/>
    <w:rsid w:val="0085519C"/>
    <w:rsid w:val="008603BD"/>
    <w:rsid w:val="0086220F"/>
    <w:rsid w:val="00865AD0"/>
    <w:rsid w:val="00872311"/>
    <w:rsid w:val="00872C5B"/>
    <w:rsid w:val="00875194"/>
    <w:rsid w:val="00880951"/>
    <w:rsid w:val="00881447"/>
    <w:rsid w:val="00883CC2"/>
    <w:rsid w:val="00885DDB"/>
    <w:rsid w:val="00887E42"/>
    <w:rsid w:val="0089100B"/>
    <w:rsid w:val="008A2016"/>
    <w:rsid w:val="008A7B78"/>
    <w:rsid w:val="008B3B2F"/>
    <w:rsid w:val="008B7602"/>
    <w:rsid w:val="008C4771"/>
    <w:rsid w:val="008D2F1B"/>
    <w:rsid w:val="008D65E9"/>
    <w:rsid w:val="008E0477"/>
    <w:rsid w:val="008E1437"/>
    <w:rsid w:val="008E7C42"/>
    <w:rsid w:val="008F0058"/>
    <w:rsid w:val="00902142"/>
    <w:rsid w:val="00903B38"/>
    <w:rsid w:val="00907689"/>
    <w:rsid w:val="00911291"/>
    <w:rsid w:val="00917D50"/>
    <w:rsid w:val="00922291"/>
    <w:rsid w:val="00925234"/>
    <w:rsid w:val="0093073F"/>
    <w:rsid w:val="00932023"/>
    <w:rsid w:val="00934A32"/>
    <w:rsid w:val="0093579D"/>
    <w:rsid w:val="009367ED"/>
    <w:rsid w:val="009465D1"/>
    <w:rsid w:val="00951091"/>
    <w:rsid w:val="00955DF6"/>
    <w:rsid w:val="00956BF0"/>
    <w:rsid w:val="00961E6F"/>
    <w:rsid w:val="009626B5"/>
    <w:rsid w:val="0097306F"/>
    <w:rsid w:val="00973403"/>
    <w:rsid w:val="00974BED"/>
    <w:rsid w:val="009838DE"/>
    <w:rsid w:val="00987768"/>
    <w:rsid w:val="00991624"/>
    <w:rsid w:val="00991C1A"/>
    <w:rsid w:val="009938C8"/>
    <w:rsid w:val="00993DCF"/>
    <w:rsid w:val="00994BEA"/>
    <w:rsid w:val="0099542B"/>
    <w:rsid w:val="009956EE"/>
    <w:rsid w:val="009A6850"/>
    <w:rsid w:val="009A7302"/>
    <w:rsid w:val="009A7511"/>
    <w:rsid w:val="009B19DC"/>
    <w:rsid w:val="009B51CE"/>
    <w:rsid w:val="009B5D67"/>
    <w:rsid w:val="009B62B2"/>
    <w:rsid w:val="009C6718"/>
    <w:rsid w:val="009C77C2"/>
    <w:rsid w:val="009D1D17"/>
    <w:rsid w:val="009D2FAB"/>
    <w:rsid w:val="009D3040"/>
    <w:rsid w:val="009D329F"/>
    <w:rsid w:val="009D36C4"/>
    <w:rsid w:val="009D4A0A"/>
    <w:rsid w:val="009E0A5D"/>
    <w:rsid w:val="009E284C"/>
    <w:rsid w:val="009E4F4A"/>
    <w:rsid w:val="009F5B30"/>
    <w:rsid w:val="009F7849"/>
    <w:rsid w:val="00A00BDB"/>
    <w:rsid w:val="00A0516B"/>
    <w:rsid w:val="00A05C6C"/>
    <w:rsid w:val="00A06FEE"/>
    <w:rsid w:val="00A07EDD"/>
    <w:rsid w:val="00A10A9B"/>
    <w:rsid w:val="00A12DF0"/>
    <w:rsid w:val="00A13A8C"/>
    <w:rsid w:val="00A13E8E"/>
    <w:rsid w:val="00A14955"/>
    <w:rsid w:val="00A164A3"/>
    <w:rsid w:val="00A2445E"/>
    <w:rsid w:val="00A26796"/>
    <w:rsid w:val="00A30B5A"/>
    <w:rsid w:val="00A318A1"/>
    <w:rsid w:val="00A36503"/>
    <w:rsid w:val="00A37220"/>
    <w:rsid w:val="00A46100"/>
    <w:rsid w:val="00A461BD"/>
    <w:rsid w:val="00A46FD7"/>
    <w:rsid w:val="00A54ACF"/>
    <w:rsid w:val="00A5623D"/>
    <w:rsid w:val="00A60C37"/>
    <w:rsid w:val="00A60DDE"/>
    <w:rsid w:val="00A629ED"/>
    <w:rsid w:val="00A6582D"/>
    <w:rsid w:val="00A678FF"/>
    <w:rsid w:val="00A71ED0"/>
    <w:rsid w:val="00A72D7C"/>
    <w:rsid w:val="00A7358E"/>
    <w:rsid w:val="00A76BE1"/>
    <w:rsid w:val="00A77CB2"/>
    <w:rsid w:val="00A81756"/>
    <w:rsid w:val="00A81B30"/>
    <w:rsid w:val="00A828A4"/>
    <w:rsid w:val="00A82FA5"/>
    <w:rsid w:val="00A92051"/>
    <w:rsid w:val="00A949E2"/>
    <w:rsid w:val="00A97394"/>
    <w:rsid w:val="00AA0A37"/>
    <w:rsid w:val="00AA1845"/>
    <w:rsid w:val="00AA2C95"/>
    <w:rsid w:val="00AA5453"/>
    <w:rsid w:val="00AA5E6B"/>
    <w:rsid w:val="00AB28FE"/>
    <w:rsid w:val="00AB58C8"/>
    <w:rsid w:val="00AB71A4"/>
    <w:rsid w:val="00AB757D"/>
    <w:rsid w:val="00AB7918"/>
    <w:rsid w:val="00AC1F9C"/>
    <w:rsid w:val="00AC5119"/>
    <w:rsid w:val="00AC53E7"/>
    <w:rsid w:val="00AD35AF"/>
    <w:rsid w:val="00AD65CF"/>
    <w:rsid w:val="00AD6776"/>
    <w:rsid w:val="00AD6B2F"/>
    <w:rsid w:val="00AD7E4C"/>
    <w:rsid w:val="00AD7FE2"/>
    <w:rsid w:val="00AE141D"/>
    <w:rsid w:val="00AE2E68"/>
    <w:rsid w:val="00AE74B9"/>
    <w:rsid w:val="00AF01D7"/>
    <w:rsid w:val="00AF1151"/>
    <w:rsid w:val="00AF3672"/>
    <w:rsid w:val="00AF460C"/>
    <w:rsid w:val="00B06640"/>
    <w:rsid w:val="00B06F75"/>
    <w:rsid w:val="00B1014D"/>
    <w:rsid w:val="00B1142B"/>
    <w:rsid w:val="00B114C2"/>
    <w:rsid w:val="00B121B7"/>
    <w:rsid w:val="00B12D5F"/>
    <w:rsid w:val="00B16FD1"/>
    <w:rsid w:val="00B22B50"/>
    <w:rsid w:val="00B240D5"/>
    <w:rsid w:val="00B25127"/>
    <w:rsid w:val="00B25614"/>
    <w:rsid w:val="00B25CBE"/>
    <w:rsid w:val="00B302D0"/>
    <w:rsid w:val="00B342A3"/>
    <w:rsid w:val="00B363C9"/>
    <w:rsid w:val="00B372E2"/>
    <w:rsid w:val="00B40FC5"/>
    <w:rsid w:val="00B4355D"/>
    <w:rsid w:val="00B457A7"/>
    <w:rsid w:val="00B46C6A"/>
    <w:rsid w:val="00B5474B"/>
    <w:rsid w:val="00B56D3C"/>
    <w:rsid w:val="00B603A0"/>
    <w:rsid w:val="00B612D3"/>
    <w:rsid w:val="00B74844"/>
    <w:rsid w:val="00B753C3"/>
    <w:rsid w:val="00B7556E"/>
    <w:rsid w:val="00B75B5A"/>
    <w:rsid w:val="00B75CB0"/>
    <w:rsid w:val="00B82652"/>
    <w:rsid w:val="00B8384C"/>
    <w:rsid w:val="00B875F4"/>
    <w:rsid w:val="00B904B9"/>
    <w:rsid w:val="00B92EBC"/>
    <w:rsid w:val="00BA5391"/>
    <w:rsid w:val="00BB48E0"/>
    <w:rsid w:val="00BB691C"/>
    <w:rsid w:val="00BB6B5A"/>
    <w:rsid w:val="00BB772E"/>
    <w:rsid w:val="00BC1091"/>
    <w:rsid w:val="00BC6206"/>
    <w:rsid w:val="00BC67D6"/>
    <w:rsid w:val="00BD1035"/>
    <w:rsid w:val="00BD591A"/>
    <w:rsid w:val="00BE5349"/>
    <w:rsid w:val="00BF07D7"/>
    <w:rsid w:val="00BF1116"/>
    <w:rsid w:val="00BF2CCD"/>
    <w:rsid w:val="00BF3D3C"/>
    <w:rsid w:val="00BF3FC7"/>
    <w:rsid w:val="00BF6D5F"/>
    <w:rsid w:val="00BF732D"/>
    <w:rsid w:val="00C003C4"/>
    <w:rsid w:val="00C0130D"/>
    <w:rsid w:val="00C01F65"/>
    <w:rsid w:val="00C07BC4"/>
    <w:rsid w:val="00C10ED9"/>
    <w:rsid w:val="00C14AB9"/>
    <w:rsid w:val="00C23296"/>
    <w:rsid w:val="00C23A9F"/>
    <w:rsid w:val="00C26307"/>
    <w:rsid w:val="00C300D9"/>
    <w:rsid w:val="00C3140E"/>
    <w:rsid w:val="00C43D87"/>
    <w:rsid w:val="00C477B1"/>
    <w:rsid w:val="00C605FC"/>
    <w:rsid w:val="00C60FDE"/>
    <w:rsid w:val="00C675D2"/>
    <w:rsid w:val="00C70AF5"/>
    <w:rsid w:val="00C7209C"/>
    <w:rsid w:val="00C74ECC"/>
    <w:rsid w:val="00C77CB0"/>
    <w:rsid w:val="00C86CBB"/>
    <w:rsid w:val="00CB2177"/>
    <w:rsid w:val="00CB4580"/>
    <w:rsid w:val="00CB46B0"/>
    <w:rsid w:val="00CB79D2"/>
    <w:rsid w:val="00CC0505"/>
    <w:rsid w:val="00CC492C"/>
    <w:rsid w:val="00CD18AC"/>
    <w:rsid w:val="00CD3921"/>
    <w:rsid w:val="00CE095A"/>
    <w:rsid w:val="00CE1E67"/>
    <w:rsid w:val="00CE4545"/>
    <w:rsid w:val="00CE5CAE"/>
    <w:rsid w:val="00CE7087"/>
    <w:rsid w:val="00CF1738"/>
    <w:rsid w:val="00CF3119"/>
    <w:rsid w:val="00CF4D95"/>
    <w:rsid w:val="00D00E2B"/>
    <w:rsid w:val="00D02466"/>
    <w:rsid w:val="00D041A2"/>
    <w:rsid w:val="00D10E4C"/>
    <w:rsid w:val="00D2724E"/>
    <w:rsid w:val="00D32D8D"/>
    <w:rsid w:val="00D3328F"/>
    <w:rsid w:val="00D358BB"/>
    <w:rsid w:val="00D35AF4"/>
    <w:rsid w:val="00D42182"/>
    <w:rsid w:val="00D503BD"/>
    <w:rsid w:val="00D54429"/>
    <w:rsid w:val="00D56826"/>
    <w:rsid w:val="00D57898"/>
    <w:rsid w:val="00D57E34"/>
    <w:rsid w:val="00D619FA"/>
    <w:rsid w:val="00D644C7"/>
    <w:rsid w:val="00D645E4"/>
    <w:rsid w:val="00D6528A"/>
    <w:rsid w:val="00D67A65"/>
    <w:rsid w:val="00D75C9A"/>
    <w:rsid w:val="00D761A1"/>
    <w:rsid w:val="00D773A0"/>
    <w:rsid w:val="00D77D57"/>
    <w:rsid w:val="00D8221E"/>
    <w:rsid w:val="00D94B5F"/>
    <w:rsid w:val="00D97839"/>
    <w:rsid w:val="00DA5675"/>
    <w:rsid w:val="00DA79E9"/>
    <w:rsid w:val="00DB1009"/>
    <w:rsid w:val="00DB542A"/>
    <w:rsid w:val="00DC2C6B"/>
    <w:rsid w:val="00DD3168"/>
    <w:rsid w:val="00DD4212"/>
    <w:rsid w:val="00DD6A9B"/>
    <w:rsid w:val="00DD6BBF"/>
    <w:rsid w:val="00DE3F5C"/>
    <w:rsid w:val="00DF4A8E"/>
    <w:rsid w:val="00DF52A1"/>
    <w:rsid w:val="00DF5C91"/>
    <w:rsid w:val="00E00CD9"/>
    <w:rsid w:val="00E136FF"/>
    <w:rsid w:val="00E214A6"/>
    <w:rsid w:val="00E223F6"/>
    <w:rsid w:val="00E22636"/>
    <w:rsid w:val="00E2267A"/>
    <w:rsid w:val="00E237F2"/>
    <w:rsid w:val="00E24DB9"/>
    <w:rsid w:val="00E254AC"/>
    <w:rsid w:val="00E268AE"/>
    <w:rsid w:val="00E27E63"/>
    <w:rsid w:val="00E3075B"/>
    <w:rsid w:val="00E34F81"/>
    <w:rsid w:val="00E36721"/>
    <w:rsid w:val="00E376C3"/>
    <w:rsid w:val="00E379ED"/>
    <w:rsid w:val="00E427EE"/>
    <w:rsid w:val="00E47427"/>
    <w:rsid w:val="00E50B33"/>
    <w:rsid w:val="00E5282F"/>
    <w:rsid w:val="00E546CE"/>
    <w:rsid w:val="00E5584F"/>
    <w:rsid w:val="00E706FD"/>
    <w:rsid w:val="00E73AAE"/>
    <w:rsid w:val="00E749BD"/>
    <w:rsid w:val="00E7672C"/>
    <w:rsid w:val="00E84BF2"/>
    <w:rsid w:val="00E8586C"/>
    <w:rsid w:val="00E8677C"/>
    <w:rsid w:val="00E907E5"/>
    <w:rsid w:val="00E91BF2"/>
    <w:rsid w:val="00E92471"/>
    <w:rsid w:val="00E97BF2"/>
    <w:rsid w:val="00EA1332"/>
    <w:rsid w:val="00EA14DC"/>
    <w:rsid w:val="00EA281C"/>
    <w:rsid w:val="00EA2F13"/>
    <w:rsid w:val="00EA3839"/>
    <w:rsid w:val="00EA5B26"/>
    <w:rsid w:val="00EB02F4"/>
    <w:rsid w:val="00EB3470"/>
    <w:rsid w:val="00EB477F"/>
    <w:rsid w:val="00EB6827"/>
    <w:rsid w:val="00EC2761"/>
    <w:rsid w:val="00EC3C5C"/>
    <w:rsid w:val="00ED53AD"/>
    <w:rsid w:val="00EE17D7"/>
    <w:rsid w:val="00EE1869"/>
    <w:rsid w:val="00EE446E"/>
    <w:rsid w:val="00EE5B0B"/>
    <w:rsid w:val="00EF01DB"/>
    <w:rsid w:val="00EF533F"/>
    <w:rsid w:val="00F00E71"/>
    <w:rsid w:val="00F01829"/>
    <w:rsid w:val="00F053C7"/>
    <w:rsid w:val="00F06895"/>
    <w:rsid w:val="00F06CEC"/>
    <w:rsid w:val="00F11482"/>
    <w:rsid w:val="00F13436"/>
    <w:rsid w:val="00F15130"/>
    <w:rsid w:val="00F17C98"/>
    <w:rsid w:val="00F235A0"/>
    <w:rsid w:val="00F307F6"/>
    <w:rsid w:val="00F30ADF"/>
    <w:rsid w:val="00F31825"/>
    <w:rsid w:val="00F3282F"/>
    <w:rsid w:val="00F35784"/>
    <w:rsid w:val="00F42DDD"/>
    <w:rsid w:val="00F44CA3"/>
    <w:rsid w:val="00F4704C"/>
    <w:rsid w:val="00F4783A"/>
    <w:rsid w:val="00F51C5D"/>
    <w:rsid w:val="00F563CB"/>
    <w:rsid w:val="00F66953"/>
    <w:rsid w:val="00F66EA5"/>
    <w:rsid w:val="00F74A8F"/>
    <w:rsid w:val="00F81AEC"/>
    <w:rsid w:val="00F82EA9"/>
    <w:rsid w:val="00F83F84"/>
    <w:rsid w:val="00F84353"/>
    <w:rsid w:val="00F850A3"/>
    <w:rsid w:val="00F907FD"/>
    <w:rsid w:val="00F920DE"/>
    <w:rsid w:val="00F92646"/>
    <w:rsid w:val="00F92890"/>
    <w:rsid w:val="00F93904"/>
    <w:rsid w:val="00F94546"/>
    <w:rsid w:val="00F96FAE"/>
    <w:rsid w:val="00FA254B"/>
    <w:rsid w:val="00FA3F73"/>
    <w:rsid w:val="00FB0A28"/>
    <w:rsid w:val="00FB1691"/>
    <w:rsid w:val="00FB26C2"/>
    <w:rsid w:val="00FB4459"/>
    <w:rsid w:val="00FB5A96"/>
    <w:rsid w:val="00FB5C05"/>
    <w:rsid w:val="00FB5D6C"/>
    <w:rsid w:val="00FC0348"/>
    <w:rsid w:val="00FC0DCA"/>
    <w:rsid w:val="00FC2D2A"/>
    <w:rsid w:val="00FC3978"/>
    <w:rsid w:val="00FC4B89"/>
    <w:rsid w:val="00FC653B"/>
    <w:rsid w:val="00FD233E"/>
    <w:rsid w:val="00FE47DA"/>
    <w:rsid w:val="00FE5C53"/>
    <w:rsid w:val="00FE613E"/>
    <w:rsid w:val="00FF4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7ED40AD-CB87-4C4B-8DC0-1EDD5081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77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Heading A"/>
    <w:basedOn w:val="Normal"/>
    <w:link w:val="ListParagraphChar"/>
    <w:uiPriority w:val="34"/>
    <w:qFormat/>
    <w:rsid w:val="006C6678"/>
    <w:pPr>
      <w:ind w:left="720"/>
      <w:contextualSpacing/>
    </w:pPr>
  </w:style>
  <w:style w:type="character" w:styleId="CommentReference">
    <w:name w:val="annotation reference"/>
    <w:basedOn w:val="DefaultParagraphFont"/>
    <w:uiPriority w:val="99"/>
    <w:unhideWhenUsed/>
    <w:rsid w:val="006C6678"/>
    <w:rPr>
      <w:sz w:val="16"/>
      <w:szCs w:val="16"/>
    </w:rPr>
  </w:style>
  <w:style w:type="paragraph" w:styleId="CommentText">
    <w:name w:val="annotation text"/>
    <w:basedOn w:val="Normal"/>
    <w:link w:val="CommentTextChar"/>
    <w:uiPriority w:val="99"/>
    <w:unhideWhenUsed/>
    <w:rsid w:val="006C6678"/>
    <w:pPr>
      <w:spacing w:line="240" w:lineRule="auto"/>
    </w:pPr>
    <w:rPr>
      <w:sz w:val="20"/>
      <w:szCs w:val="20"/>
    </w:rPr>
  </w:style>
  <w:style w:type="character" w:customStyle="1" w:styleId="CommentTextChar">
    <w:name w:val="Comment Text Char"/>
    <w:basedOn w:val="DefaultParagraphFont"/>
    <w:link w:val="CommentText"/>
    <w:uiPriority w:val="99"/>
    <w:rsid w:val="006C6678"/>
    <w:rPr>
      <w:sz w:val="20"/>
      <w:szCs w:val="20"/>
    </w:rPr>
  </w:style>
  <w:style w:type="paragraph" w:styleId="BalloonText">
    <w:name w:val="Balloon Text"/>
    <w:basedOn w:val="Normal"/>
    <w:link w:val="BalloonTextChar"/>
    <w:uiPriority w:val="99"/>
    <w:semiHidden/>
    <w:unhideWhenUsed/>
    <w:rsid w:val="006C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78"/>
    <w:rPr>
      <w:rFonts w:ascii="Tahoma" w:hAnsi="Tahoma" w:cs="Tahoma"/>
      <w:sz w:val="16"/>
      <w:szCs w:val="16"/>
    </w:rPr>
  </w:style>
  <w:style w:type="character" w:styleId="Hyperlink">
    <w:name w:val="Hyperlink"/>
    <w:basedOn w:val="DefaultParagraphFont"/>
    <w:uiPriority w:val="99"/>
    <w:unhideWhenUsed/>
    <w:rsid w:val="00EE77B4"/>
    <w:rPr>
      <w:color w:val="0000FF" w:themeColor="hyperlink"/>
      <w:u w:val="single"/>
    </w:rPr>
  </w:style>
  <w:style w:type="paragraph" w:styleId="FootnoteText">
    <w:name w:val="footnote text"/>
    <w:basedOn w:val="Normal"/>
    <w:link w:val="FootnoteTextChar"/>
    <w:unhideWhenUsed/>
    <w:qFormat/>
    <w:rsid w:val="004154F5"/>
    <w:pPr>
      <w:spacing w:after="0" w:line="240" w:lineRule="auto"/>
    </w:pPr>
    <w:rPr>
      <w:sz w:val="20"/>
      <w:szCs w:val="20"/>
    </w:rPr>
  </w:style>
  <w:style w:type="character" w:customStyle="1" w:styleId="FootnoteTextChar">
    <w:name w:val="Footnote Text Char"/>
    <w:basedOn w:val="DefaultParagraphFont"/>
    <w:link w:val="FootnoteText"/>
    <w:rsid w:val="004154F5"/>
    <w:rPr>
      <w:sz w:val="20"/>
      <w:szCs w:val="20"/>
    </w:rPr>
  </w:style>
  <w:style w:type="character" w:styleId="FootnoteReference">
    <w:name w:val="footnote reference"/>
    <w:basedOn w:val="DefaultParagraphFont"/>
    <w:link w:val="4GZchn"/>
    <w:uiPriority w:val="99"/>
    <w:unhideWhenUsed/>
    <w:qFormat/>
    <w:rsid w:val="004154F5"/>
    <w:rPr>
      <w:vertAlign w:val="superscript"/>
    </w:rPr>
  </w:style>
  <w:style w:type="paragraph" w:styleId="CommentSubject">
    <w:name w:val="annotation subject"/>
    <w:basedOn w:val="CommentText"/>
    <w:next w:val="CommentText"/>
    <w:link w:val="CommentSubjectChar"/>
    <w:uiPriority w:val="99"/>
    <w:semiHidden/>
    <w:unhideWhenUsed/>
    <w:rsid w:val="00DE1719"/>
    <w:rPr>
      <w:b/>
      <w:bCs/>
    </w:rPr>
  </w:style>
  <w:style w:type="character" w:customStyle="1" w:styleId="CommentSubjectChar">
    <w:name w:val="Comment Subject Char"/>
    <w:basedOn w:val="CommentTextChar"/>
    <w:link w:val="CommentSubject"/>
    <w:uiPriority w:val="99"/>
    <w:semiHidden/>
    <w:rsid w:val="00DE1719"/>
    <w:rPr>
      <w:b/>
      <w:bCs/>
      <w:sz w:val="20"/>
      <w:szCs w:val="20"/>
    </w:rPr>
  </w:style>
  <w:style w:type="paragraph" w:styleId="Header">
    <w:name w:val="header"/>
    <w:basedOn w:val="Normal"/>
    <w:link w:val="HeaderChar"/>
    <w:uiPriority w:val="99"/>
    <w:unhideWhenUsed/>
    <w:rsid w:val="00873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92A"/>
  </w:style>
  <w:style w:type="paragraph" w:styleId="Footer">
    <w:name w:val="footer"/>
    <w:basedOn w:val="Normal"/>
    <w:link w:val="FooterChar"/>
    <w:uiPriority w:val="99"/>
    <w:unhideWhenUsed/>
    <w:rsid w:val="00873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92A"/>
  </w:style>
  <w:style w:type="paragraph" w:styleId="Revision">
    <w:name w:val="Revision"/>
    <w:hidden/>
    <w:uiPriority w:val="99"/>
    <w:semiHidden/>
    <w:rsid w:val="00AD2DD6"/>
    <w:pPr>
      <w:spacing w:after="0" w:line="240" w:lineRule="auto"/>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9013E1"/>
  </w:style>
  <w:style w:type="paragraph" w:customStyle="1" w:styleId="Subheader">
    <w:name w:val="Subheader"/>
    <w:basedOn w:val="Normal"/>
    <w:link w:val="SubheaderChar"/>
    <w:qFormat/>
    <w:rsid w:val="009013E1"/>
    <w:pPr>
      <w:suppressAutoHyphens/>
      <w:autoSpaceDE w:val="0"/>
      <w:autoSpaceDN w:val="0"/>
      <w:adjustRightInd w:val="0"/>
      <w:spacing w:after="0" w:line="240" w:lineRule="atLeast"/>
      <w:ind w:right="162"/>
    </w:pPr>
    <w:rPr>
      <w:rFonts w:ascii="Times New Roman" w:hAnsi="Times New Roman" w:cs="Times New Roman"/>
      <w:b/>
      <w:sz w:val="24"/>
      <w:szCs w:val="24"/>
    </w:rPr>
  </w:style>
  <w:style w:type="character" w:customStyle="1" w:styleId="SubheaderChar">
    <w:name w:val="Subheader Char"/>
    <w:basedOn w:val="DefaultParagraphFont"/>
    <w:link w:val="Subheader"/>
    <w:rsid w:val="009013E1"/>
    <w:rPr>
      <w:rFonts w:ascii="Times New Roman" w:hAnsi="Times New Roman" w:cs="Times New Roman"/>
      <w:b/>
      <w:sz w:val="24"/>
      <w:szCs w:val="24"/>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991624"/>
    <w:pPr>
      <w:spacing w:after="160" w:line="240" w:lineRule="exact"/>
    </w:pPr>
    <w:rPr>
      <w:vertAlign w:val="superscript"/>
    </w:rPr>
  </w:style>
  <w:style w:type="paragraph" w:styleId="PlainText">
    <w:name w:val="Plain Text"/>
    <w:basedOn w:val="Normal"/>
    <w:link w:val="PlainTextChar"/>
    <w:uiPriority w:val="99"/>
    <w:unhideWhenUsed/>
    <w:rsid w:val="00A678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678FF"/>
    <w:rPr>
      <w:rFonts w:ascii="Calibri" w:hAnsi="Calibri"/>
      <w:szCs w:val="21"/>
    </w:rPr>
  </w:style>
  <w:style w:type="character" w:styleId="FollowedHyperlink">
    <w:name w:val="FollowedHyperlink"/>
    <w:basedOn w:val="DefaultParagraphFont"/>
    <w:uiPriority w:val="99"/>
    <w:rsid w:val="00B4355D"/>
    <w:rPr>
      <w:color w:val="800080" w:themeColor="followedHyperlink"/>
      <w:u w:val="single"/>
    </w:rPr>
  </w:style>
  <w:style w:type="paragraph" w:styleId="NoSpacing">
    <w:name w:val="No Spacing"/>
    <w:uiPriority w:val="1"/>
    <w:qFormat/>
    <w:rsid w:val="00A06FEE"/>
    <w:pPr>
      <w:spacing w:after="0" w:line="240" w:lineRule="auto"/>
    </w:pPr>
  </w:style>
  <w:style w:type="paragraph" w:customStyle="1" w:styleId="SingleTxtG">
    <w:name w:val="_ Single Txt_G"/>
    <w:basedOn w:val="Normal"/>
    <w:link w:val="SingleTxtGChar"/>
    <w:uiPriority w:val="99"/>
    <w:qFormat/>
    <w:rsid w:val="001A0DA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uiPriority w:val="99"/>
    <w:rsid w:val="001A0DAA"/>
    <w:rPr>
      <w:rFonts w:ascii="Times New Roman" w:eastAsia="Times New Roman" w:hAnsi="Times New Roman" w:cs="Times New Roman"/>
      <w:sz w:val="20"/>
      <w:szCs w:val="20"/>
      <w:lang w:val="en-GB"/>
    </w:rPr>
  </w:style>
  <w:style w:type="paragraph" w:customStyle="1" w:styleId="Pa63">
    <w:name w:val="Pa6+3"/>
    <w:basedOn w:val="Default"/>
    <w:next w:val="Default"/>
    <w:uiPriority w:val="99"/>
    <w:rsid w:val="00B240D5"/>
    <w:pPr>
      <w:spacing w:line="281" w:lineRule="atLeast"/>
    </w:pPr>
    <w:rPr>
      <w:rFonts w:ascii="Futura Std" w:hAnsi="Futura St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811">
      <w:bodyDiv w:val="1"/>
      <w:marLeft w:val="0"/>
      <w:marRight w:val="0"/>
      <w:marTop w:val="0"/>
      <w:marBottom w:val="0"/>
      <w:divBdr>
        <w:top w:val="none" w:sz="0" w:space="0" w:color="auto"/>
        <w:left w:val="none" w:sz="0" w:space="0" w:color="auto"/>
        <w:bottom w:val="none" w:sz="0" w:space="0" w:color="auto"/>
        <w:right w:val="none" w:sz="0" w:space="0" w:color="auto"/>
      </w:divBdr>
    </w:div>
    <w:div w:id="122116854">
      <w:bodyDiv w:val="1"/>
      <w:marLeft w:val="0"/>
      <w:marRight w:val="0"/>
      <w:marTop w:val="0"/>
      <w:marBottom w:val="0"/>
      <w:divBdr>
        <w:top w:val="none" w:sz="0" w:space="0" w:color="auto"/>
        <w:left w:val="none" w:sz="0" w:space="0" w:color="auto"/>
        <w:bottom w:val="none" w:sz="0" w:space="0" w:color="auto"/>
        <w:right w:val="none" w:sz="0" w:space="0" w:color="auto"/>
      </w:divBdr>
    </w:div>
    <w:div w:id="146746300">
      <w:bodyDiv w:val="1"/>
      <w:marLeft w:val="0"/>
      <w:marRight w:val="0"/>
      <w:marTop w:val="0"/>
      <w:marBottom w:val="0"/>
      <w:divBdr>
        <w:top w:val="none" w:sz="0" w:space="0" w:color="auto"/>
        <w:left w:val="none" w:sz="0" w:space="0" w:color="auto"/>
        <w:bottom w:val="none" w:sz="0" w:space="0" w:color="auto"/>
        <w:right w:val="none" w:sz="0" w:space="0" w:color="auto"/>
      </w:divBdr>
    </w:div>
    <w:div w:id="183978814">
      <w:bodyDiv w:val="1"/>
      <w:marLeft w:val="0"/>
      <w:marRight w:val="0"/>
      <w:marTop w:val="0"/>
      <w:marBottom w:val="0"/>
      <w:divBdr>
        <w:top w:val="none" w:sz="0" w:space="0" w:color="auto"/>
        <w:left w:val="none" w:sz="0" w:space="0" w:color="auto"/>
        <w:bottom w:val="none" w:sz="0" w:space="0" w:color="auto"/>
        <w:right w:val="none" w:sz="0" w:space="0" w:color="auto"/>
      </w:divBdr>
    </w:div>
    <w:div w:id="280650510">
      <w:bodyDiv w:val="1"/>
      <w:marLeft w:val="0"/>
      <w:marRight w:val="0"/>
      <w:marTop w:val="0"/>
      <w:marBottom w:val="0"/>
      <w:divBdr>
        <w:top w:val="none" w:sz="0" w:space="0" w:color="auto"/>
        <w:left w:val="none" w:sz="0" w:space="0" w:color="auto"/>
        <w:bottom w:val="none" w:sz="0" w:space="0" w:color="auto"/>
        <w:right w:val="none" w:sz="0" w:space="0" w:color="auto"/>
      </w:divBdr>
      <w:divsChild>
        <w:div w:id="1430656592">
          <w:marLeft w:val="0"/>
          <w:marRight w:val="0"/>
          <w:marTop w:val="0"/>
          <w:marBottom w:val="0"/>
          <w:divBdr>
            <w:top w:val="none" w:sz="0" w:space="0" w:color="auto"/>
            <w:left w:val="none" w:sz="0" w:space="0" w:color="auto"/>
            <w:bottom w:val="none" w:sz="0" w:space="0" w:color="auto"/>
            <w:right w:val="none" w:sz="0" w:space="0" w:color="auto"/>
          </w:divBdr>
        </w:div>
      </w:divsChild>
    </w:div>
    <w:div w:id="281226384">
      <w:bodyDiv w:val="1"/>
      <w:marLeft w:val="0"/>
      <w:marRight w:val="0"/>
      <w:marTop w:val="0"/>
      <w:marBottom w:val="0"/>
      <w:divBdr>
        <w:top w:val="none" w:sz="0" w:space="0" w:color="auto"/>
        <w:left w:val="none" w:sz="0" w:space="0" w:color="auto"/>
        <w:bottom w:val="none" w:sz="0" w:space="0" w:color="auto"/>
        <w:right w:val="none" w:sz="0" w:space="0" w:color="auto"/>
      </w:divBdr>
    </w:div>
    <w:div w:id="469978515">
      <w:bodyDiv w:val="1"/>
      <w:marLeft w:val="0"/>
      <w:marRight w:val="0"/>
      <w:marTop w:val="0"/>
      <w:marBottom w:val="0"/>
      <w:divBdr>
        <w:top w:val="none" w:sz="0" w:space="0" w:color="auto"/>
        <w:left w:val="none" w:sz="0" w:space="0" w:color="auto"/>
        <w:bottom w:val="none" w:sz="0" w:space="0" w:color="auto"/>
        <w:right w:val="none" w:sz="0" w:space="0" w:color="auto"/>
      </w:divBdr>
    </w:div>
    <w:div w:id="667562055">
      <w:bodyDiv w:val="1"/>
      <w:marLeft w:val="0"/>
      <w:marRight w:val="0"/>
      <w:marTop w:val="0"/>
      <w:marBottom w:val="0"/>
      <w:divBdr>
        <w:top w:val="none" w:sz="0" w:space="0" w:color="auto"/>
        <w:left w:val="none" w:sz="0" w:space="0" w:color="auto"/>
        <w:bottom w:val="none" w:sz="0" w:space="0" w:color="auto"/>
        <w:right w:val="none" w:sz="0" w:space="0" w:color="auto"/>
      </w:divBdr>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802381840">
      <w:bodyDiv w:val="1"/>
      <w:marLeft w:val="0"/>
      <w:marRight w:val="0"/>
      <w:marTop w:val="0"/>
      <w:marBottom w:val="0"/>
      <w:divBdr>
        <w:top w:val="none" w:sz="0" w:space="0" w:color="auto"/>
        <w:left w:val="none" w:sz="0" w:space="0" w:color="auto"/>
        <w:bottom w:val="none" w:sz="0" w:space="0" w:color="auto"/>
        <w:right w:val="none" w:sz="0" w:space="0" w:color="auto"/>
      </w:divBdr>
    </w:div>
    <w:div w:id="869878368">
      <w:bodyDiv w:val="1"/>
      <w:marLeft w:val="0"/>
      <w:marRight w:val="0"/>
      <w:marTop w:val="0"/>
      <w:marBottom w:val="0"/>
      <w:divBdr>
        <w:top w:val="none" w:sz="0" w:space="0" w:color="auto"/>
        <w:left w:val="none" w:sz="0" w:space="0" w:color="auto"/>
        <w:bottom w:val="none" w:sz="0" w:space="0" w:color="auto"/>
        <w:right w:val="none" w:sz="0" w:space="0" w:color="auto"/>
      </w:divBdr>
    </w:div>
    <w:div w:id="963579746">
      <w:bodyDiv w:val="1"/>
      <w:marLeft w:val="0"/>
      <w:marRight w:val="0"/>
      <w:marTop w:val="0"/>
      <w:marBottom w:val="0"/>
      <w:divBdr>
        <w:top w:val="none" w:sz="0" w:space="0" w:color="auto"/>
        <w:left w:val="none" w:sz="0" w:space="0" w:color="auto"/>
        <w:bottom w:val="none" w:sz="0" w:space="0" w:color="auto"/>
        <w:right w:val="none" w:sz="0" w:space="0" w:color="auto"/>
      </w:divBdr>
    </w:div>
    <w:div w:id="1292898896">
      <w:bodyDiv w:val="1"/>
      <w:marLeft w:val="0"/>
      <w:marRight w:val="0"/>
      <w:marTop w:val="0"/>
      <w:marBottom w:val="0"/>
      <w:divBdr>
        <w:top w:val="none" w:sz="0" w:space="0" w:color="auto"/>
        <w:left w:val="none" w:sz="0" w:space="0" w:color="auto"/>
        <w:bottom w:val="none" w:sz="0" w:space="0" w:color="auto"/>
        <w:right w:val="none" w:sz="0" w:space="0" w:color="auto"/>
      </w:divBdr>
    </w:div>
    <w:div w:id="1366248903">
      <w:bodyDiv w:val="1"/>
      <w:marLeft w:val="0"/>
      <w:marRight w:val="0"/>
      <w:marTop w:val="0"/>
      <w:marBottom w:val="0"/>
      <w:divBdr>
        <w:top w:val="none" w:sz="0" w:space="0" w:color="auto"/>
        <w:left w:val="none" w:sz="0" w:space="0" w:color="auto"/>
        <w:bottom w:val="none" w:sz="0" w:space="0" w:color="auto"/>
        <w:right w:val="none" w:sz="0" w:space="0" w:color="auto"/>
      </w:divBdr>
    </w:div>
    <w:div w:id="1493065831">
      <w:bodyDiv w:val="1"/>
      <w:marLeft w:val="0"/>
      <w:marRight w:val="0"/>
      <w:marTop w:val="0"/>
      <w:marBottom w:val="0"/>
      <w:divBdr>
        <w:top w:val="none" w:sz="0" w:space="0" w:color="auto"/>
        <w:left w:val="none" w:sz="0" w:space="0" w:color="auto"/>
        <w:bottom w:val="none" w:sz="0" w:space="0" w:color="auto"/>
        <w:right w:val="none" w:sz="0" w:space="0" w:color="auto"/>
      </w:divBdr>
    </w:div>
    <w:div w:id="1656372462">
      <w:bodyDiv w:val="1"/>
      <w:marLeft w:val="0"/>
      <w:marRight w:val="0"/>
      <w:marTop w:val="0"/>
      <w:marBottom w:val="0"/>
      <w:divBdr>
        <w:top w:val="none" w:sz="0" w:space="0" w:color="auto"/>
        <w:left w:val="none" w:sz="0" w:space="0" w:color="auto"/>
        <w:bottom w:val="none" w:sz="0" w:space="0" w:color="auto"/>
        <w:right w:val="none" w:sz="0" w:space="0" w:color="auto"/>
      </w:divBdr>
    </w:div>
    <w:div w:id="2053072871">
      <w:bodyDiv w:val="1"/>
      <w:marLeft w:val="0"/>
      <w:marRight w:val="0"/>
      <w:marTop w:val="0"/>
      <w:marBottom w:val="0"/>
      <w:divBdr>
        <w:top w:val="none" w:sz="0" w:space="0" w:color="auto"/>
        <w:left w:val="none" w:sz="0" w:space="0" w:color="auto"/>
        <w:bottom w:val="none" w:sz="0" w:space="0" w:color="auto"/>
        <w:right w:val="none" w:sz="0" w:space="0" w:color="auto"/>
      </w:divBdr>
    </w:div>
    <w:div w:id="21348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state.gov/s/l/2006/98334.htm" TargetMode="External"/><Relationship Id="rId7" Type="http://schemas.openxmlformats.org/officeDocument/2006/relationships/hyperlink" Target="https://www.ohchr.org/EN/Issues/Executions/Pages/RevisionoftheUNManualPreventionExtraLegalArbitrary.aspx" TargetMode="External"/><Relationship Id="rId2" Type="http://schemas.openxmlformats.org/officeDocument/2006/relationships/hyperlink" Target="https://www.state.gov/documents/organization/138852.pdf" TargetMode="External"/><Relationship Id="rId1" Type="http://schemas.openxmlformats.org/officeDocument/2006/relationships/hyperlink" Target="https://www.ohchr.org/Documents/HRBodies/CCPR/GCArticle6/GCArticle6_EN.pdf" TargetMode="External"/><Relationship Id="rId6" Type="http://schemas.openxmlformats.org/officeDocument/2006/relationships/hyperlink" Target="http://2001-2009.state.gov/s/l/2007/112674.htm" TargetMode="External"/><Relationship Id="rId5" Type="http://schemas.openxmlformats.org/officeDocument/2006/relationships/hyperlink" Target="https://www.state.gov/documents/organization/244445.pdf" TargetMode="External"/><Relationship Id="rId4" Type="http://schemas.openxmlformats.org/officeDocument/2006/relationships/hyperlink" Target="https://www.state.gov/documents/organization/1393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FB172C-277F-4D2F-A281-25D54A578A97}">
  <ds:schemaRefs>
    <ds:schemaRef ds:uri="http://schemas.openxmlformats.org/officeDocument/2006/bibliography"/>
  </ds:schemaRefs>
</ds:datastoreItem>
</file>

<file path=customXml/itemProps2.xml><?xml version="1.0" encoding="utf-8"?>
<ds:datastoreItem xmlns:ds="http://schemas.openxmlformats.org/officeDocument/2006/customXml" ds:itemID="{82B75C68-A979-4D3F-889E-46203E60D0F5}"/>
</file>

<file path=customXml/itemProps3.xml><?xml version="1.0" encoding="utf-8"?>
<ds:datastoreItem xmlns:ds="http://schemas.openxmlformats.org/officeDocument/2006/customXml" ds:itemID="{E627236F-2949-478C-ACAD-F014FD9D9B60}"/>
</file>

<file path=customXml/itemProps4.xml><?xml version="1.0" encoding="utf-8"?>
<ds:datastoreItem xmlns:ds="http://schemas.openxmlformats.org/officeDocument/2006/customXml" ds:itemID="{CD281B77-AEAA-4F59-A33C-FA289A44367B}"/>
</file>

<file path=docProps/app.xml><?xml version="1.0" encoding="utf-8"?>
<Properties xmlns="http://schemas.openxmlformats.org/officeDocument/2006/extended-properties" xmlns:vt="http://schemas.openxmlformats.org/officeDocument/2006/docPropsVTypes">
  <Template>Normal.dotm</Template>
  <TotalTime>0</TotalTime>
  <Pages>20</Pages>
  <Words>7994</Words>
  <Characters>45571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53459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WallAJ</dc:creator>
  <cp:lastModifiedBy>Durnescu Lilian</cp:lastModifiedBy>
  <cp:revision>2</cp:revision>
  <cp:lastPrinted>2017-10-06T13:57:00Z</cp:lastPrinted>
  <dcterms:created xsi:type="dcterms:W3CDTF">2017-10-09T07:56:00Z</dcterms:created>
  <dcterms:modified xsi:type="dcterms:W3CDTF">2017-10-09T07:56:00Z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