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190E7" w14:textId="61B699B8" w:rsidR="00CF2105" w:rsidRPr="00030838" w:rsidRDefault="00A81122" w:rsidP="00247713">
      <w:pPr>
        <w:pStyle w:val="Heading1"/>
        <w:spacing w:before="0" w:line="276" w:lineRule="auto"/>
        <w:jc w:val="center"/>
        <w:rPr>
          <w:rFonts w:ascii="Times New Roman" w:hAnsi="Times New Roman" w:cs="Times New Roman"/>
          <w:sz w:val="22"/>
          <w:szCs w:val="22"/>
        </w:rPr>
      </w:pPr>
      <w:bookmarkStart w:id="0" w:name="_Toc469406856"/>
      <w:bookmarkStart w:id="1" w:name="_GoBack"/>
      <w:bookmarkEnd w:id="1"/>
      <w:r w:rsidRPr="00030838">
        <w:rPr>
          <w:rFonts w:ascii="Times New Roman" w:hAnsi="Times New Roman" w:cs="Times New Roman"/>
          <w:sz w:val="22"/>
          <w:szCs w:val="22"/>
        </w:rPr>
        <w:t>Comentario al borrador de la Observaci</w:t>
      </w:r>
      <w:r w:rsidR="000969E4">
        <w:rPr>
          <w:rFonts w:ascii="Times New Roman" w:hAnsi="Times New Roman" w:cs="Times New Roman"/>
          <w:sz w:val="22"/>
          <w:szCs w:val="22"/>
        </w:rPr>
        <w:t>ón General Observación General N</w:t>
      </w:r>
      <w:r w:rsidRPr="00030838">
        <w:rPr>
          <w:rFonts w:ascii="Times New Roman" w:hAnsi="Times New Roman" w:cs="Times New Roman"/>
          <w:sz w:val="22"/>
          <w:szCs w:val="22"/>
        </w:rPr>
        <w:t>úm. 36 sobre el artículo 6 del Pacto Internacional de Derechos Civiles y Políticos relativo al derecho a la vida</w:t>
      </w:r>
      <w:bookmarkStart w:id="2" w:name="_Toc469406857"/>
      <w:bookmarkEnd w:id="0"/>
      <w:r w:rsidR="00247713" w:rsidRPr="00030838">
        <w:rPr>
          <w:rFonts w:ascii="Times New Roman" w:hAnsi="Times New Roman" w:cs="Times New Roman"/>
          <w:sz w:val="22"/>
          <w:szCs w:val="22"/>
        </w:rPr>
        <w:t>.</w:t>
      </w:r>
    </w:p>
    <w:p w14:paraId="6380CDC0" w14:textId="77777777" w:rsidR="00CF2105" w:rsidRPr="00030838" w:rsidRDefault="00CF2105" w:rsidP="00CF2105">
      <w:pPr>
        <w:rPr>
          <w:rFonts w:ascii="Times New Roman" w:hAnsi="Times New Roman" w:cs="Times New Roman"/>
        </w:rPr>
      </w:pPr>
    </w:p>
    <w:p w14:paraId="5F6224CD" w14:textId="77777777" w:rsidR="00CF2105" w:rsidRPr="00030838" w:rsidRDefault="00CF2105" w:rsidP="00CF2105">
      <w:pPr>
        <w:pStyle w:val="Heading1"/>
        <w:spacing w:before="0"/>
        <w:ind w:left="-57"/>
        <w:jc w:val="center"/>
        <w:rPr>
          <w:rFonts w:ascii="Times New Roman" w:hAnsi="Times New Roman" w:cs="Times New Roman"/>
          <w:sz w:val="22"/>
          <w:szCs w:val="22"/>
        </w:rPr>
      </w:pPr>
      <w:r w:rsidRPr="00030838">
        <w:rPr>
          <w:rFonts w:ascii="Times New Roman" w:hAnsi="Times New Roman" w:cs="Times New Roman"/>
          <w:sz w:val="22"/>
          <w:szCs w:val="22"/>
        </w:rPr>
        <w:t xml:space="preserve">Comité de Derechos Humanos </w:t>
      </w:r>
    </w:p>
    <w:p w14:paraId="287FC29D" w14:textId="77777777" w:rsidR="00CF2105" w:rsidRPr="00030838" w:rsidRDefault="00CF2105" w:rsidP="00CF2105">
      <w:pPr>
        <w:rPr>
          <w:rFonts w:ascii="Times New Roman" w:hAnsi="Times New Roman" w:cs="Times New Roman"/>
        </w:rPr>
      </w:pPr>
    </w:p>
    <w:p w14:paraId="4859BF9A" w14:textId="77777777" w:rsidR="00CF2105" w:rsidRPr="00030838" w:rsidRDefault="00CF2105" w:rsidP="00CF2105">
      <w:pPr>
        <w:jc w:val="center"/>
        <w:rPr>
          <w:rFonts w:ascii="Times New Roman" w:hAnsi="Times New Roman" w:cs="Times New Roman"/>
          <w:b/>
        </w:rPr>
      </w:pPr>
      <w:r w:rsidRPr="00030838">
        <w:rPr>
          <w:rFonts w:ascii="Times New Roman" w:hAnsi="Times New Roman" w:cs="Times New Roman"/>
          <w:b/>
        </w:rPr>
        <w:t>Octubre de 2017</w:t>
      </w:r>
    </w:p>
    <w:p w14:paraId="5BFA368C" w14:textId="77777777" w:rsidR="00CF2105" w:rsidRPr="00030838" w:rsidRDefault="00CF2105" w:rsidP="00CF2105">
      <w:pPr>
        <w:jc w:val="center"/>
        <w:rPr>
          <w:rFonts w:ascii="Times New Roman" w:hAnsi="Times New Roman" w:cs="Times New Roman"/>
          <w:b/>
        </w:rPr>
      </w:pPr>
    </w:p>
    <w:p w14:paraId="380DE542" w14:textId="77777777" w:rsidR="00CF2105" w:rsidRPr="00030838" w:rsidRDefault="00CF2105" w:rsidP="00CF2105">
      <w:pPr>
        <w:spacing w:line="276" w:lineRule="auto"/>
        <w:rPr>
          <w:rFonts w:ascii="Times New Roman" w:hAnsi="Times New Roman" w:cs="Times New Roman"/>
          <w:b/>
        </w:rPr>
      </w:pPr>
    </w:p>
    <w:p w14:paraId="0820F470" w14:textId="6A08B1EC" w:rsidR="004B2A84" w:rsidRPr="00030838" w:rsidRDefault="004B2A84" w:rsidP="004D3E3D">
      <w:pPr>
        <w:spacing w:line="276" w:lineRule="auto"/>
        <w:jc w:val="both"/>
        <w:rPr>
          <w:rFonts w:ascii="Times New Roman" w:hAnsi="Times New Roman" w:cs="Times New Roman"/>
        </w:rPr>
      </w:pPr>
      <w:r w:rsidRPr="00030838">
        <w:rPr>
          <w:rFonts w:ascii="Times New Roman" w:hAnsi="Times New Roman" w:cs="Times New Roman"/>
        </w:rPr>
        <w:t>E</w:t>
      </w:r>
      <w:r w:rsidR="00045AA3" w:rsidRPr="00030838">
        <w:rPr>
          <w:rFonts w:ascii="Times New Roman" w:hAnsi="Times New Roman" w:cs="Times New Roman"/>
        </w:rPr>
        <w:t xml:space="preserve">ste </w:t>
      </w:r>
      <w:r w:rsidRPr="00030838">
        <w:rPr>
          <w:rFonts w:ascii="Times New Roman" w:hAnsi="Times New Roman" w:cs="Times New Roman"/>
        </w:rPr>
        <w:t xml:space="preserve">documento presenta </w:t>
      </w:r>
      <w:r w:rsidR="00045AA3" w:rsidRPr="00030838">
        <w:rPr>
          <w:rFonts w:ascii="Times New Roman" w:hAnsi="Times New Roman" w:cs="Times New Roman"/>
        </w:rPr>
        <w:t xml:space="preserve">una aportación </w:t>
      </w:r>
      <w:r w:rsidRPr="00030838">
        <w:rPr>
          <w:rFonts w:ascii="Times New Roman" w:hAnsi="Times New Roman" w:cs="Times New Roman"/>
        </w:rPr>
        <w:t>de Women’s Link World</w:t>
      </w:r>
      <w:r w:rsidR="002532B6" w:rsidRPr="00030838">
        <w:rPr>
          <w:rFonts w:ascii="Times New Roman" w:hAnsi="Times New Roman" w:cs="Times New Roman"/>
        </w:rPr>
        <w:t>wide</w:t>
      </w:r>
      <w:r w:rsidRPr="00030838">
        <w:rPr>
          <w:rFonts w:ascii="Times New Roman" w:hAnsi="Times New Roman" w:cs="Times New Roman"/>
        </w:rPr>
        <w:t xml:space="preserve"> </w:t>
      </w:r>
      <w:r w:rsidR="00983F60" w:rsidRPr="00030838">
        <w:rPr>
          <w:rFonts w:ascii="Times New Roman" w:hAnsi="Times New Roman" w:cs="Times New Roman"/>
        </w:rPr>
        <w:t>(</w:t>
      </w:r>
      <w:hyperlink r:id="rId8" w:history="1">
        <w:r w:rsidR="00983F60" w:rsidRPr="00030838">
          <w:rPr>
            <w:rStyle w:val="Hyperlink"/>
            <w:rFonts w:ascii="Times New Roman" w:hAnsi="Times New Roman" w:cs="Times New Roman"/>
          </w:rPr>
          <w:t>www.womenslinkworldwide.org</w:t>
        </w:r>
      </w:hyperlink>
      <w:r w:rsidR="00983F60" w:rsidRPr="00030838">
        <w:rPr>
          <w:rFonts w:ascii="Times New Roman" w:hAnsi="Times New Roman" w:cs="Times New Roman"/>
        </w:rPr>
        <w:t xml:space="preserve">) </w:t>
      </w:r>
      <w:r w:rsidRPr="00030838">
        <w:rPr>
          <w:rFonts w:ascii="Times New Roman" w:hAnsi="Times New Roman" w:cs="Times New Roman"/>
        </w:rPr>
        <w:t>al borrador de la Observación General No. 36 sobre el</w:t>
      </w:r>
      <w:r w:rsidR="002532B6" w:rsidRPr="00030838">
        <w:rPr>
          <w:rFonts w:ascii="Times New Roman" w:hAnsi="Times New Roman" w:cs="Times New Roman"/>
        </w:rPr>
        <w:t xml:space="preserve"> artículo 6 del Pacto Internacional de Derechos Civiles y Políticos, relativo al</w:t>
      </w:r>
      <w:r w:rsidRPr="00030838">
        <w:rPr>
          <w:rFonts w:ascii="Times New Roman" w:hAnsi="Times New Roman" w:cs="Times New Roman"/>
        </w:rPr>
        <w:t xml:space="preserve"> derecho a la vida. Agradeciendo la oportunidad de </w:t>
      </w:r>
      <w:r w:rsidR="00045AA3" w:rsidRPr="00030838">
        <w:rPr>
          <w:rFonts w:ascii="Times New Roman" w:hAnsi="Times New Roman" w:cs="Times New Roman"/>
        </w:rPr>
        <w:t>remitir</w:t>
      </w:r>
      <w:r w:rsidRPr="00030838">
        <w:rPr>
          <w:rFonts w:ascii="Times New Roman" w:hAnsi="Times New Roman" w:cs="Times New Roman"/>
        </w:rPr>
        <w:t xml:space="preserve"> las </w:t>
      </w:r>
      <w:r w:rsidR="009D289D" w:rsidRPr="00030838">
        <w:rPr>
          <w:rFonts w:ascii="Times New Roman" w:hAnsi="Times New Roman" w:cs="Times New Roman"/>
        </w:rPr>
        <w:t>siguientes</w:t>
      </w:r>
      <w:r w:rsidRPr="00030838">
        <w:rPr>
          <w:rFonts w:ascii="Times New Roman" w:hAnsi="Times New Roman" w:cs="Times New Roman"/>
        </w:rPr>
        <w:t xml:space="preserve"> </w:t>
      </w:r>
      <w:r w:rsidR="009D289D" w:rsidRPr="00030838">
        <w:rPr>
          <w:rFonts w:ascii="Times New Roman" w:hAnsi="Times New Roman" w:cs="Times New Roman"/>
        </w:rPr>
        <w:t>cuestiones</w:t>
      </w:r>
      <w:r w:rsidR="00D029DA">
        <w:rPr>
          <w:rFonts w:ascii="Times New Roman" w:hAnsi="Times New Roman" w:cs="Times New Roman"/>
        </w:rPr>
        <w:t>.</w:t>
      </w:r>
    </w:p>
    <w:p w14:paraId="734E2FE5" w14:textId="77777777" w:rsidR="00F50795" w:rsidRPr="00030838" w:rsidRDefault="00F50795" w:rsidP="00F50795">
      <w:pPr>
        <w:pStyle w:val="ListParagraph"/>
        <w:spacing w:line="276" w:lineRule="auto"/>
        <w:ind w:left="0"/>
        <w:jc w:val="both"/>
        <w:rPr>
          <w:rFonts w:ascii="Times New Roman" w:hAnsi="Times New Roman" w:cs="Times New Roman"/>
        </w:rPr>
      </w:pPr>
    </w:p>
    <w:p w14:paraId="66BD763D" w14:textId="77777777" w:rsidR="006550C7" w:rsidRPr="00030838" w:rsidRDefault="006550C7" w:rsidP="003969DB">
      <w:pPr>
        <w:pStyle w:val="ListParagraph"/>
        <w:spacing w:line="276" w:lineRule="auto"/>
        <w:ind w:left="1068"/>
        <w:jc w:val="both"/>
        <w:rPr>
          <w:rFonts w:ascii="Times New Roman" w:hAnsi="Times New Roman" w:cs="Times New Roman"/>
        </w:rPr>
      </w:pPr>
    </w:p>
    <w:p w14:paraId="0D6DECC9" w14:textId="77777777" w:rsidR="00CF2105" w:rsidRPr="00030838" w:rsidRDefault="00CF2105" w:rsidP="00CF2105">
      <w:pPr>
        <w:spacing w:line="276" w:lineRule="auto"/>
        <w:rPr>
          <w:rFonts w:ascii="Times New Roman" w:hAnsi="Times New Roman" w:cs="Times New Roman"/>
          <w:b/>
        </w:rPr>
      </w:pPr>
      <w:r w:rsidRPr="00030838">
        <w:rPr>
          <w:rFonts w:ascii="Times New Roman" w:hAnsi="Times New Roman" w:cs="Times New Roman"/>
          <w:b/>
        </w:rPr>
        <w:t xml:space="preserve">Introducción </w:t>
      </w:r>
    </w:p>
    <w:p w14:paraId="4D21A0B4" w14:textId="77777777" w:rsidR="00C15F24" w:rsidRPr="00030838" w:rsidRDefault="00C15F24" w:rsidP="00CF2105">
      <w:pPr>
        <w:spacing w:line="276" w:lineRule="auto"/>
        <w:jc w:val="both"/>
        <w:rPr>
          <w:rFonts w:ascii="Times New Roman" w:hAnsi="Times New Roman" w:cs="Times New Roman"/>
        </w:rPr>
      </w:pPr>
    </w:p>
    <w:p w14:paraId="1E1EF063" w14:textId="6D880C88" w:rsidR="00CF2105" w:rsidRPr="00030838" w:rsidRDefault="00800E52" w:rsidP="00CF2105">
      <w:pPr>
        <w:spacing w:line="276" w:lineRule="auto"/>
        <w:jc w:val="both"/>
        <w:rPr>
          <w:rFonts w:ascii="Times New Roman" w:hAnsi="Times New Roman" w:cs="Times New Roman"/>
        </w:rPr>
      </w:pPr>
      <w:r w:rsidRPr="00030838">
        <w:rPr>
          <w:rFonts w:ascii="Times New Roman" w:hAnsi="Times New Roman" w:cs="Times New Roman"/>
        </w:rPr>
        <w:t xml:space="preserve">Women’s Link Worldwide es una Organización Internacional de </w:t>
      </w:r>
      <w:r w:rsidR="007776C9" w:rsidRPr="00030838">
        <w:rPr>
          <w:rFonts w:ascii="Times New Roman" w:hAnsi="Times New Roman" w:cs="Times New Roman"/>
        </w:rPr>
        <w:t>De</w:t>
      </w:r>
      <w:r w:rsidRPr="00030838">
        <w:rPr>
          <w:rFonts w:ascii="Times New Roman" w:hAnsi="Times New Roman" w:cs="Times New Roman"/>
        </w:rPr>
        <w:t xml:space="preserve">rechos </w:t>
      </w:r>
      <w:r w:rsidR="007776C9" w:rsidRPr="00030838">
        <w:rPr>
          <w:rFonts w:ascii="Times New Roman" w:hAnsi="Times New Roman" w:cs="Times New Roman"/>
        </w:rPr>
        <w:t>H</w:t>
      </w:r>
      <w:r w:rsidRPr="00030838">
        <w:rPr>
          <w:rFonts w:ascii="Times New Roman" w:hAnsi="Times New Roman" w:cs="Times New Roman"/>
        </w:rPr>
        <w:t xml:space="preserve">umanos, que utiliza el poder del Derecho para generar un cambio social que permita avanzar los derechos humanos de las mujeres y las niñas, especialmente de aquellas que </w:t>
      </w:r>
      <w:r w:rsidR="007776C9" w:rsidRPr="00030838">
        <w:rPr>
          <w:rFonts w:ascii="Times New Roman" w:hAnsi="Times New Roman" w:cs="Times New Roman"/>
        </w:rPr>
        <w:t xml:space="preserve">enfrentan </w:t>
      </w:r>
      <w:r w:rsidRPr="00030838">
        <w:rPr>
          <w:rFonts w:ascii="Times New Roman" w:hAnsi="Times New Roman" w:cs="Times New Roman"/>
        </w:rPr>
        <w:t>múltiples desigualdades.</w:t>
      </w:r>
      <w:r w:rsidR="00CF2105" w:rsidRPr="00030838">
        <w:rPr>
          <w:rFonts w:ascii="Times New Roman" w:hAnsi="Times New Roman" w:cs="Times New Roman"/>
        </w:rPr>
        <w:t xml:space="preserve"> Nuestro trabajo </w:t>
      </w:r>
      <w:r w:rsidR="006550C7" w:rsidRPr="00030838">
        <w:rPr>
          <w:rFonts w:ascii="Times New Roman" w:hAnsi="Times New Roman" w:cs="Times New Roman"/>
        </w:rPr>
        <w:t>respecto a</w:t>
      </w:r>
      <w:r w:rsidR="00CF2105" w:rsidRPr="00030838">
        <w:rPr>
          <w:rFonts w:ascii="Times New Roman" w:hAnsi="Times New Roman" w:cs="Times New Roman"/>
        </w:rPr>
        <w:t xml:space="preserve"> </w:t>
      </w:r>
      <w:r w:rsidR="007776C9" w:rsidRPr="00030838">
        <w:rPr>
          <w:rFonts w:ascii="Times New Roman" w:hAnsi="Times New Roman" w:cs="Times New Roman"/>
        </w:rPr>
        <w:t xml:space="preserve">los </w:t>
      </w:r>
      <w:r w:rsidR="00CF2105" w:rsidRPr="00030838">
        <w:rPr>
          <w:rFonts w:ascii="Times New Roman" w:hAnsi="Times New Roman" w:cs="Times New Roman"/>
        </w:rPr>
        <w:t xml:space="preserve">derechos sexuales y reproductivos se centra en establecer estándares legales y debates públicos en los que se entienda que el aborto es uno de los muchos servicios de salud reproductiva que necesitan las mujeres en ciertas circunstancias de su vida y que, en línea con diversos instrumentos de derechos humanos, debe ser garantizado por los Estados, como mínimo, cuando la salud o la vida de las mujeres embarazadas </w:t>
      </w:r>
      <w:r w:rsidR="007F5A29" w:rsidRPr="00030838">
        <w:rPr>
          <w:rFonts w:ascii="Times New Roman" w:hAnsi="Times New Roman" w:cs="Times New Roman"/>
        </w:rPr>
        <w:t xml:space="preserve">se encuentre </w:t>
      </w:r>
      <w:r w:rsidR="00CF2105" w:rsidRPr="00030838">
        <w:rPr>
          <w:rFonts w:ascii="Times New Roman" w:hAnsi="Times New Roman" w:cs="Times New Roman"/>
        </w:rPr>
        <w:t xml:space="preserve">en riesgo. De la misma manera, buscamos que </w:t>
      </w:r>
      <w:r w:rsidR="007F5A29" w:rsidRPr="00030838">
        <w:rPr>
          <w:rFonts w:ascii="Times New Roman" w:hAnsi="Times New Roman" w:cs="Times New Roman"/>
        </w:rPr>
        <w:t xml:space="preserve">los Estados, especialmente sus sistemas de salud, garantice </w:t>
      </w:r>
      <w:r w:rsidR="00CF2105" w:rsidRPr="00030838">
        <w:rPr>
          <w:rFonts w:ascii="Times New Roman" w:hAnsi="Times New Roman" w:cs="Times New Roman"/>
        </w:rPr>
        <w:t>a las mujeres su derecho a la maternidad segura, que incluye brindar información</w:t>
      </w:r>
      <w:r w:rsidR="007F5A29" w:rsidRPr="00030838">
        <w:rPr>
          <w:rFonts w:ascii="Times New Roman" w:hAnsi="Times New Roman" w:cs="Times New Roman"/>
        </w:rPr>
        <w:t xml:space="preserve"> oportuna, suficiente y</w:t>
      </w:r>
      <w:r w:rsidR="00CF2105" w:rsidRPr="00030838">
        <w:rPr>
          <w:rFonts w:ascii="Times New Roman" w:hAnsi="Times New Roman" w:cs="Times New Roman"/>
        </w:rPr>
        <w:t xml:space="preserve"> adecuada</w:t>
      </w:r>
      <w:r w:rsidR="007F5A29" w:rsidRPr="00030838">
        <w:rPr>
          <w:rFonts w:ascii="Times New Roman" w:hAnsi="Times New Roman" w:cs="Times New Roman"/>
        </w:rPr>
        <w:t>, así como garantizar</w:t>
      </w:r>
      <w:r w:rsidR="00CF2105" w:rsidRPr="00030838">
        <w:rPr>
          <w:rFonts w:ascii="Times New Roman" w:hAnsi="Times New Roman" w:cs="Times New Roman"/>
        </w:rPr>
        <w:t xml:space="preserve"> servicios </w:t>
      </w:r>
      <w:r w:rsidR="007F5A29" w:rsidRPr="00030838">
        <w:rPr>
          <w:rFonts w:ascii="Times New Roman" w:hAnsi="Times New Roman" w:cs="Times New Roman"/>
        </w:rPr>
        <w:t xml:space="preserve">médicos integrales y obstétricos y </w:t>
      </w:r>
      <w:r w:rsidR="00CF2105" w:rsidRPr="00030838">
        <w:rPr>
          <w:rFonts w:ascii="Times New Roman" w:hAnsi="Times New Roman" w:cs="Times New Roman"/>
        </w:rPr>
        <w:t>de calidad durante el embarazo, el parto y el posparto</w:t>
      </w:r>
      <w:r w:rsidR="007F5A29" w:rsidRPr="00030838">
        <w:rPr>
          <w:rFonts w:ascii="Times New Roman" w:hAnsi="Times New Roman" w:cs="Times New Roman"/>
        </w:rPr>
        <w:t xml:space="preserve">, con la finalidad de recibir el mayor nivel de salud posible, que incluye el derecho al ejercicio de la autonomía durante todo el proceso tanto si decide continuar con su embarazo como si </w:t>
      </w:r>
      <w:r w:rsidR="00A312D1" w:rsidRPr="00030838">
        <w:rPr>
          <w:rFonts w:ascii="Times New Roman" w:hAnsi="Times New Roman" w:cs="Times New Roman"/>
        </w:rPr>
        <w:t xml:space="preserve">opta por interrumpirlo. </w:t>
      </w:r>
    </w:p>
    <w:p w14:paraId="23F8B506" w14:textId="77777777" w:rsidR="00CF2105" w:rsidRPr="00030838" w:rsidRDefault="00CF2105" w:rsidP="00CF2105">
      <w:pPr>
        <w:spacing w:line="276" w:lineRule="auto"/>
        <w:jc w:val="both"/>
        <w:rPr>
          <w:rFonts w:ascii="Times New Roman" w:hAnsi="Times New Roman" w:cs="Times New Roman"/>
        </w:rPr>
      </w:pPr>
    </w:p>
    <w:p w14:paraId="16BC2200" w14:textId="10087096" w:rsidR="00A312D1" w:rsidRPr="00030838" w:rsidRDefault="00800E52" w:rsidP="0015604D">
      <w:pPr>
        <w:spacing w:line="276" w:lineRule="auto"/>
        <w:jc w:val="both"/>
        <w:rPr>
          <w:rFonts w:ascii="Times New Roman" w:hAnsi="Times New Roman" w:cs="Times New Roman"/>
        </w:rPr>
      </w:pPr>
      <w:r w:rsidRPr="00030838">
        <w:rPr>
          <w:rFonts w:ascii="Times New Roman" w:hAnsi="Times New Roman" w:cs="Times New Roman"/>
        </w:rPr>
        <w:t>En atención a la convocatoria del Comité de Derechos Humanos de las Naciones Unidas</w:t>
      </w:r>
      <w:r w:rsidR="00F3278E" w:rsidRPr="00030838">
        <w:rPr>
          <w:rFonts w:ascii="Times New Roman" w:hAnsi="Times New Roman" w:cs="Times New Roman"/>
        </w:rPr>
        <w:t xml:space="preserve"> </w:t>
      </w:r>
      <w:r w:rsidR="00A312D1" w:rsidRPr="00030838">
        <w:rPr>
          <w:rFonts w:ascii="Times New Roman" w:hAnsi="Times New Roman" w:cs="Times New Roman"/>
        </w:rPr>
        <w:t xml:space="preserve">(CDH), </w:t>
      </w:r>
      <w:r w:rsidR="00005779" w:rsidRPr="00030838">
        <w:rPr>
          <w:rFonts w:ascii="Times New Roman" w:hAnsi="Times New Roman" w:cs="Times New Roman"/>
        </w:rPr>
        <w:t>Women’s Link</w:t>
      </w:r>
      <w:r w:rsidR="00F3278E" w:rsidRPr="00030838">
        <w:rPr>
          <w:rFonts w:ascii="Times New Roman" w:hAnsi="Times New Roman" w:cs="Times New Roman"/>
        </w:rPr>
        <w:t xml:space="preserve"> tiene </w:t>
      </w:r>
      <w:r w:rsidR="00A312D1" w:rsidRPr="00030838">
        <w:rPr>
          <w:rFonts w:ascii="Times New Roman" w:hAnsi="Times New Roman" w:cs="Times New Roman"/>
        </w:rPr>
        <w:t xml:space="preserve">el honor de presentar </w:t>
      </w:r>
      <w:r w:rsidR="00005779" w:rsidRPr="00030838">
        <w:rPr>
          <w:rFonts w:ascii="Times New Roman" w:hAnsi="Times New Roman" w:cs="Times New Roman"/>
        </w:rPr>
        <w:t xml:space="preserve">una </w:t>
      </w:r>
      <w:r w:rsidR="00A312D1" w:rsidRPr="00030838">
        <w:rPr>
          <w:rFonts w:ascii="Times New Roman" w:hAnsi="Times New Roman" w:cs="Times New Roman"/>
        </w:rPr>
        <w:t xml:space="preserve">contribución que esperamos pueda </w:t>
      </w:r>
      <w:r w:rsidR="00005779" w:rsidRPr="00030838">
        <w:rPr>
          <w:rFonts w:ascii="Times New Roman" w:hAnsi="Times New Roman" w:cs="Times New Roman"/>
        </w:rPr>
        <w:t xml:space="preserve">ser valorada </w:t>
      </w:r>
      <w:r w:rsidR="00A312D1" w:rsidRPr="00030838">
        <w:rPr>
          <w:rFonts w:ascii="Times New Roman" w:hAnsi="Times New Roman" w:cs="Times New Roman"/>
        </w:rPr>
        <w:t xml:space="preserve">y aportar a la </w:t>
      </w:r>
      <w:r w:rsidR="00005779" w:rsidRPr="00030838">
        <w:rPr>
          <w:rFonts w:ascii="Times New Roman" w:hAnsi="Times New Roman" w:cs="Times New Roman"/>
        </w:rPr>
        <w:t>discusión</w:t>
      </w:r>
      <w:r w:rsidR="00A312D1" w:rsidRPr="00030838">
        <w:rPr>
          <w:rFonts w:ascii="Times New Roman" w:hAnsi="Times New Roman" w:cs="Times New Roman"/>
        </w:rPr>
        <w:t xml:space="preserve"> y elaboración de la interpretación s</w:t>
      </w:r>
      <w:r w:rsidR="00005779" w:rsidRPr="00030838">
        <w:rPr>
          <w:rFonts w:ascii="Times New Roman" w:hAnsi="Times New Roman" w:cs="Times New Roman"/>
        </w:rPr>
        <w:t xml:space="preserve">obre el artículo 6 del Pacto </w:t>
      </w:r>
      <w:r w:rsidR="00A312D1" w:rsidRPr="00030838">
        <w:rPr>
          <w:rFonts w:ascii="Times New Roman" w:hAnsi="Times New Roman" w:cs="Times New Roman"/>
        </w:rPr>
        <w:t xml:space="preserve">que supervisa este Comité. </w:t>
      </w:r>
    </w:p>
    <w:p w14:paraId="6D24BE3E" w14:textId="77777777" w:rsidR="00A312D1" w:rsidRPr="00030838" w:rsidRDefault="00A312D1" w:rsidP="0015604D">
      <w:pPr>
        <w:spacing w:line="276" w:lineRule="auto"/>
        <w:jc w:val="both"/>
        <w:rPr>
          <w:rFonts w:ascii="Times New Roman" w:hAnsi="Times New Roman" w:cs="Times New Roman"/>
        </w:rPr>
      </w:pPr>
    </w:p>
    <w:p w14:paraId="17455D5B" w14:textId="74C0EA13" w:rsidR="0015604D" w:rsidRPr="00030838" w:rsidRDefault="0015604D" w:rsidP="0015604D">
      <w:pPr>
        <w:spacing w:line="276" w:lineRule="auto"/>
        <w:jc w:val="both"/>
        <w:rPr>
          <w:rFonts w:ascii="Times New Roman" w:hAnsi="Times New Roman" w:cs="Times New Roman"/>
        </w:rPr>
      </w:pPr>
      <w:r w:rsidRPr="00030838">
        <w:rPr>
          <w:rFonts w:ascii="Times New Roman" w:hAnsi="Times New Roman" w:cs="Times New Roman"/>
        </w:rPr>
        <w:t xml:space="preserve">La presente </w:t>
      </w:r>
      <w:r w:rsidR="00A312D1" w:rsidRPr="00030838">
        <w:rPr>
          <w:rFonts w:ascii="Times New Roman" w:hAnsi="Times New Roman" w:cs="Times New Roman"/>
        </w:rPr>
        <w:t>aportación</w:t>
      </w:r>
      <w:r w:rsidRPr="00030838">
        <w:rPr>
          <w:rFonts w:ascii="Times New Roman" w:hAnsi="Times New Roman" w:cs="Times New Roman"/>
        </w:rPr>
        <w:t xml:space="preserve">, </w:t>
      </w:r>
      <w:r w:rsidR="006550C7" w:rsidRPr="00030838">
        <w:rPr>
          <w:rFonts w:ascii="Times New Roman" w:hAnsi="Times New Roman" w:cs="Times New Roman"/>
        </w:rPr>
        <w:t xml:space="preserve">se </w:t>
      </w:r>
      <w:r w:rsidR="00A312D1" w:rsidRPr="00030838">
        <w:rPr>
          <w:rFonts w:ascii="Times New Roman" w:hAnsi="Times New Roman" w:cs="Times New Roman"/>
        </w:rPr>
        <w:t xml:space="preserve">referirá específicamente a los numerales </w:t>
      </w:r>
      <w:r w:rsidR="003969DB" w:rsidRPr="00030838">
        <w:rPr>
          <w:rFonts w:ascii="Times New Roman" w:hAnsi="Times New Roman" w:cs="Times New Roman"/>
        </w:rPr>
        <w:t xml:space="preserve">3 y 9 del </w:t>
      </w:r>
      <w:r w:rsidR="00A312D1" w:rsidRPr="00030838">
        <w:rPr>
          <w:rFonts w:ascii="Times New Roman" w:hAnsi="Times New Roman" w:cs="Times New Roman"/>
        </w:rPr>
        <w:t>actual borrador</w:t>
      </w:r>
      <w:r w:rsidR="003969DB" w:rsidRPr="00030838">
        <w:rPr>
          <w:rFonts w:ascii="Times New Roman" w:hAnsi="Times New Roman" w:cs="Times New Roman"/>
        </w:rPr>
        <w:t>,</w:t>
      </w:r>
      <w:r w:rsidRPr="00030838">
        <w:rPr>
          <w:rFonts w:ascii="Times New Roman" w:hAnsi="Times New Roman" w:cs="Times New Roman"/>
        </w:rPr>
        <w:t xml:space="preserve"> centrándonos en la interpretación del derecho a la vida</w:t>
      </w:r>
      <w:r w:rsidR="00A312D1" w:rsidRPr="00030838">
        <w:rPr>
          <w:rFonts w:ascii="Times New Roman" w:hAnsi="Times New Roman" w:cs="Times New Roman"/>
        </w:rPr>
        <w:t>, especialmente en contextos altamente restrictivos respecto del acceso de las mujeres y las niñas a servicios de aborto; a</w:t>
      </w:r>
      <w:r w:rsidRPr="00030838">
        <w:rPr>
          <w:rFonts w:ascii="Times New Roman" w:hAnsi="Times New Roman" w:cs="Times New Roman"/>
        </w:rPr>
        <w:t xml:space="preserve">sí como las obligaciones para los Estados que devienen </w:t>
      </w:r>
      <w:r w:rsidR="00A312D1" w:rsidRPr="00030838">
        <w:rPr>
          <w:rFonts w:ascii="Times New Roman" w:hAnsi="Times New Roman" w:cs="Times New Roman"/>
        </w:rPr>
        <w:t xml:space="preserve">directamente </w:t>
      </w:r>
      <w:r w:rsidRPr="00030838">
        <w:rPr>
          <w:rFonts w:ascii="Times New Roman" w:hAnsi="Times New Roman" w:cs="Times New Roman"/>
        </w:rPr>
        <w:t>de la p</w:t>
      </w:r>
      <w:r w:rsidR="004D3E3D" w:rsidRPr="00030838">
        <w:rPr>
          <w:rFonts w:ascii="Times New Roman" w:hAnsi="Times New Roman" w:cs="Times New Roman"/>
        </w:rPr>
        <w:t xml:space="preserve">rotección del derecho a la vida, a </w:t>
      </w:r>
      <w:r w:rsidRPr="00030838">
        <w:rPr>
          <w:rFonts w:ascii="Times New Roman" w:hAnsi="Times New Roman" w:cs="Times New Roman"/>
        </w:rPr>
        <w:t xml:space="preserve">partir de los estándares internacionales, interamericanos y de derecho comparado </w:t>
      </w:r>
      <w:r w:rsidR="004D3E3D" w:rsidRPr="00030838">
        <w:rPr>
          <w:rFonts w:ascii="Times New Roman" w:hAnsi="Times New Roman" w:cs="Times New Roman"/>
        </w:rPr>
        <w:t>en el tema</w:t>
      </w:r>
      <w:r w:rsidRPr="00030838">
        <w:rPr>
          <w:rFonts w:ascii="Times New Roman" w:hAnsi="Times New Roman" w:cs="Times New Roman"/>
        </w:rPr>
        <w:t>.</w:t>
      </w:r>
    </w:p>
    <w:p w14:paraId="5B1B2C0C" w14:textId="77777777" w:rsidR="00CF2105" w:rsidRPr="00030838" w:rsidRDefault="00CF2105" w:rsidP="00CF2105">
      <w:pPr>
        <w:spacing w:line="276" w:lineRule="auto"/>
        <w:jc w:val="both"/>
        <w:rPr>
          <w:rFonts w:ascii="Times New Roman" w:hAnsi="Times New Roman" w:cs="Times New Roman"/>
          <w:b/>
        </w:rPr>
      </w:pPr>
    </w:p>
    <w:p w14:paraId="3C75A6D8" w14:textId="5F7EAAD2" w:rsidR="00AF300A" w:rsidRPr="00030838" w:rsidRDefault="00AF300A" w:rsidP="000A0839">
      <w:pPr>
        <w:pStyle w:val="Heading1"/>
        <w:numPr>
          <w:ilvl w:val="0"/>
          <w:numId w:val="9"/>
        </w:numPr>
        <w:spacing w:before="0" w:line="276" w:lineRule="auto"/>
        <w:rPr>
          <w:rFonts w:ascii="Times New Roman" w:eastAsiaTheme="minorEastAsia" w:hAnsi="Times New Roman" w:cs="Times New Roman"/>
          <w:sz w:val="22"/>
          <w:szCs w:val="22"/>
        </w:rPr>
      </w:pPr>
      <w:r w:rsidRPr="00030838">
        <w:rPr>
          <w:rFonts w:ascii="Times New Roman" w:eastAsiaTheme="minorEastAsia" w:hAnsi="Times New Roman" w:cs="Times New Roman"/>
          <w:sz w:val="22"/>
          <w:szCs w:val="22"/>
        </w:rPr>
        <w:t>Consideraciones frente a la redacción del numeral 3</w:t>
      </w:r>
    </w:p>
    <w:p w14:paraId="0FCEFD54" w14:textId="77777777" w:rsidR="0026153C" w:rsidRDefault="0026153C" w:rsidP="00AF300A">
      <w:pPr>
        <w:jc w:val="both"/>
        <w:rPr>
          <w:rFonts w:ascii="Times New Roman" w:hAnsi="Times New Roman" w:cs="Times New Roman"/>
        </w:rPr>
      </w:pPr>
    </w:p>
    <w:p w14:paraId="4BB5AB2B" w14:textId="59359B80" w:rsidR="00AF300A" w:rsidRPr="00030838" w:rsidRDefault="001D48B3" w:rsidP="00C771C7">
      <w:pPr>
        <w:suppressAutoHyphens/>
        <w:spacing w:line="276" w:lineRule="auto"/>
        <w:ind w:left="-76"/>
        <w:contextualSpacing/>
        <w:jc w:val="both"/>
        <w:rPr>
          <w:rFonts w:ascii="Times New Roman" w:hAnsi="Times New Roman" w:cs="Times New Roman"/>
        </w:rPr>
      </w:pPr>
      <w:r w:rsidRPr="00030838">
        <w:rPr>
          <w:rFonts w:ascii="Times New Roman" w:hAnsi="Times New Roman" w:cs="Times New Roman"/>
        </w:rPr>
        <w:t>Creemos</w:t>
      </w:r>
      <w:r w:rsidR="0087055A" w:rsidRPr="00030838">
        <w:rPr>
          <w:rFonts w:ascii="Times New Roman" w:hAnsi="Times New Roman" w:cs="Times New Roman"/>
        </w:rPr>
        <w:t xml:space="preserve"> adecuada la redacción del numeral 3 del borrador, en la cual se establece: </w:t>
      </w:r>
      <w:r w:rsidR="0087055A" w:rsidRPr="0026153C">
        <w:rPr>
          <w:rFonts w:ascii="Times New Roman" w:hAnsi="Times New Roman" w:cs="Times New Roman"/>
        </w:rPr>
        <w:t>“</w:t>
      </w:r>
      <w:r w:rsidR="00AF300A" w:rsidRPr="0026153C">
        <w:rPr>
          <w:rFonts w:ascii="Times New Roman" w:hAnsi="Times New Roman" w:cs="Times New Roman"/>
          <w:i/>
        </w:rPr>
        <w:t>3. El derecho a la vida no debe interpretarse en sentido restrictivo. Se refiere al derecho de las personas a no ser objeto de actos u omisiones cuya intención o expectativa sea causar su muerte prematura o no natural, así como a disfrutar de una vida con dignidad. El artículo 6 garantiza este derecho a todos los seres humanos, sin distinción de ninguna clase, incluidas las personas sospechosas o condenadas por los delitos más graves</w:t>
      </w:r>
      <w:r w:rsidR="0026153C">
        <w:rPr>
          <w:rFonts w:ascii="Times New Roman" w:hAnsi="Times New Roman" w:cs="Times New Roman"/>
        </w:rPr>
        <w:t>”.</w:t>
      </w:r>
    </w:p>
    <w:p w14:paraId="13746837" w14:textId="7C835E7A" w:rsidR="00AF300A" w:rsidRPr="00030838" w:rsidRDefault="0087055A" w:rsidP="00732BEC">
      <w:pPr>
        <w:suppressAutoHyphens/>
        <w:spacing w:line="276" w:lineRule="auto"/>
        <w:ind w:left="-76"/>
        <w:contextualSpacing/>
        <w:jc w:val="both"/>
        <w:rPr>
          <w:rFonts w:ascii="Times New Roman" w:hAnsi="Times New Roman" w:cs="Times New Roman"/>
        </w:rPr>
      </w:pPr>
      <w:r w:rsidRPr="00030838">
        <w:rPr>
          <w:rFonts w:ascii="Times New Roman" w:hAnsi="Times New Roman" w:cs="Times New Roman"/>
        </w:rPr>
        <w:lastRenderedPageBreak/>
        <w:t xml:space="preserve">Sin embargo, </w:t>
      </w:r>
      <w:r w:rsidR="00030838">
        <w:rPr>
          <w:rFonts w:ascii="Times New Roman" w:hAnsi="Times New Roman" w:cs="Times New Roman"/>
        </w:rPr>
        <w:t>encontramos</w:t>
      </w:r>
      <w:r w:rsidRPr="00030838">
        <w:rPr>
          <w:rFonts w:ascii="Times New Roman" w:hAnsi="Times New Roman" w:cs="Times New Roman"/>
        </w:rPr>
        <w:t xml:space="preserve"> </w:t>
      </w:r>
      <w:r w:rsidR="00C771C7" w:rsidRPr="00030838">
        <w:rPr>
          <w:rFonts w:ascii="Times New Roman" w:hAnsi="Times New Roman" w:cs="Times New Roman"/>
        </w:rPr>
        <w:t>oportuno</w:t>
      </w:r>
      <w:r w:rsidRPr="00030838">
        <w:rPr>
          <w:rFonts w:ascii="Times New Roman" w:hAnsi="Times New Roman" w:cs="Times New Roman"/>
        </w:rPr>
        <w:t xml:space="preserve"> que se introduzca una mayor referencia a lo que se entiende </w:t>
      </w:r>
      <w:r w:rsidR="00A312D1" w:rsidRPr="00030838">
        <w:rPr>
          <w:rFonts w:ascii="Times New Roman" w:hAnsi="Times New Roman" w:cs="Times New Roman"/>
        </w:rPr>
        <w:t xml:space="preserve">por protección del derecho a la vida </w:t>
      </w:r>
      <w:r w:rsidRPr="00030838">
        <w:rPr>
          <w:rFonts w:ascii="Times New Roman" w:hAnsi="Times New Roman" w:cs="Times New Roman"/>
        </w:rPr>
        <w:t>como “</w:t>
      </w:r>
      <w:r w:rsidRPr="00030838">
        <w:rPr>
          <w:rFonts w:ascii="Times New Roman" w:hAnsi="Times New Roman" w:cs="Times New Roman"/>
          <w:i/>
        </w:rPr>
        <w:t>vida con dignidad”</w:t>
      </w:r>
      <w:r w:rsidR="00A312D1" w:rsidRPr="00030838">
        <w:rPr>
          <w:rFonts w:ascii="Times New Roman" w:hAnsi="Times New Roman" w:cs="Times New Roman"/>
          <w:i/>
        </w:rPr>
        <w:t xml:space="preserve"> ó “vida digna”</w:t>
      </w:r>
      <w:r w:rsidR="00A312D1" w:rsidRPr="00030838">
        <w:rPr>
          <w:rFonts w:ascii="Times New Roman" w:hAnsi="Times New Roman" w:cs="Times New Roman"/>
        </w:rPr>
        <w:t>, concepto</w:t>
      </w:r>
      <w:r w:rsidR="00030838">
        <w:rPr>
          <w:rFonts w:ascii="Times New Roman" w:hAnsi="Times New Roman" w:cs="Times New Roman"/>
        </w:rPr>
        <w:t xml:space="preserve"> ampliamente reconocido por el Sistema U</w:t>
      </w:r>
      <w:r w:rsidR="00A312D1" w:rsidRPr="00030838">
        <w:rPr>
          <w:rFonts w:ascii="Times New Roman" w:hAnsi="Times New Roman" w:cs="Times New Roman"/>
        </w:rPr>
        <w:t xml:space="preserve">niversal de </w:t>
      </w:r>
      <w:r w:rsidR="00030838">
        <w:rPr>
          <w:rFonts w:ascii="Times New Roman" w:hAnsi="Times New Roman" w:cs="Times New Roman"/>
        </w:rPr>
        <w:t xml:space="preserve">protección de los </w:t>
      </w:r>
      <w:r w:rsidR="00A312D1" w:rsidRPr="00030838">
        <w:rPr>
          <w:rFonts w:ascii="Times New Roman" w:hAnsi="Times New Roman" w:cs="Times New Roman"/>
        </w:rPr>
        <w:t>derechos humanos</w:t>
      </w:r>
      <w:r w:rsidRPr="00030838">
        <w:rPr>
          <w:rFonts w:ascii="Times New Roman" w:hAnsi="Times New Roman" w:cs="Times New Roman"/>
        </w:rPr>
        <w:t xml:space="preserve">. En ese sentido, </w:t>
      </w:r>
      <w:r w:rsidR="00AF300A" w:rsidRPr="00030838">
        <w:rPr>
          <w:rFonts w:ascii="Times New Roman" w:hAnsi="Times New Roman" w:cs="Times New Roman"/>
        </w:rPr>
        <w:t xml:space="preserve"> el derecho a la vida refiere al deber de garantizar las condiciones de existencia de los seres humanos: materiales, culturales, sociales y espirituales</w:t>
      </w:r>
      <w:r w:rsidR="00AF300A" w:rsidRPr="00030838">
        <w:rPr>
          <w:rFonts w:ascii="Times New Roman" w:hAnsi="Times New Roman" w:cs="Times New Roman"/>
          <w:vertAlign w:val="superscript"/>
        </w:rPr>
        <w:footnoteReference w:id="1"/>
      </w:r>
      <w:r w:rsidRPr="00030838">
        <w:rPr>
          <w:rFonts w:ascii="Times New Roman" w:hAnsi="Times New Roman" w:cs="Times New Roman"/>
        </w:rPr>
        <w:t>, y p</w:t>
      </w:r>
      <w:r w:rsidR="00AF300A" w:rsidRPr="00030838">
        <w:rPr>
          <w:rFonts w:ascii="Times New Roman" w:hAnsi="Times New Roman" w:cs="Times New Roman"/>
        </w:rPr>
        <w:t xml:space="preserve">or tanto, comprende no sólo el derecho de todo ser humano </w:t>
      </w:r>
      <w:r w:rsidR="008470AE" w:rsidRPr="00030838">
        <w:rPr>
          <w:rFonts w:ascii="Times New Roman" w:hAnsi="Times New Roman" w:cs="Times New Roman"/>
        </w:rPr>
        <w:t xml:space="preserve">a </w:t>
      </w:r>
      <w:r w:rsidR="00AF300A" w:rsidRPr="00030838">
        <w:rPr>
          <w:rFonts w:ascii="Times New Roman" w:hAnsi="Times New Roman" w:cs="Times New Roman"/>
        </w:rPr>
        <w:t>no ser privado de la vida arbitrariamente, sino también el derecho a que no se le impida el acceso a las condiciones que le garanticen una existencia digna</w:t>
      </w:r>
      <w:r w:rsidR="00AF300A" w:rsidRPr="00030838">
        <w:rPr>
          <w:rFonts w:ascii="Times New Roman" w:hAnsi="Times New Roman" w:cs="Times New Roman"/>
          <w:vertAlign w:val="superscript"/>
        </w:rPr>
        <w:footnoteReference w:id="2"/>
      </w:r>
      <w:r w:rsidRPr="00030838">
        <w:rPr>
          <w:rFonts w:ascii="Times New Roman" w:hAnsi="Times New Roman" w:cs="Times New Roman"/>
        </w:rPr>
        <w:t>, como ha sido reconocido por</w:t>
      </w:r>
      <w:r w:rsidR="00AF300A" w:rsidRPr="00030838">
        <w:rPr>
          <w:rFonts w:ascii="Times New Roman" w:hAnsi="Times New Roman" w:cs="Times New Roman"/>
        </w:rPr>
        <w:t xml:space="preserve"> múltiples i</w:t>
      </w:r>
      <w:r w:rsidRPr="00030838">
        <w:rPr>
          <w:rFonts w:ascii="Times New Roman" w:hAnsi="Times New Roman" w:cs="Times New Roman"/>
        </w:rPr>
        <w:t xml:space="preserve">nstancias internacionales y </w:t>
      </w:r>
      <w:r w:rsidR="00AF300A" w:rsidRPr="00030838">
        <w:rPr>
          <w:rFonts w:ascii="Times New Roman" w:hAnsi="Times New Roman" w:cs="Times New Roman"/>
        </w:rPr>
        <w:t>altos tribunale</w:t>
      </w:r>
      <w:r w:rsidRPr="00030838">
        <w:rPr>
          <w:rFonts w:ascii="Times New Roman" w:hAnsi="Times New Roman" w:cs="Times New Roman"/>
        </w:rPr>
        <w:t>s de la región latinoamericana</w:t>
      </w:r>
      <w:r w:rsidRPr="00030838">
        <w:rPr>
          <w:rStyle w:val="FootnoteReference"/>
          <w:rFonts w:ascii="Times New Roman" w:hAnsi="Times New Roman" w:cs="Times New Roman"/>
        </w:rPr>
        <w:footnoteReference w:id="3"/>
      </w:r>
      <w:r w:rsidRPr="00030838">
        <w:rPr>
          <w:rFonts w:ascii="Times New Roman" w:hAnsi="Times New Roman" w:cs="Times New Roman"/>
        </w:rPr>
        <w:t>, según los cuales</w:t>
      </w:r>
      <w:r w:rsidR="00AF300A" w:rsidRPr="00030838">
        <w:rPr>
          <w:rFonts w:ascii="Times New Roman" w:hAnsi="Times New Roman" w:cs="Times New Roman"/>
        </w:rPr>
        <w:t xml:space="preserve"> la </w:t>
      </w:r>
      <w:r w:rsidR="008470AE" w:rsidRPr="00030838">
        <w:rPr>
          <w:rFonts w:ascii="Times New Roman" w:hAnsi="Times New Roman" w:cs="Times New Roman"/>
        </w:rPr>
        <w:t>“</w:t>
      </w:r>
      <w:r w:rsidR="00AF300A" w:rsidRPr="00030838">
        <w:rPr>
          <w:rFonts w:ascii="Times New Roman" w:hAnsi="Times New Roman" w:cs="Times New Roman"/>
        </w:rPr>
        <w:t>vida</w:t>
      </w:r>
      <w:r w:rsidR="008470AE" w:rsidRPr="00030838">
        <w:rPr>
          <w:rFonts w:ascii="Times New Roman" w:hAnsi="Times New Roman" w:cs="Times New Roman"/>
        </w:rPr>
        <w:t>”</w:t>
      </w:r>
      <w:r w:rsidR="00AF300A" w:rsidRPr="00030838">
        <w:rPr>
          <w:rFonts w:ascii="Times New Roman" w:hAnsi="Times New Roman" w:cs="Times New Roman"/>
        </w:rPr>
        <w:t xml:space="preserve"> comprende tres dimensiones interrelacionadas: </w:t>
      </w:r>
    </w:p>
    <w:p w14:paraId="73CEC66A" w14:textId="77777777" w:rsidR="00732BEC" w:rsidRPr="00030838" w:rsidRDefault="00732BEC" w:rsidP="00732BEC">
      <w:pPr>
        <w:suppressAutoHyphens/>
        <w:spacing w:line="276" w:lineRule="auto"/>
        <w:ind w:left="-76"/>
        <w:contextualSpacing/>
        <w:jc w:val="both"/>
        <w:rPr>
          <w:rFonts w:ascii="Times New Roman" w:hAnsi="Times New Roman" w:cs="Times New Roman"/>
        </w:rPr>
      </w:pPr>
    </w:p>
    <w:p w14:paraId="5E9ED8CD" w14:textId="77777777" w:rsidR="00AF300A" w:rsidRPr="00030838" w:rsidRDefault="00AF300A" w:rsidP="00732BEC">
      <w:pPr>
        <w:pStyle w:val="ListParagraph"/>
        <w:numPr>
          <w:ilvl w:val="0"/>
          <w:numId w:val="3"/>
        </w:numPr>
        <w:suppressAutoHyphens/>
        <w:spacing w:line="276" w:lineRule="auto"/>
        <w:jc w:val="both"/>
        <w:rPr>
          <w:rFonts w:ascii="Times New Roman" w:hAnsi="Times New Roman" w:cs="Times New Roman"/>
          <w:b/>
        </w:rPr>
      </w:pPr>
      <w:r w:rsidRPr="00030838">
        <w:rPr>
          <w:rFonts w:ascii="Times New Roman" w:hAnsi="Times New Roman" w:cs="Times New Roman"/>
        </w:rPr>
        <w:t xml:space="preserve">La autonomía o posibilidad de construir un proyecto de vida y determinar sus características: </w:t>
      </w:r>
      <w:r w:rsidRPr="00030838">
        <w:rPr>
          <w:rFonts w:ascii="Times New Roman" w:hAnsi="Times New Roman" w:cs="Times New Roman"/>
          <w:b/>
        </w:rPr>
        <w:t xml:space="preserve">vivir como se quiere. </w:t>
      </w:r>
    </w:p>
    <w:p w14:paraId="0EF019E6" w14:textId="77777777" w:rsidR="00AF300A" w:rsidRPr="00030838" w:rsidRDefault="00AF300A" w:rsidP="00732BEC">
      <w:pPr>
        <w:pStyle w:val="ListParagraph"/>
        <w:numPr>
          <w:ilvl w:val="0"/>
          <w:numId w:val="3"/>
        </w:numPr>
        <w:suppressAutoHyphens/>
        <w:spacing w:line="276" w:lineRule="auto"/>
        <w:jc w:val="both"/>
        <w:rPr>
          <w:rFonts w:ascii="Times New Roman" w:hAnsi="Times New Roman" w:cs="Times New Roman"/>
          <w:b/>
        </w:rPr>
      </w:pPr>
      <w:r w:rsidRPr="00030838">
        <w:rPr>
          <w:rFonts w:ascii="Times New Roman" w:hAnsi="Times New Roman" w:cs="Times New Roman"/>
        </w:rPr>
        <w:t xml:space="preserve">Ciertas condiciones materiales concretas de existencia: </w:t>
      </w:r>
      <w:r w:rsidRPr="00030838">
        <w:rPr>
          <w:rFonts w:ascii="Times New Roman" w:hAnsi="Times New Roman" w:cs="Times New Roman"/>
          <w:b/>
        </w:rPr>
        <w:t xml:space="preserve">vivir bien. </w:t>
      </w:r>
    </w:p>
    <w:p w14:paraId="2C1E55D6" w14:textId="2BE24262" w:rsidR="00732BEC" w:rsidRPr="00030838" w:rsidRDefault="00AF300A" w:rsidP="00732BEC">
      <w:pPr>
        <w:pStyle w:val="ListParagraph"/>
        <w:numPr>
          <w:ilvl w:val="0"/>
          <w:numId w:val="3"/>
        </w:numPr>
        <w:suppressAutoHyphens/>
        <w:spacing w:line="276" w:lineRule="auto"/>
        <w:jc w:val="both"/>
        <w:rPr>
          <w:rFonts w:ascii="Times New Roman" w:hAnsi="Times New Roman" w:cs="Times New Roman"/>
          <w:b/>
        </w:rPr>
      </w:pPr>
      <w:r w:rsidRPr="00030838">
        <w:rPr>
          <w:rFonts w:ascii="Times New Roman" w:hAnsi="Times New Roman" w:cs="Times New Roman"/>
        </w:rPr>
        <w:t xml:space="preserve">La intangibilidad de los bienes no patrimoniales, integridad física e integridad moral: </w:t>
      </w:r>
      <w:r w:rsidRPr="00030838">
        <w:rPr>
          <w:rFonts w:ascii="Times New Roman" w:hAnsi="Times New Roman" w:cs="Times New Roman"/>
          <w:b/>
        </w:rPr>
        <w:t>vivir sin humillaciones</w:t>
      </w:r>
      <w:r w:rsidRPr="00030838">
        <w:rPr>
          <w:rFonts w:ascii="Times New Roman" w:hAnsi="Times New Roman" w:cs="Times New Roman"/>
          <w:vertAlign w:val="superscript"/>
        </w:rPr>
        <w:footnoteReference w:id="4"/>
      </w:r>
      <w:r w:rsidR="00030838">
        <w:rPr>
          <w:rFonts w:ascii="Times New Roman" w:hAnsi="Times New Roman" w:cs="Times New Roman"/>
          <w:b/>
        </w:rPr>
        <w:t>.</w:t>
      </w:r>
    </w:p>
    <w:p w14:paraId="22CFBEF2" w14:textId="77777777" w:rsidR="00732BEC" w:rsidRPr="00030838" w:rsidRDefault="00732BEC" w:rsidP="00732BEC">
      <w:pPr>
        <w:pStyle w:val="ListParagraph"/>
        <w:suppressAutoHyphens/>
        <w:spacing w:after="120" w:line="276" w:lineRule="auto"/>
        <w:ind w:left="0"/>
        <w:jc w:val="both"/>
        <w:rPr>
          <w:rFonts w:ascii="Times New Roman" w:hAnsi="Times New Roman" w:cs="Times New Roman"/>
          <w:b/>
        </w:rPr>
      </w:pPr>
    </w:p>
    <w:p w14:paraId="1E217264" w14:textId="47825495" w:rsidR="008470AE" w:rsidRPr="00030838" w:rsidRDefault="008470AE" w:rsidP="00732BEC">
      <w:pPr>
        <w:pStyle w:val="ListParagraph"/>
        <w:suppressAutoHyphens/>
        <w:spacing w:after="120" w:line="276" w:lineRule="auto"/>
        <w:ind w:left="0"/>
        <w:jc w:val="both"/>
        <w:rPr>
          <w:rFonts w:ascii="Times New Roman" w:hAnsi="Times New Roman" w:cs="Times New Roman"/>
        </w:rPr>
      </w:pPr>
      <w:r w:rsidRPr="00030838">
        <w:rPr>
          <w:rFonts w:ascii="Times New Roman" w:hAnsi="Times New Roman" w:cs="Times New Roman"/>
        </w:rPr>
        <w:t>En este sentido,</w:t>
      </w:r>
      <w:r w:rsidR="00732BEC" w:rsidRPr="00030838">
        <w:rPr>
          <w:rFonts w:ascii="Times New Roman" w:hAnsi="Times New Roman" w:cs="Times New Roman"/>
        </w:rPr>
        <w:t xml:space="preserve"> existe una relación directa entre este derecho y el derecho humano </w:t>
      </w:r>
      <w:r w:rsidRPr="00030838">
        <w:rPr>
          <w:rFonts w:ascii="Times New Roman" w:hAnsi="Times New Roman" w:cs="Times New Roman"/>
        </w:rPr>
        <w:t>de toda persona a un</w:t>
      </w:r>
      <w:r w:rsidR="00732BEC" w:rsidRPr="00030838">
        <w:rPr>
          <w:rFonts w:ascii="Times New Roman" w:hAnsi="Times New Roman" w:cs="Times New Roman"/>
        </w:rPr>
        <w:t xml:space="preserve"> proyecto de vida</w:t>
      </w:r>
      <w:r w:rsidR="00732BEC" w:rsidRPr="00030838">
        <w:rPr>
          <w:rStyle w:val="FootnoteReference"/>
          <w:rFonts w:ascii="Times New Roman" w:hAnsi="Times New Roman" w:cs="Times New Roman"/>
        </w:rPr>
        <w:footnoteReference w:id="5"/>
      </w:r>
      <w:r w:rsidR="00732BEC" w:rsidRPr="00030838">
        <w:rPr>
          <w:rFonts w:ascii="Times New Roman" w:hAnsi="Times New Roman" w:cs="Times New Roman"/>
        </w:rPr>
        <w:t xml:space="preserve">. </w:t>
      </w:r>
      <w:r w:rsidRPr="00030838">
        <w:rPr>
          <w:rFonts w:ascii="Times New Roman" w:hAnsi="Times New Roman" w:cs="Times New Roman"/>
        </w:rPr>
        <w:t xml:space="preserve">Ello así, el derecho a la vida </w:t>
      </w:r>
      <w:r w:rsidR="00732BEC" w:rsidRPr="00030838">
        <w:rPr>
          <w:rFonts w:ascii="Times New Roman" w:hAnsi="Times New Roman" w:cs="Times New Roman"/>
        </w:rPr>
        <w:t>protege la realización integral de la persona considerando su vocación, aptitudes, circunstancias, potencialidades y aspiraciones, que le permiten fijarse razonablemente determinadas expectativas y acceder a ellas</w:t>
      </w:r>
      <w:r w:rsidR="00732BEC" w:rsidRPr="00030838">
        <w:rPr>
          <w:rStyle w:val="FootnoteReference"/>
          <w:rFonts w:ascii="Times New Roman" w:hAnsi="Times New Roman" w:cs="Times New Roman"/>
        </w:rPr>
        <w:footnoteReference w:id="6"/>
      </w:r>
      <w:r w:rsidRPr="00030838">
        <w:rPr>
          <w:rFonts w:ascii="Times New Roman" w:hAnsi="Times New Roman" w:cs="Times New Roman"/>
        </w:rPr>
        <w:t>.</w:t>
      </w:r>
    </w:p>
    <w:p w14:paraId="443C25F9" w14:textId="5EA37EAA" w:rsidR="008470AE" w:rsidRPr="00030838" w:rsidRDefault="00732BEC" w:rsidP="00732BEC">
      <w:pPr>
        <w:pStyle w:val="ListParagraph"/>
        <w:suppressAutoHyphens/>
        <w:spacing w:after="120" w:line="276" w:lineRule="auto"/>
        <w:ind w:left="0"/>
        <w:jc w:val="both"/>
        <w:rPr>
          <w:rFonts w:ascii="Times New Roman" w:hAnsi="Times New Roman" w:cs="Times New Roman"/>
        </w:rPr>
      </w:pPr>
      <w:r w:rsidRPr="00030838">
        <w:rPr>
          <w:rFonts w:ascii="Times New Roman" w:hAnsi="Times New Roman" w:cs="Times New Roman"/>
        </w:rPr>
        <w:t>En el caso de las mujeres y las niñas, estas consideraciones s</w:t>
      </w:r>
      <w:r w:rsidR="00121E8F" w:rsidRPr="00030838">
        <w:rPr>
          <w:rFonts w:ascii="Times New Roman" w:hAnsi="Times New Roman" w:cs="Times New Roman"/>
        </w:rPr>
        <w:t xml:space="preserve">on especialmente </w:t>
      </w:r>
      <w:r w:rsidR="008470AE" w:rsidRPr="00030838">
        <w:rPr>
          <w:rFonts w:ascii="Times New Roman" w:hAnsi="Times New Roman" w:cs="Times New Roman"/>
        </w:rPr>
        <w:t>relevantes</w:t>
      </w:r>
      <w:r w:rsidR="00544994" w:rsidRPr="00030838">
        <w:rPr>
          <w:rFonts w:ascii="Times New Roman" w:hAnsi="Times New Roman" w:cs="Times New Roman"/>
        </w:rPr>
        <w:t xml:space="preserve">, </w:t>
      </w:r>
      <w:r w:rsidR="008470AE" w:rsidRPr="00030838">
        <w:rPr>
          <w:rFonts w:ascii="Times New Roman" w:hAnsi="Times New Roman" w:cs="Times New Roman"/>
        </w:rPr>
        <w:t xml:space="preserve">ya </w:t>
      </w:r>
      <w:r w:rsidR="00C771C7" w:rsidRPr="00030838">
        <w:rPr>
          <w:rFonts w:ascii="Times New Roman" w:hAnsi="Times New Roman" w:cs="Times New Roman"/>
        </w:rPr>
        <w:t>que permite</w:t>
      </w:r>
      <w:r w:rsidRPr="00030838">
        <w:rPr>
          <w:rFonts w:ascii="Times New Roman" w:hAnsi="Times New Roman" w:cs="Times New Roman"/>
        </w:rPr>
        <w:t xml:space="preserve"> </w:t>
      </w:r>
      <w:r w:rsidR="008470AE" w:rsidRPr="00030838">
        <w:rPr>
          <w:rFonts w:ascii="Times New Roman" w:hAnsi="Times New Roman" w:cs="Times New Roman"/>
        </w:rPr>
        <w:t xml:space="preserve">no </w:t>
      </w:r>
      <w:r w:rsidRPr="00030838">
        <w:rPr>
          <w:rFonts w:ascii="Times New Roman" w:hAnsi="Times New Roman" w:cs="Times New Roman"/>
        </w:rPr>
        <w:t>establecer</w:t>
      </w:r>
      <w:r w:rsidR="008470AE" w:rsidRPr="00030838">
        <w:rPr>
          <w:rFonts w:ascii="Times New Roman" w:hAnsi="Times New Roman" w:cs="Times New Roman"/>
        </w:rPr>
        <w:t xml:space="preserve"> restricciones en contra de sus derechos y garantías</w:t>
      </w:r>
      <w:r w:rsidRPr="00030838">
        <w:rPr>
          <w:rFonts w:ascii="Times New Roman" w:hAnsi="Times New Roman" w:cs="Times New Roman"/>
        </w:rPr>
        <w:t xml:space="preserve">, por ejemplo, </w:t>
      </w:r>
      <w:r w:rsidR="008470AE" w:rsidRPr="00030838">
        <w:rPr>
          <w:rFonts w:ascii="Times New Roman" w:hAnsi="Times New Roman" w:cs="Times New Roman"/>
        </w:rPr>
        <w:t>la</w:t>
      </w:r>
      <w:r w:rsidRPr="00030838">
        <w:rPr>
          <w:rFonts w:ascii="Times New Roman" w:hAnsi="Times New Roman" w:cs="Times New Roman"/>
        </w:rPr>
        <w:t xml:space="preserve"> penaliza</w:t>
      </w:r>
      <w:r w:rsidR="00121E8F" w:rsidRPr="00030838">
        <w:rPr>
          <w:rFonts w:ascii="Times New Roman" w:hAnsi="Times New Roman" w:cs="Times New Roman"/>
        </w:rPr>
        <w:t>ción total al aborto</w:t>
      </w:r>
      <w:r w:rsidR="008470AE" w:rsidRPr="00030838">
        <w:rPr>
          <w:rFonts w:ascii="Times New Roman" w:hAnsi="Times New Roman" w:cs="Times New Roman"/>
        </w:rPr>
        <w:t>. Circunstancia que, a todas luces</w:t>
      </w:r>
      <w:r w:rsidR="00BB7014" w:rsidRPr="00030838">
        <w:rPr>
          <w:rFonts w:ascii="Times New Roman" w:hAnsi="Times New Roman" w:cs="Times New Roman"/>
        </w:rPr>
        <w:t xml:space="preserve"> implicaría obligaci</w:t>
      </w:r>
      <w:r w:rsidR="008470AE" w:rsidRPr="00030838">
        <w:rPr>
          <w:rFonts w:ascii="Times New Roman" w:hAnsi="Times New Roman" w:cs="Times New Roman"/>
        </w:rPr>
        <w:t>ones</w:t>
      </w:r>
      <w:r w:rsidR="00BB7014" w:rsidRPr="00030838">
        <w:rPr>
          <w:rFonts w:ascii="Times New Roman" w:hAnsi="Times New Roman" w:cs="Times New Roman"/>
        </w:rPr>
        <w:t xml:space="preserve"> ilegítima</w:t>
      </w:r>
      <w:r w:rsidR="008470AE" w:rsidRPr="00030838">
        <w:rPr>
          <w:rFonts w:ascii="Times New Roman" w:hAnsi="Times New Roman" w:cs="Times New Roman"/>
        </w:rPr>
        <w:t>s o la determinación forzada</w:t>
      </w:r>
      <w:r w:rsidR="00BB7014" w:rsidRPr="00030838">
        <w:rPr>
          <w:rFonts w:ascii="Times New Roman" w:hAnsi="Times New Roman" w:cs="Times New Roman"/>
        </w:rPr>
        <w:t xml:space="preserve"> de </w:t>
      </w:r>
      <w:r w:rsidRPr="00030838">
        <w:rPr>
          <w:rFonts w:ascii="Times New Roman" w:hAnsi="Times New Roman" w:cs="Times New Roman"/>
        </w:rPr>
        <w:t xml:space="preserve">llevar a término un embarazo a pesar de que </w:t>
      </w:r>
      <w:r w:rsidR="008470AE" w:rsidRPr="00030838">
        <w:rPr>
          <w:rFonts w:ascii="Times New Roman" w:hAnsi="Times New Roman" w:cs="Times New Roman"/>
        </w:rPr>
        <w:t>éste</w:t>
      </w:r>
      <w:r w:rsidR="004021E7" w:rsidRPr="00030838">
        <w:rPr>
          <w:rFonts w:ascii="Times New Roman" w:hAnsi="Times New Roman" w:cs="Times New Roman"/>
        </w:rPr>
        <w:t xml:space="preserve"> constituya un riesgo para su</w:t>
      </w:r>
      <w:r w:rsidRPr="00030838">
        <w:rPr>
          <w:rFonts w:ascii="Times New Roman" w:hAnsi="Times New Roman" w:cs="Times New Roman"/>
        </w:rPr>
        <w:t xml:space="preserve"> v</w:t>
      </w:r>
      <w:r w:rsidR="004021E7" w:rsidRPr="00030838">
        <w:rPr>
          <w:rFonts w:ascii="Times New Roman" w:hAnsi="Times New Roman" w:cs="Times New Roman"/>
        </w:rPr>
        <w:t>ida</w:t>
      </w:r>
      <w:r w:rsidR="003E41DB" w:rsidRPr="00030838">
        <w:rPr>
          <w:rFonts w:ascii="Times New Roman" w:hAnsi="Times New Roman" w:cs="Times New Roman"/>
        </w:rPr>
        <w:t xml:space="preserve">, </w:t>
      </w:r>
      <w:r w:rsidR="004021E7" w:rsidRPr="00030838">
        <w:rPr>
          <w:rFonts w:ascii="Times New Roman" w:hAnsi="Times New Roman" w:cs="Times New Roman"/>
        </w:rPr>
        <w:t>su</w:t>
      </w:r>
      <w:r w:rsidR="00121E8F" w:rsidRPr="00030838">
        <w:rPr>
          <w:rFonts w:ascii="Times New Roman" w:hAnsi="Times New Roman" w:cs="Times New Roman"/>
        </w:rPr>
        <w:t xml:space="preserve"> salud</w:t>
      </w:r>
      <w:r w:rsidR="003E41DB" w:rsidRPr="00030838">
        <w:rPr>
          <w:rFonts w:ascii="Times New Roman" w:hAnsi="Times New Roman" w:cs="Times New Roman"/>
        </w:rPr>
        <w:t>, o</w:t>
      </w:r>
      <w:r w:rsidRPr="00030838">
        <w:rPr>
          <w:rFonts w:ascii="Times New Roman" w:hAnsi="Times New Roman" w:cs="Times New Roman"/>
        </w:rPr>
        <w:t xml:space="preserve"> bien,</w:t>
      </w:r>
      <w:r w:rsidR="00BB7014" w:rsidRPr="00030838">
        <w:rPr>
          <w:rFonts w:ascii="Times New Roman" w:hAnsi="Times New Roman" w:cs="Times New Roman"/>
        </w:rPr>
        <w:t xml:space="preserve"> </w:t>
      </w:r>
      <w:r w:rsidR="00B533E0" w:rsidRPr="00030838">
        <w:rPr>
          <w:rFonts w:ascii="Times New Roman" w:hAnsi="Times New Roman" w:cs="Times New Roman"/>
        </w:rPr>
        <w:t xml:space="preserve">implique un </w:t>
      </w:r>
      <w:r w:rsidR="00BB7014" w:rsidRPr="00030838">
        <w:rPr>
          <w:rFonts w:ascii="Times New Roman" w:hAnsi="Times New Roman" w:cs="Times New Roman"/>
        </w:rPr>
        <w:t>riesgo de causar graves sufrimientos</w:t>
      </w:r>
      <w:r w:rsidRPr="00030838">
        <w:rPr>
          <w:rFonts w:ascii="Times New Roman" w:hAnsi="Times New Roman" w:cs="Times New Roman"/>
        </w:rPr>
        <w:t xml:space="preserve"> </w:t>
      </w:r>
      <w:r w:rsidR="003E41DB" w:rsidRPr="00030838">
        <w:rPr>
          <w:rFonts w:ascii="Times New Roman" w:hAnsi="Times New Roman" w:cs="Times New Roman"/>
        </w:rPr>
        <w:t>cuando el embarazo es resultado de violencia sexual</w:t>
      </w:r>
      <w:r w:rsidR="008470AE" w:rsidRPr="00030838">
        <w:rPr>
          <w:rFonts w:ascii="Times New Roman" w:hAnsi="Times New Roman" w:cs="Times New Roman"/>
        </w:rPr>
        <w:t>, implicando, inclusive, malos</w:t>
      </w:r>
      <w:r w:rsidR="009E415B" w:rsidRPr="009E415B">
        <w:rPr>
          <w:rFonts w:ascii="Times New Roman" w:hAnsi="Times New Roman" w:cs="Times New Roman"/>
        </w:rPr>
        <w:t xml:space="preserve"> </w:t>
      </w:r>
      <w:r w:rsidR="009E415B" w:rsidRPr="00030838">
        <w:rPr>
          <w:rFonts w:ascii="Times New Roman" w:hAnsi="Times New Roman" w:cs="Times New Roman"/>
        </w:rPr>
        <w:t>tratos</w:t>
      </w:r>
      <w:r w:rsidR="008470AE" w:rsidRPr="00030838">
        <w:rPr>
          <w:rFonts w:ascii="Times New Roman" w:hAnsi="Times New Roman" w:cs="Times New Roman"/>
        </w:rPr>
        <w:t>, inhumanos o degradantes</w:t>
      </w:r>
      <w:r w:rsidRPr="00030838">
        <w:rPr>
          <w:rFonts w:ascii="Times New Roman" w:hAnsi="Times New Roman" w:cs="Times New Roman"/>
        </w:rPr>
        <w:t xml:space="preserve">. </w:t>
      </w:r>
    </w:p>
    <w:p w14:paraId="04F1FA75" w14:textId="77777777" w:rsidR="008470AE" w:rsidRPr="00030838" w:rsidRDefault="008470AE" w:rsidP="00732BEC">
      <w:pPr>
        <w:pStyle w:val="ListParagraph"/>
        <w:suppressAutoHyphens/>
        <w:spacing w:after="120" w:line="276" w:lineRule="auto"/>
        <w:ind w:left="0"/>
        <w:jc w:val="both"/>
        <w:rPr>
          <w:rFonts w:ascii="Times New Roman" w:hAnsi="Times New Roman" w:cs="Times New Roman"/>
        </w:rPr>
      </w:pPr>
    </w:p>
    <w:p w14:paraId="3B21E6C3" w14:textId="6BB9FD41" w:rsidR="00732BEC" w:rsidRPr="00030838" w:rsidRDefault="008470AE" w:rsidP="00732BEC">
      <w:pPr>
        <w:pStyle w:val="ListParagraph"/>
        <w:suppressAutoHyphens/>
        <w:spacing w:after="120" w:line="276" w:lineRule="auto"/>
        <w:ind w:left="0"/>
        <w:jc w:val="both"/>
        <w:rPr>
          <w:rFonts w:ascii="Times New Roman" w:hAnsi="Times New Roman" w:cs="Times New Roman"/>
        </w:rPr>
      </w:pPr>
      <w:r w:rsidRPr="00030838">
        <w:rPr>
          <w:rFonts w:ascii="Times New Roman" w:hAnsi="Times New Roman" w:cs="Times New Roman"/>
        </w:rPr>
        <w:t xml:space="preserve">Los contextos altamente restrictivos, de cara al acceso de servicios de aborto, </w:t>
      </w:r>
      <w:r w:rsidR="00732BEC" w:rsidRPr="00030838">
        <w:rPr>
          <w:rFonts w:ascii="Times New Roman" w:hAnsi="Times New Roman" w:cs="Times New Roman"/>
        </w:rPr>
        <w:t>desconoce</w:t>
      </w:r>
      <w:r w:rsidR="004C2DED" w:rsidRPr="00030838">
        <w:rPr>
          <w:rFonts w:ascii="Times New Roman" w:hAnsi="Times New Roman" w:cs="Times New Roman"/>
        </w:rPr>
        <w:t>n</w:t>
      </w:r>
      <w:r w:rsidR="00732BEC" w:rsidRPr="00030838">
        <w:rPr>
          <w:rFonts w:ascii="Times New Roman" w:hAnsi="Times New Roman" w:cs="Times New Roman"/>
        </w:rPr>
        <w:t xml:space="preserve"> que las mujeres y las niñas son </w:t>
      </w:r>
      <w:r w:rsidRPr="00030838">
        <w:rPr>
          <w:rFonts w:ascii="Times New Roman" w:hAnsi="Times New Roman" w:cs="Times New Roman"/>
        </w:rPr>
        <w:t>personas</w:t>
      </w:r>
      <w:r w:rsidR="00B533E0" w:rsidRPr="00030838">
        <w:rPr>
          <w:rFonts w:ascii="Times New Roman" w:hAnsi="Times New Roman" w:cs="Times New Roman"/>
        </w:rPr>
        <w:t xml:space="preserve"> autónomas,</w:t>
      </w:r>
      <w:r w:rsidR="00121E8F" w:rsidRPr="00030838">
        <w:rPr>
          <w:rFonts w:ascii="Times New Roman" w:hAnsi="Times New Roman" w:cs="Times New Roman"/>
        </w:rPr>
        <w:t xml:space="preserve"> con dignidad</w:t>
      </w:r>
      <w:r w:rsidR="00732BEC" w:rsidRPr="00030838">
        <w:rPr>
          <w:rFonts w:ascii="Times New Roman" w:hAnsi="Times New Roman" w:cs="Times New Roman"/>
        </w:rPr>
        <w:t xml:space="preserve"> y </w:t>
      </w:r>
      <w:r w:rsidR="003605BA" w:rsidRPr="00030838">
        <w:rPr>
          <w:rFonts w:ascii="Times New Roman" w:hAnsi="Times New Roman" w:cs="Times New Roman"/>
        </w:rPr>
        <w:t>que,</w:t>
      </w:r>
      <w:r w:rsidR="00732BEC" w:rsidRPr="00030838">
        <w:rPr>
          <w:rFonts w:ascii="Times New Roman" w:hAnsi="Times New Roman" w:cs="Times New Roman"/>
        </w:rPr>
        <w:t xml:space="preserve"> </w:t>
      </w:r>
      <w:r w:rsidR="00E90073" w:rsidRPr="00030838">
        <w:rPr>
          <w:rFonts w:ascii="Times New Roman" w:hAnsi="Times New Roman" w:cs="Times New Roman"/>
        </w:rPr>
        <w:t>por tal motivo</w:t>
      </w:r>
      <w:r w:rsidR="00504A5F" w:rsidRPr="00030838">
        <w:rPr>
          <w:rFonts w:ascii="Times New Roman" w:hAnsi="Times New Roman" w:cs="Times New Roman"/>
        </w:rPr>
        <w:t>,</w:t>
      </w:r>
      <w:r w:rsidR="00732BEC" w:rsidRPr="00030838">
        <w:rPr>
          <w:rFonts w:ascii="Times New Roman" w:hAnsi="Times New Roman" w:cs="Times New Roman"/>
        </w:rPr>
        <w:t xml:space="preserve"> </w:t>
      </w:r>
      <w:r w:rsidR="004C2DED" w:rsidRPr="00030838">
        <w:rPr>
          <w:rFonts w:ascii="Times New Roman" w:hAnsi="Times New Roman" w:cs="Times New Roman"/>
        </w:rPr>
        <w:t xml:space="preserve">no </w:t>
      </w:r>
      <w:r w:rsidR="00732BEC" w:rsidRPr="00030838">
        <w:rPr>
          <w:rFonts w:ascii="Times New Roman" w:hAnsi="Times New Roman" w:cs="Times New Roman"/>
        </w:rPr>
        <w:t>pueden</w:t>
      </w:r>
      <w:r w:rsidR="00504A5F" w:rsidRPr="00030838">
        <w:rPr>
          <w:rFonts w:ascii="Times New Roman" w:hAnsi="Times New Roman" w:cs="Times New Roman"/>
        </w:rPr>
        <w:t xml:space="preserve"> ser</w:t>
      </w:r>
      <w:r w:rsidR="00732BEC" w:rsidRPr="00030838">
        <w:rPr>
          <w:rFonts w:ascii="Times New Roman" w:hAnsi="Times New Roman" w:cs="Times New Roman"/>
        </w:rPr>
        <w:t xml:space="preserve"> tratadas como "</w:t>
      </w:r>
      <w:r w:rsidR="00732BEC" w:rsidRPr="00030838">
        <w:rPr>
          <w:rFonts w:ascii="Times New Roman" w:hAnsi="Times New Roman" w:cs="Times New Roman"/>
          <w:i/>
        </w:rPr>
        <w:t>un simple instrumen</w:t>
      </w:r>
      <w:r w:rsidR="00504A5F" w:rsidRPr="00030838">
        <w:rPr>
          <w:rFonts w:ascii="Times New Roman" w:hAnsi="Times New Roman" w:cs="Times New Roman"/>
          <w:i/>
        </w:rPr>
        <w:t>to de reproducción de la especie</w:t>
      </w:r>
      <w:r w:rsidR="00732BEC" w:rsidRPr="00030838">
        <w:rPr>
          <w:rFonts w:ascii="Times New Roman" w:hAnsi="Times New Roman" w:cs="Times New Roman"/>
          <w:i/>
        </w:rPr>
        <w:t xml:space="preserve"> humana”</w:t>
      </w:r>
      <w:r w:rsidR="00732BEC" w:rsidRPr="00030838">
        <w:rPr>
          <w:rStyle w:val="FootnoteReference"/>
          <w:rFonts w:ascii="Times New Roman" w:hAnsi="Times New Roman" w:cs="Times New Roman"/>
          <w:i/>
        </w:rPr>
        <w:footnoteReference w:id="7"/>
      </w:r>
      <w:r w:rsidR="00121E8F" w:rsidRPr="00030838">
        <w:rPr>
          <w:rFonts w:ascii="Times New Roman" w:hAnsi="Times New Roman" w:cs="Times New Roman"/>
          <w:i/>
        </w:rPr>
        <w:t>,</w:t>
      </w:r>
      <w:r w:rsidR="00732BEC" w:rsidRPr="00030838">
        <w:rPr>
          <w:rFonts w:ascii="Times New Roman" w:hAnsi="Times New Roman" w:cs="Times New Roman"/>
          <w:i/>
        </w:rPr>
        <w:t xml:space="preserve"> </w:t>
      </w:r>
      <w:r w:rsidR="00732BEC" w:rsidRPr="00030838">
        <w:rPr>
          <w:rFonts w:ascii="Times New Roman" w:hAnsi="Times New Roman" w:cs="Times New Roman"/>
        </w:rPr>
        <w:t xml:space="preserve">ignorando su derecho </w:t>
      </w:r>
      <w:r w:rsidR="00121E8F" w:rsidRPr="00030838">
        <w:rPr>
          <w:rFonts w:ascii="Times New Roman" w:hAnsi="Times New Roman" w:cs="Times New Roman"/>
        </w:rPr>
        <w:t xml:space="preserve">a llevar a cabo su </w:t>
      </w:r>
      <w:r w:rsidR="00732BEC" w:rsidRPr="00030838">
        <w:rPr>
          <w:rFonts w:ascii="Times New Roman" w:hAnsi="Times New Roman" w:cs="Times New Roman"/>
        </w:rPr>
        <w:t>proyecto de vida</w:t>
      </w:r>
      <w:r w:rsidR="00E90073" w:rsidRPr="00030838">
        <w:rPr>
          <w:rFonts w:ascii="Times New Roman" w:hAnsi="Times New Roman" w:cs="Times New Roman"/>
        </w:rPr>
        <w:t xml:space="preserve"> en condiciones de igualdad</w:t>
      </w:r>
      <w:r w:rsidRPr="00030838">
        <w:rPr>
          <w:rFonts w:ascii="Times New Roman" w:hAnsi="Times New Roman" w:cs="Times New Roman"/>
        </w:rPr>
        <w:t xml:space="preserve"> y dignidad</w:t>
      </w:r>
      <w:r w:rsidR="00732BEC" w:rsidRPr="00030838">
        <w:rPr>
          <w:rFonts w:ascii="Times New Roman" w:hAnsi="Times New Roman" w:cs="Times New Roman"/>
        </w:rPr>
        <w:t xml:space="preserve">. </w:t>
      </w:r>
      <w:r w:rsidR="00121E8F" w:rsidRPr="00030838">
        <w:rPr>
          <w:rFonts w:ascii="Times New Roman" w:hAnsi="Times New Roman" w:cs="Times New Roman"/>
        </w:rPr>
        <w:t>En este mismo sentido</w:t>
      </w:r>
      <w:r w:rsidR="00732BEC" w:rsidRPr="00030838">
        <w:rPr>
          <w:rFonts w:ascii="Times New Roman" w:hAnsi="Times New Roman" w:cs="Times New Roman"/>
        </w:rPr>
        <w:t>, en el contexto de la maternidad, el concepto de proyecto de vida es determinante</w:t>
      </w:r>
      <w:r w:rsidR="00121E8F" w:rsidRPr="00030838">
        <w:rPr>
          <w:rFonts w:ascii="Times New Roman" w:hAnsi="Times New Roman" w:cs="Times New Roman"/>
        </w:rPr>
        <w:t>,</w:t>
      </w:r>
      <w:r w:rsidR="00732BEC" w:rsidRPr="00030838">
        <w:rPr>
          <w:rFonts w:ascii="Times New Roman" w:hAnsi="Times New Roman" w:cs="Times New Roman"/>
        </w:rPr>
        <w:t xml:space="preserve"> </w:t>
      </w:r>
      <w:r w:rsidR="00121E8F" w:rsidRPr="00030838">
        <w:rPr>
          <w:rFonts w:ascii="Times New Roman" w:hAnsi="Times New Roman" w:cs="Times New Roman"/>
        </w:rPr>
        <w:t>ya que éste puede</w:t>
      </w:r>
      <w:r w:rsidR="00732BEC" w:rsidRPr="00030838">
        <w:rPr>
          <w:rFonts w:ascii="Times New Roman" w:hAnsi="Times New Roman" w:cs="Times New Roman"/>
        </w:rPr>
        <w:t xml:space="preserve"> ve</w:t>
      </w:r>
      <w:r w:rsidR="00121E8F" w:rsidRPr="00030838">
        <w:rPr>
          <w:rFonts w:ascii="Times New Roman" w:hAnsi="Times New Roman" w:cs="Times New Roman"/>
        </w:rPr>
        <w:t>rse</w:t>
      </w:r>
      <w:r w:rsidR="002837A7" w:rsidRPr="00030838">
        <w:rPr>
          <w:rFonts w:ascii="Times New Roman" w:hAnsi="Times New Roman" w:cs="Times New Roman"/>
        </w:rPr>
        <w:t xml:space="preserve"> </w:t>
      </w:r>
      <w:r w:rsidR="00732BEC" w:rsidRPr="00030838">
        <w:rPr>
          <w:rFonts w:ascii="Times New Roman" w:hAnsi="Times New Roman" w:cs="Times New Roman"/>
        </w:rPr>
        <w:t>afectado si la continuación del embarazo supone un riesgo para la vida de la mujer o la niña</w:t>
      </w:r>
      <w:r w:rsidR="00C90A6F" w:rsidRPr="00030838">
        <w:rPr>
          <w:rFonts w:ascii="Times New Roman" w:hAnsi="Times New Roman" w:cs="Times New Roman"/>
        </w:rPr>
        <w:t xml:space="preserve"> </w:t>
      </w:r>
      <w:r w:rsidRPr="00030838">
        <w:rPr>
          <w:rFonts w:ascii="Times New Roman" w:hAnsi="Times New Roman" w:cs="Times New Roman"/>
        </w:rPr>
        <w:t xml:space="preserve">y causar </w:t>
      </w:r>
      <w:r w:rsidR="00C90A6F" w:rsidRPr="00030838">
        <w:rPr>
          <w:rFonts w:ascii="Times New Roman" w:hAnsi="Times New Roman" w:cs="Times New Roman"/>
        </w:rPr>
        <w:t>daños irreparables</w:t>
      </w:r>
      <w:r w:rsidR="00732BEC" w:rsidRPr="00030838">
        <w:rPr>
          <w:rFonts w:ascii="Times New Roman" w:hAnsi="Times New Roman" w:cs="Times New Roman"/>
        </w:rPr>
        <w:t xml:space="preserve">. </w:t>
      </w:r>
    </w:p>
    <w:p w14:paraId="1F834ED3" w14:textId="77777777" w:rsidR="000670BC" w:rsidRPr="00030838" w:rsidRDefault="000670BC" w:rsidP="00732BEC">
      <w:pPr>
        <w:pStyle w:val="ListParagraph"/>
        <w:suppressAutoHyphens/>
        <w:spacing w:after="120" w:line="276" w:lineRule="auto"/>
        <w:ind w:left="0"/>
        <w:jc w:val="both"/>
        <w:rPr>
          <w:rFonts w:ascii="Times New Roman" w:hAnsi="Times New Roman" w:cs="Times New Roman"/>
        </w:rPr>
      </w:pPr>
    </w:p>
    <w:p w14:paraId="56CC7737" w14:textId="77777777" w:rsidR="00C771C7" w:rsidRDefault="008470AE" w:rsidP="00247713">
      <w:pPr>
        <w:pStyle w:val="ListParagraph"/>
        <w:suppressAutoHyphens/>
        <w:spacing w:after="120" w:line="276" w:lineRule="auto"/>
        <w:ind w:left="0"/>
        <w:jc w:val="both"/>
        <w:rPr>
          <w:rFonts w:ascii="Times New Roman" w:eastAsiaTheme="minorHAnsi" w:hAnsi="Times New Roman" w:cs="Times New Roman"/>
        </w:rPr>
      </w:pPr>
      <w:r w:rsidRPr="00030838">
        <w:rPr>
          <w:rFonts w:ascii="Times New Roman" w:eastAsiaTheme="minorHAnsi" w:hAnsi="Times New Roman" w:cs="Times New Roman"/>
        </w:rPr>
        <w:lastRenderedPageBreak/>
        <w:t>E</w:t>
      </w:r>
      <w:r w:rsidR="000670BC" w:rsidRPr="00030838">
        <w:rPr>
          <w:rFonts w:ascii="Times New Roman" w:eastAsiaTheme="minorHAnsi" w:hAnsi="Times New Roman" w:cs="Times New Roman"/>
        </w:rPr>
        <w:t>l daño es</w:t>
      </w:r>
      <w:r w:rsidRPr="00030838">
        <w:rPr>
          <w:rFonts w:ascii="Times New Roman" w:eastAsiaTheme="minorHAnsi" w:hAnsi="Times New Roman" w:cs="Times New Roman"/>
        </w:rPr>
        <w:t xml:space="preserve">, desde el punto de vista jurídico, </w:t>
      </w:r>
      <w:r w:rsidR="000670BC" w:rsidRPr="00030838">
        <w:rPr>
          <w:rFonts w:ascii="Times New Roman" w:eastAsiaTheme="minorHAnsi" w:hAnsi="Times New Roman" w:cs="Times New Roman"/>
        </w:rPr>
        <w:t>todo perjuicio que sufre una persona en sus bienes naturales (su vida, integridad), en su propiedad o en su patrimonio, causado por una persona o cosa como consecuencia de algún evento determinado.</w:t>
      </w:r>
      <w:r w:rsidR="00247713" w:rsidRPr="00030838">
        <w:rPr>
          <w:rFonts w:ascii="Times New Roman" w:eastAsiaTheme="minorHAnsi" w:hAnsi="Times New Roman" w:cs="Times New Roman"/>
        </w:rPr>
        <w:t xml:space="preserve"> Así, e</w:t>
      </w:r>
      <w:r w:rsidR="00913998" w:rsidRPr="00030838">
        <w:rPr>
          <w:rFonts w:ascii="Times New Roman" w:eastAsiaTheme="minorHAnsi" w:hAnsi="Times New Roman" w:cs="Times New Roman"/>
        </w:rPr>
        <w:t xml:space="preserve">n el contexto de </w:t>
      </w:r>
      <w:r w:rsidR="004819BB" w:rsidRPr="00030838">
        <w:rPr>
          <w:rFonts w:ascii="Times New Roman" w:eastAsiaTheme="minorHAnsi" w:hAnsi="Times New Roman" w:cs="Times New Roman"/>
        </w:rPr>
        <w:t xml:space="preserve">garantizar el </w:t>
      </w:r>
      <w:r w:rsidRPr="00030838">
        <w:rPr>
          <w:rFonts w:ascii="Times New Roman" w:eastAsiaTheme="minorHAnsi" w:hAnsi="Times New Roman" w:cs="Times New Roman"/>
        </w:rPr>
        <w:t xml:space="preserve">acceso al aborto seguro </w:t>
      </w:r>
      <w:r w:rsidR="004819BB" w:rsidRPr="00030838">
        <w:rPr>
          <w:rFonts w:ascii="Times New Roman" w:eastAsiaTheme="minorHAnsi" w:hAnsi="Times New Roman" w:cs="Times New Roman"/>
        </w:rPr>
        <w:t xml:space="preserve">cuando hay riesgo </w:t>
      </w:r>
      <w:r w:rsidRPr="00030838">
        <w:rPr>
          <w:rFonts w:ascii="Times New Roman" w:eastAsiaTheme="minorHAnsi" w:hAnsi="Times New Roman" w:cs="Times New Roman"/>
        </w:rPr>
        <w:t>para la vida de la mujer embarazada (</w:t>
      </w:r>
      <w:r w:rsidR="00913998" w:rsidRPr="00030838">
        <w:rPr>
          <w:rFonts w:ascii="Times New Roman" w:eastAsiaTheme="minorHAnsi" w:hAnsi="Times New Roman" w:cs="Times New Roman"/>
        </w:rPr>
        <w:t>causal vida</w:t>
      </w:r>
      <w:r w:rsidRPr="00030838">
        <w:rPr>
          <w:rFonts w:ascii="Times New Roman" w:eastAsiaTheme="minorHAnsi" w:hAnsi="Times New Roman" w:cs="Times New Roman"/>
        </w:rPr>
        <w:t>)</w:t>
      </w:r>
      <w:r w:rsidR="00913998" w:rsidRPr="00030838">
        <w:rPr>
          <w:rFonts w:ascii="Times New Roman" w:eastAsiaTheme="minorHAnsi" w:hAnsi="Times New Roman" w:cs="Times New Roman"/>
        </w:rPr>
        <w:t>,</w:t>
      </w:r>
      <w:r w:rsidR="004819BB" w:rsidRPr="00030838">
        <w:rPr>
          <w:rFonts w:ascii="Times New Roman" w:eastAsiaTheme="minorHAnsi" w:hAnsi="Times New Roman" w:cs="Times New Roman"/>
        </w:rPr>
        <w:t xml:space="preserve"> debe considerarse que </w:t>
      </w:r>
      <w:r w:rsidR="00913998" w:rsidRPr="00030838">
        <w:rPr>
          <w:rFonts w:ascii="Times New Roman" w:eastAsiaTheme="minorHAnsi" w:hAnsi="Times New Roman" w:cs="Times New Roman"/>
        </w:rPr>
        <w:t>existe riesgo de daño cuando hay</w:t>
      </w:r>
      <w:r w:rsidR="004819BB" w:rsidRPr="00030838">
        <w:rPr>
          <w:rFonts w:ascii="Times New Roman" w:eastAsiaTheme="minorHAnsi" w:hAnsi="Times New Roman" w:cs="Times New Roman"/>
        </w:rPr>
        <w:t>a</w:t>
      </w:r>
      <w:r w:rsidR="00913998" w:rsidRPr="00030838">
        <w:rPr>
          <w:rFonts w:ascii="Times New Roman" w:eastAsiaTheme="minorHAnsi" w:hAnsi="Times New Roman" w:cs="Times New Roman"/>
        </w:rPr>
        <w:t xml:space="preserve"> una probabilidad razonable de que este se materialice y</w:t>
      </w:r>
      <w:r w:rsidR="00793D72" w:rsidRPr="00030838">
        <w:rPr>
          <w:rFonts w:ascii="Times New Roman" w:eastAsiaTheme="minorHAnsi" w:hAnsi="Times New Roman" w:cs="Times New Roman"/>
        </w:rPr>
        <w:t>, al mismo tiempo,</w:t>
      </w:r>
      <w:r w:rsidR="00913998" w:rsidRPr="00030838">
        <w:rPr>
          <w:rFonts w:ascii="Times New Roman" w:eastAsiaTheme="minorHAnsi" w:hAnsi="Times New Roman" w:cs="Times New Roman"/>
        </w:rPr>
        <w:t xml:space="preserve"> cuando el daño no recaiga en bienes o intereses jurídicos </w:t>
      </w:r>
      <w:r w:rsidR="00F62FF5" w:rsidRPr="00030838">
        <w:rPr>
          <w:rFonts w:ascii="Times New Roman" w:eastAsiaTheme="minorHAnsi" w:hAnsi="Times New Roman" w:cs="Times New Roman"/>
        </w:rPr>
        <w:t>irreparables.</w:t>
      </w:r>
      <w:r w:rsidR="00913998" w:rsidRPr="00030838">
        <w:rPr>
          <w:rFonts w:ascii="Times New Roman" w:eastAsiaTheme="minorHAnsi" w:hAnsi="Times New Roman" w:cs="Times New Roman"/>
        </w:rPr>
        <w:t xml:space="preserve"> Es decir, existe riesgo cuando lo que puede ser dañado son los bienes no sustituibles, por ejemplo: se arriesga la pérdida de la vida o la calidad de la vida de una persona. </w:t>
      </w:r>
    </w:p>
    <w:p w14:paraId="4D876A68" w14:textId="7D064D6C" w:rsidR="005C3949" w:rsidRPr="00030838" w:rsidRDefault="00793D72" w:rsidP="00247713">
      <w:pPr>
        <w:pStyle w:val="ListParagraph"/>
        <w:suppressAutoHyphens/>
        <w:spacing w:after="120" w:line="276" w:lineRule="auto"/>
        <w:ind w:left="0"/>
        <w:jc w:val="both"/>
        <w:rPr>
          <w:rFonts w:ascii="Times New Roman" w:hAnsi="Times New Roman" w:cs="Times New Roman"/>
        </w:rPr>
      </w:pPr>
      <w:r w:rsidRPr="00030838">
        <w:rPr>
          <w:rFonts w:ascii="Times New Roman" w:eastAsiaTheme="minorHAnsi" w:hAnsi="Times New Roman" w:cs="Times New Roman"/>
        </w:rPr>
        <w:t>En ese sentido, l</w:t>
      </w:r>
      <w:r w:rsidR="00913998" w:rsidRPr="00030838">
        <w:rPr>
          <w:rFonts w:ascii="Times New Roman" w:eastAsiaTheme="minorHAnsi" w:hAnsi="Times New Roman" w:cs="Times New Roman"/>
        </w:rPr>
        <w:t xml:space="preserve">a Corte </w:t>
      </w:r>
      <w:r w:rsidR="006C2800" w:rsidRPr="00030838">
        <w:rPr>
          <w:rFonts w:ascii="Times New Roman" w:eastAsiaTheme="minorHAnsi" w:hAnsi="Times New Roman" w:cs="Times New Roman"/>
        </w:rPr>
        <w:t>I</w:t>
      </w:r>
      <w:r w:rsidR="00544994" w:rsidRPr="00030838">
        <w:rPr>
          <w:rFonts w:ascii="Times New Roman" w:eastAsiaTheme="minorHAnsi" w:hAnsi="Times New Roman" w:cs="Times New Roman"/>
        </w:rPr>
        <w:t xml:space="preserve">nteramericana de </w:t>
      </w:r>
      <w:r w:rsidR="006C2800" w:rsidRPr="00030838">
        <w:rPr>
          <w:rFonts w:ascii="Times New Roman" w:eastAsiaTheme="minorHAnsi" w:hAnsi="Times New Roman" w:cs="Times New Roman"/>
        </w:rPr>
        <w:t>D</w:t>
      </w:r>
      <w:r w:rsidR="00544994" w:rsidRPr="00030838">
        <w:rPr>
          <w:rFonts w:ascii="Times New Roman" w:eastAsiaTheme="minorHAnsi" w:hAnsi="Times New Roman" w:cs="Times New Roman"/>
        </w:rPr>
        <w:t xml:space="preserve">erechos </w:t>
      </w:r>
      <w:r w:rsidR="006C2800" w:rsidRPr="00030838">
        <w:rPr>
          <w:rFonts w:ascii="Times New Roman" w:eastAsiaTheme="minorHAnsi" w:hAnsi="Times New Roman" w:cs="Times New Roman"/>
        </w:rPr>
        <w:t>H</w:t>
      </w:r>
      <w:r w:rsidR="00544994" w:rsidRPr="00030838">
        <w:rPr>
          <w:rFonts w:ascii="Times New Roman" w:eastAsiaTheme="minorHAnsi" w:hAnsi="Times New Roman" w:cs="Times New Roman"/>
        </w:rPr>
        <w:t>umanos</w:t>
      </w:r>
      <w:r w:rsidR="00791A34" w:rsidRPr="00030838">
        <w:rPr>
          <w:rFonts w:ascii="Times New Roman" w:eastAsiaTheme="minorHAnsi" w:hAnsi="Times New Roman" w:cs="Times New Roman"/>
        </w:rPr>
        <w:t xml:space="preserve"> (Corte IDH)</w:t>
      </w:r>
      <w:r w:rsidR="00913998" w:rsidRPr="00030838">
        <w:rPr>
          <w:rFonts w:ascii="Times New Roman" w:eastAsiaTheme="minorHAnsi" w:hAnsi="Times New Roman" w:cs="Times New Roman"/>
        </w:rPr>
        <w:t xml:space="preserve"> ha establecido que </w:t>
      </w:r>
      <w:r w:rsidR="00E97B5D" w:rsidRPr="00030838">
        <w:rPr>
          <w:rFonts w:ascii="Times New Roman" w:eastAsiaTheme="minorHAnsi" w:hAnsi="Times New Roman" w:cs="Times New Roman"/>
        </w:rPr>
        <w:t xml:space="preserve">en </w:t>
      </w:r>
      <w:r w:rsidR="00913998" w:rsidRPr="00030838">
        <w:rPr>
          <w:rFonts w:ascii="Times New Roman" w:eastAsiaTheme="minorHAnsi" w:hAnsi="Times New Roman" w:cs="Times New Roman"/>
        </w:rPr>
        <w:t>las circunstancias que</w:t>
      </w:r>
      <w:r w:rsidRPr="00030838">
        <w:rPr>
          <w:rFonts w:ascii="Times New Roman" w:eastAsiaTheme="minorHAnsi" w:hAnsi="Times New Roman" w:cs="Times New Roman"/>
        </w:rPr>
        <w:t xml:space="preserve"> se</w:t>
      </w:r>
      <w:r w:rsidR="00913998" w:rsidRPr="00030838">
        <w:rPr>
          <w:rFonts w:ascii="Times New Roman" w:eastAsiaTheme="minorHAnsi" w:hAnsi="Times New Roman" w:cs="Times New Roman"/>
        </w:rPr>
        <w:t xml:space="preserve"> presenten o involucren riesgos o amenazas inminentes que causen o puedan causar daños irreparables, la respuesta legal para remediarlos debe ser inmediata</w:t>
      </w:r>
      <w:r w:rsidR="00913998" w:rsidRPr="00030838">
        <w:rPr>
          <w:rStyle w:val="FootnoteReference"/>
          <w:rFonts w:ascii="Times New Roman" w:eastAsiaTheme="minorHAnsi" w:hAnsi="Times New Roman" w:cs="Times New Roman"/>
        </w:rPr>
        <w:footnoteReference w:id="8"/>
      </w:r>
      <w:r w:rsidR="002D5C4B" w:rsidRPr="00030838">
        <w:rPr>
          <w:rFonts w:ascii="Times New Roman" w:eastAsiaTheme="minorHAnsi" w:hAnsi="Times New Roman" w:cs="Times New Roman"/>
        </w:rPr>
        <w:t>.</w:t>
      </w:r>
      <w:r w:rsidRPr="00030838">
        <w:rPr>
          <w:rFonts w:ascii="Times New Roman" w:eastAsiaTheme="minorHAnsi" w:hAnsi="Times New Roman" w:cs="Times New Roman"/>
        </w:rPr>
        <w:t xml:space="preserve"> </w:t>
      </w:r>
      <w:r w:rsidR="002D5C4B" w:rsidRPr="00030838">
        <w:rPr>
          <w:rFonts w:ascii="Times New Roman" w:eastAsiaTheme="minorHAnsi" w:hAnsi="Times New Roman" w:cs="Times New Roman"/>
        </w:rPr>
        <w:t xml:space="preserve">Asimismo, </w:t>
      </w:r>
      <w:r w:rsidR="00BB0DAC">
        <w:rPr>
          <w:rFonts w:ascii="Times New Roman" w:eastAsiaTheme="minorHAnsi" w:hAnsi="Times New Roman" w:cs="Times New Roman"/>
        </w:rPr>
        <w:t xml:space="preserve">se ha contemplado </w:t>
      </w:r>
      <w:r w:rsidR="006C2800" w:rsidRPr="00030838">
        <w:rPr>
          <w:rFonts w:ascii="Times New Roman" w:eastAsiaTheme="minorHAnsi" w:hAnsi="Times New Roman" w:cs="Times New Roman"/>
        </w:rPr>
        <w:t xml:space="preserve">que </w:t>
      </w:r>
      <w:r w:rsidR="00913998" w:rsidRPr="00030838">
        <w:rPr>
          <w:rFonts w:ascii="Times New Roman" w:eastAsiaTheme="minorHAnsi" w:hAnsi="Times New Roman" w:cs="Times New Roman"/>
        </w:rPr>
        <w:t>cuando existen responsabilidades de cuidado y de prestación de servicios, sobre todo en</w:t>
      </w:r>
      <w:r w:rsidR="006D38FC" w:rsidRPr="00030838">
        <w:rPr>
          <w:rFonts w:ascii="Times New Roman" w:eastAsiaTheme="minorHAnsi" w:hAnsi="Times New Roman" w:cs="Times New Roman"/>
        </w:rPr>
        <w:t xml:space="preserve"> servicios de</w:t>
      </w:r>
      <w:r w:rsidR="00913998" w:rsidRPr="00030838">
        <w:rPr>
          <w:rFonts w:ascii="Times New Roman" w:eastAsiaTheme="minorHAnsi" w:hAnsi="Times New Roman" w:cs="Times New Roman"/>
        </w:rPr>
        <w:t xml:space="preserve"> salud</w:t>
      </w:r>
      <w:r w:rsidR="009F6533" w:rsidRPr="00030838">
        <w:rPr>
          <w:rFonts w:ascii="Times New Roman" w:eastAsiaTheme="minorHAnsi" w:hAnsi="Times New Roman" w:cs="Times New Roman"/>
        </w:rPr>
        <w:t xml:space="preserve"> </w:t>
      </w:r>
      <w:r w:rsidR="002E0A13" w:rsidRPr="00030838">
        <w:rPr>
          <w:rFonts w:ascii="Times New Roman" w:eastAsiaTheme="minorHAnsi" w:hAnsi="Times New Roman" w:cs="Times New Roman"/>
        </w:rPr>
        <w:t>-</w:t>
      </w:r>
      <w:r w:rsidR="009F6533" w:rsidRPr="00030838">
        <w:rPr>
          <w:rFonts w:ascii="Times New Roman" w:eastAsiaTheme="minorHAnsi" w:hAnsi="Times New Roman" w:cs="Times New Roman"/>
        </w:rPr>
        <w:t>como los servicios de aborto</w:t>
      </w:r>
      <w:r w:rsidR="002E0A13" w:rsidRPr="00030838">
        <w:rPr>
          <w:rFonts w:ascii="Times New Roman" w:eastAsiaTheme="minorHAnsi" w:hAnsi="Times New Roman" w:cs="Times New Roman"/>
        </w:rPr>
        <w:t>-</w:t>
      </w:r>
      <w:r w:rsidR="00913998" w:rsidRPr="00030838">
        <w:rPr>
          <w:rFonts w:ascii="Times New Roman" w:eastAsiaTheme="minorHAnsi" w:hAnsi="Times New Roman" w:cs="Times New Roman"/>
        </w:rPr>
        <w:t>, se consid</w:t>
      </w:r>
      <w:r w:rsidR="00BB0DAC">
        <w:rPr>
          <w:rFonts w:ascii="Times New Roman" w:eastAsiaTheme="minorHAnsi" w:hAnsi="Times New Roman" w:cs="Times New Roman"/>
        </w:rPr>
        <w:t>era que las y los prestadores</w:t>
      </w:r>
      <w:r w:rsidR="00913998" w:rsidRPr="00030838">
        <w:rPr>
          <w:rFonts w:ascii="Times New Roman" w:eastAsiaTheme="minorHAnsi" w:hAnsi="Times New Roman" w:cs="Times New Roman"/>
        </w:rPr>
        <w:t xml:space="preserve"> a cargo</w:t>
      </w:r>
      <w:r w:rsidR="006D38FC" w:rsidRPr="00030838">
        <w:rPr>
          <w:rFonts w:ascii="Times New Roman" w:eastAsiaTheme="minorHAnsi" w:hAnsi="Times New Roman" w:cs="Times New Roman"/>
        </w:rPr>
        <w:t xml:space="preserve"> de hacerlo</w:t>
      </w:r>
      <w:r w:rsidR="00913998" w:rsidRPr="00030838">
        <w:rPr>
          <w:rFonts w:ascii="Times New Roman" w:eastAsiaTheme="minorHAnsi" w:hAnsi="Times New Roman" w:cs="Times New Roman"/>
        </w:rPr>
        <w:t xml:space="preserve"> tienen la obligación de tomar</w:t>
      </w:r>
      <w:r w:rsidR="00BB0DAC">
        <w:rPr>
          <w:rFonts w:ascii="Times New Roman" w:eastAsiaTheme="minorHAnsi" w:hAnsi="Times New Roman" w:cs="Times New Roman"/>
        </w:rPr>
        <w:t xml:space="preserve"> todas las</w:t>
      </w:r>
      <w:r w:rsidR="00913998" w:rsidRPr="00030838">
        <w:rPr>
          <w:rFonts w:ascii="Times New Roman" w:eastAsiaTheme="minorHAnsi" w:hAnsi="Times New Roman" w:cs="Times New Roman"/>
        </w:rPr>
        <w:t xml:space="preserve"> medidas para prevenir las situaciones que coloquen e</w:t>
      </w:r>
      <w:r w:rsidR="006C2800" w:rsidRPr="00030838">
        <w:rPr>
          <w:rFonts w:ascii="Times New Roman" w:eastAsiaTheme="minorHAnsi" w:hAnsi="Times New Roman" w:cs="Times New Roman"/>
        </w:rPr>
        <w:t>n riesgo de daño a las personas</w:t>
      </w:r>
      <w:r w:rsidR="002E0A13" w:rsidRPr="00030838">
        <w:rPr>
          <w:rStyle w:val="FootnoteReference"/>
          <w:rFonts w:ascii="Times New Roman" w:eastAsiaTheme="minorHAnsi" w:hAnsi="Times New Roman" w:cs="Times New Roman"/>
        </w:rPr>
        <w:footnoteReference w:id="9"/>
      </w:r>
      <w:r w:rsidR="009F6533" w:rsidRPr="00030838">
        <w:rPr>
          <w:rFonts w:ascii="Times New Roman" w:eastAsiaTheme="minorHAnsi" w:hAnsi="Times New Roman" w:cs="Times New Roman"/>
        </w:rPr>
        <w:t>, incluidas las mujeres embarazadas</w:t>
      </w:r>
      <w:r w:rsidR="006C2800" w:rsidRPr="00030838">
        <w:rPr>
          <w:rFonts w:ascii="Times New Roman" w:eastAsiaTheme="minorHAnsi" w:hAnsi="Times New Roman" w:cs="Times New Roman"/>
        </w:rPr>
        <w:t>.</w:t>
      </w:r>
      <w:r w:rsidR="00913998" w:rsidRPr="00030838">
        <w:rPr>
          <w:rFonts w:ascii="Times New Roman" w:eastAsiaTheme="minorHAnsi" w:hAnsi="Times New Roman" w:cs="Times New Roman"/>
        </w:rPr>
        <w:t xml:space="preserve"> </w:t>
      </w:r>
    </w:p>
    <w:p w14:paraId="224FB638" w14:textId="77777777" w:rsidR="000670BC" w:rsidRPr="00030838" w:rsidRDefault="000670BC" w:rsidP="00732BEC">
      <w:pPr>
        <w:pStyle w:val="ListParagraph"/>
        <w:suppressAutoHyphens/>
        <w:spacing w:after="120" w:line="276" w:lineRule="auto"/>
        <w:ind w:left="0"/>
        <w:jc w:val="both"/>
        <w:rPr>
          <w:rFonts w:ascii="Times New Roman" w:hAnsi="Times New Roman" w:cs="Times New Roman"/>
        </w:rPr>
      </w:pPr>
    </w:p>
    <w:p w14:paraId="46112A2F" w14:textId="0B225608" w:rsidR="00784A61" w:rsidRPr="00030838" w:rsidRDefault="00C15F24" w:rsidP="000A0839">
      <w:pPr>
        <w:pStyle w:val="Heading1"/>
        <w:numPr>
          <w:ilvl w:val="0"/>
          <w:numId w:val="9"/>
        </w:numPr>
        <w:spacing w:before="0" w:line="276" w:lineRule="auto"/>
        <w:rPr>
          <w:rFonts w:ascii="Times New Roman" w:eastAsiaTheme="minorEastAsia" w:hAnsi="Times New Roman" w:cs="Times New Roman"/>
          <w:sz w:val="22"/>
          <w:szCs w:val="22"/>
        </w:rPr>
      </w:pPr>
      <w:r w:rsidRPr="00030838">
        <w:rPr>
          <w:rFonts w:ascii="Times New Roman" w:hAnsi="Times New Roman" w:cs="Times New Roman"/>
          <w:sz w:val="22"/>
          <w:szCs w:val="22"/>
        </w:rPr>
        <w:t>Consideraciones frente a la redacción del numeral 9</w:t>
      </w:r>
      <w:bookmarkEnd w:id="2"/>
      <w:r w:rsidR="00784A61" w:rsidRPr="00030838">
        <w:rPr>
          <w:rFonts w:ascii="Times New Roman" w:hAnsi="Times New Roman" w:cs="Times New Roman"/>
          <w:sz w:val="22"/>
          <w:szCs w:val="22"/>
        </w:rPr>
        <w:t xml:space="preserve"> </w:t>
      </w:r>
    </w:p>
    <w:p w14:paraId="1F7900A0" w14:textId="77777777" w:rsidR="00784A61" w:rsidRPr="00030838" w:rsidRDefault="00784A61" w:rsidP="00247713">
      <w:pPr>
        <w:suppressAutoHyphens/>
        <w:spacing w:after="120" w:line="276" w:lineRule="auto"/>
        <w:contextualSpacing/>
        <w:jc w:val="both"/>
        <w:rPr>
          <w:rFonts w:ascii="Times New Roman" w:hAnsi="Times New Roman" w:cs="Times New Roman"/>
        </w:rPr>
      </w:pPr>
    </w:p>
    <w:p w14:paraId="413F2B94" w14:textId="77777777" w:rsidR="00C771C7" w:rsidRDefault="00A502FE" w:rsidP="00247713">
      <w:pPr>
        <w:suppressAutoHyphens/>
        <w:spacing w:after="120" w:line="276" w:lineRule="auto"/>
        <w:ind w:left="-76"/>
        <w:contextualSpacing/>
        <w:jc w:val="both"/>
        <w:rPr>
          <w:rFonts w:ascii="Times New Roman" w:hAnsi="Times New Roman" w:cs="Times New Roman"/>
        </w:rPr>
      </w:pPr>
      <w:r w:rsidRPr="00030838">
        <w:rPr>
          <w:rFonts w:ascii="Times New Roman" w:hAnsi="Times New Roman" w:cs="Times New Roman"/>
        </w:rPr>
        <w:t xml:space="preserve">Frente a la </w:t>
      </w:r>
      <w:r w:rsidR="00224C6C" w:rsidRPr="00030838">
        <w:rPr>
          <w:rFonts w:ascii="Times New Roman" w:hAnsi="Times New Roman" w:cs="Times New Roman"/>
        </w:rPr>
        <w:t>redacción</w:t>
      </w:r>
      <w:r w:rsidR="00504A5F" w:rsidRPr="00030838">
        <w:rPr>
          <w:rFonts w:ascii="Times New Roman" w:hAnsi="Times New Roman" w:cs="Times New Roman"/>
        </w:rPr>
        <w:t xml:space="preserve"> integral del numeral 9 del documento</w:t>
      </w:r>
      <w:r w:rsidR="00793D72" w:rsidRPr="00030838">
        <w:rPr>
          <w:rFonts w:ascii="Times New Roman" w:hAnsi="Times New Roman" w:cs="Times New Roman"/>
        </w:rPr>
        <w:t xml:space="preserve"> borrador</w:t>
      </w:r>
      <w:r w:rsidR="005F7921" w:rsidRPr="00030838">
        <w:rPr>
          <w:rFonts w:ascii="Times New Roman" w:hAnsi="Times New Roman" w:cs="Times New Roman"/>
        </w:rPr>
        <w:t xml:space="preserve">, </w:t>
      </w:r>
      <w:r w:rsidR="00793D72" w:rsidRPr="00030838">
        <w:rPr>
          <w:rFonts w:ascii="Times New Roman" w:hAnsi="Times New Roman" w:cs="Times New Roman"/>
        </w:rPr>
        <w:t xml:space="preserve">estimamos </w:t>
      </w:r>
      <w:r w:rsidR="003E41DB" w:rsidRPr="00030838">
        <w:rPr>
          <w:rFonts w:ascii="Times New Roman" w:hAnsi="Times New Roman" w:cs="Times New Roman"/>
        </w:rPr>
        <w:t>que es</w:t>
      </w:r>
      <w:r w:rsidR="00F30609" w:rsidRPr="00030838">
        <w:rPr>
          <w:rFonts w:ascii="Times New Roman" w:hAnsi="Times New Roman" w:cs="Times New Roman"/>
        </w:rPr>
        <w:t xml:space="preserve"> adecuada </w:t>
      </w:r>
      <w:r w:rsidR="003E41DB" w:rsidRPr="00030838">
        <w:rPr>
          <w:rFonts w:ascii="Times New Roman" w:hAnsi="Times New Roman" w:cs="Times New Roman"/>
        </w:rPr>
        <w:t>al establecer</w:t>
      </w:r>
      <w:r w:rsidR="005F7921" w:rsidRPr="00030838">
        <w:rPr>
          <w:rFonts w:ascii="Times New Roman" w:hAnsi="Times New Roman" w:cs="Times New Roman"/>
        </w:rPr>
        <w:t xml:space="preserve"> que: </w:t>
      </w:r>
      <w:r w:rsidR="00F30609" w:rsidRPr="00030838">
        <w:rPr>
          <w:rFonts w:ascii="Times New Roman" w:hAnsi="Times New Roman" w:cs="Times New Roman"/>
        </w:rPr>
        <w:t>“</w:t>
      </w:r>
      <w:r w:rsidR="00F30609" w:rsidRPr="00030838">
        <w:rPr>
          <w:rFonts w:ascii="Times New Roman" w:hAnsi="Times New Roman" w:cs="Times New Roman"/>
          <w:i/>
        </w:rPr>
        <w:t xml:space="preserve">todas las restricciones jurídicas que limiten la capacidad de las mujeres para someterse a un aborto no deben, entre otras cosas, poner en peligro sus vidas ni exponerlas a dolores o sufrimientos </w:t>
      </w:r>
      <w:r w:rsidR="00793D72" w:rsidRPr="00030838">
        <w:rPr>
          <w:rFonts w:ascii="Times New Roman" w:hAnsi="Times New Roman" w:cs="Times New Roman"/>
          <w:i/>
        </w:rPr>
        <w:t xml:space="preserve">físicos o </w:t>
      </w:r>
      <w:r w:rsidR="00F30609" w:rsidRPr="00030838">
        <w:rPr>
          <w:rFonts w:ascii="Times New Roman" w:hAnsi="Times New Roman" w:cs="Times New Roman"/>
          <w:i/>
        </w:rPr>
        <w:t>psíquicos”</w:t>
      </w:r>
      <w:r w:rsidR="002E25AE" w:rsidRPr="00030838">
        <w:rPr>
          <w:rFonts w:ascii="Times New Roman" w:hAnsi="Times New Roman" w:cs="Times New Roman"/>
        </w:rPr>
        <w:t xml:space="preserve">. </w:t>
      </w:r>
      <w:r w:rsidR="00793D72" w:rsidRPr="00030838">
        <w:rPr>
          <w:rFonts w:ascii="Times New Roman" w:hAnsi="Times New Roman" w:cs="Times New Roman"/>
        </w:rPr>
        <w:t xml:space="preserve">Ello </w:t>
      </w:r>
      <w:r w:rsidR="002E25AE" w:rsidRPr="00030838">
        <w:rPr>
          <w:rFonts w:ascii="Times New Roman" w:hAnsi="Times New Roman" w:cs="Times New Roman"/>
        </w:rPr>
        <w:t>porque</w:t>
      </w:r>
      <w:r w:rsidR="00793D72" w:rsidRPr="00030838">
        <w:rPr>
          <w:rFonts w:ascii="Times New Roman" w:hAnsi="Times New Roman" w:cs="Times New Roman"/>
        </w:rPr>
        <w:t xml:space="preserve"> el acceso a</w:t>
      </w:r>
      <w:r w:rsidR="002E25AE" w:rsidRPr="00030838">
        <w:rPr>
          <w:rFonts w:ascii="Times New Roman" w:hAnsi="Times New Roman" w:cs="Times New Roman"/>
        </w:rPr>
        <w:t xml:space="preserve"> </w:t>
      </w:r>
      <w:r w:rsidR="00CA6B8F" w:rsidRPr="00030838">
        <w:rPr>
          <w:rFonts w:ascii="Times New Roman" w:hAnsi="Times New Roman" w:cs="Times New Roman"/>
        </w:rPr>
        <w:t xml:space="preserve">la interrupción del embarazo, cuando la vida o la salud de las mujeres o niñas se encuentra en riesgo, </w:t>
      </w:r>
      <w:r w:rsidR="00793D72" w:rsidRPr="00030838">
        <w:rPr>
          <w:rFonts w:ascii="Times New Roman" w:hAnsi="Times New Roman" w:cs="Times New Roman"/>
        </w:rPr>
        <w:t xml:space="preserve">es, y así debe considerarse, </w:t>
      </w:r>
      <w:r w:rsidR="00157B8E" w:rsidRPr="00030838">
        <w:rPr>
          <w:rFonts w:ascii="Times New Roman" w:hAnsi="Times New Roman" w:cs="Times New Roman"/>
        </w:rPr>
        <w:t xml:space="preserve">un estándar mínimo </w:t>
      </w:r>
      <w:r w:rsidR="00793D72" w:rsidRPr="00030838">
        <w:rPr>
          <w:rFonts w:ascii="Times New Roman" w:hAnsi="Times New Roman" w:cs="Times New Roman"/>
        </w:rPr>
        <w:t xml:space="preserve">e </w:t>
      </w:r>
      <w:r w:rsidR="00157B8E" w:rsidRPr="00030838">
        <w:rPr>
          <w:rFonts w:ascii="Times New Roman" w:hAnsi="Times New Roman" w:cs="Times New Roman"/>
        </w:rPr>
        <w:t>internacional de protección de los derechos humanos de las mujeres y las niñas</w:t>
      </w:r>
      <w:r w:rsidR="002E25AE" w:rsidRPr="00030838">
        <w:rPr>
          <w:rFonts w:ascii="Times New Roman" w:hAnsi="Times New Roman" w:cs="Times New Roman"/>
        </w:rPr>
        <w:t xml:space="preserve">. </w:t>
      </w:r>
      <w:r w:rsidR="00793D72" w:rsidRPr="00030838">
        <w:rPr>
          <w:rFonts w:ascii="Times New Roman" w:hAnsi="Times New Roman" w:cs="Times New Roman"/>
        </w:rPr>
        <w:t xml:space="preserve">Dicho </w:t>
      </w:r>
      <w:r w:rsidR="00157B8E" w:rsidRPr="00030838">
        <w:rPr>
          <w:rFonts w:ascii="Times New Roman" w:hAnsi="Times New Roman" w:cs="Times New Roman"/>
        </w:rPr>
        <w:t>e</w:t>
      </w:r>
      <w:r w:rsidR="002E25AE" w:rsidRPr="00030838">
        <w:rPr>
          <w:rFonts w:ascii="Times New Roman" w:hAnsi="Times New Roman" w:cs="Times New Roman"/>
        </w:rPr>
        <w:t>stándar</w:t>
      </w:r>
      <w:r w:rsidR="00157B8E" w:rsidRPr="00030838">
        <w:rPr>
          <w:rFonts w:ascii="Times New Roman" w:hAnsi="Times New Roman" w:cs="Times New Roman"/>
        </w:rPr>
        <w:t xml:space="preserve"> </w:t>
      </w:r>
      <w:r w:rsidR="00793D72" w:rsidRPr="00030838">
        <w:rPr>
          <w:rFonts w:ascii="Times New Roman" w:hAnsi="Times New Roman" w:cs="Times New Roman"/>
        </w:rPr>
        <w:t xml:space="preserve">se encuentra </w:t>
      </w:r>
      <w:r w:rsidR="00F30609" w:rsidRPr="00030838">
        <w:rPr>
          <w:rFonts w:ascii="Times New Roman" w:hAnsi="Times New Roman" w:cs="Times New Roman"/>
        </w:rPr>
        <w:t>funda</w:t>
      </w:r>
      <w:r w:rsidR="00157B8E" w:rsidRPr="00030838">
        <w:rPr>
          <w:rFonts w:ascii="Times New Roman" w:hAnsi="Times New Roman" w:cs="Times New Roman"/>
        </w:rPr>
        <w:t>do</w:t>
      </w:r>
      <w:r w:rsidR="00F30609" w:rsidRPr="00030838">
        <w:rPr>
          <w:rFonts w:ascii="Times New Roman" w:hAnsi="Times New Roman" w:cs="Times New Roman"/>
        </w:rPr>
        <w:t xml:space="preserve"> </w:t>
      </w:r>
      <w:r w:rsidR="00793D72" w:rsidRPr="00030838">
        <w:rPr>
          <w:rFonts w:ascii="Times New Roman" w:hAnsi="Times New Roman" w:cs="Times New Roman"/>
        </w:rPr>
        <w:t xml:space="preserve">dentro de un </w:t>
      </w:r>
      <w:r w:rsidR="00BB0DAC">
        <w:rPr>
          <w:rFonts w:ascii="Times New Roman" w:hAnsi="Times New Roman" w:cs="Times New Roman"/>
        </w:rPr>
        <w:t>consenso del Derecho I</w:t>
      </w:r>
      <w:r w:rsidR="00F30609" w:rsidRPr="00030838">
        <w:rPr>
          <w:rFonts w:ascii="Times New Roman" w:hAnsi="Times New Roman" w:cs="Times New Roman"/>
        </w:rPr>
        <w:t xml:space="preserve">nternacional </w:t>
      </w:r>
      <w:r w:rsidR="00793D72" w:rsidRPr="00030838">
        <w:rPr>
          <w:rFonts w:ascii="Times New Roman" w:hAnsi="Times New Roman" w:cs="Times New Roman"/>
        </w:rPr>
        <w:t xml:space="preserve">y regional </w:t>
      </w:r>
      <w:r w:rsidR="00F30609" w:rsidRPr="00030838">
        <w:rPr>
          <w:rFonts w:ascii="Times New Roman" w:hAnsi="Times New Roman" w:cs="Times New Roman"/>
        </w:rPr>
        <w:t>de los derechos humanos</w:t>
      </w:r>
      <w:r w:rsidR="00793D72" w:rsidRPr="00030838">
        <w:rPr>
          <w:rFonts w:ascii="Times New Roman" w:hAnsi="Times New Roman" w:cs="Times New Roman"/>
        </w:rPr>
        <w:t>. E</w:t>
      </w:r>
      <w:r w:rsidR="00CA6B8F" w:rsidRPr="00030838">
        <w:rPr>
          <w:rFonts w:ascii="Times New Roman" w:hAnsi="Times New Roman" w:cs="Times New Roman"/>
        </w:rPr>
        <w:t>n tanto</w:t>
      </w:r>
      <w:r w:rsidR="00BB0DAC">
        <w:rPr>
          <w:rFonts w:ascii="Times New Roman" w:hAnsi="Times New Roman" w:cs="Times New Roman"/>
        </w:rPr>
        <w:t>,</w:t>
      </w:r>
      <w:r w:rsidR="009A0B07" w:rsidRPr="00030838">
        <w:rPr>
          <w:rFonts w:ascii="Times New Roman" w:hAnsi="Times New Roman" w:cs="Times New Roman"/>
        </w:rPr>
        <w:t xml:space="preserve"> si bien</w:t>
      </w:r>
      <w:r w:rsidR="00CA6B8F" w:rsidRPr="00030838">
        <w:rPr>
          <w:rFonts w:ascii="Times New Roman" w:hAnsi="Times New Roman" w:cs="Times New Roman"/>
        </w:rPr>
        <w:t xml:space="preserve"> </w:t>
      </w:r>
      <w:r w:rsidR="00F30609" w:rsidRPr="00030838">
        <w:rPr>
          <w:rFonts w:ascii="Times New Roman" w:hAnsi="Times New Roman" w:cs="Times New Roman"/>
        </w:rPr>
        <w:t xml:space="preserve">los Estados </w:t>
      </w:r>
      <w:r w:rsidR="00793D72" w:rsidRPr="00030838">
        <w:rPr>
          <w:rFonts w:ascii="Times New Roman" w:hAnsi="Times New Roman" w:cs="Times New Roman"/>
        </w:rPr>
        <w:t>pueden adoptar</w:t>
      </w:r>
      <w:r w:rsidR="00F30609" w:rsidRPr="00030838">
        <w:rPr>
          <w:rFonts w:ascii="Times New Roman" w:hAnsi="Times New Roman" w:cs="Times New Roman"/>
        </w:rPr>
        <w:t xml:space="preserve"> </w:t>
      </w:r>
      <w:r w:rsidR="00793D72" w:rsidRPr="00030838">
        <w:rPr>
          <w:rFonts w:ascii="Times New Roman" w:hAnsi="Times New Roman" w:cs="Times New Roman"/>
        </w:rPr>
        <w:t>medidas sobre</w:t>
      </w:r>
      <w:r w:rsidR="00F30609" w:rsidRPr="00030838">
        <w:rPr>
          <w:rFonts w:ascii="Times New Roman" w:hAnsi="Times New Roman" w:cs="Times New Roman"/>
        </w:rPr>
        <w:t xml:space="preserve"> cómo y cuándo se prestan </w:t>
      </w:r>
      <w:r w:rsidR="00793D72" w:rsidRPr="00030838">
        <w:rPr>
          <w:rFonts w:ascii="Times New Roman" w:hAnsi="Times New Roman" w:cs="Times New Roman"/>
        </w:rPr>
        <w:t xml:space="preserve">los </w:t>
      </w:r>
      <w:r w:rsidR="00F30609" w:rsidRPr="00030838">
        <w:rPr>
          <w:rFonts w:ascii="Times New Roman" w:hAnsi="Times New Roman" w:cs="Times New Roman"/>
        </w:rPr>
        <w:t xml:space="preserve">servicios </w:t>
      </w:r>
      <w:r w:rsidR="00793D72" w:rsidRPr="00030838">
        <w:rPr>
          <w:rFonts w:ascii="Times New Roman" w:hAnsi="Times New Roman" w:cs="Times New Roman"/>
        </w:rPr>
        <w:t xml:space="preserve">seguros </w:t>
      </w:r>
      <w:r w:rsidR="00F30609" w:rsidRPr="00030838">
        <w:rPr>
          <w:rFonts w:ascii="Times New Roman" w:hAnsi="Times New Roman" w:cs="Times New Roman"/>
        </w:rPr>
        <w:t>de aborto</w:t>
      </w:r>
      <w:r w:rsidR="00CA6B8F" w:rsidRPr="00030838">
        <w:rPr>
          <w:rFonts w:ascii="Times New Roman" w:hAnsi="Times New Roman" w:cs="Times New Roman"/>
        </w:rPr>
        <w:t xml:space="preserve">, </w:t>
      </w:r>
      <w:r w:rsidR="00793D72" w:rsidRPr="00030838">
        <w:rPr>
          <w:rFonts w:ascii="Times New Roman" w:hAnsi="Times New Roman" w:cs="Times New Roman"/>
        </w:rPr>
        <w:t xml:space="preserve">éstos </w:t>
      </w:r>
      <w:r w:rsidR="00F30609" w:rsidRPr="00030838">
        <w:rPr>
          <w:rFonts w:ascii="Times New Roman" w:hAnsi="Times New Roman" w:cs="Times New Roman"/>
        </w:rPr>
        <w:t>no pueden hacerlo de manera tal que sea incompatible con el respeto</w:t>
      </w:r>
      <w:r w:rsidR="00793D72" w:rsidRPr="00030838">
        <w:rPr>
          <w:rFonts w:ascii="Times New Roman" w:hAnsi="Times New Roman" w:cs="Times New Roman"/>
        </w:rPr>
        <w:t xml:space="preserve"> y garantía</w:t>
      </w:r>
      <w:r w:rsidR="00F30609" w:rsidRPr="00030838">
        <w:rPr>
          <w:rFonts w:ascii="Times New Roman" w:hAnsi="Times New Roman" w:cs="Times New Roman"/>
        </w:rPr>
        <w:t xml:space="preserve"> de los derechos de la</w:t>
      </w:r>
      <w:r w:rsidR="009A0B07" w:rsidRPr="00030838">
        <w:rPr>
          <w:rFonts w:ascii="Times New Roman" w:hAnsi="Times New Roman" w:cs="Times New Roman"/>
        </w:rPr>
        <w:t>s mujeres</w:t>
      </w:r>
      <w:r w:rsidR="00793D72" w:rsidRPr="00030838">
        <w:rPr>
          <w:rFonts w:ascii="Times New Roman" w:hAnsi="Times New Roman" w:cs="Times New Roman"/>
        </w:rPr>
        <w:t xml:space="preserve"> y las niñas</w:t>
      </w:r>
      <w:r w:rsidR="009A0B07" w:rsidRPr="00030838">
        <w:rPr>
          <w:rFonts w:ascii="Times New Roman" w:hAnsi="Times New Roman" w:cs="Times New Roman"/>
        </w:rPr>
        <w:t xml:space="preserve">, </w:t>
      </w:r>
      <w:r w:rsidR="00F30609" w:rsidRPr="00030838">
        <w:rPr>
          <w:rFonts w:ascii="Times New Roman" w:hAnsi="Times New Roman" w:cs="Times New Roman"/>
        </w:rPr>
        <w:t>en particular</w:t>
      </w:r>
      <w:r w:rsidR="009A0B07" w:rsidRPr="00030838">
        <w:rPr>
          <w:rFonts w:ascii="Times New Roman" w:hAnsi="Times New Roman" w:cs="Times New Roman"/>
        </w:rPr>
        <w:t>,</w:t>
      </w:r>
      <w:r w:rsidR="00F30609" w:rsidRPr="00030838">
        <w:rPr>
          <w:rFonts w:ascii="Times New Roman" w:hAnsi="Times New Roman" w:cs="Times New Roman"/>
        </w:rPr>
        <w:t xml:space="preserve"> su derecho a la vida</w:t>
      </w:r>
      <w:r w:rsidR="009A0B07" w:rsidRPr="00030838">
        <w:rPr>
          <w:rFonts w:ascii="Times New Roman" w:hAnsi="Times New Roman" w:cs="Times New Roman"/>
        </w:rPr>
        <w:t xml:space="preserve"> con calidad y dignidad</w:t>
      </w:r>
      <w:r w:rsidR="00F30609" w:rsidRPr="00030838">
        <w:rPr>
          <w:rFonts w:ascii="Times New Roman" w:hAnsi="Times New Roman" w:cs="Times New Roman"/>
        </w:rPr>
        <w:t xml:space="preserve">. </w:t>
      </w:r>
    </w:p>
    <w:p w14:paraId="1E6FE0C4" w14:textId="77777777" w:rsidR="00C771C7" w:rsidRDefault="00C771C7" w:rsidP="00247713">
      <w:pPr>
        <w:suppressAutoHyphens/>
        <w:spacing w:after="120" w:line="276" w:lineRule="auto"/>
        <w:ind w:left="-76"/>
        <w:contextualSpacing/>
        <w:jc w:val="both"/>
        <w:rPr>
          <w:rFonts w:ascii="Times New Roman" w:hAnsi="Times New Roman" w:cs="Times New Roman"/>
        </w:rPr>
      </w:pPr>
    </w:p>
    <w:p w14:paraId="28AD4660" w14:textId="2F77B538" w:rsidR="00247713" w:rsidRPr="00030838" w:rsidRDefault="00F30609" w:rsidP="00247713">
      <w:pPr>
        <w:suppressAutoHyphens/>
        <w:spacing w:after="120" w:line="276" w:lineRule="auto"/>
        <w:ind w:left="-76"/>
        <w:contextualSpacing/>
        <w:jc w:val="both"/>
        <w:rPr>
          <w:rFonts w:ascii="Times New Roman" w:hAnsi="Times New Roman" w:cs="Times New Roman"/>
        </w:rPr>
      </w:pPr>
      <w:r w:rsidRPr="00030838">
        <w:rPr>
          <w:rFonts w:ascii="Times New Roman" w:hAnsi="Times New Roman" w:cs="Times New Roman"/>
        </w:rPr>
        <w:t>De e</w:t>
      </w:r>
      <w:r w:rsidR="00793D72" w:rsidRPr="00030838">
        <w:rPr>
          <w:rFonts w:ascii="Times New Roman" w:hAnsi="Times New Roman" w:cs="Times New Roman"/>
        </w:rPr>
        <w:t xml:space="preserve">se modo, </w:t>
      </w:r>
      <w:r w:rsidRPr="00030838">
        <w:rPr>
          <w:rFonts w:ascii="Times New Roman" w:hAnsi="Times New Roman" w:cs="Times New Roman"/>
        </w:rPr>
        <w:t>la protección del derecho a la vida</w:t>
      </w:r>
      <w:r w:rsidR="00793D72" w:rsidRPr="00030838">
        <w:rPr>
          <w:rFonts w:ascii="Times New Roman" w:hAnsi="Times New Roman" w:cs="Times New Roman"/>
        </w:rPr>
        <w:t xml:space="preserve"> establecido</w:t>
      </w:r>
      <w:r w:rsidR="00BB0DAC">
        <w:rPr>
          <w:rFonts w:ascii="Times New Roman" w:hAnsi="Times New Roman" w:cs="Times New Roman"/>
        </w:rPr>
        <w:t>,</w:t>
      </w:r>
      <w:r w:rsidR="00793D72" w:rsidRPr="00030838">
        <w:rPr>
          <w:rFonts w:ascii="Times New Roman" w:hAnsi="Times New Roman" w:cs="Times New Roman"/>
        </w:rPr>
        <w:t xml:space="preserve"> no sólo en los más altos instrumentos de derechos humanos, como el que supervisa este Comité, sino también en una gran gama de Constituciones nacionales</w:t>
      </w:r>
      <w:r w:rsidR="009570BE">
        <w:rPr>
          <w:rFonts w:ascii="Times New Roman" w:hAnsi="Times New Roman" w:cs="Times New Roman"/>
        </w:rPr>
        <w:t>, consider</w:t>
      </w:r>
      <w:r w:rsidR="003854F6">
        <w:rPr>
          <w:rFonts w:ascii="Times New Roman" w:hAnsi="Times New Roman" w:cs="Times New Roman"/>
        </w:rPr>
        <w:t xml:space="preserve">amos pertinente que </w:t>
      </w:r>
      <w:r w:rsidR="00693C36">
        <w:rPr>
          <w:rFonts w:ascii="Times New Roman" w:hAnsi="Times New Roman" w:cs="Times New Roman"/>
        </w:rPr>
        <w:t xml:space="preserve">puede </w:t>
      </w:r>
      <w:r w:rsidRPr="00030838">
        <w:rPr>
          <w:rFonts w:ascii="Times New Roman" w:hAnsi="Times New Roman" w:cs="Times New Roman"/>
        </w:rPr>
        <w:t xml:space="preserve">ser entendida de manera </w:t>
      </w:r>
      <w:r w:rsidR="009E160B" w:rsidRPr="00030838">
        <w:rPr>
          <w:rFonts w:ascii="Times New Roman" w:hAnsi="Times New Roman" w:cs="Times New Roman"/>
        </w:rPr>
        <w:t>amplia, con el fin de no penalizar</w:t>
      </w:r>
      <w:r w:rsidRPr="00030838">
        <w:rPr>
          <w:rFonts w:ascii="Times New Roman" w:hAnsi="Times New Roman" w:cs="Times New Roman"/>
        </w:rPr>
        <w:t xml:space="preserve"> intervenciones médicas indispensables </w:t>
      </w:r>
      <w:r w:rsidR="009E160B" w:rsidRPr="00030838">
        <w:rPr>
          <w:rFonts w:ascii="Times New Roman" w:hAnsi="Times New Roman" w:cs="Times New Roman"/>
        </w:rPr>
        <w:t xml:space="preserve">que </w:t>
      </w:r>
      <w:r w:rsidRPr="00030838">
        <w:rPr>
          <w:rFonts w:ascii="Times New Roman" w:hAnsi="Times New Roman" w:cs="Times New Roman"/>
        </w:rPr>
        <w:t>salvaguarda</w:t>
      </w:r>
      <w:r w:rsidR="009E160B" w:rsidRPr="00030838">
        <w:rPr>
          <w:rFonts w:ascii="Times New Roman" w:hAnsi="Times New Roman" w:cs="Times New Roman"/>
        </w:rPr>
        <w:t>n</w:t>
      </w:r>
      <w:r w:rsidRPr="00030838">
        <w:rPr>
          <w:rFonts w:ascii="Times New Roman" w:hAnsi="Times New Roman" w:cs="Times New Roman"/>
        </w:rPr>
        <w:t xml:space="preserve"> la vida </w:t>
      </w:r>
      <w:r w:rsidR="00030838" w:rsidRPr="00030838">
        <w:rPr>
          <w:rFonts w:ascii="Times New Roman" w:hAnsi="Times New Roman" w:cs="Times New Roman"/>
        </w:rPr>
        <w:t xml:space="preserve">–con dignidad y calidad- </w:t>
      </w:r>
      <w:r w:rsidRPr="00030838">
        <w:rPr>
          <w:rFonts w:ascii="Times New Roman" w:hAnsi="Times New Roman" w:cs="Times New Roman"/>
        </w:rPr>
        <w:t xml:space="preserve">de las mujeres y niñas cuando se determina que existe riesgo de daño </w:t>
      </w:r>
      <w:r w:rsidR="009E160B" w:rsidRPr="00030838">
        <w:rPr>
          <w:rFonts w:ascii="Times New Roman" w:hAnsi="Times New Roman" w:cs="Times New Roman"/>
        </w:rPr>
        <w:t xml:space="preserve">irreparable </w:t>
      </w:r>
      <w:r w:rsidRPr="00030838">
        <w:rPr>
          <w:rFonts w:ascii="Times New Roman" w:hAnsi="Times New Roman" w:cs="Times New Roman"/>
        </w:rPr>
        <w:t xml:space="preserve">ocasionado por </w:t>
      </w:r>
      <w:r w:rsidR="00BB0DAC">
        <w:rPr>
          <w:rFonts w:ascii="Times New Roman" w:hAnsi="Times New Roman" w:cs="Times New Roman"/>
        </w:rPr>
        <w:t xml:space="preserve">la continuación de </w:t>
      </w:r>
      <w:r w:rsidRPr="00030838">
        <w:rPr>
          <w:rFonts w:ascii="Times New Roman" w:hAnsi="Times New Roman" w:cs="Times New Roman"/>
        </w:rPr>
        <w:t>un embarazo.</w:t>
      </w:r>
    </w:p>
    <w:p w14:paraId="13591B0E" w14:textId="77777777" w:rsidR="00247713" w:rsidRPr="00030838" w:rsidRDefault="00247713" w:rsidP="00247713">
      <w:pPr>
        <w:suppressAutoHyphens/>
        <w:spacing w:after="120" w:line="276" w:lineRule="auto"/>
        <w:ind w:left="-76"/>
        <w:contextualSpacing/>
        <w:jc w:val="both"/>
        <w:rPr>
          <w:rFonts w:ascii="Times New Roman" w:hAnsi="Times New Roman" w:cs="Times New Roman"/>
        </w:rPr>
      </w:pPr>
    </w:p>
    <w:p w14:paraId="2A976519" w14:textId="1992DDFB" w:rsidR="00247713" w:rsidRPr="00030838" w:rsidRDefault="00DC00A7" w:rsidP="00247713">
      <w:pPr>
        <w:suppressAutoHyphens/>
        <w:spacing w:after="120" w:line="276" w:lineRule="auto"/>
        <w:ind w:left="-76"/>
        <w:contextualSpacing/>
        <w:jc w:val="both"/>
        <w:rPr>
          <w:rFonts w:ascii="Times New Roman" w:hAnsi="Times New Roman" w:cs="Times New Roman"/>
        </w:rPr>
      </w:pPr>
      <w:r w:rsidRPr="00030838">
        <w:rPr>
          <w:rFonts w:ascii="Times New Roman" w:hAnsi="Times New Roman" w:cs="Times New Roman"/>
        </w:rPr>
        <w:t>Si bien el párrafo así establecido es, sin duda alguna, un avance fundamental de interpretación para garantizar y mejorar el acceso a los derechos de las mujeres y las niñas</w:t>
      </w:r>
      <w:r w:rsidR="00F30609" w:rsidRPr="00030838">
        <w:rPr>
          <w:rFonts w:ascii="Times New Roman" w:hAnsi="Times New Roman" w:cs="Times New Roman"/>
        </w:rPr>
        <w:t xml:space="preserve">, </w:t>
      </w:r>
      <w:r w:rsidR="001246B7" w:rsidRPr="00030838">
        <w:rPr>
          <w:rFonts w:ascii="Times New Roman" w:hAnsi="Times New Roman" w:cs="Times New Roman"/>
        </w:rPr>
        <w:t>creemos</w:t>
      </w:r>
      <w:r w:rsidR="00F30609" w:rsidRPr="00030838">
        <w:rPr>
          <w:rFonts w:ascii="Times New Roman" w:hAnsi="Times New Roman" w:cs="Times New Roman"/>
        </w:rPr>
        <w:t xml:space="preserve"> que es necesario que </w:t>
      </w:r>
      <w:r w:rsidRPr="00030838">
        <w:rPr>
          <w:rFonts w:ascii="Times New Roman" w:hAnsi="Times New Roman" w:cs="Times New Roman"/>
        </w:rPr>
        <w:t xml:space="preserve">este numeral </w:t>
      </w:r>
      <w:r w:rsidR="00F30609" w:rsidRPr="00030838">
        <w:rPr>
          <w:rFonts w:ascii="Times New Roman" w:hAnsi="Times New Roman" w:cs="Times New Roman"/>
        </w:rPr>
        <w:t xml:space="preserve">sea más explícito en aclarar </w:t>
      </w:r>
      <w:r w:rsidR="009A37D4" w:rsidRPr="00030838">
        <w:rPr>
          <w:rFonts w:ascii="Times New Roman" w:hAnsi="Times New Roman" w:cs="Times New Roman"/>
        </w:rPr>
        <w:t>que,</w:t>
      </w:r>
      <w:r w:rsidR="005F7921" w:rsidRPr="00030838">
        <w:rPr>
          <w:rFonts w:ascii="Times New Roman" w:hAnsi="Times New Roman" w:cs="Times New Roman"/>
        </w:rPr>
        <w:t xml:space="preserve"> aunque los Estados parte puede</w:t>
      </w:r>
      <w:r w:rsidR="00EF56B0" w:rsidRPr="00030838">
        <w:rPr>
          <w:rFonts w:ascii="Times New Roman" w:hAnsi="Times New Roman" w:cs="Times New Roman"/>
        </w:rPr>
        <w:t>n</w:t>
      </w:r>
      <w:r w:rsidR="005F7921" w:rsidRPr="00030838">
        <w:rPr>
          <w:rFonts w:ascii="Times New Roman" w:hAnsi="Times New Roman" w:cs="Times New Roman"/>
        </w:rPr>
        <w:t xml:space="preserve"> establecer protecciones a la vid</w:t>
      </w:r>
      <w:r w:rsidR="005F7921" w:rsidRPr="00030838">
        <w:rPr>
          <w:rFonts w:ascii="Times New Roman" w:hAnsi="Times New Roman" w:cs="Times New Roman"/>
          <w:color w:val="000000" w:themeColor="text1"/>
        </w:rPr>
        <w:t xml:space="preserve">a, </w:t>
      </w:r>
      <w:r w:rsidR="005F7921" w:rsidRPr="00030838">
        <w:rPr>
          <w:rFonts w:ascii="Times New Roman" w:hAnsi="Times New Roman" w:cs="Times New Roman"/>
        </w:rPr>
        <w:t>las mismas no pueden interpretarse de forma restrictiva para establecer prohibiciones totales o altamente restrictivas del aborto, es decir, cuando la vida o la</w:t>
      </w:r>
      <w:r w:rsidR="001246B7">
        <w:rPr>
          <w:rFonts w:ascii="Times New Roman" w:hAnsi="Times New Roman" w:cs="Times New Roman"/>
        </w:rPr>
        <w:t xml:space="preserve"> salud integral (física, </w:t>
      </w:r>
      <w:r w:rsidR="005F7921" w:rsidRPr="00030838">
        <w:rPr>
          <w:rFonts w:ascii="Times New Roman" w:hAnsi="Times New Roman" w:cs="Times New Roman"/>
        </w:rPr>
        <w:t>psíquica</w:t>
      </w:r>
      <w:r w:rsidR="001246B7">
        <w:rPr>
          <w:rFonts w:ascii="Times New Roman" w:hAnsi="Times New Roman" w:cs="Times New Roman"/>
        </w:rPr>
        <w:t xml:space="preserve"> o social</w:t>
      </w:r>
      <w:r w:rsidR="005F7921" w:rsidRPr="00030838">
        <w:rPr>
          <w:rFonts w:ascii="Times New Roman" w:hAnsi="Times New Roman" w:cs="Times New Roman"/>
        </w:rPr>
        <w:t>) de la mujer o niña se encuentra en riesgo</w:t>
      </w:r>
      <w:r w:rsidR="001246B7">
        <w:rPr>
          <w:rFonts w:ascii="Times New Roman" w:hAnsi="Times New Roman" w:cs="Times New Roman"/>
        </w:rPr>
        <w:t>,</w:t>
      </w:r>
      <w:r w:rsidR="005F7921" w:rsidRPr="00030838">
        <w:rPr>
          <w:rFonts w:ascii="Times New Roman" w:hAnsi="Times New Roman" w:cs="Times New Roman"/>
        </w:rPr>
        <w:t xml:space="preserve"> o cuando el embarazo es resultado de violencia sexual</w:t>
      </w:r>
      <w:r w:rsidR="005F7921" w:rsidRPr="00030838">
        <w:rPr>
          <w:rFonts w:ascii="Times New Roman" w:hAnsi="Times New Roman" w:cs="Times New Roman"/>
          <w:b/>
        </w:rPr>
        <w:t>.</w:t>
      </w:r>
      <w:r w:rsidR="005F7921" w:rsidRPr="00030838">
        <w:rPr>
          <w:rFonts w:ascii="Times New Roman" w:hAnsi="Times New Roman" w:cs="Times New Roman"/>
        </w:rPr>
        <w:t xml:space="preserve"> En </w:t>
      </w:r>
      <w:r w:rsidR="005F7921" w:rsidRPr="00030838">
        <w:rPr>
          <w:rFonts w:ascii="Times New Roman" w:hAnsi="Times New Roman" w:cs="Times New Roman"/>
        </w:rPr>
        <w:lastRenderedPageBreak/>
        <w:t>consecuencia, debe quedar explícito que cuando se establezcan protecciones a la vida, las mismas deben h</w:t>
      </w:r>
      <w:r w:rsidR="00EF56B0" w:rsidRPr="00030838">
        <w:rPr>
          <w:rFonts w:ascii="Times New Roman" w:hAnsi="Times New Roman" w:cs="Times New Roman"/>
        </w:rPr>
        <w:t xml:space="preserve">acerse efectivas </w:t>
      </w:r>
      <w:r w:rsidR="000E629D" w:rsidRPr="00030838">
        <w:rPr>
          <w:rFonts w:ascii="Times New Roman" w:hAnsi="Times New Roman" w:cs="Times New Roman"/>
        </w:rPr>
        <w:t xml:space="preserve">también </w:t>
      </w:r>
      <w:r w:rsidR="00EF56B0" w:rsidRPr="00030838">
        <w:rPr>
          <w:rFonts w:ascii="Times New Roman" w:hAnsi="Times New Roman" w:cs="Times New Roman"/>
        </w:rPr>
        <w:t>protegiendo</w:t>
      </w:r>
      <w:r w:rsidR="001246B7">
        <w:rPr>
          <w:rFonts w:ascii="Times New Roman" w:hAnsi="Times New Roman" w:cs="Times New Roman"/>
        </w:rPr>
        <w:t xml:space="preserve"> el derecho</w:t>
      </w:r>
      <w:r w:rsidR="00EF56B0" w:rsidRPr="00030838">
        <w:rPr>
          <w:rFonts w:ascii="Times New Roman" w:hAnsi="Times New Roman" w:cs="Times New Roman"/>
        </w:rPr>
        <w:t xml:space="preserve"> de las mujeres </w:t>
      </w:r>
      <w:r w:rsidR="000F7E3A" w:rsidRPr="00030838">
        <w:rPr>
          <w:rFonts w:ascii="Times New Roman" w:hAnsi="Times New Roman" w:cs="Times New Roman"/>
        </w:rPr>
        <w:t xml:space="preserve">a </w:t>
      </w:r>
      <w:r w:rsidR="001246B7">
        <w:rPr>
          <w:rFonts w:ascii="Times New Roman" w:hAnsi="Times New Roman" w:cs="Times New Roman"/>
        </w:rPr>
        <w:t xml:space="preserve">la </w:t>
      </w:r>
      <w:r w:rsidR="000F7E3A" w:rsidRPr="00030838">
        <w:rPr>
          <w:rFonts w:ascii="Times New Roman" w:hAnsi="Times New Roman" w:cs="Times New Roman"/>
        </w:rPr>
        <w:t>vida en condiciones de igualdad, dignidad y sin riesgo</w:t>
      </w:r>
      <w:r w:rsidR="001246B7">
        <w:rPr>
          <w:rFonts w:ascii="Times New Roman" w:hAnsi="Times New Roman" w:cs="Times New Roman"/>
        </w:rPr>
        <w:t>s</w:t>
      </w:r>
      <w:r w:rsidR="00EF56B0" w:rsidRPr="00030838">
        <w:rPr>
          <w:rFonts w:ascii="Times New Roman" w:hAnsi="Times New Roman" w:cs="Times New Roman"/>
          <w:b/>
        </w:rPr>
        <w:t>.</w:t>
      </w:r>
      <w:r w:rsidR="00247713" w:rsidRPr="00030838">
        <w:rPr>
          <w:rFonts w:ascii="Times New Roman" w:hAnsi="Times New Roman" w:cs="Times New Roman"/>
        </w:rPr>
        <w:t xml:space="preserve"> </w:t>
      </w:r>
      <w:r w:rsidR="000E14C8" w:rsidRPr="00030838">
        <w:rPr>
          <w:rFonts w:ascii="Times New Roman" w:hAnsi="Times New Roman" w:cs="Times New Roman"/>
        </w:rPr>
        <w:t xml:space="preserve"> </w:t>
      </w:r>
    </w:p>
    <w:p w14:paraId="70C2A4FD" w14:textId="77777777" w:rsidR="00544994" w:rsidRPr="00030838" w:rsidRDefault="00544994" w:rsidP="000E629D">
      <w:pPr>
        <w:suppressAutoHyphens/>
        <w:spacing w:after="120" w:line="276" w:lineRule="auto"/>
        <w:contextualSpacing/>
        <w:jc w:val="both"/>
        <w:rPr>
          <w:rFonts w:ascii="Times New Roman" w:hAnsi="Times New Roman" w:cs="Times New Roman"/>
        </w:rPr>
      </w:pPr>
    </w:p>
    <w:p w14:paraId="5DCA1B3B" w14:textId="75D51D45" w:rsidR="00784A61" w:rsidRPr="00C771C7" w:rsidRDefault="00F50795" w:rsidP="00C771C7">
      <w:pPr>
        <w:suppressAutoHyphens/>
        <w:spacing w:after="120" w:line="276" w:lineRule="auto"/>
        <w:ind w:left="-76"/>
        <w:contextualSpacing/>
        <w:jc w:val="both"/>
        <w:rPr>
          <w:rFonts w:ascii="Times New Roman" w:hAnsi="Times New Roman" w:cs="Times New Roman"/>
          <w:vertAlign w:val="superscript"/>
        </w:rPr>
      </w:pPr>
      <w:r w:rsidRPr="00030838">
        <w:rPr>
          <w:rFonts w:ascii="Times New Roman" w:hAnsi="Times New Roman" w:cs="Times New Roman"/>
        </w:rPr>
        <w:t xml:space="preserve">En ese mismo sentido, es pertinente tener en cuenta lo establecido por la </w:t>
      </w:r>
      <w:r w:rsidR="000F7E3A" w:rsidRPr="00030838">
        <w:rPr>
          <w:rFonts w:ascii="Times New Roman" w:hAnsi="Times New Roman" w:cs="Times New Roman"/>
        </w:rPr>
        <w:t>Corte IDH</w:t>
      </w:r>
      <w:r w:rsidRPr="00030838">
        <w:rPr>
          <w:rFonts w:ascii="Times New Roman" w:hAnsi="Times New Roman" w:cs="Times New Roman"/>
        </w:rPr>
        <w:t>, mediante el caso Artavia Murillo vs. Costa Rica, en el cual se estableció la interpretación del artículo 4.1 de la Convención Americana (derecho a la vida) para concluir que e</w:t>
      </w:r>
      <w:r w:rsidR="00784A61" w:rsidRPr="00030838">
        <w:rPr>
          <w:rFonts w:ascii="Times New Roman" w:hAnsi="Times New Roman" w:cs="Times New Roman"/>
        </w:rPr>
        <w:t>l derecho a la vida debe ser interpretado de manera amplia</w:t>
      </w:r>
      <w:r w:rsidRPr="00030838">
        <w:rPr>
          <w:rFonts w:ascii="Times New Roman" w:hAnsi="Times New Roman" w:cs="Times New Roman"/>
        </w:rPr>
        <w:t>, sin que ello signifique que tenga un</w:t>
      </w:r>
      <w:r w:rsidR="00784A61" w:rsidRPr="00030838">
        <w:rPr>
          <w:rFonts w:ascii="Times New Roman" w:hAnsi="Times New Roman" w:cs="Times New Roman"/>
        </w:rPr>
        <w:t xml:space="preserve"> carácter de derecho absoluto. </w:t>
      </w:r>
      <w:r w:rsidRPr="00030838">
        <w:rPr>
          <w:rFonts w:ascii="Times New Roman" w:hAnsi="Times New Roman" w:cs="Times New Roman"/>
        </w:rPr>
        <w:t>Así, la Corte</w:t>
      </w:r>
      <w:r w:rsidR="00391BBF" w:rsidRPr="00030838">
        <w:rPr>
          <w:rFonts w:ascii="Times New Roman" w:hAnsi="Times New Roman" w:cs="Times New Roman"/>
        </w:rPr>
        <w:t xml:space="preserve"> IDH </w:t>
      </w:r>
      <w:r w:rsidRPr="00030838">
        <w:rPr>
          <w:rFonts w:ascii="Times New Roman" w:hAnsi="Times New Roman" w:cs="Times New Roman"/>
        </w:rPr>
        <w:t>estableció que e</w:t>
      </w:r>
      <w:r w:rsidR="00784A61" w:rsidRPr="00030838">
        <w:rPr>
          <w:rFonts w:ascii="Times New Roman" w:hAnsi="Times New Roman" w:cs="Times New Roman"/>
        </w:rPr>
        <w:t>l derecho a la vida admite excepciones que son el resultado de ponderar este derecho frente a otros derechos fundamentales</w:t>
      </w:r>
      <w:r w:rsidR="00784A61" w:rsidRPr="00030838">
        <w:rPr>
          <w:rFonts w:ascii="Times New Roman" w:hAnsi="Times New Roman" w:cs="Times New Roman"/>
          <w:vertAlign w:val="superscript"/>
        </w:rPr>
        <w:footnoteReference w:id="10"/>
      </w:r>
      <w:r w:rsidRPr="00030838">
        <w:rPr>
          <w:rFonts w:ascii="Times New Roman" w:hAnsi="Times New Roman" w:cs="Times New Roman"/>
        </w:rPr>
        <w:t xml:space="preserve"> y que, por tanto,</w:t>
      </w:r>
      <w:r w:rsidR="00391BBF" w:rsidRPr="00030838">
        <w:rPr>
          <w:rFonts w:ascii="Times New Roman" w:hAnsi="Times New Roman" w:cs="Times New Roman"/>
        </w:rPr>
        <w:t xml:space="preserve"> </w:t>
      </w:r>
      <w:r w:rsidR="00784A61" w:rsidRPr="00030838">
        <w:rPr>
          <w:rFonts w:ascii="Times New Roman" w:hAnsi="Times New Roman" w:cs="Times New Roman"/>
        </w:rPr>
        <w:t>el derecho a la vida desde la concepción se garantiza de modo incremental, según su desarrollo, y admite excepciones</w:t>
      </w:r>
      <w:r w:rsidR="00784A61" w:rsidRPr="00030838">
        <w:rPr>
          <w:rFonts w:ascii="Times New Roman" w:hAnsi="Times New Roman" w:cs="Times New Roman"/>
          <w:vertAlign w:val="superscript"/>
        </w:rPr>
        <w:footnoteReference w:id="11"/>
      </w:r>
      <w:r w:rsidR="00247713" w:rsidRPr="00030838">
        <w:rPr>
          <w:rFonts w:ascii="Times New Roman" w:hAnsi="Times New Roman" w:cs="Times New Roman"/>
        </w:rPr>
        <w:t>.</w:t>
      </w:r>
      <w:r w:rsidR="00784A61" w:rsidRPr="00030838">
        <w:rPr>
          <w:rFonts w:ascii="Times New Roman" w:hAnsi="Times New Roman" w:cs="Times New Roman"/>
          <w:vertAlign w:val="superscript"/>
        </w:rPr>
        <w:t xml:space="preserve"> </w:t>
      </w:r>
      <w:r w:rsidR="00247713" w:rsidRPr="00030838">
        <w:rPr>
          <w:rFonts w:ascii="Times New Roman" w:hAnsi="Times New Roman" w:cs="Times New Roman"/>
        </w:rPr>
        <w:t>Por lo anterior, la protección a la vida debe entenderse como parte del derecho a la maternidad segura</w:t>
      </w:r>
      <w:r w:rsidR="00030838" w:rsidRPr="00030838">
        <w:rPr>
          <w:rFonts w:ascii="Times New Roman" w:hAnsi="Times New Roman" w:cs="Times New Roman"/>
        </w:rPr>
        <w:t xml:space="preserve"> de las mujeres</w:t>
      </w:r>
      <w:r w:rsidR="00247713" w:rsidRPr="00030838">
        <w:rPr>
          <w:rFonts w:ascii="Times New Roman" w:hAnsi="Times New Roman" w:cs="Times New Roman"/>
        </w:rPr>
        <w:t>, el cual forma parte del conjunto de los der</w:t>
      </w:r>
      <w:r w:rsidR="00211F79">
        <w:rPr>
          <w:rFonts w:ascii="Times New Roman" w:hAnsi="Times New Roman" w:cs="Times New Roman"/>
        </w:rPr>
        <w:t>echos sexuales y reproductivos, el</w:t>
      </w:r>
      <w:r w:rsidR="00247713" w:rsidRPr="00030838">
        <w:rPr>
          <w:rFonts w:ascii="Times New Roman" w:hAnsi="Times New Roman" w:cs="Times New Roman"/>
        </w:rPr>
        <w:t xml:space="preserve"> derecho de toda persona a la vida privada y familiar, a la reproducción, a la vida y a la salud. Se refiere</w:t>
      </w:r>
      <w:r w:rsidR="00030838" w:rsidRPr="00030838">
        <w:rPr>
          <w:rFonts w:ascii="Times New Roman" w:hAnsi="Times New Roman" w:cs="Times New Roman"/>
        </w:rPr>
        <w:t>,</w:t>
      </w:r>
      <w:r w:rsidR="00247713" w:rsidRPr="00030838">
        <w:rPr>
          <w:rFonts w:ascii="Times New Roman" w:hAnsi="Times New Roman" w:cs="Times New Roman"/>
        </w:rPr>
        <w:t xml:space="preserve"> en concreto</w:t>
      </w:r>
      <w:r w:rsidR="00030838" w:rsidRPr="00030838">
        <w:rPr>
          <w:rFonts w:ascii="Times New Roman" w:hAnsi="Times New Roman" w:cs="Times New Roman"/>
        </w:rPr>
        <w:t>,</w:t>
      </w:r>
      <w:r w:rsidR="00247713" w:rsidRPr="00030838">
        <w:rPr>
          <w:rFonts w:ascii="Times New Roman" w:hAnsi="Times New Roman" w:cs="Times New Roman"/>
        </w:rPr>
        <w:t xml:space="preserve"> al derecho de toda mujer a disfrutar de la maternidad libremente elegida y a recibir los cuidados médicos necesarios para el desarrollo de su maternidad con el mayor nivel de salud posible, así como los servicios sociales necesarios para el desarrollo digno de dicha maternidad</w:t>
      </w:r>
      <w:r w:rsidR="00247713" w:rsidRPr="00030838">
        <w:rPr>
          <w:rFonts w:ascii="Times New Roman" w:hAnsi="Times New Roman" w:cs="Times New Roman"/>
          <w:vertAlign w:val="superscript"/>
        </w:rPr>
        <w:footnoteReference w:id="12"/>
      </w:r>
      <w:r w:rsidR="00247713" w:rsidRPr="00030838">
        <w:rPr>
          <w:rFonts w:ascii="Times New Roman" w:hAnsi="Times New Roman" w:cs="Times New Roman"/>
        </w:rPr>
        <w:t xml:space="preserve">. </w:t>
      </w:r>
    </w:p>
    <w:p w14:paraId="764069F4" w14:textId="77777777" w:rsidR="00544994" w:rsidRPr="00030838" w:rsidRDefault="00544994" w:rsidP="00247713">
      <w:pPr>
        <w:suppressAutoHyphens/>
        <w:spacing w:after="120" w:line="276" w:lineRule="auto"/>
        <w:ind w:left="-76"/>
        <w:contextualSpacing/>
        <w:jc w:val="both"/>
        <w:rPr>
          <w:rFonts w:ascii="Times New Roman" w:hAnsi="Times New Roman" w:cs="Times New Roman"/>
        </w:rPr>
      </w:pPr>
    </w:p>
    <w:p w14:paraId="3F1C2605" w14:textId="233AEE54" w:rsidR="00D431C3" w:rsidRPr="00030838" w:rsidRDefault="00211F79" w:rsidP="00C771C7">
      <w:pPr>
        <w:suppressAutoHyphens/>
        <w:spacing w:after="120" w:line="276" w:lineRule="auto"/>
        <w:ind w:left="-76"/>
        <w:contextualSpacing/>
        <w:jc w:val="both"/>
        <w:rPr>
          <w:rFonts w:ascii="Times New Roman" w:hAnsi="Times New Roman" w:cs="Times New Roman"/>
        </w:rPr>
      </w:pPr>
      <w:r>
        <w:rPr>
          <w:rFonts w:ascii="Times New Roman" w:hAnsi="Times New Roman" w:cs="Times New Roman"/>
        </w:rPr>
        <w:t>Por esta razón, deviene la obligación</w:t>
      </w:r>
      <w:r w:rsidR="00784A61" w:rsidRPr="00030838">
        <w:rPr>
          <w:rFonts w:ascii="Times New Roman" w:hAnsi="Times New Roman" w:cs="Times New Roman"/>
        </w:rPr>
        <w:t xml:space="preserve"> d</w:t>
      </w:r>
      <w:r>
        <w:rPr>
          <w:rFonts w:ascii="Times New Roman" w:hAnsi="Times New Roman" w:cs="Times New Roman"/>
        </w:rPr>
        <w:t>e los Estados de garantizar</w:t>
      </w:r>
      <w:r w:rsidR="00784A61" w:rsidRPr="00030838">
        <w:rPr>
          <w:rFonts w:ascii="Times New Roman" w:hAnsi="Times New Roman" w:cs="Times New Roman"/>
        </w:rPr>
        <w:t xml:space="preserve"> este derecho a través de políticas públicas dirigidas a disminuir de manera significativa las tasas de morbilidad y mortalidad materna</w:t>
      </w:r>
      <w:r w:rsidR="004F4E45">
        <w:rPr>
          <w:rFonts w:ascii="Times New Roman" w:hAnsi="Times New Roman" w:cs="Times New Roman"/>
        </w:rPr>
        <w:t>,</w:t>
      </w:r>
      <w:r w:rsidR="004F4E45" w:rsidRPr="004F4E45">
        <w:rPr>
          <w:rFonts w:ascii="Times New Roman" w:hAnsi="Times New Roman" w:cs="Times New Roman"/>
        </w:rPr>
        <w:t xml:space="preserve"> </w:t>
      </w:r>
      <w:r w:rsidR="004F4E45">
        <w:rPr>
          <w:rFonts w:ascii="Times New Roman" w:hAnsi="Times New Roman" w:cs="Times New Roman"/>
        </w:rPr>
        <w:t>ya que l</w:t>
      </w:r>
      <w:r w:rsidR="004F4E45" w:rsidRPr="00030838">
        <w:rPr>
          <w:rFonts w:ascii="Times New Roman" w:hAnsi="Times New Roman" w:cs="Times New Roman"/>
        </w:rPr>
        <w:t>a falta de servicios de salud materna apropiados tiene efectos diferenciales sobre el derecho de la</w:t>
      </w:r>
      <w:r w:rsidR="00C771C7">
        <w:rPr>
          <w:rFonts w:ascii="Times New Roman" w:hAnsi="Times New Roman" w:cs="Times New Roman"/>
        </w:rPr>
        <w:t>s</w:t>
      </w:r>
      <w:r w:rsidR="004F4E45" w:rsidRPr="00030838">
        <w:rPr>
          <w:rFonts w:ascii="Times New Roman" w:hAnsi="Times New Roman" w:cs="Times New Roman"/>
        </w:rPr>
        <w:t xml:space="preserve"> mujer</w:t>
      </w:r>
      <w:r w:rsidR="00582075">
        <w:rPr>
          <w:rFonts w:ascii="Times New Roman" w:hAnsi="Times New Roman" w:cs="Times New Roman"/>
        </w:rPr>
        <w:t>es</w:t>
      </w:r>
      <w:r w:rsidR="004F4E45" w:rsidRPr="00030838">
        <w:rPr>
          <w:rFonts w:ascii="Times New Roman" w:hAnsi="Times New Roman" w:cs="Times New Roman"/>
        </w:rPr>
        <w:t xml:space="preserve"> a la vida</w:t>
      </w:r>
      <w:r w:rsidR="00784A61" w:rsidRPr="00030838">
        <w:rPr>
          <w:rFonts w:ascii="Times New Roman" w:hAnsi="Times New Roman" w:cs="Times New Roman"/>
        </w:rPr>
        <w:t xml:space="preserve">. </w:t>
      </w:r>
      <w:r w:rsidR="00582075">
        <w:rPr>
          <w:rFonts w:ascii="Times New Roman" w:hAnsi="Times New Roman" w:cs="Times New Roman"/>
        </w:rPr>
        <w:t>Por este mo</w:t>
      </w:r>
      <w:r w:rsidR="004F4E45">
        <w:rPr>
          <w:rFonts w:ascii="Times New Roman" w:hAnsi="Times New Roman" w:cs="Times New Roman"/>
        </w:rPr>
        <w:t>tivo</w:t>
      </w:r>
      <w:r w:rsidR="00784A61" w:rsidRPr="00030838">
        <w:rPr>
          <w:rFonts w:ascii="Times New Roman" w:hAnsi="Times New Roman" w:cs="Times New Roman"/>
        </w:rPr>
        <w:t xml:space="preserve">, </w:t>
      </w:r>
      <w:r>
        <w:rPr>
          <w:rFonts w:ascii="Times New Roman" w:hAnsi="Times New Roman" w:cs="Times New Roman"/>
        </w:rPr>
        <w:t>la no criminalización</w:t>
      </w:r>
      <w:r w:rsidR="00784A61" w:rsidRPr="00030838">
        <w:rPr>
          <w:rFonts w:ascii="Times New Roman" w:hAnsi="Times New Roman" w:cs="Times New Roman"/>
        </w:rPr>
        <w:t xml:space="preserve"> </w:t>
      </w:r>
      <w:r>
        <w:rPr>
          <w:rFonts w:ascii="Times New Roman" w:hAnsi="Times New Roman" w:cs="Times New Roman"/>
        </w:rPr>
        <w:t>d</w:t>
      </w:r>
      <w:r w:rsidR="00784A61" w:rsidRPr="00030838">
        <w:rPr>
          <w:rFonts w:ascii="Times New Roman" w:hAnsi="Times New Roman" w:cs="Times New Roman"/>
        </w:rPr>
        <w:t xml:space="preserve">el aborto </w:t>
      </w:r>
      <w:r w:rsidR="00C771C7">
        <w:rPr>
          <w:rFonts w:ascii="Times New Roman" w:hAnsi="Times New Roman" w:cs="Times New Roman"/>
        </w:rPr>
        <w:t>con base</w:t>
      </w:r>
      <w:r w:rsidR="00784A61" w:rsidRPr="00030838">
        <w:rPr>
          <w:rFonts w:ascii="Times New Roman" w:hAnsi="Times New Roman" w:cs="Times New Roman"/>
        </w:rPr>
        <w:t xml:space="preserve"> a la causal</w:t>
      </w:r>
      <w:r>
        <w:rPr>
          <w:rFonts w:ascii="Times New Roman" w:hAnsi="Times New Roman" w:cs="Times New Roman"/>
        </w:rPr>
        <w:t xml:space="preserve"> riesgo para la vida de las mujeres</w:t>
      </w:r>
      <w:r w:rsidR="00784A61" w:rsidRPr="00030838">
        <w:rPr>
          <w:rFonts w:ascii="Times New Roman" w:hAnsi="Times New Roman" w:cs="Times New Roman"/>
        </w:rPr>
        <w:t xml:space="preserve"> es una medida </w:t>
      </w:r>
      <w:r w:rsidR="004F4E45">
        <w:rPr>
          <w:rFonts w:ascii="Times New Roman" w:hAnsi="Times New Roman" w:cs="Times New Roman"/>
        </w:rPr>
        <w:t xml:space="preserve">decisiva </w:t>
      </w:r>
      <w:r w:rsidR="00784A61" w:rsidRPr="00030838">
        <w:rPr>
          <w:rFonts w:ascii="Times New Roman" w:hAnsi="Times New Roman" w:cs="Times New Roman"/>
        </w:rPr>
        <w:t>que contribuye a la d</w:t>
      </w:r>
      <w:r>
        <w:rPr>
          <w:rFonts w:ascii="Times New Roman" w:hAnsi="Times New Roman" w:cs="Times New Roman"/>
        </w:rPr>
        <w:t>isminución de muertes maternas</w:t>
      </w:r>
      <w:r w:rsidR="004F4E45">
        <w:rPr>
          <w:rFonts w:ascii="Times New Roman" w:hAnsi="Times New Roman" w:cs="Times New Roman"/>
        </w:rPr>
        <w:t xml:space="preserve"> y a la garantía de la protección del derecho a la vida en condiciones de igualdad y de dignidad</w:t>
      </w:r>
      <w:r w:rsidR="00784A61" w:rsidRPr="00030838">
        <w:rPr>
          <w:rStyle w:val="FootnoteReference"/>
          <w:rFonts w:ascii="Times New Roman" w:hAnsi="Times New Roman" w:cs="Times New Roman"/>
        </w:rPr>
        <w:footnoteReference w:id="13"/>
      </w:r>
      <w:r w:rsidR="004F4E45">
        <w:rPr>
          <w:rFonts w:ascii="Times New Roman" w:hAnsi="Times New Roman" w:cs="Times New Roman"/>
        </w:rPr>
        <w:t>.</w:t>
      </w:r>
      <w:r w:rsidR="00784A61" w:rsidRPr="00030838">
        <w:rPr>
          <w:rFonts w:ascii="Times New Roman" w:hAnsi="Times New Roman" w:cs="Times New Roman"/>
        </w:rPr>
        <w:t xml:space="preserve"> </w:t>
      </w:r>
    </w:p>
    <w:p w14:paraId="52E11CA3" w14:textId="1B81689D" w:rsidR="00DC00A7" w:rsidRDefault="00DC00A7" w:rsidP="00247713">
      <w:pPr>
        <w:suppressAutoHyphens/>
        <w:spacing w:after="120" w:line="276" w:lineRule="auto"/>
        <w:ind w:left="-76"/>
        <w:contextualSpacing/>
        <w:jc w:val="both"/>
        <w:rPr>
          <w:rFonts w:ascii="Times New Roman" w:hAnsi="Times New Roman" w:cs="Times New Roman"/>
        </w:rPr>
      </w:pPr>
    </w:p>
    <w:p w14:paraId="4E971983" w14:textId="346E392A" w:rsidR="0026153C" w:rsidRDefault="0026153C" w:rsidP="00247713">
      <w:pPr>
        <w:suppressAutoHyphens/>
        <w:spacing w:after="120" w:line="276" w:lineRule="auto"/>
        <w:ind w:left="-76"/>
        <w:contextualSpacing/>
        <w:jc w:val="both"/>
        <w:rPr>
          <w:rFonts w:ascii="Times New Roman" w:hAnsi="Times New Roman" w:cs="Times New Roman"/>
        </w:rPr>
      </w:pPr>
      <w:r>
        <w:rPr>
          <w:rFonts w:ascii="Times New Roman" w:hAnsi="Times New Roman" w:cs="Times New Roman"/>
        </w:rPr>
        <w:t>Cristina Rosero Arteaga</w:t>
      </w:r>
    </w:p>
    <w:p w14:paraId="41AC13AA" w14:textId="6DF4433A" w:rsidR="0026153C" w:rsidRPr="0026153C" w:rsidRDefault="0026153C" w:rsidP="00247713">
      <w:pPr>
        <w:suppressAutoHyphens/>
        <w:spacing w:after="120" w:line="276" w:lineRule="auto"/>
        <w:ind w:left="-76"/>
        <w:contextualSpacing/>
        <w:jc w:val="both"/>
        <w:rPr>
          <w:rFonts w:ascii="Times New Roman" w:hAnsi="Times New Roman" w:cs="Times New Roman"/>
          <w:b/>
        </w:rPr>
      </w:pPr>
      <w:r w:rsidRPr="0026153C">
        <w:rPr>
          <w:rFonts w:ascii="Times New Roman" w:hAnsi="Times New Roman" w:cs="Times New Roman"/>
          <w:b/>
        </w:rPr>
        <w:t xml:space="preserve">Abogada </w:t>
      </w:r>
    </w:p>
    <w:p w14:paraId="62A19224" w14:textId="77777777" w:rsidR="0026153C" w:rsidRDefault="00E67BC1" w:rsidP="0026153C">
      <w:pPr>
        <w:suppressAutoHyphens/>
        <w:spacing w:after="120" w:line="276" w:lineRule="auto"/>
        <w:ind w:left="-76"/>
        <w:contextualSpacing/>
        <w:jc w:val="both"/>
        <w:rPr>
          <w:rFonts w:ascii="Times New Roman" w:hAnsi="Times New Roman" w:cs="Times New Roman"/>
        </w:rPr>
      </w:pPr>
      <w:hyperlink r:id="rId9" w:history="1">
        <w:r w:rsidR="0026153C" w:rsidRPr="001460CE">
          <w:rPr>
            <w:rStyle w:val="Hyperlink"/>
            <w:rFonts w:ascii="Times New Roman" w:hAnsi="Times New Roman" w:cs="Times New Roman"/>
          </w:rPr>
          <w:t>c.rosero@womenslinkworldwide.org</w:t>
        </w:r>
      </w:hyperlink>
      <w:r w:rsidR="0026153C">
        <w:rPr>
          <w:rFonts w:ascii="Times New Roman" w:hAnsi="Times New Roman" w:cs="Times New Roman"/>
        </w:rPr>
        <w:t xml:space="preserve"> </w:t>
      </w:r>
    </w:p>
    <w:p w14:paraId="017B3030" w14:textId="77777777" w:rsidR="0026153C" w:rsidRDefault="0026153C" w:rsidP="00247713">
      <w:pPr>
        <w:suppressAutoHyphens/>
        <w:spacing w:after="120" w:line="276" w:lineRule="auto"/>
        <w:ind w:left="-76"/>
        <w:contextualSpacing/>
        <w:jc w:val="both"/>
        <w:rPr>
          <w:rFonts w:ascii="Times New Roman" w:hAnsi="Times New Roman" w:cs="Times New Roman"/>
        </w:rPr>
      </w:pPr>
    </w:p>
    <w:p w14:paraId="4EC40533" w14:textId="2246C3B7" w:rsidR="0026153C" w:rsidRDefault="0026153C" w:rsidP="0026153C">
      <w:pPr>
        <w:suppressAutoHyphens/>
        <w:spacing w:after="120" w:line="276" w:lineRule="auto"/>
        <w:ind w:left="-76"/>
        <w:contextualSpacing/>
        <w:jc w:val="both"/>
        <w:rPr>
          <w:rFonts w:ascii="Times New Roman" w:hAnsi="Times New Roman" w:cs="Times New Roman"/>
        </w:rPr>
      </w:pPr>
      <w:r>
        <w:rPr>
          <w:rFonts w:ascii="Times New Roman" w:hAnsi="Times New Roman" w:cs="Times New Roman"/>
        </w:rPr>
        <w:t>Estefanny Molina Martínez</w:t>
      </w:r>
    </w:p>
    <w:p w14:paraId="3599D1FF" w14:textId="77777777" w:rsidR="0026153C" w:rsidRPr="0026153C" w:rsidRDefault="0026153C" w:rsidP="00247713">
      <w:pPr>
        <w:suppressAutoHyphens/>
        <w:spacing w:after="120" w:line="276" w:lineRule="auto"/>
        <w:ind w:left="-76"/>
        <w:contextualSpacing/>
        <w:jc w:val="both"/>
        <w:rPr>
          <w:rFonts w:ascii="Times New Roman" w:hAnsi="Times New Roman" w:cs="Times New Roman"/>
          <w:b/>
        </w:rPr>
      </w:pPr>
      <w:r w:rsidRPr="0026153C">
        <w:rPr>
          <w:rFonts w:ascii="Times New Roman" w:hAnsi="Times New Roman" w:cs="Times New Roman"/>
          <w:b/>
        </w:rPr>
        <w:t>Abogada</w:t>
      </w:r>
    </w:p>
    <w:p w14:paraId="25DE94FD" w14:textId="6919EA84" w:rsidR="0026153C" w:rsidRPr="00030838" w:rsidRDefault="00E67BC1" w:rsidP="00247713">
      <w:pPr>
        <w:suppressAutoHyphens/>
        <w:spacing w:after="120" w:line="276" w:lineRule="auto"/>
        <w:ind w:left="-76"/>
        <w:contextualSpacing/>
        <w:jc w:val="both"/>
        <w:rPr>
          <w:rFonts w:ascii="Times New Roman" w:hAnsi="Times New Roman" w:cs="Times New Roman"/>
        </w:rPr>
      </w:pPr>
      <w:hyperlink r:id="rId10" w:history="1">
        <w:r w:rsidR="0026153C" w:rsidRPr="001460CE">
          <w:rPr>
            <w:rStyle w:val="Hyperlink"/>
            <w:rFonts w:ascii="Times New Roman" w:hAnsi="Times New Roman" w:cs="Times New Roman"/>
          </w:rPr>
          <w:t>e.molina@womenslinkworldwide.org</w:t>
        </w:r>
      </w:hyperlink>
    </w:p>
    <w:sectPr w:rsidR="0026153C" w:rsidRPr="00030838" w:rsidSect="00247713">
      <w:headerReference w:type="default" r:id="rId11"/>
      <w:footerReference w:type="even" r:id="rId12"/>
      <w:footerReference w:type="default" r:id="rId13"/>
      <w:pgSz w:w="11900" w:h="16840"/>
      <w:pgMar w:top="1758"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5E0D" w14:textId="77777777" w:rsidR="008D1508" w:rsidRDefault="008D1508" w:rsidP="00784A61">
      <w:r>
        <w:separator/>
      </w:r>
    </w:p>
  </w:endnote>
  <w:endnote w:type="continuationSeparator" w:id="0">
    <w:p w14:paraId="040ABFE5" w14:textId="77777777" w:rsidR="008D1508" w:rsidRDefault="008D1508" w:rsidP="007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EED5" w14:textId="77777777" w:rsidR="00DC252D" w:rsidRDefault="00DC252D" w:rsidP="001460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61B58" w14:textId="77777777" w:rsidR="00DC252D" w:rsidRDefault="00DC252D" w:rsidP="00DC2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4B41" w14:textId="275FAF78" w:rsidR="00DC252D" w:rsidRPr="00DC252D" w:rsidRDefault="00DC252D" w:rsidP="001460CE">
    <w:pPr>
      <w:pStyle w:val="Footer"/>
      <w:framePr w:wrap="none" w:vAnchor="text" w:hAnchor="margin" w:xAlign="right" w:y="1"/>
      <w:rPr>
        <w:rStyle w:val="PageNumber"/>
        <w:rFonts w:ascii="Times New Roman" w:hAnsi="Times New Roman" w:cs="Times New Roman"/>
        <w:sz w:val="20"/>
        <w:szCs w:val="20"/>
      </w:rPr>
    </w:pPr>
    <w:r w:rsidRPr="00DC252D">
      <w:rPr>
        <w:rStyle w:val="PageNumber"/>
        <w:rFonts w:ascii="Times New Roman" w:hAnsi="Times New Roman" w:cs="Times New Roman"/>
        <w:sz w:val="20"/>
        <w:szCs w:val="20"/>
      </w:rPr>
      <w:fldChar w:fldCharType="begin"/>
    </w:r>
    <w:r w:rsidRPr="00DC252D">
      <w:rPr>
        <w:rStyle w:val="PageNumber"/>
        <w:rFonts w:ascii="Times New Roman" w:hAnsi="Times New Roman" w:cs="Times New Roman"/>
        <w:sz w:val="20"/>
        <w:szCs w:val="20"/>
      </w:rPr>
      <w:instrText xml:space="preserve">PAGE  </w:instrText>
    </w:r>
    <w:r w:rsidRPr="00DC252D">
      <w:rPr>
        <w:rStyle w:val="PageNumber"/>
        <w:rFonts w:ascii="Times New Roman" w:hAnsi="Times New Roman" w:cs="Times New Roman"/>
        <w:sz w:val="20"/>
        <w:szCs w:val="20"/>
      </w:rPr>
      <w:fldChar w:fldCharType="separate"/>
    </w:r>
    <w:r w:rsidR="00E67BC1">
      <w:rPr>
        <w:rStyle w:val="PageNumber"/>
        <w:rFonts w:ascii="Times New Roman" w:hAnsi="Times New Roman" w:cs="Times New Roman"/>
        <w:noProof/>
        <w:sz w:val="20"/>
        <w:szCs w:val="20"/>
      </w:rPr>
      <w:t>1</w:t>
    </w:r>
    <w:r w:rsidRPr="00DC252D">
      <w:rPr>
        <w:rStyle w:val="PageNumber"/>
        <w:rFonts w:ascii="Times New Roman" w:hAnsi="Times New Roman" w:cs="Times New Roman"/>
        <w:sz w:val="20"/>
        <w:szCs w:val="20"/>
      </w:rPr>
      <w:fldChar w:fldCharType="end"/>
    </w:r>
  </w:p>
  <w:p w14:paraId="34A93642" w14:textId="77777777" w:rsidR="00DC252D" w:rsidRDefault="00DC252D" w:rsidP="00DC25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2C45" w14:textId="77777777" w:rsidR="008D1508" w:rsidRDefault="008D1508" w:rsidP="00784A61">
      <w:r>
        <w:separator/>
      </w:r>
    </w:p>
  </w:footnote>
  <w:footnote w:type="continuationSeparator" w:id="0">
    <w:p w14:paraId="64E1090C" w14:textId="77777777" w:rsidR="008D1508" w:rsidRDefault="008D1508" w:rsidP="00784A61">
      <w:r>
        <w:continuationSeparator/>
      </w:r>
    </w:p>
  </w:footnote>
  <w:footnote w:id="1">
    <w:p w14:paraId="71B40D8D" w14:textId="77777777" w:rsidR="00793D72" w:rsidRPr="003C7B07" w:rsidRDefault="00793D72" w:rsidP="00AF300A">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Observaciones finales del Comité de Derechos Humanos: Brasil (1996). Doc. ONU CCPR/C/79/Add.66, 24 de julio, párrafo 25. Véase, también: Observaciones finales del Comité de Derechos Humanos: Colombia (1997). Doc. ONU CCPR/C/79/Add.76, 5 de mayo, párrafo 35. </w:t>
      </w:r>
    </w:p>
  </w:footnote>
  <w:footnote w:id="2">
    <w:p w14:paraId="2378C66C" w14:textId="77777777" w:rsidR="00793D72" w:rsidRPr="003C7B07" w:rsidRDefault="00793D72" w:rsidP="00AF300A">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Interamericana de Derechos Humanos (1999). </w:t>
      </w:r>
      <w:r w:rsidRPr="003C7B07">
        <w:rPr>
          <w:rFonts w:ascii="Times New Roman" w:hAnsi="Times New Roman" w:cs="Times New Roman"/>
          <w:i/>
          <w:sz w:val="18"/>
          <w:szCs w:val="18"/>
        </w:rPr>
        <w:t>Caso de los “Niños de la Calle” (Villagrán Morales y otros) Vs. Guatemala</w:t>
      </w:r>
      <w:r w:rsidRPr="003C7B07">
        <w:rPr>
          <w:rFonts w:ascii="Times New Roman" w:hAnsi="Times New Roman" w:cs="Times New Roman"/>
          <w:sz w:val="18"/>
          <w:szCs w:val="18"/>
        </w:rPr>
        <w:t>. Fondo. Sentencia de 19 de noviembre de 1999. Serie C No. 63, párrafo. 144.</w:t>
      </w:r>
    </w:p>
  </w:footnote>
  <w:footnote w:id="3">
    <w:p w14:paraId="6B60DBCC" w14:textId="77777777" w:rsidR="00793D72" w:rsidRPr="003C7B07" w:rsidRDefault="00793D72" w:rsidP="0087055A">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w:t>
      </w:r>
      <w:r w:rsidRPr="003C7B07">
        <w:rPr>
          <w:rFonts w:ascii="Times New Roman" w:hAnsi="Times New Roman" w:cs="Times New Roman"/>
          <w:color w:val="000000"/>
          <w:sz w:val="18"/>
          <w:szCs w:val="18"/>
          <w:shd w:val="clear" w:color="auto" w:fill="FFFFFF"/>
        </w:rPr>
        <w:t>Corte de Apelaciones de Valdivia (2009). Rol N° 103-2009, de 14 de mayo. Véase, también: Corte de Apelaciones de Temuco (2013). Rol N° 724-2013, de 27 marzo;</w:t>
      </w:r>
      <w:r w:rsidRPr="003C7B07">
        <w:rPr>
          <w:rFonts w:ascii="Times New Roman" w:hAnsi="Times New Roman" w:cs="Times New Roman"/>
          <w:sz w:val="18"/>
          <w:szCs w:val="18"/>
        </w:rPr>
        <w:t xml:space="preserve"> </w:t>
      </w:r>
      <w:r w:rsidRPr="003C7B07">
        <w:rPr>
          <w:rFonts w:ascii="Times New Roman" w:hAnsi="Times New Roman" w:cs="Times New Roman"/>
          <w:color w:val="000000" w:themeColor="text1"/>
          <w:sz w:val="18"/>
          <w:szCs w:val="18"/>
        </w:rPr>
        <w:t xml:space="preserve">Corte Constitucional de Colombia (2004). Sentencias No. </w:t>
      </w:r>
      <w:r w:rsidRPr="003C7B07">
        <w:rPr>
          <w:rFonts w:ascii="Times New Roman" w:hAnsi="Times New Roman" w:cs="Times New Roman"/>
          <w:sz w:val="18"/>
          <w:szCs w:val="18"/>
        </w:rPr>
        <w:t>T-881 de y T-</w:t>
      </w:r>
      <w:hyperlink r:id="rId1" w:anchor="Inicio" w:history="1">
        <w:r w:rsidRPr="003C7B07">
          <w:rPr>
            <w:rFonts w:ascii="Times New Roman" w:hAnsi="Times New Roman" w:cs="Times New Roman"/>
            <w:sz w:val="18"/>
            <w:szCs w:val="18"/>
          </w:rPr>
          <w:t>220</w:t>
        </w:r>
      </w:hyperlink>
      <w:r w:rsidRPr="003C7B07">
        <w:rPr>
          <w:rFonts w:ascii="Times New Roman" w:hAnsi="Times New Roman" w:cs="Times New Roman"/>
          <w:sz w:val="18"/>
          <w:szCs w:val="18"/>
        </w:rPr>
        <w:t>.</w:t>
      </w:r>
    </w:p>
  </w:footnote>
  <w:footnote w:id="4">
    <w:p w14:paraId="7DDD14A5" w14:textId="77777777" w:rsidR="00793D72" w:rsidRPr="003C7B07" w:rsidRDefault="00793D72" w:rsidP="00AF300A">
      <w:pPr>
        <w:pStyle w:val="FootnoteText"/>
        <w:tabs>
          <w:tab w:val="left" w:pos="8647"/>
        </w:tabs>
        <w:jc w:val="both"/>
        <w:rPr>
          <w:rFonts w:ascii="Times New Roman" w:hAnsi="Times New Roman" w:cs="Times New Roman"/>
          <w:sz w:val="18"/>
          <w:szCs w:val="18"/>
          <w:lang w:val="es-ES_tradnl"/>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w:t>
      </w:r>
      <w:r w:rsidRPr="003C7B07">
        <w:rPr>
          <w:rFonts w:ascii="Times New Roman" w:hAnsi="Times New Roman" w:cs="Times New Roman"/>
          <w:color w:val="000000" w:themeColor="text1"/>
          <w:sz w:val="18"/>
          <w:szCs w:val="18"/>
        </w:rPr>
        <w:t xml:space="preserve">Corte Constitucional de Colombia (2007). Sentencias No. T–725 y </w:t>
      </w:r>
      <w:r w:rsidRPr="003C7B07">
        <w:rPr>
          <w:rFonts w:ascii="Times New Roman" w:hAnsi="Times New Roman" w:cs="Times New Roman"/>
          <w:sz w:val="18"/>
          <w:szCs w:val="18"/>
        </w:rPr>
        <w:t>T–579.</w:t>
      </w:r>
    </w:p>
  </w:footnote>
  <w:footnote w:id="5">
    <w:p w14:paraId="256E01BE" w14:textId="215B7A38" w:rsidR="00793D72" w:rsidRPr="003C7B07" w:rsidRDefault="00793D72" w:rsidP="00732BEC">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Interamericana de Derechos Humanos (1999).  </w:t>
      </w:r>
      <w:r w:rsidRPr="003C7B07">
        <w:rPr>
          <w:rFonts w:ascii="Times New Roman" w:hAnsi="Times New Roman" w:cs="Times New Roman"/>
          <w:i/>
          <w:sz w:val="18"/>
          <w:szCs w:val="18"/>
        </w:rPr>
        <w:t>Caso de los “Niños de la Calle” (Villagrán Morales y otros) Vs. Guatemala</w:t>
      </w:r>
      <w:r w:rsidRPr="003C7B07">
        <w:rPr>
          <w:rFonts w:ascii="Times New Roman" w:hAnsi="Times New Roman" w:cs="Times New Roman"/>
          <w:sz w:val="18"/>
          <w:szCs w:val="18"/>
        </w:rPr>
        <w:t>. Fondo. Sentencia de 19 de noviembre de 1999. Serie C No. 63. Voto concurrente de A.A Cancado y A. Abreu Bureli. Voto concurrente de A.A. Cancado y A. Ab</w:t>
      </w:r>
      <w:r w:rsidR="003C7B07" w:rsidRPr="003C7B07">
        <w:rPr>
          <w:rFonts w:ascii="Times New Roman" w:hAnsi="Times New Roman" w:cs="Times New Roman"/>
          <w:sz w:val="18"/>
          <w:szCs w:val="18"/>
        </w:rPr>
        <w:t xml:space="preserve">reu Bureli, párrafo </w:t>
      </w:r>
      <w:r w:rsidRPr="003C7B07">
        <w:rPr>
          <w:rFonts w:ascii="Times New Roman" w:hAnsi="Times New Roman" w:cs="Times New Roman"/>
          <w:sz w:val="18"/>
          <w:szCs w:val="18"/>
        </w:rPr>
        <w:t>8</w:t>
      </w:r>
      <w:r w:rsidR="003C7B07" w:rsidRPr="003C7B07">
        <w:rPr>
          <w:rFonts w:ascii="Times New Roman" w:hAnsi="Times New Roman" w:cs="Times New Roman"/>
          <w:sz w:val="18"/>
          <w:szCs w:val="18"/>
        </w:rPr>
        <w:t>.</w:t>
      </w:r>
    </w:p>
  </w:footnote>
  <w:footnote w:id="6">
    <w:p w14:paraId="08459CFC" w14:textId="77777777" w:rsidR="00793D72" w:rsidRPr="003C7B07" w:rsidRDefault="00793D72" w:rsidP="00732BEC">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b/>
          <w:sz w:val="18"/>
          <w:szCs w:val="18"/>
        </w:rPr>
        <w:footnoteRef/>
      </w:r>
      <w:r w:rsidRPr="003C7B07">
        <w:rPr>
          <w:rFonts w:ascii="Times New Roman" w:hAnsi="Times New Roman" w:cs="Times New Roman"/>
          <w:b/>
          <w:sz w:val="18"/>
          <w:szCs w:val="18"/>
        </w:rPr>
        <w:t xml:space="preserve"> </w:t>
      </w:r>
      <w:r w:rsidRPr="003C7B07">
        <w:rPr>
          <w:rFonts w:ascii="Times New Roman" w:hAnsi="Times New Roman" w:cs="Times New Roman"/>
          <w:sz w:val="18"/>
          <w:szCs w:val="18"/>
        </w:rPr>
        <w:t xml:space="preserve">Corte Interamericana de Derechos Humanos (1998). </w:t>
      </w:r>
      <w:r w:rsidRPr="003C7B07">
        <w:rPr>
          <w:rFonts w:ascii="Times New Roman" w:hAnsi="Times New Roman" w:cs="Times New Roman"/>
          <w:bCs/>
          <w:i/>
          <w:sz w:val="18"/>
          <w:szCs w:val="18"/>
        </w:rPr>
        <w:t xml:space="preserve">Caso Loayza Tamayo Vs. Perú. </w:t>
      </w:r>
      <w:r w:rsidRPr="003C7B07">
        <w:rPr>
          <w:rFonts w:ascii="Times New Roman" w:hAnsi="Times New Roman" w:cs="Times New Roman"/>
          <w:bCs/>
          <w:sz w:val="18"/>
          <w:szCs w:val="18"/>
        </w:rPr>
        <w:t>Reparaciones y Costas</w:t>
      </w:r>
      <w:r w:rsidRPr="003C7B07">
        <w:rPr>
          <w:rFonts w:ascii="Times New Roman" w:hAnsi="Times New Roman" w:cs="Times New Roman"/>
          <w:b/>
          <w:bCs/>
          <w:sz w:val="18"/>
          <w:szCs w:val="18"/>
        </w:rPr>
        <w:t>.</w:t>
      </w:r>
      <w:r w:rsidRPr="003C7B07">
        <w:rPr>
          <w:rFonts w:ascii="Times New Roman" w:hAnsi="Times New Roman" w:cs="Times New Roman"/>
          <w:b/>
          <w:bCs/>
          <w:i/>
          <w:sz w:val="18"/>
          <w:szCs w:val="18"/>
        </w:rPr>
        <w:t xml:space="preserve"> </w:t>
      </w:r>
      <w:r w:rsidRPr="003C7B07">
        <w:rPr>
          <w:rStyle w:val="Strong"/>
          <w:rFonts w:ascii="Times New Roman" w:hAnsi="Times New Roman" w:cs="Times New Roman"/>
          <w:b w:val="0"/>
          <w:color w:val="000000"/>
          <w:sz w:val="18"/>
          <w:szCs w:val="18"/>
          <w:shd w:val="clear" w:color="auto" w:fill="FFFFFF"/>
        </w:rPr>
        <w:t>Sentencia de 27 de noviembre de 1998. Serie C No. 42</w:t>
      </w:r>
      <w:r w:rsidRPr="003C7B07">
        <w:rPr>
          <w:rStyle w:val="Strong"/>
          <w:rFonts w:ascii="Times New Roman" w:hAnsi="Times New Roman" w:cs="Times New Roman"/>
          <w:color w:val="000000"/>
          <w:sz w:val="18"/>
          <w:szCs w:val="18"/>
          <w:shd w:val="clear" w:color="auto" w:fill="FFFFFF"/>
        </w:rPr>
        <w:t>.</w:t>
      </w:r>
      <w:r w:rsidRPr="003C7B07">
        <w:rPr>
          <w:rFonts w:ascii="Times New Roman" w:hAnsi="Times New Roman" w:cs="Times New Roman"/>
          <w:i/>
          <w:sz w:val="18"/>
          <w:szCs w:val="18"/>
        </w:rPr>
        <w:t xml:space="preserve"> "por lo que se trata de un concepto que se asocia a la realización personal; ésta, a su vez, se sostiene en las opciones que el sujeto tiene para conducir su vida y alcanzar su destino</w:t>
      </w:r>
      <w:r w:rsidRPr="003C7B07">
        <w:rPr>
          <w:rFonts w:ascii="Times New Roman" w:hAnsi="Times New Roman" w:cs="Times New Roman"/>
          <w:sz w:val="18"/>
          <w:szCs w:val="18"/>
        </w:rPr>
        <w:t xml:space="preserve">". </w:t>
      </w:r>
    </w:p>
  </w:footnote>
  <w:footnote w:id="7">
    <w:p w14:paraId="71A4238B" w14:textId="77777777" w:rsidR="00793D72" w:rsidRPr="003C7B07" w:rsidRDefault="00793D72" w:rsidP="00732BEC">
      <w:pPr>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Constitucional de Colombia (2006). Sentencia No. C-355/06.</w:t>
      </w:r>
    </w:p>
  </w:footnote>
  <w:footnote w:id="8">
    <w:p w14:paraId="73322C4C" w14:textId="7F49BFE0" w:rsidR="00793D72" w:rsidRPr="003C7B07" w:rsidRDefault="00793D72" w:rsidP="00913998">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w:t>
      </w:r>
      <w:r w:rsidRPr="003C7B07">
        <w:rPr>
          <w:rFonts w:ascii="Times New Roman" w:eastAsiaTheme="minorHAnsi" w:hAnsi="Times New Roman" w:cs="Times New Roman"/>
          <w:sz w:val="18"/>
          <w:szCs w:val="18"/>
        </w:rPr>
        <w:t xml:space="preserve">Corte Interamericana de Derechos Humanos (2013). Solicitud de Medidas Provisionales respecto de México, </w:t>
      </w:r>
      <w:r w:rsidRPr="003C7B07">
        <w:rPr>
          <w:rFonts w:ascii="Times New Roman" w:eastAsiaTheme="minorHAnsi" w:hAnsi="Times New Roman" w:cs="Times New Roman"/>
          <w:i/>
          <w:sz w:val="18"/>
          <w:szCs w:val="18"/>
        </w:rPr>
        <w:t>Asunto Castro Rodríguez</w:t>
      </w:r>
      <w:r w:rsidRPr="003C7B07">
        <w:rPr>
          <w:rFonts w:ascii="Times New Roman" w:eastAsiaTheme="minorHAnsi" w:hAnsi="Times New Roman" w:cs="Times New Roman"/>
          <w:sz w:val="18"/>
          <w:szCs w:val="18"/>
        </w:rPr>
        <w:t>, considerando noveno, p</w:t>
      </w:r>
      <w:r w:rsidR="00791A34" w:rsidRPr="003C7B07">
        <w:rPr>
          <w:rFonts w:ascii="Times New Roman" w:eastAsiaTheme="minorHAnsi" w:hAnsi="Times New Roman" w:cs="Times New Roman"/>
          <w:sz w:val="18"/>
          <w:szCs w:val="18"/>
        </w:rPr>
        <w:t>árrafo 9</w:t>
      </w:r>
      <w:r w:rsidRPr="003C7B07">
        <w:rPr>
          <w:rFonts w:ascii="Times New Roman" w:eastAsiaTheme="minorHAnsi" w:hAnsi="Times New Roman" w:cs="Times New Roman"/>
          <w:sz w:val="18"/>
          <w:szCs w:val="18"/>
        </w:rPr>
        <w:t>.</w:t>
      </w:r>
    </w:p>
  </w:footnote>
  <w:footnote w:id="9">
    <w:p w14:paraId="121AA749" w14:textId="77777777" w:rsidR="002E0A13" w:rsidRPr="003C7B07" w:rsidRDefault="002E0A13" w:rsidP="002E0A13">
      <w:pPr>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Interamericana de Derechos Humanos (1999).  </w:t>
      </w:r>
      <w:r w:rsidRPr="003C7B07">
        <w:rPr>
          <w:rFonts w:ascii="Times New Roman" w:hAnsi="Times New Roman" w:cs="Times New Roman"/>
          <w:i/>
          <w:sz w:val="18"/>
          <w:szCs w:val="18"/>
        </w:rPr>
        <w:t>Caso de los “Niños de la Calle” (Villagrán Morales y otros) Vs. Guatemala</w:t>
      </w:r>
      <w:r w:rsidRPr="003C7B07">
        <w:rPr>
          <w:rFonts w:ascii="Times New Roman" w:hAnsi="Times New Roman" w:cs="Times New Roman"/>
          <w:sz w:val="18"/>
          <w:szCs w:val="18"/>
        </w:rPr>
        <w:t xml:space="preserve">. Fondo. Sentencia de 19 de noviembre de 1999. Serie C No. 63. Voto concurrente de A.A Cançado y A. Abreu Bureli, </w:t>
      </w:r>
      <w:r w:rsidRPr="003C7B07">
        <w:rPr>
          <w:rFonts w:ascii="Times New Roman" w:eastAsiaTheme="minorHAnsi" w:hAnsi="Times New Roman" w:cs="Times New Roman"/>
          <w:sz w:val="18"/>
          <w:szCs w:val="18"/>
        </w:rPr>
        <w:t>párrafo 2.</w:t>
      </w:r>
    </w:p>
  </w:footnote>
  <w:footnote w:id="10">
    <w:p w14:paraId="0158A870" w14:textId="59185C9A" w:rsidR="00793D72" w:rsidRPr="003C7B07" w:rsidRDefault="00793D72" w:rsidP="00784A61">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Interamericana de Derechos Humanos (2012), en el caso Artavia Murillo (párrafos 258-259) se afirmó que la protección del derecho a la vida desde la concepción no puede justificar la negación total de otros derechos y que las restricciones desproporcionadas de otros derechos bajo una defensa de la protección absoluta del derecho a la vida, es contrario a la tutela de los derechos humanos. En la misma línea, la Suprema Corte de Justicia de la Nación de México (Acción de Inconstitucionalidad 146/2007 y su acumulada 147/2007,pp. 154-155) afirmó de manera contundente que se acepta</w:t>
      </w:r>
      <w:r w:rsidRPr="003C7B07">
        <w:rPr>
          <w:rFonts w:ascii="Times New Roman" w:hAnsi="Times New Roman" w:cs="Times New Roman"/>
          <w:i/>
          <w:sz w:val="18"/>
          <w:szCs w:val="18"/>
        </w:rPr>
        <w:t xml:space="preserve"> “como verdadero que si no se está vivo no se puede ejercer ningún derecho, pero de ahí no podríamos deducir que el derecho a la vida goce de preeminencia frente a cualquier otro derecho (...) Es evidente que si no existe un individuo vivo, no hay posibilidad de que se ejerzan los derechos establecidos constitucionalmente, pero de ahí no se sigue que la vida se condición de existencia de los demás derechos, menos la necesidad de otorgarle una posición lógicamente preeminente frente a los demás. Aceptar un argumento semejante destruiría la naturaleza relacional de los derechos fundamentales, así como su fundamento democrático. Los derechos fundamentales se establecen para limitar el ejercicio de los derechos de la mayoría sobre la minoría, pero no para la expresión de un último valor fundamental del Estado el cual devenga intangible jurídicamente”.</w:t>
      </w:r>
    </w:p>
  </w:footnote>
  <w:footnote w:id="11">
    <w:p w14:paraId="41427986" w14:textId="77777777" w:rsidR="00793D72" w:rsidRPr="003C7B07" w:rsidRDefault="00793D72" w:rsidP="00784A61">
      <w:pPr>
        <w:pStyle w:val="FootnoteText"/>
        <w:jc w:val="both"/>
        <w:rPr>
          <w:rFonts w:ascii="Times New Roman" w:hAnsi="Times New Roman" w:cs="Times New Roman"/>
          <w:sz w:val="18"/>
          <w:szCs w:val="18"/>
        </w:rPr>
      </w:pPr>
      <w:r w:rsidRPr="003C7B07">
        <w:rPr>
          <w:rStyle w:val="FootnoteReference"/>
          <w:rFonts w:ascii="Times New Roman" w:hAnsi="Times New Roman" w:cs="Times New Roman"/>
          <w:sz w:val="18"/>
          <w:szCs w:val="18"/>
        </w:rPr>
        <w:footnoteRef/>
      </w:r>
      <w:r w:rsidRPr="003C7B07">
        <w:rPr>
          <w:rFonts w:ascii="Times New Roman" w:hAnsi="Times New Roman" w:cs="Times New Roman"/>
          <w:sz w:val="18"/>
          <w:szCs w:val="18"/>
        </w:rPr>
        <w:t xml:space="preserve"> Corte Interamericana de Derechos Humanos (2012). </w:t>
      </w:r>
      <w:hyperlink r:id="rId2" w:history="1">
        <w:r w:rsidRPr="003C7B07">
          <w:rPr>
            <w:rFonts w:ascii="Times New Roman" w:hAnsi="Times New Roman" w:cs="Times New Roman"/>
            <w:sz w:val="18"/>
            <w:szCs w:val="18"/>
          </w:rPr>
          <w:t>Caso Artavia Murillo y otros (“Fecundación In Vitro”) Vs. Costa Rica</w:t>
        </w:r>
      </w:hyperlink>
      <w:r w:rsidRPr="003C7B07">
        <w:rPr>
          <w:rFonts w:ascii="Times New Roman" w:hAnsi="Times New Roman" w:cs="Times New Roman"/>
          <w:sz w:val="18"/>
          <w:szCs w:val="18"/>
        </w:rPr>
        <w:t>. Excepciones Preliminares, Fondo, Reparaciones y Costas. Sentencia de 28 noviembre de 2012. Serie C No. 257, párrafo 264.</w:t>
      </w:r>
    </w:p>
  </w:footnote>
  <w:footnote w:id="12">
    <w:p w14:paraId="1188AB6A" w14:textId="77777777" w:rsidR="00793D72" w:rsidRPr="003C7B07" w:rsidRDefault="00793D72" w:rsidP="00247713">
      <w:pPr>
        <w:pStyle w:val="FootnoteText"/>
        <w:jc w:val="both"/>
        <w:rPr>
          <w:rFonts w:ascii="Times New Roman" w:hAnsi="Times New Roman" w:cs="Times New Roman"/>
          <w:sz w:val="18"/>
          <w:szCs w:val="18"/>
        </w:rPr>
      </w:pPr>
      <w:r w:rsidRPr="003C7B07">
        <w:rPr>
          <w:rFonts w:ascii="Times New Roman" w:hAnsi="Times New Roman" w:cs="Times New Roman"/>
          <w:sz w:val="18"/>
          <w:szCs w:val="18"/>
          <w:vertAlign w:val="superscript"/>
        </w:rPr>
        <w:footnoteRef/>
      </w:r>
      <w:r w:rsidRPr="003C7B07">
        <w:rPr>
          <w:rFonts w:ascii="Times New Roman" w:hAnsi="Times New Roman" w:cs="Times New Roman"/>
          <w:sz w:val="18"/>
          <w:szCs w:val="18"/>
        </w:rPr>
        <w:t xml:space="preserve"> Organización Panamericana de la Salud (c.a.). Maternidad Segura en América Latina y el Caribe. Disponible [En línea] en: </w:t>
      </w:r>
      <w:hyperlink r:id="rId3" w:history="1">
        <w:r w:rsidRPr="003C7B07">
          <w:rPr>
            <w:rStyle w:val="Hyperlink"/>
            <w:rFonts w:ascii="Times New Roman" w:hAnsi="Times New Roman" w:cs="Times New Roman"/>
            <w:sz w:val="18"/>
            <w:szCs w:val="18"/>
          </w:rPr>
          <w:t>www.paho.org/hq/index.php?option=com_content&amp;view=article&amp;id=12632%3Asafe-motherhood-lac&amp;catid=1340%3Ageneral-fgl&amp;Itemid=42199&amp;lang=es</w:t>
        </w:r>
      </w:hyperlink>
      <w:r w:rsidRPr="003C7B07">
        <w:rPr>
          <w:rFonts w:ascii="Times New Roman" w:hAnsi="Times New Roman" w:cs="Times New Roman"/>
          <w:sz w:val="18"/>
          <w:szCs w:val="18"/>
        </w:rPr>
        <w:t xml:space="preserve"> </w:t>
      </w:r>
    </w:p>
  </w:footnote>
  <w:footnote w:id="13">
    <w:p w14:paraId="2E3CE34C" w14:textId="40D0B252" w:rsidR="00793D72" w:rsidRPr="003C7B07" w:rsidRDefault="00793D72" w:rsidP="00693AAF">
      <w:pPr>
        <w:pStyle w:val="FootnoteText"/>
        <w:jc w:val="both"/>
        <w:rPr>
          <w:rFonts w:ascii="Times New Roman" w:hAnsi="Times New Roman" w:cs="Times New Roman"/>
          <w:i/>
          <w:sz w:val="18"/>
          <w:szCs w:val="18"/>
        </w:rPr>
      </w:pPr>
      <w:r w:rsidRPr="003C7B07">
        <w:rPr>
          <w:rFonts w:ascii="Times New Roman" w:hAnsi="Times New Roman" w:cs="Times New Roman"/>
          <w:sz w:val="18"/>
          <w:szCs w:val="18"/>
          <w:vertAlign w:val="superscript"/>
        </w:rPr>
        <w:footnoteRef/>
      </w:r>
      <w:r w:rsidRPr="003C7B07">
        <w:rPr>
          <w:rFonts w:ascii="Times New Roman" w:hAnsi="Times New Roman" w:cs="Times New Roman"/>
          <w:sz w:val="18"/>
          <w:szCs w:val="18"/>
        </w:rPr>
        <w:t xml:space="preserve"> </w:t>
      </w:r>
      <w:r w:rsidRPr="003C7B07">
        <w:rPr>
          <w:rFonts w:ascii="Times New Roman" w:hAnsi="Times New Roman" w:cs="Times New Roman"/>
          <w:i/>
          <w:sz w:val="18"/>
          <w:szCs w:val="18"/>
        </w:rPr>
        <w:t xml:space="preserve">Op. Cit. </w:t>
      </w:r>
      <w:r w:rsidR="004F4E45">
        <w:rPr>
          <w:rFonts w:ascii="Times New Roman" w:hAnsi="Times New Roman" w:cs="Times New Roman"/>
          <w:sz w:val="18"/>
          <w:szCs w:val="18"/>
        </w:rPr>
        <w:t>Nota 11</w:t>
      </w:r>
      <w:r w:rsidRPr="003C7B07">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4E3A" w14:textId="09C61AFB" w:rsidR="00793D72" w:rsidRDefault="00793D72" w:rsidP="00247713">
    <w:pPr>
      <w:pStyle w:val="Header"/>
      <w:jc w:val="center"/>
    </w:pPr>
    <w:r>
      <w:rPr>
        <w:rFonts w:eastAsia="Times New Roman"/>
        <w:noProof/>
        <w:lang w:val="en-GB" w:eastAsia="en-GB"/>
      </w:rPr>
      <w:drawing>
        <wp:inline distT="0" distB="0" distL="0" distR="0" wp14:anchorId="1005C429" wp14:editId="48431C7B">
          <wp:extent cx="3086235" cy="348520"/>
          <wp:effectExtent l="0" t="0" r="0" b="7620"/>
          <wp:docPr id="7" name="Imagen 7" descr="cid:591B7818-8CFB-4042-956C-75C8B0236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23C5AA-A475-4A6B-9571-921B06F9AD7F" descr="cid:591B7818-8CFB-4042-956C-75C8B02368E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13851" cy="362931"/>
                  </a:xfrm>
                  <a:prstGeom prst="rect">
                    <a:avLst/>
                  </a:prstGeom>
                  <a:noFill/>
                  <a:ln>
                    <a:noFill/>
                  </a:ln>
                </pic:spPr>
              </pic:pic>
            </a:graphicData>
          </a:graphic>
        </wp:inline>
      </w:drawing>
    </w:r>
  </w:p>
  <w:p w14:paraId="1201EC14" w14:textId="6C5CCCBD" w:rsidR="00793D72" w:rsidRDefault="00793D72" w:rsidP="006C28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3C9"/>
    <w:multiLevelType w:val="hybridMultilevel"/>
    <w:tmpl w:val="31F4A85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1994A11"/>
    <w:multiLevelType w:val="hybridMultilevel"/>
    <w:tmpl w:val="94A036BA"/>
    <w:lvl w:ilvl="0" w:tplc="040A0013">
      <w:start w:val="1"/>
      <w:numFmt w:val="upperRoman"/>
      <w:lvlText w:val="%1."/>
      <w:lvlJc w:val="righ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6B62D0"/>
    <w:multiLevelType w:val="hybridMultilevel"/>
    <w:tmpl w:val="AD3A1D36"/>
    <w:lvl w:ilvl="0" w:tplc="7660AE0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1E622E1"/>
    <w:multiLevelType w:val="hybridMultilevel"/>
    <w:tmpl w:val="AF607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363CEC"/>
    <w:multiLevelType w:val="hybridMultilevel"/>
    <w:tmpl w:val="F61E8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1D3E1E"/>
    <w:multiLevelType w:val="hybridMultilevel"/>
    <w:tmpl w:val="E3944D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A092FF0"/>
    <w:multiLevelType w:val="hybridMultilevel"/>
    <w:tmpl w:val="870682F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7A7370CE"/>
    <w:multiLevelType w:val="hybridMultilevel"/>
    <w:tmpl w:val="45C02F5C"/>
    <w:lvl w:ilvl="0" w:tplc="9ACABE40">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FFA5DF9"/>
    <w:multiLevelType w:val="hybridMultilevel"/>
    <w:tmpl w:val="AD46D1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4"/>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61"/>
    <w:rsid w:val="00005779"/>
    <w:rsid w:val="00030838"/>
    <w:rsid w:val="000330B4"/>
    <w:rsid w:val="00040915"/>
    <w:rsid w:val="00045AA3"/>
    <w:rsid w:val="000477A9"/>
    <w:rsid w:val="000670BC"/>
    <w:rsid w:val="000678FA"/>
    <w:rsid w:val="00087C7B"/>
    <w:rsid w:val="000969E4"/>
    <w:rsid w:val="000A0839"/>
    <w:rsid w:val="000B3973"/>
    <w:rsid w:val="000B7314"/>
    <w:rsid w:val="000E14C8"/>
    <w:rsid w:val="000E629D"/>
    <w:rsid w:val="000F4B1A"/>
    <w:rsid w:val="000F7E3A"/>
    <w:rsid w:val="00110561"/>
    <w:rsid w:val="00121E8F"/>
    <w:rsid w:val="001246B7"/>
    <w:rsid w:val="0015604D"/>
    <w:rsid w:val="00157B8E"/>
    <w:rsid w:val="00191578"/>
    <w:rsid w:val="001C6AB2"/>
    <w:rsid w:val="001D48B3"/>
    <w:rsid w:val="00211F79"/>
    <w:rsid w:val="0021720E"/>
    <w:rsid w:val="00224C6C"/>
    <w:rsid w:val="00247713"/>
    <w:rsid w:val="002532B6"/>
    <w:rsid w:val="0026153C"/>
    <w:rsid w:val="002726C8"/>
    <w:rsid w:val="002837A7"/>
    <w:rsid w:val="002937C4"/>
    <w:rsid w:val="002A61C1"/>
    <w:rsid w:val="002B2F40"/>
    <w:rsid w:val="002D5C4B"/>
    <w:rsid w:val="002E0A13"/>
    <w:rsid w:val="002E25AE"/>
    <w:rsid w:val="00317A0C"/>
    <w:rsid w:val="003605BA"/>
    <w:rsid w:val="003854F6"/>
    <w:rsid w:val="00391B75"/>
    <w:rsid w:val="00391BBF"/>
    <w:rsid w:val="003969DB"/>
    <w:rsid w:val="003A326B"/>
    <w:rsid w:val="003A386C"/>
    <w:rsid w:val="003C7B07"/>
    <w:rsid w:val="003E41DB"/>
    <w:rsid w:val="004021E7"/>
    <w:rsid w:val="00414C07"/>
    <w:rsid w:val="004463EB"/>
    <w:rsid w:val="004819BB"/>
    <w:rsid w:val="004B2A84"/>
    <w:rsid w:val="004B3D01"/>
    <w:rsid w:val="004C2DED"/>
    <w:rsid w:val="004D3E3D"/>
    <w:rsid w:val="004F4E45"/>
    <w:rsid w:val="00504A5F"/>
    <w:rsid w:val="00510741"/>
    <w:rsid w:val="00544994"/>
    <w:rsid w:val="00556F3B"/>
    <w:rsid w:val="00582075"/>
    <w:rsid w:val="005A6A7E"/>
    <w:rsid w:val="005C0274"/>
    <w:rsid w:val="005C1FF4"/>
    <w:rsid w:val="005C3949"/>
    <w:rsid w:val="005D460E"/>
    <w:rsid w:val="005F7921"/>
    <w:rsid w:val="006550C7"/>
    <w:rsid w:val="00671C80"/>
    <w:rsid w:val="00693AAF"/>
    <w:rsid w:val="00693C36"/>
    <w:rsid w:val="006C0689"/>
    <w:rsid w:val="006C2800"/>
    <w:rsid w:val="006C6457"/>
    <w:rsid w:val="006D38FC"/>
    <w:rsid w:val="006F55D6"/>
    <w:rsid w:val="00707B3A"/>
    <w:rsid w:val="00732BEC"/>
    <w:rsid w:val="00741211"/>
    <w:rsid w:val="007776C9"/>
    <w:rsid w:val="00784A61"/>
    <w:rsid w:val="00791A34"/>
    <w:rsid w:val="00793D72"/>
    <w:rsid w:val="007B7D6A"/>
    <w:rsid w:val="007F5A29"/>
    <w:rsid w:val="00800E52"/>
    <w:rsid w:val="00846C63"/>
    <w:rsid w:val="008470AE"/>
    <w:rsid w:val="008503F0"/>
    <w:rsid w:val="008546B6"/>
    <w:rsid w:val="0087055A"/>
    <w:rsid w:val="0089305B"/>
    <w:rsid w:val="008B0DB3"/>
    <w:rsid w:val="008B1CAB"/>
    <w:rsid w:val="008B5820"/>
    <w:rsid w:val="008C2755"/>
    <w:rsid w:val="008D1508"/>
    <w:rsid w:val="008F3E41"/>
    <w:rsid w:val="00913998"/>
    <w:rsid w:val="00936AC2"/>
    <w:rsid w:val="00944E0D"/>
    <w:rsid w:val="009570BE"/>
    <w:rsid w:val="00983F60"/>
    <w:rsid w:val="009A0B07"/>
    <w:rsid w:val="009A37D4"/>
    <w:rsid w:val="009A573D"/>
    <w:rsid w:val="009D289D"/>
    <w:rsid w:val="009E160B"/>
    <w:rsid w:val="009E415B"/>
    <w:rsid w:val="009F6533"/>
    <w:rsid w:val="00A312D1"/>
    <w:rsid w:val="00A502FE"/>
    <w:rsid w:val="00A81122"/>
    <w:rsid w:val="00A86E2F"/>
    <w:rsid w:val="00AA1055"/>
    <w:rsid w:val="00AB3E56"/>
    <w:rsid w:val="00AF300A"/>
    <w:rsid w:val="00B07809"/>
    <w:rsid w:val="00B42552"/>
    <w:rsid w:val="00B533E0"/>
    <w:rsid w:val="00B73128"/>
    <w:rsid w:val="00B778A8"/>
    <w:rsid w:val="00BB0DAC"/>
    <w:rsid w:val="00BB42E1"/>
    <w:rsid w:val="00BB7014"/>
    <w:rsid w:val="00BB7FEC"/>
    <w:rsid w:val="00BC15AC"/>
    <w:rsid w:val="00BC694D"/>
    <w:rsid w:val="00C15F24"/>
    <w:rsid w:val="00C52C29"/>
    <w:rsid w:val="00C771C7"/>
    <w:rsid w:val="00C90A6F"/>
    <w:rsid w:val="00C944C8"/>
    <w:rsid w:val="00CA6B8F"/>
    <w:rsid w:val="00CF2105"/>
    <w:rsid w:val="00D029DA"/>
    <w:rsid w:val="00D16D4E"/>
    <w:rsid w:val="00D431C3"/>
    <w:rsid w:val="00D714CF"/>
    <w:rsid w:val="00DC00A7"/>
    <w:rsid w:val="00DC252D"/>
    <w:rsid w:val="00DE009A"/>
    <w:rsid w:val="00E34C02"/>
    <w:rsid w:val="00E67BC1"/>
    <w:rsid w:val="00E8300B"/>
    <w:rsid w:val="00E90073"/>
    <w:rsid w:val="00E97B5D"/>
    <w:rsid w:val="00EA17B9"/>
    <w:rsid w:val="00EF56B0"/>
    <w:rsid w:val="00F13E33"/>
    <w:rsid w:val="00F301FE"/>
    <w:rsid w:val="00F30609"/>
    <w:rsid w:val="00F3278E"/>
    <w:rsid w:val="00F50795"/>
    <w:rsid w:val="00F62FF5"/>
    <w:rsid w:val="00F747E1"/>
    <w:rsid w:val="00FF58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8081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A61"/>
    <w:rPr>
      <w:rFonts w:eastAsiaTheme="minorEastAsia"/>
      <w:sz w:val="22"/>
      <w:szCs w:val="22"/>
      <w:lang w:val="es-ES" w:eastAsia="es-ES"/>
    </w:rPr>
  </w:style>
  <w:style w:type="paragraph" w:styleId="Heading1">
    <w:name w:val="heading 1"/>
    <w:basedOn w:val="Normal"/>
    <w:next w:val="Normal"/>
    <w:link w:val="Heading1Char"/>
    <w:uiPriority w:val="9"/>
    <w:qFormat/>
    <w:rsid w:val="00784A61"/>
    <w:pPr>
      <w:keepNext/>
      <w:keepLines/>
      <w:spacing w:before="480"/>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784A61"/>
    <w:pPr>
      <w:keepNext/>
      <w:keepLines/>
      <w:spacing w:before="200"/>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61"/>
    <w:rPr>
      <w:rFonts w:ascii="Calibri" w:eastAsiaTheme="majorEastAsia" w:hAnsi="Calibri" w:cstheme="majorBidi"/>
      <w:b/>
      <w:bCs/>
      <w:szCs w:val="28"/>
      <w:lang w:val="es-ES" w:eastAsia="es-ES"/>
    </w:rPr>
  </w:style>
  <w:style w:type="character" w:customStyle="1" w:styleId="Heading2Char">
    <w:name w:val="Heading 2 Char"/>
    <w:basedOn w:val="DefaultParagraphFont"/>
    <w:link w:val="Heading2"/>
    <w:uiPriority w:val="9"/>
    <w:rsid w:val="00784A61"/>
    <w:rPr>
      <w:rFonts w:ascii="Calibri" w:eastAsiaTheme="majorEastAsia" w:hAnsi="Calibri" w:cstheme="majorBidi"/>
      <w:b/>
      <w:bCs/>
      <w:szCs w:val="26"/>
      <w:lang w:val="es-ES" w:eastAsia="es-ES"/>
    </w:rPr>
  </w:style>
  <w:style w:type="paragraph" w:styleId="ListParagraph">
    <w:name w:val="List Paragraph"/>
    <w:basedOn w:val="Normal"/>
    <w:uiPriority w:val="34"/>
    <w:qFormat/>
    <w:rsid w:val="00784A61"/>
    <w:pPr>
      <w:ind w:left="720"/>
      <w:contextualSpacing/>
    </w:pPr>
  </w:style>
  <w:style w:type="paragraph" w:styleId="FootnoteText">
    <w:name w:val="footnote text"/>
    <w:aliases w:val="Footnote Text Char2,Footnote Text Char Char Char Char Char1,Footnote Text Char Char2,FA Char1,FA Fußnotentext Char1,Footnote Text Char Char Char2,Footnote Text Char Char Char Char Char Char Char1,Footnote Text Char Char Char Char2,FA Fu,C"/>
    <w:basedOn w:val="Normal"/>
    <w:link w:val="FootnoteTextChar"/>
    <w:uiPriority w:val="99"/>
    <w:unhideWhenUsed/>
    <w:rsid w:val="00784A61"/>
    <w:rPr>
      <w:sz w:val="20"/>
      <w:szCs w:val="20"/>
    </w:rPr>
  </w:style>
  <w:style w:type="character" w:customStyle="1" w:styleId="FootnoteTextChar">
    <w:name w:val="Footnote Text Char"/>
    <w:aliases w:val="Footnote Text Char2 Char,Footnote Text Char Char Char Char Char1 Char,Footnote Text Char Char2 Char,FA Char1 Char,FA Fußnotentext Char1 Char,Footnote Text Char Char Char2 Char,Footnote Text Char Char Char Char Char Char Char1 Char"/>
    <w:basedOn w:val="DefaultParagraphFont"/>
    <w:link w:val="FootnoteText"/>
    <w:uiPriority w:val="99"/>
    <w:rsid w:val="00784A61"/>
    <w:rPr>
      <w:rFonts w:eastAsiaTheme="minorEastAsia"/>
      <w:sz w:val="20"/>
      <w:szCs w:val="20"/>
      <w:lang w:val="es-ES" w:eastAsia="es-ES"/>
    </w:rPr>
  </w:style>
  <w:style w:type="character" w:styleId="FootnoteReference">
    <w:name w:val="footnote reference"/>
    <w:aliases w:val="4_G"/>
    <w:basedOn w:val="DefaultParagraphFont"/>
    <w:uiPriority w:val="99"/>
    <w:unhideWhenUsed/>
    <w:rsid w:val="00784A61"/>
    <w:rPr>
      <w:vertAlign w:val="superscript"/>
    </w:rPr>
  </w:style>
  <w:style w:type="character" w:styleId="Strong">
    <w:name w:val="Strong"/>
    <w:basedOn w:val="DefaultParagraphFont"/>
    <w:uiPriority w:val="22"/>
    <w:qFormat/>
    <w:rsid w:val="00784A61"/>
    <w:rPr>
      <w:b/>
      <w:bCs/>
    </w:rPr>
  </w:style>
  <w:style w:type="paragraph" w:styleId="Header">
    <w:name w:val="header"/>
    <w:basedOn w:val="Normal"/>
    <w:link w:val="HeaderChar"/>
    <w:uiPriority w:val="99"/>
    <w:unhideWhenUsed/>
    <w:rsid w:val="00A81122"/>
    <w:pPr>
      <w:tabs>
        <w:tab w:val="center" w:pos="4419"/>
        <w:tab w:val="right" w:pos="8838"/>
      </w:tabs>
    </w:pPr>
  </w:style>
  <w:style w:type="character" w:customStyle="1" w:styleId="HeaderChar">
    <w:name w:val="Header Char"/>
    <w:basedOn w:val="DefaultParagraphFont"/>
    <w:link w:val="Header"/>
    <w:uiPriority w:val="99"/>
    <w:rsid w:val="00A81122"/>
    <w:rPr>
      <w:rFonts w:eastAsiaTheme="minorEastAsia"/>
      <w:sz w:val="22"/>
      <w:szCs w:val="22"/>
      <w:lang w:val="es-ES" w:eastAsia="es-ES"/>
    </w:rPr>
  </w:style>
  <w:style w:type="paragraph" w:styleId="Footer">
    <w:name w:val="footer"/>
    <w:basedOn w:val="Normal"/>
    <w:link w:val="FooterChar"/>
    <w:uiPriority w:val="99"/>
    <w:unhideWhenUsed/>
    <w:rsid w:val="00A81122"/>
    <w:pPr>
      <w:tabs>
        <w:tab w:val="center" w:pos="4419"/>
        <w:tab w:val="right" w:pos="8838"/>
      </w:tabs>
    </w:pPr>
  </w:style>
  <w:style w:type="character" w:customStyle="1" w:styleId="FooterChar">
    <w:name w:val="Footer Char"/>
    <w:basedOn w:val="DefaultParagraphFont"/>
    <w:link w:val="Footer"/>
    <w:uiPriority w:val="99"/>
    <w:rsid w:val="00A81122"/>
    <w:rPr>
      <w:rFonts w:eastAsiaTheme="minorEastAsia"/>
      <w:sz w:val="22"/>
      <w:szCs w:val="22"/>
      <w:lang w:val="es-ES" w:eastAsia="es-ES"/>
    </w:rPr>
  </w:style>
  <w:style w:type="paragraph" w:styleId="BalloonText">
    <w:name w:val="Balloon Text"/>
    <w:basedOn w:val="Normal"/>
    <w:link w:val="BalloonTextChar"/>
    <w:uiPriority w:val="99"/>
    <w:semiHidden/>
    <w:unhideWhenUsed/>
    <w:rsid w:val="00A81122"/>
    <w:rPr>
      <w:rFonts w:ascii="Tahoma" w:hAnsi="Tahoma" w:cs="Tahoma"/>
      <w:sz w:val="16"/>
      <w:szCs w:val="16"/>
    </w:rPr>
  </w:style>
  <w:style w:type="character" w:customStyle="1" w:styleId="BalloonTextChar">
    <w:name w:val="Balloon Text Char"/>
    <w:basedOn w:val="DefaultParagraphFont"/>
    <w:link w:val="BalloonText"/>
    <w:uiPriority w:val="99"/>
    <w:semiHidden/>
    <w:rsid w:val="00A81122"/>
    <w:rPr>
      <w:rFonts w:ascii="Tahoma" w:eastAsiaTheme="minorEastAsia" w:hAnsi="Tahoma" w:cs="Tahoma"/>
      <w:sz w:val="16"/>
      <w:szCs w:val="16"/>
      <w:lang w:val="es-ES" w:eastAsia="es-ES"/>
    </w:rPr>
  </w:style>
  <w:style w:type="character" w:styleId="CommentReference">
    <w:name w:val="annotation reference"/>
    <w:basedOn w:val="DefaultParagraphFont"/>
    <w:uiPriority w:val="99"/>
    <w:semiHidden/>
    <w:unhideWhenUsed/>
    <w:rsid w:val="00707B3A"/>
    <w:rPr>
      <w:sz w:val="16"/>
      <w:szCs w:val="16"/>
    </w:rPr>
  </w:style>
  <w:style w:type="paragraph" w:styleId="CommentText">
    <w:name w:val="annotation text"/>
    <w:basedOn w:val="Normal"/>
    <w:link w:val="CommentTextChar"/>
    <w:uiPriority w:val="99"/>
    <w:semiHidden/>
    <w:unhideWhenUsed/>
    <w:rsid w:val="00707B3A"/>
    <w:rPr>
      <w:sz w:val="20"/>
      <w:szCs w:val="20"/>
    </w:rPr>
  </w:style>
  <w:style w:type="character" w:customStyle="1" w:styleId="CommentTextChar">
    <w:name w:val="Comment Text Char"/>
    <w:basedOn w:val="DefaultParagraphFont"/>
    <w:link w:val="CommentText"/>
    <w:uiPriority w:val="99"/>
    <w:semiHidden/>
    <w:rsid w:val="00707B3A"/>
    <w:rPr>
      <w:rFonts w:eastAsiaTheme="minorEastAsia"/>
      <w:sz w:val="20"/>
      <w:szCs w:val="20"/>
      <w:lang w:val="es-ES" w:eastAsia="es-ES"/>
    </w:rPr>
  </w:style>
  <w:style w:type="paragraph" w:styleId="CommentSubject">
    <w:name w:val="annotation subject"/>
    <w:basedOn w:val="CommentText"/>
    <w:next w:val="CommentText"/>
    <w:link w:val="CommentSubjectChar"/>
    <w:uiPriority w:val="99"/>
    <w:semiHidden/>
    <w:unhideWhenUsed/>
    <w:rsid w:val="00707B3A"/>
    <w:rPr>
      <w:b/>
      <w:bCs/>
    </w:rPr>
  </w:style>
  <w:style w:type="character" w:customStyle="1" w:styleId="CommentSubjectChar">
    <w:name w:val="Comment Subject Char"/>
    <w:basedOn w:val="CommentTextChar"/>
    <w:link w:val="CommentSubject"/>
    <w:uiPriority w:val="99"/>
    <w:semiHidden/>
    <w:rsid w:val="00707B3A"/>
    <w:rPr>
      <w:rFonts w:eastAsiaTheme="minorEastAsia"/>
      <w:b/>
      <w:bCs/>
      <w:sz w:val="20"/>
      <w:szCs w:val="20"/>
      <w:lang w:val="es-ES" w:eastAsia="es-ES"/>
    </w:rPr>
  </w:style>
  <w:style w:type="paragraph" w:styleId="Revision">
    <w:name w:val="Revision"/>
    <w:hidden/>
    <w:uiPriority w:val="99"/>
    <w:semiHidden/>
    <w:rsid w:val="00556F3B"/>
    <w:rPr>
      <w:rFonts w:eastAsiaTheme="minorEastAsia"/>
      <w:sz w:val="22"/>
      <w:szCs w:val="22"/>
      <w:lang w:val="es-ES" w:eastAsia="es-ES"/>
    </w:rPr>
  </w:style>
  <w:style w:type="character" w:styleId="Hyperlink">
    <w:name w:val="Hyperlink"/>
    <w:basedOn w:val="DefaultParagraphFont"/>
    <w:uiPriority w:val="99"/>
    <w:unhideWhenUsed/>
    <w:rsid w:val="00C52C29"/>
    <w:rPr>
      <w:color w:val="0563C1" w:themeColor="hyperlink"/>
      <w:u w:val="single"/>
    </w:rPr>
  </w:style>
  <w:style w:type="character" w:styleId="FollowedHyperlink">
    <w:name w:val="FollowedHyperlink"/>
    <w:basedOn w:val="DefaultParagraphFont"/>
    <w:uiPriority w:val="99"/>
    <w:semiHidden/>
    <w:unhideWhenUsed/>
    <w:rsid w:val="0026153C"/>
    <w:rPr>
      <w:color w:val="954F72" w:themeColor="followedHyperlink"/>
      <w:u w:val="single"/>
    </w:rPr>
  </w:style>
  <w:style w:type="character" w:styleId="PageNumber">
    <w:name w:val="page number"/>
    <w:basedOn w:val="DefaultParagraphFont"/>
    <w:uiPriority w:val="99"/>
    <w:semiHidden/>
    <w:unhideWhenUsed/>
    <w:rsid w:val="00DC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18925">
      <w:bodyDiv w:val="1"/>
      <w:marLeft w:val="0"/>
      <w:marRight w:val="0"/>
      <w:marTop w:val="0"/>
      <w:marBottom w:val="0"/>
      <w:divBdr>
        <w:top w:val="none" w:sz="0" w:space="0" w:color="auto"/>
        <w:left w:val="none" w:sz="0" w:space="0" w:color="auto"/>
        <w:bottom w:val="none" w:sz="0" w:space="0" w:color="auto"/>
        <w:right w:val="none" w:sz="0" w:space="0" w:color="auto"/>
      </w:divBdr>
    </w:div>
    <w:div w:id="948656326">
      <w:bodyDiv w:val="1"/>
      <w:marLeft w:val="0"/>
      <w:marRight w:val="0"/>
      <w:marTop w:val="0"/>
      <w:marBottom w:val="0"/>
      <w:divBdr>
        <w:top w:val="none" w:sz="0" w:space="0" w:color="auto"/>
        <w:left w:val="none" w:sz="0" w:space="0" w:color="auto"/>
        <w:bottom w:val="none" w:sz="0" w:space="0" w:color="auto"/>
        <w:right w:val="none" w:sz="0" w:space="0" w:color="auto"/>
      </w:divBdr>
    </w:div>
    <w:div w:id="1535532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slinkworldwide.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olina@womenslinkworldwide.org" TargetMode="External"/><Relationship Id="rId4" Type="http://schemas.openxmlformats.org/officeDocument/2006/relationships/settings" Target="settings.xml"/><Relationship Id="rId9" Type="http://schemas.openxmlformats.org/officeDocument/2006/relationships/hyperlink" Target="mailto:c.rosero@womenslinkworldwide.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ho.org/hq/index.php?option=com_content&amp;view=article&amp;id=12632%3Asafe-motherhood-lac&amp;catid=1340%3Ageneral-fgl&amp;Itemid=42199&amp;lang=es" TargetMode="External"/><Relationship Id="rId2" Type="http://schemas.openxmlformats.org/officeDocument/2006/relationships/hyperlink" Target="http://www.corteidh.or.cr/docs/casos/articulos/seriec_257_esp.pdf" TargetMode="External"/><Relationship Id="rId1" Type="http://schemas.openxmlformats.org/officeDocument/2006/relationships/hyperlink" Target="http://www.icbf.gov.co/cargues/avance/docs/t-220_200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591B7818-8CFB-4042-956C-75C8B02368E2"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31EF2-A52C-4657-BE9D-81B372A1CCA0}">
  <ds:schemaRefs>
    <ds:schemaRef ds:uri="http://schemas.openxmlformats.org/officeDocument/2006/bibliography"/>
  </ds:schemaRefs>
</ds:datastoreItem>
</file>

<file path=customXml/itemProps2.xml><?xml version="1.0" encoding="utf-8"?>
<ds:datastoreItem xmlns:ds="http://schemas.openxmlformats.org/officeDocument/2006/customXml" ds:itemID="{B4E5158A-D668-4015-B790-DDC8D2FCD5C8}"/>
</file>

<file path=customXml/itemProps3.xml><?xml version="1.0" encoding="utf-8"?>
<ds:datastoreItem xmlns:ds="http://schemas.openxmlformats.org/officeDocument/2006/customXml" ds:itemID="{AD2724A9-DDAC-439F-A74C-46DEAB56516D}"/>
</file>

<file path=customXml/itemProps4.xml><?xml version="1.0" encoding="utf-8"?>
<ds:datastoreItem xmlns:ds="http://schemas.openxmlformats.org/officeDocument/2006/customXml" ds:itemID="{A73C1A1E-CA08-4570-B41A-E3E625444CAB}"/>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10207</Characters>
  <Application>Microsoft Office Word</Application>
  <DocSecurity>0</DocSecurity>
  <Lines>85</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e.molina@womenslinkworldwide.org</dc:creator>
  <cp:lastModifiedBy>Durnescu Lilian</cp:lastModifiedBy>
  <cp:revision>2</cp:revision>
  <cp:lastPrinted>2017-10-02T14:41:00Z</cp:lastPrinted>
  <dcterms:created xsi:type="dcterms:W3CDTF">2017-10-09T08:43:00Z</dcterms:created>
  <dcterms:modified xsi:type="dcterms:W3CDTF">2017-10-09T08:43:00Z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