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E7" w:rsidRDefault="00157EE7" w:rsidP="00115683">
      <w:pPr>
        <w:kinsoku w:val="0"/>
        <w:overflowPunct w:val="0"/>
        <w:autoSpaceDE w:val="0"/>
        <w:autoSpaceDN w:val="0"/>
        <w:adjustRightInd w:val="0"/>
        <w:snapToGrid w:val="0"/>
        <w:spacing w:after="120"/>
        <w:ind w:left="1134" w:right="1134"/>
        <w:jc w:val="right"/>
        <w:rPr>
          <w:rFonts w:eastAsiaTheme="minorHAnsi"/>
          <w:lang w:val="fr-CH"/>
        </w:rPr>
      </w:pPr>
    </w:p>
    <w:p w:rsidR="00157EE7" w:rsidRDefault="00157EE7" w:rsidP="00115683">
      <w:pPr>
        <w:kinsoku w:val="0"/>
        <w:overflowPunct w:val="0"/>
        <w:autoSpaceDE w:val="0"/>
        <w:autoSpaceDN w:val="0"/>
        <w:adjustRightInd w:val="0"/>
        <w:snapToGrid w:val="0"/>
        <w:spacing w:after="120"/>
        <w:ind w:left="1134" w:right="1134"/>
        <w:jc w:val="right"/>
        <w:rPr>
          <w:rFonts w:eastAsiaTheme="minorHAnsi"/>
          <w:lang w:val="fr-CH"/>
        </w:rPr>
      </w:pPr>
    </w:p>
    <w:p w:rsidR="00115683" w:rsidRPr="00115683" w:rsidRDefault="00115683" w:rsidP="00115683">
      <w:pPr>
        <w:kinsoku w:val="0"/>
        <w:overflowPunct w:val="0"/>
        <w:autoSpaceDE w:val="0"/>
        <w:autoSpaceDN w:val="0"/>
        <w:adjustRightInd w:val="0"/>
        <w:snapToGrid w:val="0"/>
        <w:spacing w:after="120"/>
        <w:ind w:left="1134" w:right="1134"/>
        <w:jc w:val="right"/>
        <w:rPr>
          <w:rFonts w:eastAsiaTheme="minorHAnsi"/>
          <w:lang w:val="fr-CH"/>
        </w:rPr>
      </w:pPr>
      <w:bookmarkStart w:id="0" w:name="_GoBack"/>
      <w:bookmarkEnd w:id="0"/>
      <w:r w:rsidRPr="00115683">
        <w:rPr>
          <w:rFonts w:eastAsiaTheme="minorHAnsi"/>
          <w:lang w:val="fr-CH"/>
        </w:rPr>
        <w:t>[Original : français]</w:t>
      </w:r>
    </w:p>
    <w:p w:rsidR="00115683" w:rsidRPr="00115683" w:rsidRDefault="00115683" w:rsidP="00115683">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Theme="minorHAnsi"/>
          <w:b/>
          <w:sz w:val="24"/>
          <w:lang w:val="fr-CH"/>
        </w:rPr>
      </w:pPr>
      <w:r w:rsidRPr="00115683">
        <w:rPr>
          <w:rFonts w:eastAsiaTheme="minorHAnsi"/>
          <w:b/>
          <w:sz w:val="24"/>
          <w:lang w:val="fr-CH"/>
        </w:rPr>
        <w:tab/>
      </w:r>
      <w:r w:rsidRPr="00115683">
        <w:rPr>
          <w:rFonts w:eastAsiaTheme="minorHAnsi"/>
          <w:b/>
          <w:sz w:val="24"/>
          <w:lang w:val="fr-CH"/>
        </w:rPr>
        <w:tab/>
      </w:r>
      <w:proofErr w:type="spellStart"/>
      <w:r w:rsidRPr="00115683">
        <w:rPr>
          <w:rFonts w:eastAsiaTheme="minorHAnsi"/>
          <w:b/>
          <w:sz w:val="24"/>
          <w:lang w:val="fr-CH"/>
        </w:rPr>
        <w:t>Yadh</w:t>
      </w:r>
      <w:proofErr w:type="spellEnd"/>
      <w:r w:rsidRPr="00115683">
        <w:rPr>
          <w:rFonts w:eastAsiaTheme="minorHAnsi"/>
          <w:b/>
          <w:sz w:val="24"/>
          <w:lang w:val="fr-CH"/>
        </w:rPr>
        <w:t xml:space="preserve"> Ben Achour (Tunisie)</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b/>
          <w:bCs/>
          <w:lang w:val="fr-CH"/>
        </w:rPr>
        <w:t>Date et lieu de naissance </w:t>
      </w:r>
      <w:r w:rsidRPr="00115683">
        <w:rPr>
          <w:rFonts w:eastAsiaTheme="minorHAnsi"/>
          <w:lang w:val="fr-CH"/>
        </w:rPr>
        <w:t>: 1</w:t>
      </w:r>
      <w:r w:rsidRPr="00115683">
        <w:rPr>
          <w:rFonts w:eastAsiaTheme="minorHAnsi"/>
          <w:vertAlign w:val="superscript"/>
          <w:lang w:val="fr-CH"/>
        </w:rPr>
        <w:t xml:space="preserve">er </w:t>
      </w:r>
      <w:r w:rsidRPr="00115683">
        <w:rPr>
          <w:rFonts w:eastAsiaTheme="minorHAnsi"/>
          <w:lang w:val="fr-CH"/>
        </w:rPr>
        <w:t xml:space="preserve">juin 1945 à la </w:t>
      </w:r>
      <w:proofErr w:type="spellStart"/>
      <w:r w:rsidRPr="00115683">
        <w:rPr>
          <w:rFonts w:eastAsiaTheme="minorHAnsi"/>
          <w:lang w:val="fr-CH"/>
        </w:rPr>
        <w:t>Marsa</w:t>
      </w:r>
      <w:proofErr w:type="spellEnd"/>
      <w:r w:rsidRPr="00115683">
        <w:rPr>
          <w:rFonts w:eastAsiaTheme="minorHAnsi"/>
          <w:lang w:val="fr-CH"/>
        </w:rPr>
        <w:t xml:space="preserve"> − Tunisie</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b/>
          <w:bCs/>
          <w:lang w:val="fr-CH"/>
        </w:rPr>
        <w:t>Langues de travail </w:t>
      </w:r>
      <w:r w:rsidRPr="00115683">
        <w:rPr>
          <w:rFonts w:eastAsiaTheme="minorHAnsi"/>
          <w:lang w:val="fr-CH"/>
        </w:rPr>
        <w:t>: Français − Arabe</w:t>
      </w:r>
    </w:p>
    <w:p w:rsidR="00115683" w:rsidRPr="00115683" w:rsidRDefault="00115683" w:rsidP="00115683">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Theme="minorHAnsi"/>
          <w:b/>
          <w:lang w:val="fr-CH"/>
        </w:rPr>
      </w:pPr>
      <w:r w:rsidRPr="00115683">
        <w:rPr>
          <w:rFonts w:eastAsiaTheme="minorHAnsi"/>
          <w:b/>
          <w:lang w:val="fr-CH"/>
        </w:rPr>
        <w:tab/>
      </w:r>
      <w:r w:rsidRPr="00115683">
        <w:rPr>
          <w:rFonts w:eastAsiaTheme="minorHAnsi"/>
          <w:b/>
          <w:lang w:val="fr-CH"/>
        </w:rPr>
        <w:tab/>
        <w:t>Situation/Fonction actuelle</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Professeur à la Faculté des Sciences juridiques de Tunis ; Président de la Haute Instance de réalisation des objectifs de la révolution, de la réforme politique et de la transition démocratique en Tunisie.</w:t>
      </w:r>
    </w:p>
    <w:p w:rsidR="00115683" w:rsidRPr="00115683" w:rsidRDefault="00115683" w:rsidP="00115683">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Theme="minorHAnsi"/>
          <w:b/>
          <w:lang w:val="fr-CH"/>
        </w:rPr>
      </w:pPr>
      <w:r w:rsidRPr="00115683">
        <w:rPr>
          <w:rFonts w:eastAsiaTheme="minorHAnsi"/>
          <w:b/>
          <w:lang w:val="fr-CH"/>
        </w:rPr>
        <w:tab/>
      </w:r>
      <w:r w:rsidRPr="00115683">
        <w:rPr>
          <w:rFonts w:eastAsiaTheme="minorHAnsi"/>
          <w:b/>
          <w:lang w:val="fr-CH"/>
        </w:rPr>
        <w:tab/>
        <w:t>Principales activités professionnelles</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Cours de droit constitutionnel, de droit administratif et de relations internationales. Recherches dans les mêmes spécialités attestées par 12 ouvrages et plus de 86 articles de recherche. Membre de plusieurs jurys de recrutement de professeurs et d’assistants et directeur de plusieurs thèses de doctorats. Nombreuses missions et activités académiques en tant que participant, conférencier à nombreux séminaires et colloques. Ancien Doyen de la Faculté des Sciences Juridiques, Politiques et Sociales de Tunis.</w:t>
      </w:r>
    </w:p>
    <w:p w:rsidR="00115683" w:rsidRPr="00115683" w:rsidRDefault="00115683" w:rsidP="00115683">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Theme="minorHAnsi"/>
          <w:b/>
          <w:lang w:val="fr-CH"/>
        </w:rPr>
      </w:pPr>
      <w:r w:rsidRPr="00115683">
        <w:rPr>
          <w:rFonts w:eastAsiaTheme="minorHAnsi"/>
          <w:b/>
          <w:lang w:val="fr-CH"/>
        </w:rPr>
        <w:tab/>
      </w:r>
      <w:r w:rsidRPr="00115683">
        <w:rPr>
          <w:rFonts w:eastAsiaTheme="minorHAnsi"/>
          <w:b/>
          <w:lang w:val="fr-CH"/>
        </w:rPr>
        <w:tab/>
        <w:t>Études</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 xml:space="preserve">Doctorat d’État en droit de la Faculté de droit de Paris suivi de l’agrégation et du professorat en droit public. Doctorat </w:t>
      </w:r>
      <w:r w:rsidRPr="00115683">
        <w:rPr>
          <w:rFonts w:eastAsiaTheme="minorHAnsi"/>
          <w:i/>
          <w:lang w:val="fr-CH"/>
        </w:rPr>
        <w:t>honoris causa</w:t>
      </w:r>
      <w:r w:rsidRPr="00115683">
        <w:rPr>
          <w:rFonts w:eastAsiaTheme="minorHAnsi"/>
          <w:lang w:val="fr-CH"/>
        </w:rPr>
        <w:t xml:space="preserve"> de l’Université Laurentienne du Canada. D.E.S. de Droit public et D.E.S. de sciences politiques de la Faculté de Droit de Paris.</w:t>
      </w:r>
    </w:p>
    <w:p w:rsidR="00115683" w:rsidRPr="00115683" w:rsidRDefault="00115683" w:rsidP="00115683">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Theme="minorHAnsi"/>
          <w:b/>
          <w:lang w:val="fr-CH"/>
        </w:rPr>
      </w:pPr>
      <w:r w:rsidRPr="00115683">
        <w:rPr>
          <w:rFonts w:eastAsiaTheme="minorHAnsi"/>
          <w:b/>
          <w:lang w:val="fr-CH"/>
        </w:rPr>
        <w:tab/>
      </w:r>
      <w:r w:rsidRPr="00115683">
        <w:rPr>
          <w:rFonts w:eastAsiaTheme="minorHAnsi"/>
          <w:b/>
          <w:lang w:val="fr-CH"/>
        </w:rPr>
        <w:tab/>
        <w:t>Liste des publications les plus récentes du candidat dans le domaine concerné</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i/>
          <w:lang w:val="fr-CH"/>
        </w:rPr>
        <w:t>Contentieux administratif</w:t>
      </w:r>
      <w:r w:rsidRPr="00115683">
        <w:rPr>
          <w:rFonts w:eastAsiaTheme="minorHAnsi"/>
          <w:lang w:val="fr-CH"/>
        </w:rPr>
        <w:t>, CERES production, Tunis, 1995, en langue arabe, 2</w:t>
      </w:r>
      <w:r w:rsidRPr="00115683">
        <w:rPr>
          <w:rFonts w:eastAsiaTheme="minorHAnsi"/>
          <w:vertAlign w:val="superscript"/>
          <w:lang w:val="fr-CH"/>
        </w:rPr>
        <w:t>e </w:t>
      </w:r>
      <w:r w:rsidRPr="00115683">
        <w:rPr>
          <w:rFonts w:eastAsiaTheme="minorHAnsi"/>
          <w:lang w:val="fr-CH"/>
        </w:rPr>
        <w:t>éd. : 1998, 3</w:t>
      </w:r>
      <w:r w:rsidRPr="00115683">
        <w:rPr>
          <w:rFonts w:eastAsiaTheme="minorHAnsi"/>
          <w:vertAlign w:val="superscript"/>
          <w:lang w:val="fr-CH"/>
        </w:rPr>
        <w:t>e </w:t>
      </w:r>
      <w:r w:rsidRPr="00115683">
        <w:rPr>
          <w:rFonts w:eastAsiaTheme="minorHAnsi"/>
          <w:lang w:val="fr-CH"/>
        </w:rPr>
        <w:t>éd. : 2006.</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i/>
          <w:lang w:val="fr-CH"/>
        </w:rPr>
        <w:t>La Cour européenne des droits de l’homme et la liberté de religion</w:t>
      </w:r>
      <w:r w:rsidRPr="00115683">
        <w:rPr>
          <w:rFonts w:eastAsiaTheme="minorHAnsi"/>
          <w:lang w:val="fr-CH"/>
        </w:rPr>
        <w:t xml:space="preserve">, </w:t>
      </w:r>
      <w:proofErr w:type="spellStart"/>
      <w:r w:rsidRPr="00115683">
        <w:rPr>
          <w:rFonts w:eastAsiaTheme="minorHAnsi"/>
          <w:lang w:val="fr-CH"/>
        </w:rPr>
        <w:t>Pedone</w:t>
      </w:r>
      <w:proofErr w:type="spellEnd"/>
      <w:r w:rsidRPr="00115683">
        <w:rPr>
          <w:rFonts w:eastAsiaTheme="minorHAnsi"/>
          <w:lang w:val="fr-CH"/>
        </w:rPr>
        <w:t>, Paris, 2005.</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i/>
          <w:lang w:val="fr-CH"/>
        </w:rPr>
        <w:t>Aux fondements de l’orthodoxie sunnite</w:t>
      </w:r>
      <w:r w:rsidRPr="00115683">
        <w:rPr>
          <w:rFonts w:eastAsiaTheme="minorHAnsi"/>
          <w:lang w:val="fr-CH"/>
        </w:rPr>
        <w:t>, Paris, PUF, 2008. Tunis, CERES éditions, 2009.</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 xml:space="preserve">« L’islam et la Cour européenne des droits de l’homme », </w:t>
      </w:r>
      <w:r w:rsidRPr="00115683">
        <w:rPr>
          <w:rFonts w:eastAsiaTheme="minorHAnsi"/>
          <w:i/>
          <w:lang w:val="fr-CH"/>
        </w:rPr>
        <w:t>Revue générale de droit international public</w:t>
      </w:r>
      <w:r w:rsidRPr="00115683">
        <w:rPr>
          <w:rFonts w:eastAsiaTheme="minorHAnsi"/>
          <w:lang w:val="fr-CH"/>
        </w:rPr>
        <w:t>, avril-juin 2007, n°2, p. 397 à 147.</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 Islam et droits de l’homme », in J. Ferrand et H. Petit, (</w:t>
      </w:r>
      <w:proofErr w:type="spellStart"/>
      <w:r w:rsidRPr="00115683">
        <w:rPr>
          <w:rFonts w:eastAsiaTheme="minorHAnsi"/>
          <w:lang w:val="fr-CH"/>
        </w:rPr>
        <w:t>Eds</w:t>
      </w:r>
      <w:proofErr w:type="spellEnd"/>
      <w:r w:rsidRPr="00115683">
        <w:rPr>
          <w:rFonts w:eastAsiaTheme="minorHAnsi"/>
          <w:lang w:val="fr-CH"/>
        </w:rPr>
        <w:t xml:space="preserve">), </w:t>
      </w:r>
      <w:r w:rsidRPr="00115683">
        <w:rPr>
          <w:rFonts w:eastAsiaTheme="minorHAnsi"/>
          <w:i/>
          <w:lang w:val="fr-CH"/>
        </w:rPr>
        <w:t>L’odyssée des droits de l’Homme</w:t>
      </w:r>
      <w:r w:rsidRPr="00115683">
        <w:rPr>
          <w:rFonts w:eastAsiaTheme="minorHAnsi"/>
          <w:lang w:val="fr-CH"/>
        </w:rPr>
        <w:t xml:space="preserve">, vol. I, </w:t>
      </w:r>
      <w:r w:rsidRPr="00115683">
        <w:rPr>
          <w:rFonts w:eastAsiaTheme="minorHAnsi"/>
          <w:i/>
          <w:lang w:val="fr-CH"/>
        </w:rPr>
        <w:t>Fondation et naissance des droits de l’Homme</w:t>
      </w:r>
      <w:r w:rsidRPr="00115683">
        <w:rPr>
          <w:rFonts w:eastAsiaTheme="minorHAnsi"/>
          <w:lang w:val="fr-CH"/>
        </w:rPr>
        <w:t xml:space="preserve">, </w:t>
      </w:r>
      <w:proofErr w:type="spellStart"/>
      <w:r w:rsidRPr="00115683">
        <w:rPr>
          <w:rFonts w:eastAsiaTheme="minorHAnsi"/>
          <w:lang w:val="fr-CH"/>
        </w:rPr>
        <w:t>L’Harmattan</w:t>
      </w:r>
      <w:proofErr w:type="spellEnd"/>
      <w:r w:rsidRPr="00115683">
        <w:rPr>
          <w:rFonts w:eastAsiaTheme="minorHAnsi"/>
          <w:lang w:val="fr-CH"/>
        </w:rPr>
        <w:t>, Coll. Librairie des Humanités, 2003, p. 113-129.</w:t>
      </w:r>
    </w:p>
    <w:p w:rsidR="00115683" w:rsidRPr="00115683" w:rsidRDefault="00115683" w:rsidP="00115683">
      <w:pPr>
        <w:kinsoku w:val="0"/>
        <w:overflowPunct w:val="0"/>
        <w:autoSpaceDE w:val="0"/>
        <w:autoSpaceDN w:val="0"/>
        <w:adjustRightInd w:val="0"/>
        <w:snapToGrid w:val="0"/>
        <w:spacing w:after="120"/>
        <w:ind w:left="1134" w:right="1134"/>
        <w:jc w:val="both"/>
        <w:rPr>
          <w:rFonts w:eastAsiaTheme="minorHAnsi"/>
          <w:lang w:val="fr-CH"/>
        </w:rPr>
      </w:pPr>
      <w:r w:rsidRPr="00115683">
        <w:rPr>
          <w:rFonts w:eastAsiaTheme="minorHAnsi"/>
          <w:lang w:val="fr-CH"/>
        </w:rPr>
        <w:t xml:space="preserve">« Les droits de l’Homme et leurs contraires », </w:t>
      </w:r>
      <w:r w:rsidRPr="00115683">
        <w:rPr>
          <w:rFonts w:eastAsiaTheme="minorHAnsi"/>
          <w:i/>
          <w:lang w:val="fr-CH"/>
        </w:rPr>
        <w:t>Revue Aspects</w:t>
      </w:r>
      <w:r w:rsidRPr="00115683">
        <w:rPr>
          <w:rFonts w:eastAsiaTheme="minorHAnsi"/>
          <w:lang w:val="fr-CH"/>
        </w:rPr>
        <w:t>, Numéro hors-série, 2008, p. 113 à 114.</w:t>
      </w:r>
    </w:p>
    <w:p w:rsidR="007E3F99" w:rsidRPr="00E4074F" w:rsidRDefault="00E4074F" w:rsidP="00E4074F">
      <w:pPr>
        <w:pStyle w:val="H1G"/>
        <w:keepNext w:val="0"/>
        <w:keepLines w:val="0"/>
        <w:spacing w:before="240" w:after="0" w:line="240" w:lineRule="atLeast"/>
        <w:ind w:firstLine="0"/>
        <w:jc w:val="center"/>
        <w:rPr>
          <w:b w:val="0"/>
          <w:u w:val="single"/>
        </w:rPr>
      </w:pPr>
      <w:r>
        <w:rPr>
          <w:b w:val="0"/>
          <w:u w:val="single"/>
        </w:rPr>
        <w:tab/>
      </w:r>
      <w:r>
        <w:rPr>
          <w:b w:val="0"/>
          <w:u w:val="single"/>
        </w:rPr>
        <w:tab/>
      </w:r>
      <w:r>
        <w:rPr>
          <w:b w:val="0"/>
          <w:u w:val="single"/>
        </w:rPr>
        <w:tab/>
      </w:r>
    </w:p>
    <w:sectPr w:rsidR="007E3F99" w:rsidRPr="00E4074F" w:rsidSect="00D8399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E" w:rsidRPr="00B903E5" w:rsidRDefault="00756BCE" w:rsidP="00B903E5">
      <w:pPr>
        <w:pStyle w:val="Footer"/>
      </w:pPr>
    </w:p>
  </w:endnote>
  <w:endnote w:type="continuationSeparator" w:id="0">
    <w:p w:rsidR="00756BCE" w:rsidRPr="00B903E5" w:rsidRDefault="00756B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pPr>
    <w:r w:rsidRPr="00D83996">
      <w:rPr>
        <w:b/>
        <w:sz w:val="18"/>
      </w:rPr>
      <w:fldChar w:fldCharType="begin"/>
    </w:r>
    <w:r w:rsidRPr="00D83996">
      <w:rPr>
        <w:b/>
        <w:sz w:val="18"/>
      </w:rPr>
      <w:instrText xml:space="preserve"> PAGE  \* MERGEFORMAT </w:instrText>
    </w:r>
    <w:r w:rsidRPr="00D83996">
      <w:rPr>
        <w:b/>
        <w:sz w:val="18"/>
      </w:rPr>
      <w:fldChar w:fldCharType="separate"/>
    </w:r>
    <w:r w:rsidR="00115683">
      <w:rPr>
        <w:b/>
        <w:noProof/>
        <w:sz w:val="18"/>
      </w:rPr>
      <w:t>2</w:t>
    </w:r>
    <w:r w:rsidRPr="00D83996">
      <w:rPr>
        <w:b/>
        <w:sz w:val="18"/>
      </w:rPr>
      <w:fldChar w:fldCharType="end"/>
    </w:r>
    <w:r>
      <w:rPr>
        <w:sz w:val="18"/>
      </w:rPr>
      <w:tab/>
    </w:r>
    <w:r>
      <w:t>GE.18-07172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rPr>
        <w:b/>
        <w:sz w:val="18"/>
      </w:rPr>
    </w:pPr>
    <w:r>
      <w:t>GE.18-07172</w:t>
    </w:r>
    <w:r>
      <w:tab/>
    </w: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3</w:t>
    </w:r>
    <w:r w:rsidRPr="00D8399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E" w:rsidRPr="00B903E5" w:rsidRDefault="00756BCE" w:rsidP="00B903E5">
      <w:pPr>
        <w:tabs>
          <w:tab w:val="right" w:pos="2155"/>
        </w:tabs>
        <w:spacing w:after="80" w:line="240" w:lineRule="auto"/>
        <w:ind w:left="680"/>
      </w:pPr>
      <w:r>
        <w:rPr>
          <w:u w:val="single"/>
        </w:rPr>
        <w:tab/>
      </w:r>
    </w:p>
  </w:footnote>
  <w:footnote w:type="continuationSeparator" w:id="0">
    <w:p w:rsidR="00756BCE" w:rsidRPr="00B903E5" w:rsidRDefault="00756BCE" w:rsidP="00B903E5">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pPr>
    <w:r w:rsidRPr="00D83996">
      <w:t>CCPR/SP/89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jc w:val="right"/>
    </w:pPr>
    <w:r w:rsidRPr="00D83996">
      <w:t>CCPR/SP/89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F" w:rsidRDefault="00715B6F">
    <w:pPr>
      <w:pStyle w:val="Header"/>
    </w:pPr>
    <w:r>
      <w:t>CCPR/SP/89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ORZ1vUYY/LCWGSDT2nQLMIXnjzc87VGeJuqMxpOYHIp1lUbrO9+75maWFQ8bjS/MWf3ubssNqGHwA8S7USNDsg==" w:salt="bxlf3Ca4mwsG6g9nuihvEg=="/>
  <w:defaultTabStop w:val="567"/>
  <w:evenAndOddHeaders/>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D9"/>
    <w:rsid w:val="00006D58"/>
    <w:rsid w:val="0002571D"/>
    <w:rsid w:val="00046E92"/>
    <w:rsid w:val="0006523D"/>
    <w:rsid w:val="00065A29"/>
    <w:rsid w:val="00070920"/>
    <w:rsid w:val="0009111F"/>
    <w:rsid w:val="00094AC7"/>
    <w:rsid w:val="000A7253"/>
    <w:rsid w:val="00100FEB"/>
    <w:rsid w:val="00106A1A"/>
    <w:rsid w:val="00115683"/>
    <w:rsid w:val="0011625E"/>
    <w:rsid w:val="00131D7A"/>
    <w:rsid w:val="00133C72"/>
    <w:rsid w:val="0015167B"/>
    <w:rsid w:val="00156E54"/>
    <w:rsid w:val="00157EE7"/>
    <w:rsid w:val="00165307"/>
    <w:rsid w:val="00165C15"/>
    <w:rsid w:val="001A7FD0"/>
    <w:rsid w:val="001B1B51"/>
    <w:rsid w:val="001B3F6B"/>
    <w:rsid w:val="001B74DB"/>
    <w:rsid w:val="001D6FE4"/>
    <w:rsid w:val="001D7DB7"/>
    <w:rsid w:val="00201E8D"/>
    <w:rsid w:val="00211C8D"/>
    <w:rsid w:val="0023153B"/>
    <w:rsid w:val="00247E2C"/>
    <w:rsid w:val="00297F3C"/>
    <w:rsid w:val="002B5064"/>
    <w:rsid w:val="002D6C53"/>
    <w:rsid w:val="002F5595"/>
    <w:rsid w:val="00300E3B"/>
    <w:rsid w:val="0031077B"/>
    <w:rsid w:val="003231A0"/>
    <w:rsid w:val="00330D75"/>
    <w:rsid w:val="00334F6A"/>
    <w:rsid w:val="00342AC8"/>
    <w:rsid w:val="00362CE5"/>
    <w:rsid w:val="00396B29"/>
    <w:rsid w:val="003B4550"/>
    <w:rsid w:val="003C116E"/>
    <w:rsid w:val="003C3AE9"/>
    <w:rsid w:val="003D2315"/>
    <w:rsid w:val="00457699"/>
    <w:rsid w:val="00461253"/>
    <w:rsid w:val="00472FED"/>
    <w:rsid w:val="004D0398"/>
    <w:rsid w:val="004F3F54"/>
    <w:rsid w:val="005042C2"/>
    <w:rsid w:val="005110E0"/>
    <w:rsid w:val="00511DC3"/>
    <w:rsid w:val="00586F61"/>
    <w:rsid w:val="005964B5"/>
    <w:rsid w:val="005D1F96"/>
    <w:rsid w:val="005D43F2"/>
    <w:rsid w:val="005E27BB"/>
    <w:rsid w:val="005E3CF8"/>
    <w:rsid w:val="005F3529"/>
    <w:rsid w:val="00603EF5"/>
    <w:rsid w:val="006042AA"/>
    <w:rsid w:val="00616568"/>
    <w:rsid w:val="0062588C"/>
    <w:rsid w:val="00637190"/>
    <w:rsid w:val="00647E05"/>
    <w:rsid w:val="006565F8"/>
    <w:rsid w:val="00671529"/>
    <w:rsid w:val="006B534A"/>
    <w:rsid w:val="006B624B"/>
    <w:rsid w:val="00700C1D"/>
    <w:rsid w:val="00711803"/>
    <w:rsid w:val="00715B6F"/>
    <w:rsid w:val="00721A2A"/>
    <w:rsid w:val="007268F9"/>
    <w:rsid w:val="00756BCE"/>
    <w:rsid w:val="007A4FB1"/>
    <w:rsid w:val="007B763E"/>
    <w:rsid w:val="007C52B0"/>
    <w:rsid w:val="007E3F99"/>
    <w:rsid w:val="008033A1"/>
    <w:rsid w:val="00817E57"/>
    <w:rsid w:val="0082318B"/>
    <w:rsid w:val="00855A80"/>
    <w:rsid w:val="00857228"/>
    <w:rsid w:val="0086047C"/>
    <w:rsid w:val="008D3450"/>
    <w:rsid w:val="008D5BC4"/>
    <w:rsid w:val="008F1384"/>
    <w:rsid w:val="008F1513"/>
    <w:rsid w:val="008F30D9"/>
    <w:rsid w:val="0092110D"/>
    <w:rsid w:val="009411B4"/>
    <w:rsid w:val="0097164E"/>
    <w:rsid w:val="00987117"/>
    <w:rsid w:val="009916C2"/>
    <w:rsid w:val="009A1524"/>
    <w:rsid w:val="009B006B"/>
    <w:rsid w:val="009B758A"/>
    <w:rsid w:val="009C7F01"/>
    <w:rsid w:val="009D0139"/>
    <w:rsid w:val="009F5CDC"/>
    <w:rsid w:val="00A0314F"/>
    <w:rsid w:val="00A23459"/>
    <w:rsid w:val="00A40DD2"/>
    <w:rsid w:val="00A55844"/>
    <w:rsid w:val="00A775CF"/>
    <w:rsid w:val="00A8060A"/>
    <w:rsid w:val="00A86EED"/>
    <w:rsid w:val="00A8757A"/>
    <w:rsid w:val="00A90CE6"/>
    <w:rsid w:val="00AD14CB"/>
    <w:rsid w:val="00AE0DB3"/>
    <w:rsid w:val="00B0275F"/>
    <w:rsid w:val="00B06045"/>
    <w:rsid w:val="00B06194"/>
    <w:rsid w:val="00B21243"/>
    <w:rsid w:val="00B52E96"/>
    <w:rsid w:val="00B537C0"/>
    <w:rsid w:val="00B67324"/>
    <w:rsid w:val="00B86B84"/>
    <w:rsid w:val="00B903E5"/>
    <w:rsid w:val="00BB6710"/>
    <w:rsid w:val="00BB7FB4"/>
    <w:rsid w:val="00BE6584"/>
    <w:rsid w:val="00BF5971"/>
    <w:rsid w:val="00BF6198"/>
    <w:rsid w:val="00C02382"/>
    <w:rsid w:val="00C15955"/>
    <w:rsid w:val="00C2308F"/>
    <w:rsid w:val="00C350D6"/>
    <w:rsid w:val="00C35A27"/>
    <w:rsid w:val="00C36E98"/>
    <w:rsid w:val="00C850D9"/>
    <w:rsid w:val="00CA1AEA"/>
    <w:rsid w:val="00CE41A5"/>
    <w:rsid w:val="00CF7B1C"/>
    <w:rsid w:val="00CF7B46"/>
    <w:rsid w:val="00D028CD"/>
    <w:rsid w:val="00D14A4E"/>
    <w:rsid w:val="00D31CEE"/>
    <w:rsid w:val="00D80ABD"/>
    <w:rsid w:val="00D83996"/>
    <w:rsid w:val="00DD3671"/>
    <w:rsid w:val="00DE3CF6"/>
    <w:rsid w:val="00DF777B"/>
    <w:rsid w:val="00DF7DB4"/>
    <w:rsid w:val="00E02C2B"/>
    <w:rsid w:val="00E04AB2"/>
    <w:rsid w:val="00E124E2"/>
    <w:rsid w:val="00E2669B"/>
    <w:rsid w:val="00E3198E"/>
    <w:rsid w:val="00E36A19"/>
    <w:rsid w:val="00E4074F"/>
    <w:rsid w:val="00E41522"/>
    <w:rsid w:val="00E56A88"/>
    <w:rsid w:val="00E72036"/>
    <w:rsid w:val="00E74934"/>
    <w:rsid w:val="00E852BB"/>
    <w:rsid w:val="00E9391A"/>
    <w:rsid w:val="00E97C7B"/>
    <w:rsid w:val="00EA0DAF"/>
    <w:rsid w:val="00ED0687"/>
    <w:rsid w:val="00ED6C48"/>
    <w:rsid w:val="00F10F1D"/>
    <w:rsid w:val="00F22703"/>
    <w:rsid w:val="00F260E9"/>
    <w:rsid w:val="00F26E6D"/>
    <w:rsid w:val="00F41F0F"/>
    <w:rsid w:val="00F609D2"/>
    <w:rsid w:val="00F65F5D"/>
    <w:rsid w:val="00F677D8"/>
    <w:rsid w:val="00F76FC9"/>
    <w:rsid w:val="00F86A3A"/>
    <w:rsid w:val="00FE35E2"/>
    <w:rsid w:val="00FE3DB6"/>
    <w:rsid w:val="00FF2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6016CA"/>
  <w15:docId w15:val="{C3DDCEE3-3273-44F9-A73C-8BAAB30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E4074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ADEAA2-9A4C-469D-80DD-2D21A6F6B690}">
  <ds:schemaRefs>
    <ds:schemaRef ds:uri="http://schemas.openxmlformats.org/officeDocument/2006/bibliography"/>
  </ds:schemaRefs>
</ds:datastoreItem>
</file>

<file path=customXml/itemProps2.xml><?xml version="1.0" encoding="utf-8"?>
<ds:datastoreItem xmlns:ds="http://schemas.openxmlformats.org/officeDocument/2006/customXml" ds:itemID="{0C9D4770-FE83-4558-8EB5-1D4FC4845801}"/>
</file>

<file path=customXml/itemProps3.xml><?xml version="1.0" encoding="utf-8"?>
<ds:datastoreItem xmlns:ds="http://schemas.openxmlformats.org/officeDocument/2006/customXml" ds:itemID="{01FAB1EF-45F2-4659-A04F-96B8F9F002E7}"/>
</file>

<file path=customXml/itemProps4.xml><?xml version="1.0" encoding="utf-8"?>
<ds:datastoreItem xmlns:ds="http://schemas.openxmlformats.org/officeDocument/2006/customXml" ds:itemID="{397EB317-54A2-4EE2-93BB-78DE62385B57}"/>
</file>

<file path=docProps/app.xml><?xml version="1.0" encoding="utf-8"?>
<Properties xmlns="http://schemas.openxmlformats.org/officeDocument/2006/extended-properties" xmlns:vt="http://schemas.openxmlformats.org/officeDocument/2006/docPropsVTypes">
  <Template>CCPR.dotm</Template>
  <TotalTime>1</TotalTime>
  <Pages>1</Pages>
  <Words>304</Words>
  <Characters>1733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1807172</vt:lpstr>
    </vt:vector>
  </TitlesOfParts>
  <Company>DCM</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1807172</dc:title>
  <dc:subject>CCPR/SP/89</dc:subject>
  <dc:creator>Maria Rosario GATMAYTAN</dc:creator>
  <cp:keywords/>
  <dc:description/>
  <cp:lastModifiedBy>ROSNIANSKY Cherry Lou</cp:lastModifiedBy>
  <cp:revision>3</cp:revision>
  <cp:lastPrinted>2018-05-23T08:41:00Z</cp:lastPrinted>
  <dcterms:created xsi:type="dcterms:W3CDTF">2019-01-29T11:21:00Z</dcterms:created>
  <dcterms:modified xsi:type="dcterms:W3CDTF">2019-01-29T15:16:00Z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