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2B" w:rsidRDefault="0032102B">
      <w:pPr>
        <w:pStyle w:val="Style1"/>
        <w:kinsoku w:val="0"/>
        <w:autoSpaceDE/>
        <w:autoSpaceDN/>
        <w:jc w:val="center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>Anexo 1</w:t>
      </w:r>
    </w:p>
    <w:p w:rsidR="0032102B" w:rsidRDefault="0032102B">
      <w:pPr>
        <w:pStyle w:val="Style2"/>
        <w:kinsoku w:val="0"/>
        <w:autoSpaceDE/>
        <w:autoSpaceDN/>
        <w:adjustRightInd/>
        <w:spacing w:before="252"/>
        <w:jc w:val="center"/>
        <w:rPr>
          <w:rStyle w:val="CharacterStyle2"/>
          <w:sz w:val="21"/>
          <w:szCs w:val="21"/>
          <w:lang w:val="es-ES" w:eastAsia="es-ES"/>
        </w:rPr>
      </w:pPr>
      <w:r>
        <w:rPr>
          <w:rStyle w:val="CharacterStyle2"/>
          <w:sz w:val="21"/>
          <w:szCs w:val="21"/>
          <w:lang w:val="es-ES" w:eastAsia="es-ES"/>
        </w:rPr>
        <w:t>Formularios de datos biográficos de los candidatos al Comité contra la desaparición forzada</w:t>
      </w:r>
      <w:r>
        <w:rPr>
          <w:rStyle w:val="CharacterStyle2"/>
          <w:sz w:val="21"/>
          <w:szCs w:val="21"/>
          <w:lang w:val="es-ES" w:eastAsia="es-ES"/>
        </w:rPr>
        <w:br/>
        <w:t>(Se ruega que, al rellanar este formulario, se respete el número de líneas que se indica)</w:t>
      </w:r>
    </w:p>
    <w:p w:rsidR="0032102B" w:rsidRDefault="0032102B">
      <w:pPr>
        <w:pStyle w:val="Style2"/>
        <w:kinsoku w:val="0"/>
        <w:autoSpaceDE/>
        <w:autoSpaceDN/>
        <w:adjustRightInd/>
        <w:spacing w:before="504"/>
        <w:rPr>
          <w:rStyle w:val="CharacterStyle2"/>
          <w:sz w:val="21"/>
          <w:szCs w:val="21"/>
          <w:u w:val="single"/>
          <w:lang w:val="es-ES" w:eastAsia="es-ES"/>
        </w:rPr>
      </w:pPr>
      <w:r>
        <w:rPr>
          <w:rStyle w:val="CharacterStyle2"/>
          <w:sz w:val="21"/>
          <w:szCs w:val="21"/>
          <w:lang w:val="es-ES" w:eastAsia="es-ES"/>
        </w:rPr>
        <w:t xml:space="preserve">Apellidos y nombre: </w:t>
      </w:r>
      <w:r>
        <w:rPr>
          <w:rStyle w:val="CharacterStyle2"/>
          <w:sz w:val="21"/>
          <w:szCs w:val="21"/>
          <w:u w:val="single"/>
          <w:lang w:val="es-ES" w:eastAsia="es-ES"/>
        </w:rPr>
        <w:t>Carmen Rosa Villa Quintana</w:t>
      </w:r>
    </w:p>
    <w:p w:rsidR="0032102B" w:rsidRDefault="0032102B">
      <w:pPr>
        <w:pStyle w:val="Style2"/>
        <w:kinsoku w:val="0"/>
        <w:autoSpaceDE/>
        <w:autoSpaceDN/>
        <w:adjustRightInd/>
        <w:spacing w:before="180" w:line="480" w:lineRule="auto"/>
        <w:ind w:right="2376"/>
        <w:rPr>
          <w:rStyle w:val="CharacterStyle2"/>
          <w:sz w:val="21"/>
          <w:szCs w:val="21"/>
          <w:u w:val="single"/>
          <w:lang w:val="es-ES" w:eastAsia="es-ES"/>
        </w:rPr>
      </w:pPr>
      <w:r>
        <w:rPr>
          <w:rStyle w:val="CharacterStyle2"/>
          <w:spacing w:val="-5"/>
          <w:sz w:val="21"/>
          <w:szCs w:val="21"/>
          <w:lang w:val="es-ES" w:eastAsia="es-ES"/>
        </w:rPr>
        <w:t xml:space="preserve">Lugar y fecha de nacimiento: </w:t>
      </w:r>
      <w:r>
        <w:rPr>
          <w:rStyle w:val="CharacterStyle2"/>
          <w:spacing w:val="-5"/>
          <w:sz w:val="21"/>
          <w:szCs w:val="21"/>
          <w:u w:val="single"/>
          <w:lang w:val="es-ES" w:eastAsia="es-ES"/>
        </w:rPr>
        <w:t xml:space="preserve">Lima-Perú. 30 de diciembre de 1953.  </w:t>
      </w:r>
      <w:r>
        <w:rPr>
          <w:rStyle w:val="CharacterStyle2"/>
          <w:sz w:val="21"/>
          <w:szCs w:val="21"/>
          <w:lang w:val="es-ES" w:eastAsia="es-ES"/>
        </w:rPr>
        <w:t xml:space="preserve">Nacionalidad: </w:t>
      </w:r>
      <w:r>
        <w:rPr>
          <w:rStyle w:val="CharacterStyle2"/>
          <w:sz w:val="21"/>
          <w:szCs w:val="21"/>
          <w:u w:val="single"/>
          <w:lang w:val="es-ES" w:eastAsia="es-ES"/>
        </w:rPr>
        <w:t xml:space="preserve"> Peruana</w:t>
      </w:r>
    </w:p>
    <w:p w:rsidR="0032102B" w:rsidRDefault="0032102B" w:rsidP="00B24566">
      <w:pPr>
        <w:pStyle w:val="Style2"/>
        <w:kinsoku w:val="0"/>
        <w:autoSpaceDE/>
        <w:autoSpaceDN/>
        <w:adjustRightInd/>
        <w:spacing w:before="180" w:line="480" w:lineRule="auto"/>
        <w:ind w:right="1512"/>
        <w:rPr>
          <w:rStyle w:val="CharacterStyle2"/>
          <w:sz w:val="21"/>
          <w:szCs w:val="21"/>
          <w:u w:val="single"/>
          <w:lang w:val="es-ES" w:eastAsia="es-ES"/>
        </w:rPr>
      </w:pPr>
      <w:r>
        <w:rPr>
          <w:rStyle w:val="CharacterStyle2"/>
          <w:spacing w:val="-4"/>
          <w:sz w:val="21"/>
          <w:szCs w:val="21"/>
          <w:lang w:val="es-ES" w:eastAsia="es-ES"/>
        </w:rPr>
        <w:t xml:space="preserve">Idiomas de trabajo (idiomas oficiales de las Naciones Unidas: </w:t>
      </w:r>
      <w:r>
        <w:rPr>
          <w:rStyle w:val="CharacterStyle2"/>
          <w:spacing w:val="-4"/>
          <w:sz w:val="21"/>
          <w:szCs w:val="21"/>
          <w:u w:val="single"/>
          <w:lang w:val="es-ES" w:eastAsia="es-ES"/>
        </w:rPr>
        <w:t xml:space="preserve">español, inglés </w:t>
      </w:r>
      <w:r>
        <w:rPr>
          <w:rStyle w:val="CharacterStyle2"/>
          <w:sz w:val="21"/>
          <w:szCs w:val="21"/>
          <w:lang w:val="es-ES" w:eastAsia="es-ES"/>
        </w:rPr>
        <w:t xml:space="preserve">Dirección de correo electrónico: </w:t>
      </w:r>
      <w:r>
        <w:rPr>
          <w:rStyle w:val="CharacterStyle2"/>
          <w:sz w:val="21"/>
          <w:szCs w:val="21"/>
          <w:u w:val="single"/>
          <w:lang w:val="es-ES" w:eastAsia="es-ES"/>
        </w:rPr>
        <w:t>caryam1953</w:t>
      </w:r>
      <w:r w:rsidR="00B24566">
        <w:rPr>
          <w:rStyle w:val="CharacterStyle2"/>
          <w:sz w:val="21"/>
          <w:szCs w:val="21"/>
          <w:u w:val="single"/>
          <w:lang w:val="es-ES" w:eastAsia="es-ES"/>
        </w:rPr>
        <w:t>@gmail.com</w:t>
      </w:r>
      <w:bookmarkStart w:id="0" w:name="_GoBack"/>
      <w:bookmarkEnd w:id="0"/>
      <w:r>
        <w:rPr>
          <w:rStyle w:val="CharacterStyle2"/>
          <w:sz w:val="21"/>
          <w:szCs w:val="21"/>
          <w:u w:val="single"/>
          <w:lang w:val="es-ES" w:eastAsia="es-ES"/>
        </w:rPr>
        <w:t xml:space="preserve"> </w:t>
      </w:r>
    </w:p>
    <w:p w:rsidR="0032102B" w:rsidRDefault="0032102B">
      <w:pPr>
        <w:pStyle w:val="Style1"/>
        <w:kinsoku w:val="0"/>
        <w:autoSpaceDE/>
        <w:autoSpaceDN/>
        <w:spacing w:before="216"/>
        <w:jc w:val="left"/>
        <w:rPr>
          <w:rStyle w:val="CharacterStyle1"/>
          <w:spacing w:val="6"/>
          <w:lang w:val="es-ES" w:eastAsia="es-ES"/>
        </w:rPr>
      </w:pPr>
      <w:r>
        <w:rPr>
          <w:rStyle w:val="CharacterStyle1"/>
          <w:spacing w:val="6"/>
          <w:lang w:val="es-ES" w:eastAsia="es-ES"/>
        </w:rPr>
        <w:t>Cargo o función actual:</w:t>
      </w:r>
    </w:p>
    <w:p w:rsidR="0032102B" w:rsidRDefault="0032102B">
      <w:pPr>
        <w:pStyle w:val="Style1"/>
        <w:kinsoku w:val="0"/>
        <w:autoSpaceDE/>
        <w:autoSpaceDN/>
        <w:jc w:val="left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>(Máximo 5 líneas)</w:t>
      </w:r>
    </w:p>
    <w:p w:rsidR="0032102B" w:rsidRDefault="0032102B">
      <w:pPr>
        <w:pStyle w:val="Style1"/>
        <w:kinsoku w:val="0"/>
        <w:autoSpaceDE/>
        <w:autoSpaceDN/>
        <w:rPr>
          <w:rStyle w:val="CharacterStyle1"/>
          <w:lang w:val="es-ES" w:eastAsia="es-ES"/>
        </w:rPr>
      </w:pPr>
      <w:r>
        <w:rPr>
          <w:rStyle w:val="CharacterStyle1"/>
          <w:spacing w:val="-5"/>
          <w:lang w:val="es-ES" w:eastAsia="es-ES"/>
        </w:rPr>
        <w:t xml:space="preserve">Alto Comisionado de las Naciones Unidas para los Derechos Humanos (ACNUDH). (Dic. 2018 — </w:t>
      </w:r>
      <w:r>
        <w:rPr>
          <w:rStyle w:val="CharacterStyle1"/>
          <w:spacing w:val="-1"/>
          <w:lang w:val="es-ES" w:eastAsia="es-ES"/>
        </w:rPr>
        <w:t xml:space="preserve">Mar. 2019) Experta Internacional responsable de la elaboración de un Estudio sobre el respeto a </w:t>
      </w:r>
      <w:r>
        <w:rPr>
          <w:rStyle w:val="CharacterStyle1"/>
          <w:spacing w:val="-4"/>
          <w:lang w:val="es-ES" w:eastAsia="es-ES"/>
        </w:rPr>
        <w:t xml:space="preserve">las garantías del debido proceso en las causas penales por delitos relacionados con emergencias </w:t>
      </w:r>
      <w:r>
        <w:rPr>
          <w:rStyle w:val="CharacterStyle1"/>
          <w:lang w:val="es-ES" w:eastAsia="es-ES"/>
        </w:rPr>
        <w:t>obstétricas en El Salvador.</w:t>
      </w:r>
    </w:p>
    <w:p w:rsidR="0032102B" w:rsidRDefault="0032102B">
      <w:pPr>
        <w:pStyle w:val="Style1"/>
        <w:kinsoku w:val="0"/>
        <w:autoSpaceDE/>
        <w:autoSpaceDN/>
        <w:spacing w:before="288"/>
        <w:jc w:val="left"/>
        <w:rPr>
          <w:rStyle w:val="CharacterStyle1"/>
          <w:spacing w:val="4"/>
          <w:lang w:val="es-ES" w:eastAsia="es-ES"/>
        </w:rPr>
      </w:pPr>
      <w:r>
        <w:rPr>
          <w:rStyle w:val="CharacterStyle1"/>
          <w:spacing w:val="4"/>
          <w:lang w:val="es-ES" w:eastAsia="es-ES"/>
        </w:rPr>
        <w:t>Principales actividades profesionales:</w:t>
      </w:r>
    </w:p>
    <w:p w:rsidR="0032102B" w:rsidRDefault="0032102B">
      <w:pPr>
        <w:pStyle w:val="Style1"/>
        <w:kinsoku w:val="0"/>
        <w:autoSpaceDE/>
        <w:autoSpaceDN/>
        <w:jc w:val="left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>(Máximo 10 líneas)</w:t>
      </w:r>
    </w:p>
    <w:p w:rsidR="0032102B" w:rsidRDefault="0032102B">
      <w:pPr>
        <w:pStyle w:val="Style1"/>
        <w:kinsoku w:val="0"/>
        <w:autoSpaceDE/>
        <w:autoSpaceDN/>
        <w:spacing w:before="36"/>
        <w:rPr>
          <w:rStyle w:val="CharacterStyle1"/>
          <w:lang w:val="es-ES" w:eastAsia="es-ES"/>
        </w:rPr>
      </w:pPr>
      <w:r>
        <w:rPr>
          <w:rStyle w:val="CharacterStyle1"/>
          <w:spacing w:val="-1"/>
          <w:lang w:val="es-ES" w:eastAsia="es-ES"/>
        </w:rPr>
        <w:t xml:space="preserve">Ministerio de Justicia y Derechos Humanos de Perú. Asesora del Despacho Ministerial. (Sept. </w:t>
      </w:r>
      <w:r>
        <w:rPr>
          <w:rStyle w:val="CharacterStyle1"/>
          <w:spacing w:val="4"/>
          <w:lang w:val="es-ES" w:eastAsia="es-ES"/>
        </w:rPr>
        <w:t xml:space="preserve">2016- Sept.2017). Comisión Internacional contra la Impunidad en Guatemala, (CICIG) </w:t>
      </w:r>
      <w:r>
        <w:rPr>
          <w:rStyle w:val="CharacterStyle1"/>
          <w:spacing w:val="-5"/>
          <w:lang w:val="es-ES" w:eastAsia="es-ES"/>
        </w:rPr>
        <w:t xml:space="preserve">Comisionada Adjunta. (Ene—Sept.2016). Oficina Regional para América Latina y el Caribe del </w:t>
      </w:r>
      <w:r>
        <w:rPr>
          <w:rStyle w:val="CharacterStyle1"/>
          <w:lang w:val="es-ES" w:eastAsia="es-ES"/>
        </w:rPr>
        <w:t xml:space="preserve">ACNUDH, Representante Regional (2006 al 2009) y Representante Regional para América </w:t>
      </w:r>
      <w:r>
        <w:rPr>
          <w:rStyle w:val="CharacterStyle1"/>
          <w:spacing w:val="-5"/>
          <w:lang w:val="es-ES" w:eastAsia="es-ES"/>
        </w:rPr>
        <w:t xml:space="preserve">Central ACNUDEI (2010-2015). Oficina en Colombia del ACNUDH, Coordinadora del Área de </w:t>
      </w:r>
      <w:r>
        <w:rPr>
          <w:rStyle w:val="CharacterStyle1"/>
          <w:spacing w:val="-3"/>
          <w:lang w:val="es-ES" w:eastAsia="es-ES"/>
        </w:rPr>
        <w:t xml:space="preserve">Cooperación y Asistencia Técnica. (1999-2006). Proyecto del PNUD - Organismo Judicial </w:t>
      </w:r>
      <w:r>
        <w:rPr>
          <w:rStyle w:val="CharacterStyle1"/>
          <w:i/>
          <w:iCs/>
          <w:spacing w:val="-3"/>
          <w:lang w:val="es-ES" w:eastAsia="es-ES"/>
        </w:rPr>
        <w:t xml:space="preserve">de </w:t>
      </w:r>
      <w:r>
        <w:rPr>
          <w:rStyle w:val="CharacterStyle1"/>
          <w:spacing w:val="1"/>
          <w:lang w:val="es-ES" w:eastAsia="es-ES"/>
        </w:rPr>
        <w:t xml:space="preserve">Guatemala (PROFED/0.1.) Directora. (Jul. Dic. 1998). Misión de Verificación de Naciones </w:t>
      </w:r>
      <w:r>
        <w:rPr>
          <w:rStyle w:val="CharacterStyle1"/>
          <w:spacing w:val="-2"/>
          <w:lang w:val="es-ES" w:eastAsia="es-ES"/>
        </w:rPr>
        <w:t xml:space="preserve">Unidas en Guatemala MINUGUA, Jefa de Instituciones Nacionales en el Área de Fortalecimiento </w:t>
      </w:r>
      <w:r>
        <w:rPr>
          <w:rStyle w:val="CharacterStyle1"/>
          <w:spacing w:val="-1"/>
          <w:lang w:val="es-ES" w:eastAsia="es-ES"/>
        </w:rPr>
        <w:t xml:space="preserve">del Poder Civil. (1996 — Jun. 1998). Programa Conjunto Misión de Verificación de Naciones </w:t>
      </w:r>
      <w:r>
        <w:rPr>
          <w:rStyle w:val="CharacterStyle1"/>
          <w:spacing w:val="7"/>
          <w:sz w:val="20"/>
          <w:szCs w:val="20"/>
          <w:lang w:val="es-ES" w:eastAsia="es-ES"/>
        </w:rPr>
        <w:t xml:space="preserve">Unidas en Guatemala y el PNUD. (1995) Fiscalía General de la República, </w:t>
      </w:r>
      <w:r>
        <w:rPr>
          <w:rStyle w:val="CharacterStyle1"/>
          <w:spacing w:val="7"/>
          <w:lang w:val="es-ES" w:eastAsia="es-ES"/>
        </w:rPr>
        <w:t xml:space="preserve">Guatemala. </w:t>
      </w:r>
      <w:r>
        <w:rPr>
          <w:rStyle w:val="CharacterStyle1"/>
          <w:lang w:val="es-ES" w:eastAsia="es-ES"/>
        </w:rPr>
        <w:t>Ministerio Público, Fiscalía de la Nación de Perú. Fiscal Provincial Titular- Fiscal Supremo Adjunta (1981-1994).</w:t>
      </w:r>
    </w:p>
    <w:p w:rsidR="0032102B" w:rsidRDefault="0032102B">
      <w:pPr>
        <w:pStyle w:val="Style2"/>
        <w:kinsoku w:val="0"/>
        <w:autoSpaceDE/>
        <w:autoSpaceDN/>
        <w:adjustRightInd/>
        <w:spacing w:before="324"/>
        <w:ind w:right="1008"/>
        <w:rPr>
          <w:rStyle w:val="CharacterStyle2"/>
          <w:b/>
          <w:bCs/>
          <w:sz w:val="21"/>
          <w:szCs w:val="21"/>
          <w:lang w:val="es-ES" w:eastAsia="es-ES"/>
        </w:rPr>
      </w:pPr>
      <w:r>
        <w:rPr>
          <w:rStyle w:val="CharacterStyle2"/>
          <w:b/>
          <w:bCs/>
          <w:spacing w:val="-5"/>
          <w:sz w:val="21"/>
          <w:szCs w:val="21"/>
          <w:lang w:val="es-ES" w:eastAsia="es-ES"/>
        </w:rPr>
        <w:t xml:space="preserve">Experticia/ experiencia legal y otras actividades principales en el campo de las </w:t>
      </w:r>
      <w:r>
        <w:rPr>
          <w:rStyle w:val="CharacterStyle2"/>
          <w:b/>
          <w:bCs/>
          <w:sz w:val="21"/>
          <w:szCs w:val="21"/>
          <w:lang w:val="es-ES" w:eastAsia="es-ES"/>
        </w:rPr>
        <w:t>desapariciones forzadas:</w:t>
      </w:r>
    </w:p>
    <w:p w:rsidR="0032102B" w:rsidRDefault="0032102B">
      <w:pPr>
        <w:pStyle w:val="Style1"/>
        <w:kinsoku w:val="0"/>
        <w:autoSpaceDE/>
        <w:autoSpaceDN/>
        <w:spacing w:before="36"/>
        <w:jc w:val="left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>(Máximo 5 líneas)</w:t>
      </w:r>
    </w:p>
    <w:p w:rsidR="0032102B" w:rsidRDefault="0032102B">
      <w:pPr>
        <w:pStyle w:val="Style1"/>
        <w:kinsoku w:val="0"/>
        <w:autoSpaceDE/>
        <w:autoSpaceDN/>
        <w:rPr>
          <w:rStyle w:val="CharacterStyle1"/>
          <w:spacing w:val="-1"/>
          <w:lang w:val="es-ES" w:eastAsia="es-ES"/>
        </w:rPr>
      </w:pPr>
      <w:r>
        <w:rPr>
          <w:rStyle w:val="CharacterStyle1"/>
          <w:spacing w:val="2"/>
          <w:lang w:val="es-ES" w:eastAsia="es-ES"/>
        </w:rPr>
        <w:t xml:space="preserve">Como Representante Regional del Alto Comisionado de las Naciones Unidas impulsó la </w:t>
      </w:r>
      <w:r>
        <w:rPr>
          <w:rStyle w:val="CharacterStyle1"/>
          <w:spacing w:val="-4"/>
          <w:lang w:val="es-ES" w:eastAsia="es-ES"/>
        </w:rPr>
        <w:t xml:space="preserve">ratificación de la Convención sobre Desaparición Forzada en los países bajo su mandato. Hizo </w:t>
      </w:r>
      <w:r>
        <w:rPr>
          <w:rStyle w:val="CharacterStyle1"/>
          <w:spacing w:val="1"/>
          <w:lang w:val="es-ES" w:eastAsia="es-ES"/>
        </w:rPr>
        <w:t xml:space="preserve">seguimiento y abogacía junto con las organizaciones de víctimas y la Procuraduría para la Defensa de los Derechos Humanos en El Salvador para la búsqueda de los desaparecidos, </w:t>
      </w:r>
      <w:r>
        <w:rPr>
          <w:rStyle w:val="CharacterStyle1"/>
          <w:spacing w:val="2"/>
          <w:lang w:val="es-ES" w:eastAsia="es-ES"/>
        </w:rPr>
        <w:t xml:space="preserve">tendiendo un reconocimiento PDDH de El Salvador por la defensa de los derechos de las </w:t>
      </w:r>
      <w:r>
        <w:rPr>
          <w:rStyle w:val="CharacterStyle1"/>
          <w:spacing w:val="-2"/>
          <w:lang w:val="es-ES" w:eastAsia="es-ES"/>
        </w:rPr>
        <w:t xml:space="preserve">víctimas del caso Mozote. Dio impulso al establecimiento de mecanismos nacionales para el </w:t>
      </w:r>
      <w:r>
        <w:rPr>
          <w:rStyle w:val="CharacterStyle1"/>
          <w:spacing w:val="-1"/>
          <w:lang w:val="es-ES" w:eastAsia="es-ES"/>
        </w:rPr>
        <w:t>cumplimiento de las recomendaciones de los órganos de tratados, incluyendo las formuladas por</w:t>
      </w:r>
    </w:p>
    <w:p w:rsidR="0032102B" w:rsidRPr="00B24566" w:rsidRDefault="0032102B">
      <w:pPr>
        <w:widowControl/>
        <w:kinsoku/>
        <w:autoSpaceDE w:val="0"/>
        <w:autoSpaceDN w:val="0"/>
        <w:adjustRightInd w:val="0"/>
        <w:rPr>
          <w:lang w:val="es-ES"/>
        </w:rPr>
        <w:sectPr w:rsidR="0032102B" w:rsidRPr="00B24566">
          <w:pgSz w:w="11918" w:h="16854"/>
          <w:pgMar w:top="1990" w:right="1875" w:bottom="2334" w:left="1943" w:header="720" w:footer="720" w:gutter="0"/>
          <w:cols w:space="720"/>
          <w:noEndnote/>
        </w:sectPr>
      </w:pPr>
    </w:p>
    <w:p w:rsidR="0032102B" w:rsidRDefault="0032102B">
      <w:pPr>
        <w:pStyle w:val="Style2"/>
        <w:kinsoku w:val="0"/>
        <w:autoSpaceDE/>
        <w:autoSpaceDN/>
        <w:adjustRightInd/>
        <w:jc w:val="both"/>
        <w:rPr>
          <w:rStyle w:val="CharacterStyle2"/>
          <w:sz w:val="21"/>
          <w:szCs w:val="21"/>
          <w:lang w:val="es-ES" w:eastAsia="es-ES"/>
        </w:rPr>
      </w:pPr>
      <w:r>
        <w:rPr>
          <w:rStyle w:val="CharacterStyle2"/>
          <w:spacing w:val="-4"/>
          <w:sz w:val="21"/>
          <w:szCs w:val="21"/>
          <w:lang w:val="es-ES" w:eastAsia="es-ES"/>
        </w:rPr>
        <w:lastRenderedPageBreak/>
        <w:t xml:space="preserve">el Comité sobre Desapariciones Forzadas. Sostuvo relaciones con gobiernos y organizaciones de </w:t>
      </w:r>
      <w:r>
        <w:rPr>
          <w:rStyle w:val="CharacterStyle2"/>
          <w:spacing w:val="3"/>
          <w:sz w:val="21"/>
          <w:szCs w:val="21"/>
          <w:lang w:val="es-ES" w:eastAsia="es-ES"/>
        </w:rPr>
        <w:t xml:space="preserve">víctimas en Panamá, México, Honduras, Nicaragua para dar seguimiento a los casos de </w:t>
      </w:r>
      <w:r>
        <w:rPr>
          <w:rStyle w:val="CharacterStyle2"/>
          <w:spacing w:val="-3"/>
          <w:sz w:val="21"/>
          <w:szCs w:val="21"/>
          <w:lang w:val="es-ES" w:eastAsia="es-ES"/>
        </w:rPr>
        <w:t xml:space="preserve">desaparición forzada. En el 2005 desde la OACNUDH se dio impulso para la aprobación del </w:t>
      </w:r>
      <w:r>
        <w:rPr>
          <w:rStyle w:val="CharacterStyle2"/>
          <w:spacing w:val="-1"/>
          <w:sz w:val="21"/>
          <w:szCs w:val="21"/>
          <w:lang w:val="es-ES" w:eastAsia="es-ES"/>
        </w:rPr>
        <w:t xml:space="preserve">Mecanismo de Búsqueda de Personas Desaparecidas en Colombía.Como Legal Fellow colaboró </w:t>
      </w:r>
      <w:r>
        <w:rPr>
          <w:rStyle w:val="CharacterStyle2"/>
          <w:sz w:val="21"/>
          <w:szCs w:val="21"/>
          <w:lang w:val="es-ES" w:eastAsia="es-ES"/>
        </w:rPr>
        <w:t>en los casos Raquel Martín de Mejía vs Perú y Blake vs Guatemala.</w:t>
      </w:r>
    </w:p>
    <w:p w:rsidR="0032102B" w:rsidRDefault="0032102B">
      <w:pPr>
        <w:pStyle w:val="Style2"/>
        <w:kinsoku w:val="0"/>
        <w:autoSpaceDE/>
        <w:autoSpaceDN/>
        <w:adjustRightInd/>
        <w:spacing w:before="576" w:line="204" w:lineRule="auto"/>
        <w:rPr>
          <w:rStyle w:val="CharacterStyle2"/>
          <w:spacing w:val="8"/>
          <w:lang w:val="es-ES" w:eastAsia="es-ES"/>
        </w:rPr>
      </w:pPr>
      <w:r>
        <w:rPr>
          <w:rStyle w:val="CharacterStyle2"/>
          <w:spacing w:val="8"/>
          <w:lang w:val="es-ES" w:eastAsia="es-ES"/>
        </w:rPr>
        <w:t>Títulos académicos:</w:t>
      </w:r>
    </w:p>
    <w:p w:rsidR="0032102B" w:rsidRDefault="0032102B">
      <w:pPr>
        <w:pStyle w:val="Style1"/>
        <w:kinsoku w:val="0"/>
        <w:autoSpaceDE/>
        <w:autoSpaceDN/>
        <w:spacing w:before="36"/>
        <w:jc w:val="left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>(Máximo 5 líneas)</w:t>
      </w:r>
    </w:p>
    <w:p w:rsidR="0032102B" w:rsidRDefault="0032102B">
      <w:pPr>
        <w:pStyle w:val="Style2"/>
        <w:kinsoku w:val="0"/>
        <w:autoSpaceDE/>
        <w:autoSpaceDN/>
        <w:adjustRightInd/>
        <w:ind w:right="1152"/>
        <w:rPr>
          <w:rStyle w:val="CharacterStyle2"/>
          <w:spacing w:val="3"/>
          <w:lang w:val="es-ES" w:eastAsia="es-ES"/>
        </w:rPr>
      </w:pPr>
      <w:r>
        <w:rPr>
          <w:rStyle w:val="CharacterStyle2"/>
          <w:spacing w:val="-2"/>
          <w:sz w:val="21"/>
          <w:szCs w:val="21"/>
          <w:lang w:val="es-ES" w:eastAsia="es-ES"/>
        </w:rPr>
        <w:t xml:space="preserve">1977: Bachiller en Derecho, Universidad Católica "Santa María", Arequipa, </w:t>
      </w:r>
      <w:r>
        <w:rPr>
          <w:rStyle w:val="CharacterStyle2"/>
          <w:spacing w:val="-2"/>
          <w:lang w:val="es-ES" w:eastAsia="es-ES"/>
        </w:rPr>
        <w:t xml:space="preserve">Perú. </w:t>
      </w:r>
      <w:r>
        <w:rPr>
          <w:rStyle w:val="CharacterStyle2"/>
          <w:spacing w:val="3"/>
          <w:lang w:val="es-ES" w:eastAsia="es-ES"/>
        </w:rPr>
        <w:t>1978: Abogada, Universidad Católica "Santa María", Arequipa, Perú.</w:t>
      </w:r>
    </w:p>
    <w:p w:rsidR="0032102B" w:rsidRDefault="0032102B">
      <w:pPr>
        <w:pStyle w:val="Style2"/>
        <w:kinsoku w:val="0"/>
        <w:autoSpaceDE/>
        <w:autoSpaceDN/>
        <w:adjustRightInd/>
        <w:spacing w:before="252"/>
        <w:ind w:right="864"/>
        <w:rPr>
          <w:rStyle w:val="CharacterStyle2"/>
          <w:b/>
          <w:bCs/>
          <w:sz w:val="21"/>
          <w:szCs w:val="21"/>
          <w:lang w:val="es-ES" w:eastAsia="es-ES"/>
        </w:rPr>
      </w:pPr>
      <w:r>
        <w:rPr>
          <w:rStyle w:val="CharacterStyle2"/>
          <w:spacing w:val="-3"/>
          <w:lang w:val="es-ES" w:eastAsia="es-ES"/>
        </w:rPr>
        <w:t xml:space="preserve">Publicaciones </w:t>
      </w:r>
      <w:r>
        <w:rPr>
          <w:rStyle w:val="CharacterStyle2"/>
          <w:b/>
          <w:bCs/>
          <w:spacing w:val="-3"/>
          <w:sz w:val="21"/>
          <w:szCs w:val="21"/>
          <w:lang w:val="es-ES" w:eastAsia="es-ES"/>
        </w:rPr>
        <w:t xml:space="preserve">más recientes, particularmente en el campo de las desapariciones </w:t>
      </w:r>
      <w:r>
        <w:rPr>
          <w:rStyle w:val="CharacterStyle2"/>
          <w:b/>
          <w:bCs/>
          <w:sz w:val="21"/>
          <w:szCs w:val="21"/>
          <w:lang w:val="es-ES" w:eastAsia="es-ES"/>
        </w:rPr>
        <w:t>forzadas:</w:t>
      </w:r>
    </w:p>
    <w:p w:rsidR="0032102B" w:rsidRDefault="0032102B">
      <w:pPr>
        <w:pStyle w:val="Style1"/>
        <w:kinsoku w:val="0"/>
        <w:autoSpaceDE/>
        <w:autoSpaceDN/>
        <w:jc w:val="left"/>
        <w:rPr>
          <w:rStyle w:val="CharacterStyle1"/>
          <w:lang w:val="es-ES" w:eastAsia="es-ES"/>
        </w:rPr>
      </w:pPr>
      <w:r>
        <w:rPr>
          <w:rStyle w:val="CharacterStyle1"/>
          <w:lang w:val="es-ES" w:eastAsia="es-ES"/>
        </w:rPr>
        <w:t>(5 líneas)</w:t>
      </w:r>
    </w:p>
    <w:p w:rsidR="0032102B" w:rsidRDefault="00B24566">
      <w:pPr>
        <w:pStyle w:val="Style1"/>
        <w:kinsoku w:val="0"/>
        <w:autoSpaceDE/>
        <w:autoSpaceDN/>
        <w:jc w:val="left"/>
        <w:rPr>
          <w:rStyle w:val="CharacterStyle1"/>
          <w:lang w:val="es-ES" w:eastAsia="es-E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379730</wp:posOffset>
                </wp:positionV>
                <wp:extent cx="108902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9153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6.95pt,29.9pt" to="242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IcHwIAAEQ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" o:allowincell="f" strokeweight=".95pt">
                <v:stroke dashstyle="3 1"/>
                <w10:wrap type="square"/>
              </v:line>
            </w:pict>
          </mc:Fallback>
        </mc:AlternateContent>
      </w:r>
      <w:r w:rsidR="0032102B">
        <w:rPr>
          <w:rStyle w:val="CharacterStyle1"/>
          <w:lang w:val="es-ES" w:eastAsia="es-ES"/>
        </w:rPr>
        <w:t>Como funcionaria de Naciones Unidas no ha realizado publicaciones sobre la materia.</w:t>
      </w:r>
    </w:p>
    <w:sectPr w:rsidR="0032102B">
      <w:pgSz w:w="11918" w:h="16854"/>
      <w:pgMar w:top="3050" w:right="1916" w:bottom="9074" w:left="19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4A"/>
    <w:rsid w:val="0032102B"/>
    <w:rsid w:val="003C1B25"/>
    <w:rsid w:val="007A1BEE"/>
    <w:rsid w:val="00866219"/>
    <w:rsid w:val="00B24566"/>
    <w:rsid w:val="00D6432B"/>
    <w:rsid w:val="00D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1F52A"/>
  <w14:defaultImageDpi w14:val="0"/>
  <w15:docId w15:val="{7FEDCC26-94A3-4AB3-932A-DED9F64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 w:eastAsia="es-P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jc w:val="both"/>
    </w:pPr>
    <w:rPr>
      <w:sz w:val="21"/>
      <w:szCs w:val="21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F34F0-9B59-4949-82A8-FB6776A35ABF}"/>
</file>

<file path=customXml/itemProps2.xml><?xml version="1.0" encoding="utf-8"?>
<ds:datastoreItem xmlns:ds="http://schemas.openxmlformats.org/officeDocument/2006/customXml" ds:itemID="{E8453E5B-0F48-433C-B030-D82F3965202D}"/>
</file>

<file path=customXml/itemProps3.xml><?xml version="1.0" encoding="utf-8"?>
<ds:datastoreItem xmlns:ds="http://schemas.openxmlformats.org/officeDocument/2006/customXml" ds:itemID="{7EF32A66-FCD8-4E47-BE76-302A2C12B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CV_Villa Quintana</dc:title>
  <dc:subject/>
  <dc:creator>Aurora de la Libertad Cano Choque</dc:creator>
  <cp:keywords/>
  <dc:description/>
  <cp:lastModifiedBy>TURKI Eya</cp:lastModifiedBy>
  <cp:revision>2</cp:revision>
  <dcterms:created xsi:type="dcterms:W3CDTF">2019-02-13T12:32:00Z</dcterms:created>
  <dcterms:modified xsi:type="dcterms:W3CDTF">2019-02-13T12:32:00Z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