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0B79" w:rsidRPr="00AE0B79" w:rsidRDefault="00AE0B79">
      <w:pPr>
        <w:rPr>
          <w:rFonts w:ascii="Times New Roman" w:hAnsi="Times New Roman" w:cs="Times New Roman"/>
          <w:b/>
          <w:sz w:val="24"/>
          <w:szCs w:val="24"/>
        </w:rPr>
      </w:pPr>
      <w:r w:rsidRPr="00AE0B79">
        <w:rPr>
          <w:rFonts w:ascii="Times New Roman" w:hAnsi="Times New Roman" w:cs="Times New Roman"/>
          <w:b/>
          <w:sz w:val="24"/>
          <w:szCs w:val="24"/>
        </w:rPr>
        <w:t>CEDAW Follow-up to views</w:t>
      </w:r>
    </w:p>
    <w:p w:rsidR="00157778" w:rsidRPr="00AE0B79" w:rsidRDefault="00157778">
      <w:pPr>
        <w:rPr>
          <w:rFonts w:ascii="Times New Roman" w:hAnsi="Times New Roman" w:cs="Times New Roman"/>
          <w:sz w:val="24"/>
          <w:szCs w:val="24"/>
        </w:rPr>
      </w:pPr>
      <w:r w:rsidRPr="00AE0B79">
        <w:rPr>
          <w:rFonts w:ascii="Times New Roman" w:hAnsi="Times New Roman" w:cs="Times New Roman"/>
          <w:sz w:val="24"/>
          <w:szCs w:val="24"/>
        </w:rPr>
        <w:t>Unlike</w:t>
      </w:r>
      <w:r w:rsidR="00AE0B79">
        <w:rPr>
          <w:rFonts w:ascii="Times New Roman" w:hAnsi="Times New Roman" w:cs="Times New Roman"/>
          <w:sz w:val="24"/>
          <w:szCs w:val="24"/>
        </w:rPr>
        <w:t>,</w:t>
      </w:r>
      <w:r w:rsidRPr="00AE0B79">
        <w:rPr>
          <w:rFonts w:ascii="Times New Roman" w:hAnsi="Times New Roman" w:cs="Times New Roman"/>
          <w:sz w:val="24"/>
          <w:szCs w:val="24"/>
        </w:rPr>
        <w:t xml:space="preserve"> for example</w:t>
      </w:r>
      <w:r w:rsidR="00AE0B79">
        <w:rPr>
          <w:rFonts w:ascii="Times New Roman" w:hAnsi="Times New Roman" w:cs="Times New Roman"/>
          <w:sz w:val="24"/>
          <w:szCs w:val="24"/>
        </w:rPr>
        <w:t>,</w:t>
      </w:r>
      <w:r w:rsidRPr="00AE0B79">
        <w:rPr>
          <w:rFonts w:ascii="Times New Roman" w:hAnsi="Times New Roman" w:cs="Times New Roman"/>
          <w:sz w:val="24"/>
          <w:szCs w:val="24"/>
        </w:rPr>
        <w:t xml:space="preserve"> the International Covenant on Civil and Political Rights or the Convention again Torture, the Optional Protocol to the Convention on the Elimination of Discrimination Against Women provides specifically for the follow up to the Committee’s views with a finding of a violation of the authors’ rights. </w:t>
      </w:r>
    </w:p>
    <w:p w:rsidR="00157778" w:rsidRPr="00AE0B79" w:rsidRDefault="00157778" w:rsidP="00157778">
      <w:pPr>
        <w:rPr>
          <w:rFonts w:ascii="Times New Roman" w:hAnsi="Times New Roman" w:cs="Times New Roman"/>
          <w:sz w:val="24"/>
          <w:szCs w:val="24"/>
        </w:rPr>
      </w:pPr>
      <w:r w:rsidRPr="00AE0B79">
        <w:rPr>
          <w:rFonts w:ascii="Times New Roman" w:hAnsi="Times New Roman" w:cs="Times New Roman"/>
          <w:sz w:val="24"/>
          <w:szCs w:val="24"/>
        </w:rPr>
        <w:t>Paragraph 3 of article 7 of the Optional Protocol to CEDAW provides that after examining a communication, the Committee shall transmit its views on the communication, together with its recommendations, if any, to the parties concerned. Paragraph 4 of article 7 of the optional Protocol to CEDAW provides that the State Party shall give due consideration to the views of the Committee, together with its recommendations, if any, and shall submit to the Committee, within six months, a written response, including information on any action taken in the light of the views and recommendations of the Committee. Pursuant to paragraph 5 of the Optional Protocol to CEDAW, the Committee may invite the State Party to submit further information about any measures the State Party has taken in response to its views or recommendations, if any, including as deemed appropriate by the Committee, in the State Party’s subsequent reports under article 18 of the Convention.</w:t>
      </w:r>
    </w:p>
    <w:p w:rsidR="00157778" w:rsidRPr="00AE0B79" w:rsidRDefault="00157778" w:rsidP="00157778">
      <w:pPr>
        <w:rPr>
          <w:rFonts w:ascii="Times New Roman" w:hAnsi="Times New Roman" w:cs="Times New Roman"/>
          <w:sz w:val="24"/>
          <w:szCs w:val="24"/>
        </w:rPr>
      </w:pPr>
      <w:r w:rsidRPr="00AE0B79">
        <w:rPr>
          <w:rFonts w:ascii="Times New Roman" w:hAnsi="Times New Roman" w:cs="Times New Roman"/>
          <w:sz w:val="24"/>
          <w:szCs w:val="24"/>
        </w:rPr>
        <w:t>The Committee’s follow-up mandate has thus been codified in the Optional Protocol to the Convention</w:t>
      </w:r>
      <w:r w:rsidR="00734E9C">
        <w:rPr>
          <w:rFonts w:ascii="Times New Roman" w:hAnsi="Times New Roman" w:cs="Times New Roman"/>
          <w:sz w:val="24"/>
          <w:szCs w:val="24"/>
        </w:rPr>
        <w:t>, what clarifies the matter</w:t>
      </w:r>
      <w:r w:rsidRPr="00AE0B79">
        <w:rPr>
          <w:rFonts w:ascii="Times New Roman" w:hAnsi="Times New Roman" w:cs="Times New Roman"/>
          <w:sz w:val="24"/>
          <w:szCs w:val="24"/>
        </w:rPr>
        <w:t xml:space="preserve">. </w:t>
      </w:r>
    </w:p>
    <w:p w:rsidR="00734E9C" w:rsidRPr="00AE0B79" w:rsidRDefault="00734E9C" w:rsidP="006D487C">
      <w:pPr>
        <w:tabs>
          <w:tab w:val="num" w:pos="720"/>
        </w:tabs>
        <w:rPr>
          <w:rFonts w:ascii="Times New Roman" w:hAnsi="Times New Roman" w:cs="Times New Roman"/>
          <w:sz w:val="24"/>
          <w:szCs w:val="24"/>
        </w:rPr>
      </w:pPr>
      <w:r>
        <w:rPr>
          <w:rFonts w:ascii="Times New Roman" w:hAnsi="Times New Roman" w:cs="Times New Roman"/>
          <w:sz w:val="24"/>
          <w:szCs w:val="24"/>
        </w:rPr>
        <w:t xml:space="preserve">States who have voluntarily accepted the competence of </w:t>
      </w:r>
      <w:r w:rsidR="00A44523">
        <w:rPr>
          <w:rFonts w:ascii="Times New Roman" w:hAnsi="Times New Roman" w:cs="Times New Roman"/>
          <w:sz w:val="24"/>
          <w:szCs w:val="24"/>
        </w:rPr>
        <w:t xml:space="preserve">the CEDAW Committee </w:t>
      </w:r>
      <w:r>
        <w:rPr>
          <w:rFonts w:ascii="Times New Roman" w:hAnsi="Times New Roman" w:cs="Times New Roman"/>
          <w:sz w:val="24"/>
          <w:szCs w:val="24"/>
        </w:rPr>
        <w:t xml:space="preserve">to receive and examine complaints alleging violation of the authors’ rights are expected to fulfil their obligations bone fide, i.e. in a good will. Not accepting the </w:t>
      </w:r>
      <w:r w:rsidR="00A44523">
        <w:rPr>
          <w:rFonts w:ascii="Times New Roman" w:hAnsi="Times New Roman" w:cs="Times New Roman"/>
          <w:sz w:val="24"/>
          <w:szCs w:val="24"/>
        </w:rPr>
        <w:t xml:space="preserve">Committee’s </w:t>
      </w:r>
      <w:r>
        <w:rPr>
          <w:rFonts w:ascii="Times New Roman" w:hAnsi="Times New Roman" w:cs="Times New Roman"/>
          <w:sz w:val="24"/>
          <w:szCs w:val="24"/>
        </w:rPr>
        <w:t>views and non-compl</w:t>
      </w:r>
      <w:r w:rsidR="00A44523">
        <w:rPr>
          <w:rFonts w:ascii="Times New Roman" w:hAnsi="Times New Roman" w:cs="Times New Roman"/>
          <w:sz w:val="24"/>
          <w:szCs w:val="24"/>
        </w:rPr>
        <w:t xml:space="preserve">ying </w:t>
      </w:r>
      <w:r>
        <w:rPr>
          <w:rFonts w:ascii="Times New Roman" w:hAnsi="Times New Roman" w:cs="Times New Roman"/>
          <w:sz w:val="24"/>
          <w:szCs w:val="24"/>
        </w:rPr>
        <w:t xml:space="preserve">with </w:t>
      </w:r>
      <w:r w:rsidR="00A44523">
        <w:rPr>
          <w:rFonts w:ascii="Times New Roman" w:hAnsi="Times New Roman" w:cs="Times New Roman"/>
          <w:sz w:val="24"/>
          <w:szCs w:val="24"/>
        </w:rPr>
        <w:t xml:space="preserve">its </w:t>
      </w:r>
      <w:r>
        <w:rPr>
          <w:rFonts w:ascii="Times New Roman" w:hAnsi="Times New Roman" w:cs="Times New Roman"/>
          <w:sz w:val="24"/>
          <w:szCs w:val="24"/>
        </w:rPr>
        <w:t xml:space="preserve">recommendations in individual cases undermines the international system of human rights protection.      </w:t>
      </w:r>
    </w:p>
    <w:p w:rsidR="005B3E33" w:rsidRPr="00AE0B79" w:rsidRDefault="00A44523" w:rsidP="006D487C">
      <w:pPr>
        <w:tabs>
          <w:tab w:val="num" w:pos="720"/>
        </w:tabs>
        <w:rPr>
          <w:rFonts w:ascii="Times New Roman" w:hAnsi="Times New Roman" w:cs="Times New Roman"/>
          <w:sz w:val="24"/>
          <w:szCs w:val="24"/>
        </w:rPr>
      </w:pPr>
      <w:r>
        <w:rPr>
          <w:rFonts w:ascii="Times New Roman" w:hAnsi="Times New Roman" w:cs="Times New Roman"/>
          <w:sz w:val="24"/>
          <w:szCs w:val="24"/>
        </w:rPr>
        <w:t xml:space="preserve">CEDAW Working Group on communications under the Optional Protocol deals with follow-up of individual cases. </w:t>
      </w:r>
      <w:r w:rsidR="005B3E33" w:rsidRPr="00AE0B79">
        <w:rPr>
          <w:rFonts w:ascii="Times New Roman" w:hAnsi="Times New Roman" w:cs="Times New Roman"/>
          <w:sz w:val="24"/>
          <w:szCs w:val="24"/>
        </w:rPr>
        <w:t xml:space="preserve">Each member of the CEADW Working Group on communications under the Optional Protocol acts as a follow-up rapporteur n a number of </w:t>
      </w:r>
      <w:r>
        <w:rPr>
          <w:rFonts w:ascii="Times New Roman" w:hAnsi="Times New Roman" w:cs="Times New Roman"/>
          <w:sz w:val="24"/>
          <w:szCs w:val="24"/>
        </w:rPr>
        <w:t xml:space="preserve">decided </w:t>
      </w:r>
      <w:r w:rsidR="005B3E33" w:rsidRPr="00AE0B79">
        <w:rPr>
          <w:rFonts w:ascii="Times New Roman" w:hAnsi="Times New Roman" w:cs="Times New Roman"/>
          <w:sz w:val="24"/>
          <w:szCs w:val="24"/>
        </w:rPr>
        <w:t>cases</w:t>
      </w:r>
      <w:r>
        <w:rPr>
          <w:rFonts w:ascii="Times New Roman" w:hAnsi="Times New Roman" w:cs="Times New Roman"/>
          <w:sz w:val="24"/>
          <w:szCs w:val="24"/>
        </w:rPr>
        <w:t xml:space="preserve"> where the follow-up dialogue with the respective State party is ongoing</w:t>
      </w:r>
      <w:r w:rsidR="005B3E33" w:rsidRPr="00AE0B79">
        <w:rPr>
          <w:rFonts w:ascii="Times New Roman" w:hAnsi="Times New Roman" w:cs="Times New Roman"/>
          <w:sz w:val="24"/>
          <w:szCs w:val="24"/>
        </w:rPr>
        <w:t xml:space="preserve">. Another member of the Committee </w:t>
      </w:r>
      <w:r w:rsidR="00734E9C">
        <w:rPr>
          <w:rFonts w:ascii="Times New Roman" w:hAnsi="Times New Roman" w:cs="Times New Roman"/>
          <w:sz w:val="24"/>
          <w:szCs w:val="24"/>
        </w:rPr>
        <w:t xml:space="preserve">may </w:t>
      </w:r>
      <w:r w:rsidR="005B3E33" w:rsidRPr="00AE0B79">
        <w:rPr>
          <w:rFonts w:ascii="Times New Roman" w:hAnsi="Times New Roman" w:cs="Times New Roman"/>
          <w:sz w:val="24"/>
          <w:szCs w:val="24"/>
        </w:rPr>
        <w:t>acts as a</w:t>
      </w:r>
      <w:r w:rsidR="00734E9C">
        <w:rPr>
          <w:rFonts w:ascii="Times New Roman" w:hAnsi="Times New Roman" w:cs="Times New Roman"/>
          <w:sz w:val="24"/>
          <w:szCs w:val="24"/>
        </w:rPr>
        <w:t>n ad-hoc</w:t>
      </w:r>
      <w:r w:rsidR="005B3E33" w:rsidRPr="00AE0B79">
        <w:rPr>
          <w:rFonts w:ascii="Times New Roman" w:hAnsi="Times New Roman" w:cs="Times New Roman"/>
          <w:sz w:val="24"/>
          <w:szCs w:val="24"/>
        </w:rPr>
        <w:t xml:space="preserve"> Co-follow up rapporteur.    </w:t>
      </w:r>
    </w:p>
    <w:p w:rsidR="00D12DC5" w:rsidRPr="00AE0B79" w:rsidRDefault="005B3E33" w:rsidP="006D487C">
      <w:pPr>
        <w:tabs>
          <w:tab w:val="num" w:pos="720"/>
        </w:tabs>
        <w:rPr>
          <w:rFonts w:ascii="Times New Roman" w:hAnsi="Times New Roman" w:cs="Times New Roman"/>
          <w:sz w:val="24"/>
          <w:szCs w:val="24"/>
        </w:rPr>
      </w:pPr>
      <w:r w:rsidRPr="00AE0B79">
        <w:rPr>
          <w:rFonts w:ascii="Times New Roman" w:hAnsi="Times New Roman" w:cs="Times New Roman"/>
          <w:sz w:val="24"/>
          <w:szCs w:val="24"/>
        </w:rPr>
        <w:t>The CEDAW Working Group on individual communications holds periodically meetings with representatives of States parties to the Convention against who cases of violation of the rights of the authors occurred. The State part</w:t>
      </w:r>
      <w:r w:rsidR="005D3248">
        <w:rPr>
          <w:rFonts w:ascii="Times New Roman" w:hAnsi="Times New Roman" w:cs="Times New Roman"/>
          <w:sz w:val="24"/>
          <w:szCs w:val="24"/>
        </w:rPr>
        <w:t>ies’</w:t>
      </w:r>
      <w:r w:rsidRPr="00AE0B79">
        <w:rPr>
          <w:rFonts w:ascii="Times New Roman" w:hAnsi="Times New Roman" w:cs="Times New Roman"/>
          <w:sz w:val="24"/>
          <w:szCs w:val="24"/>
        </w:rPr>
        <w:t xml:space="preserve"> representatives are asked to provide an updated information regarding the measures taken to give effect to the Committee’s views</w:t>
      </w:r>
      <w:r w:rsidR="005D3248">
        <w:rPr>
          <w:rFonts w:ascii="Times New Roman" w:hAnsi="Times New Roman" w:cs="Times New Roman"/>
          <w:sz w:val="24"/>
          <w:szCs w:val="24"/>
        </w:rPr>
        <w:t xml:space="preserve"> and the Working Group tries to assist the States parties in their efforts to give effect to the Committee’s views</w:t>
      </w:r>
      <w:r w:rsidRPr="00AE0B79">
        <w:rPr>
          <w:rFonts w:ascii="Times New Roman" w:hAnsi="Times New Roman" w:cs="Times New Roman"/>
          <w:sz w:val="24"/>
          <w:szCs w:val="24"/>
        </w:rPr>
        <w:t>.</w:t>
      </w:r>
      <w:r w:rsidR="00A44523">
        <w:rPr>
          <w:rFonts w:ascii="Times New Roman" w:hAnsi="Times New Roman" w:cs="Times New Roman"/>
          <w:sz w:val="24"/>
          <w:szCs w:val="24"/>
        </w:rPr>
        <w:t xml:space="preserve"> The State party’s replies are systematically sent to the authors of the communications for their comments.</w:t>
      </w:r>
      <w:r w:rsidRPr="00AE0B79">
        <w:rPr>
          <w:rFonts w:ascii="Times New Roman" w:hAnsi="Times New Roman" w:cs="Times New Roman"/>
          <w:sz w:val="24"/>
          <w:szCs w:val="24"/>
        </w:rPr>
        <w:t xml:space="preserve"> </w:t>
      </w:r>
    </w:p>
    <w:p w:rsidR="00D12DC5" w:rsidRPr="00AE0B79" w:rsidRDefault="00D12DC5" w:rsidP="006D487C">
      <w:pPr>
        <w:tabs>
          <w:tab w:val="num" w:pos="720"/>
        </w:tabs>
        <w:rPr>
          <w:rFonts w:ascii="Times New Roman" w:hAnsi="Times New Roman" w:cs="Times New Roman"/>
          <w:sz w:val="24"/>
          <w:szCs w:val="24"/>
        </w:rPr>
      </w:pPr>
      <w:r w:rsidRPr="00AE0B79">
        <w:rPr>
          <w:rFonts w:ascii="Times New Roman" w:hAnsi="Times New Roman" w:cs="Times New Roman"/>
          <w:sz w:val="24"/>
          <w:szCs w:val="24"/>
        </w:rPr>
        <w:t xml:space="preserve">The CEDAW Working Group adopts periodic reports concerning cases where the follow-up dialogue is ongoing. These reports include a list of all cases where the follow-up dialogue </w:t>
      </w:r>
      <w:r w:rsidR="005D3248">
        <w:rPr>
          <w:rFonts w:ascii="Times New Roman" w:hAnsi="Times New Roman" w:cs="Times New Roman"/>
          <w:sz w:val="24"/>
          <w:szCs w:val="24"/>
        </w:rPr>
        <w:t xml:space="preserve">remains </w:t>
      </w:r>
      <w:r w:rsidRPr="00AE0B79">
        <w:rPr>
          <w:rFonts w:ascii="Times New Roman" w:hAnsi="Times New Roman" w:cs="Times New Roman"/>
          <w:sz w:val="24"/>
          <w:szCs w:val="24"/>
        </w:rPr>
        <w:t>ongoing, summaries of the most recent parties’ submissions regarding follow-up, and also a grade reflecting the Committee’s assessment of the matter.</w:t>
      </w:r>
    </w:p>
    <w:p w:rsidR="00D12DC5" w:rsidRPr="00AE0B79" w:rsidRDefault="00D12DC5" w:rsidP="00D12DC5">
      <w:pPr>
        <w:tabs>
          <w:tab w:val="num" w:pos="720"/>
        </w:tabs>
        <w:rPr>
          <w:rFonts w:ascii="Times New Roman" w:hAnsi="Times New Roman" w:cs="Times New Roman"/>
          <w:sz w:val="24"/>
          <w:szCs w:val="24"/>
        </w:rPr>
      </w:pPr>
      <w:r w:rsidRPr="00AE0B79">
        <w:rPr>
          <w:rFonts w:ascii="Times New Roman" w:hAnsi="Times New Roman" w:cs="Times New Roman"/>
          <w:sz w:val="24"/>
          <w:szCs w:val="24"/>
        </w:rPr>
        <w:t xml:space="preserve">At present, CEDAW uses the following assessment grades: </w:t>
      </w:r>
    </w:p>
    <w:p w:rsidR="00D12DC5" w:rsidRPr="00AE0B79" w:rsidRDefault="00D12DC5" w:rsidP="00D12DC5">
      <w:pPr>
        <w:pStyle w:val="Paragraphedeliste"/>
        <w:numPr>
          <w:ilvl w:val="0"/>
          <w:numId w:val="2"/>
        </w:numPr>
        <w:tabs>
          <w:tab w:val="num" w:pos="720"/>
        </w:tabs>
        <w:rPr>
          <w:rFonts w:ascii="Times New Roman" w:hAnsi="Times New Roman" w:cs="Times New Roman"/>
          <w:sz w:val="24"/>
          <w:szCs w:val="24"/>
        </w:rPr>
      </w:pPr>
      <w:r w:rsidRPr="00AE0B79">
        <w:rPr>
          <w:rFonts w:ascii="Times New Roman" w:hAnsi="Times New Roman" w:cs="Times New Roman"/>
          <w:sz w:val="24"/>
          <w:szCs w:val="24"/>
        </w:rPr>
        <w:t>Measures taken satisfactory (implementation satisfactory);</w:t>
      </w:r>
    </w:p>
    <w:p w:rsidR="00D12DC5" w:rsidRPr="00AE0B79" w:rsidRDefault="00D12DC5" w:rsidP="00423CB2">
      <w:pPr>
        <w:pStyle w:val="Paragraphedeliste"/>
        <w:numPr>
          <w:ilvl w:val="0"/>
          <w:numId w:val="2"/>
        </w:numPr>
        <w:tabs>
          <w:tab w:val="num" w:pos="720"/>
        </w:tabs>
        <w:rPr>
          <w:rFonts w:ascii="Times New Roman" w:hAnsi="Times New Roman" w:cs="Times New Roman"/>
          <w:sz w:val="24"/>
          <w:szCs w:val="24"/>
        </w:rPr>
      </w:pPr>
      <w:r w:rsidRPr="00AE0B79">
        <w:rPr>
          <w:rFonts w:ascii="Times New Roman" w:hAnsi="Times New Roman" w:cs="Times New Roman"/>
          <w:sz w:val="24"/>
          <w:szCs w:val="24"/>
        </w:rPr>
        <w:lastRenderedPageBreak/>
        <w:t xml:space="preserve">Reply received but actions party implement the Views/recommendations (implementation partly satisfactory); </w:t>
      </w:r>
    </w:p>
    <w:p w:rsidR="00D12DC5" w:rsidRPr="00AE0B79" w:rsidRDefault="00D12DC5" w:rsidP="00F30B03">
      <w:pPr>
        <w:pStyle w:val="Paragraphedeliste"/>
        <w:numPr>
          <w:ilvl w:val="0"/>
          <w:numId w:val="2"/>
        </w:numPr>
        <w:tabs>
          <w:tab w:val="num" w:pos="720"/>
        </w:tabs>
        <w:rPr>
          <w:rFonts w:ascii="Times New Roman" w:hAnsi="Times New Roman" w:cs="Times New Roman"/>
          <w:sz w:val="24"/>
          <w:szCs w:val="24"/>
        </w:rPr>
      </w:pPr>
      <w:r w:rsidRPr="00AE0B79">
        <w:rPr>
          <w:rFonts w:ascii="Times New Roman" w:hAnsi="Times New Roman" w:cs="Times New Roman"/>
          <w:sz w:val="24"/>
          <w:szCs w:val="24"/>
        </w:rPr>
        <w:t xml:space="preserve">Reply received but no action taken to implement the views (implementation unsatisfactory); </w:t>
      </w:r>
    </w:p>
    <w:p w:rsidR="00D12DC5" w:rsidRPr="00AE0B79" w:rsidRDefault="00D12DC5" w:rsidP="008C6042">
      <w:pPr>
        <w:pStyle w:val="Paragraphedeliste"/>
        <w:numPr>
          <w:ilvl w:val="0"/>
          <w:numId w:val="2"/>
        </w:numPr>
        <w:tabs>
          <w:tab w:val="num" w:pos="720"/>
        </w:tabs>
        <w:rPr>
          <w:rFonts w:ascii="Times New Roman" w:hAnsi="Times New Roman" w:cs="Times New Roman"/>
          <w:sz w:val="24"/>
          <w:szCs w:val="24"/>
        </w:rPr>
      </w:pPr>
      <w:r w:rsidRPr="00AE0B79">
        <w:rPr>
          <w:rFonts w:ascii="Times New Roman" w:hAnsi="Times New Roman" w:cs="Times New Roman"/>
          <w:sz w:val="24"/>
          <w:szCs w:val="24"/>
        </w:rPr>
        <w:t xml:space="preserve">No reply received; </w:t>
      </w:r>
    </w:p>
    <w:p w:rsidR="00D12DC5" w:rsidRPr="00AE0B79" w:rsidRDefault="00D12DC5" w:rsidP="008C6042">
      <w:pPr>
        <w:pStyle w:val="Paragraphedeliste"/>
        <w:numPr>
          <w:ilvl w:val="0"/>
          <w:numId w:val="2"/>
        </w:numPr>
        <w:tabs>
          <w:tab w:val="num" w:pos="720"/>
        </w:tabs>
        <w:rPr>
          <w:rFonts w:ascii="Times New Roman" w:hAnsi="Times New Roman" w:cs="Times New Roman"/>
          <w:sz w:val="24"/>
          <w:szCs w:val="24"/>
        </w:rPr>
      </w:pPr>
      <w:r w:rsidRPr="00AE0B79">
        <w:rPr>
          <w:rFonts w:ascii="Times New Roman" w:hAnsi="Times New Roman" w:cs="Times New Roman"/>
          <w:sz w:val="24"/>
          <w:szCs w:val="24"/>
        </w:rPr>
        <w:t>No measures taken or measures taken go against the Views/recommendations of the Committee.</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7442"/>
      </w:tblGrid>
      <w:tr w:rsidR="00201E09" w:rsidRPr="00AE0B79">
        <w:trPr>
          <w:trHeight w:val="130"/>
        </w:trPr>
        <w:tc>
          <w:tcPr>
            <w:tcW w:w="7442" w:type="dxa"/>
          </w:tcPr>
          <w:p w:rsidR="005D3248" w:rsidRDefault="00201E09" w:rsidP="00201E09">
            <w:pPr>
              <w:tabs>
                <w:tab w:val="num" w:pos="720"/>
              </w:tabs>
              <w:rPr>
                <w:rFonts w:ascii="Times New Roman" w:hAnsi="Times New Roman" w:cs="Times New Roman"/>
                <w:sz w:val="24"/>
                <w:szCs w:val="24"/>
              </w:rPr>
            </w:pPr>
            <w:r w:rsidRPr="00AE0B79">
              <w:rPr>
                <w:rFonts w:ascii="Times New Roman" w:hAnsi="Times New Roman" w:cs="Times New Roman"/>
                <w:sz w:val="24"/>
                <w:szCs w:val="24"/>
              </w:rPr>
              <w:t>The CED</w:t>
            </w:r>
            <w:r w:rsidR="005D3248">
              <w:rPr>
                <w:rFonts w:ascii="Times New Roman" w:hAnsi="Times New Roman" w:cs="Times New Roman"/>
                <w:sz w:val="24"/>
                <w:szCs w:val="24"/>
              </w:rPr>
              <w:t>A</w:t>
            </w:r>
            <w:r w:rsidRPr="00AE0B79">
              <w:rPr>
                <w:rFonts w:ascii="Times New Roman" w:hAnsi="Times New Roman" w:cs="Times New Roman"/>
                <w:sz w:val="24"/>
                <w:szCs w:val="24"/>
              </w:rPr>
              <w:t xml:space="preserve">W </w:t>
            </w:r>
            <w:r w:rsidR="00A44523">
              <w:rPr>
                <w:rFonts w:ascii="Times New Roman" w:hAnsi="Times New Roman" w:cs="Times New Roman"/>
                <w:sz w:val="24"/>
                <w:szCs w:val="24"/>
              </w:rPr>
              <w:t xml:space="preserve">Working Group on communications under the Optional Protocol </w:t>
            </w:r>
            <w:r w:rsidRPr="00AE0B79">
              <w:rPr>
                <w:rFonts w:ascii="Times New Roman" w:hAnsi="Times New Roman" w:cs="Times New Roman"/>
                <w:sz w:val="24"/>
                <w:szCs w:val="24"/>
              </w:rPr>
              <w:t>can close the follow up dialogue with a finding of a satisfactory implementation of the Committee’s recommendations</w:t>
            </w:r>
            <w:r w:rsidR="005D3248">
              <w:rPr>
                <w:rFonts w:ascii="Times New Roman" w:hAnsi="Times New Roman" w:cs="Times New Roman"/>
                <w:sz w:val="24"/>
                <w:szCs w:val="24"/>
              </w:rPr>
              <w:t xml:space="preserve"> when it is satisfied that the measures taken so far by the </w:t>
            </w:r>
            <w:r w:rsidR="00A44523">
              <w:rPr>
                <w:rFonts w:ascii="Times New Roman" w:hAnsi="Times New Roman" w:cs="Times New Roman"/>
                <w:sz w:val="24"/>
                <w:szCs w:val="24"/>
              </w:rPr>
              <w:t xml:space="preserve">State party’s </w:t>
            </w:r>
            <w:r w:rsidR="005D3248">
              <w:rPr>
                <w:rFonts w:ascii="Times New Roman" w:hAnsi="Times New Roman" w:cs="Times New Roman"/>
                <w:sz w:val="24"/>
                <w:szCs w:val="24"/>
              </w:rPr>
              <w:t xml:space="preserve">authorities </w:t>
            </w:r>
            <w:r w:rsidR="00A44523">
              <w:rPr>
                <w:rFonts w:ascii="Times New Roman" w:hAnsi="Times New Roman" w:cs="Times New Roman"/>
                <w:sz w:val="24"/>
                <w:szCs w:val="24"/>
              </w:rPr>
              <w:t xml:space="preserve">have </w:t>
            </w:r>
            <w:r w:rsidR="005D3248">
              <w:rPr>
                <w:rFonts w:ascii="Times New Roman" w:hAnsi="Times New Roman" w:cs="Times New Roman"/>
                <w:sz w:val="24"/>
                <w:szCs w:val="24"/>
              </w:rPr>
              <w:t>give</w:t>
            </w:r>
            <w:r w:rsidR="00A44523">
              <w:rPr>
                <w:rFonts w:ascii="Times New Roman" w:hAnsi="Times New Roman" w:cs="Times New Roman"/>
                <w:sz w:val="24"/>
                <w:szCs w:val="24"/>
              </w:rPr>
              <w:t>n</w:t>
            </w:r>
            <w:r w:rsidR="005D3248">
              <w:rPr>
                <w:rFonts w:ascii="Times New Roman" w:hAnsi="Times New Roman" w:cs="Times New Roman"/>
                <w:sz w:val="24"/>
                <w:szCs w:val="24"/>
              </w:rPr>
              <w:t xml:space="preserve"> sufficient effect to the Committee’s recommendations in the case</w:t>
            </w:r>
            <w:r w:rsidRPr="00AE0B79">
              <w:rPr>
                <w:rFonts w:ascii="Times New Roman" w:hAnsi="Times New Roman" w:cs="Times New Roman"/>
                <w:sz w:val="24"/>
                <w:szCs w:val="24"/>
              </w:rPr>
              <w:t xml:space="preserve">. </w:t>
            </w:r>
          </w:p>
          <w:p w:rsidR="00201E09" w:rsidRPr="00AE0B79" w:rsidRDefault="00201E09" w:rsidP="00201E09">
            <w:pPr>
              <w:tabs>
                <w:tab w:val="num" w:pos="720"/>
              </w:tabs>
              <w:rPr>
                <w:rFonts w:ascii="Times New Roman" w:eastAsia="Times New Roman" w:hAnsi="Times New Roman" w:cs="Times New Roman"/>
                <w:sz w:val="24"/>
                <w:szCs w:val="24"/>
              </w:rPr>
            </w:pPr>
            <w:r w:rsidRPr="00AE0B79">
              <w:rPr>
                <w:rFonts w:ascii="Times New Roman" w:hAnsi="Times New Roman" w:cs="Times New Roman"/>
                <w:sz w:val="24"/>
                <w:szCs w:val="24"/>
              </w:rPr>
              <w:t xml:space="preserve">The most recent such cases concerned case 24/2009, </w:t>
            </w:r>
            <w:r w:rsidRPr="005D3248">
              <w:rPr>
                <w:rFonts w:ascii="Times New Roman" w:hAnsi="Times New Roman" w:cs="Times New Roman"/>
                <w:i/>
                <w:sz w:val="24"/>
                <w:szCs w:val="24"/>
              </w:rPr>
              <w:t>Y. and Y. v. Georgia</w:t>
            </w:r>
            <w:r w:rsidRPr="00AE0B79">
              <w:rPr>
                <w:rFonts w:ascii="Times New Roman" w:hAnsi="Times New Roman" w:cs="Times New Roman"/>
                <w:sz w:val="24"/>
                <w:szCs w:val="24"/>
              </w:rPr>
              <w:t xml:space="preserve">, in light of the payment of a compensation to the authors of 20,000 </w:t>
            </w:r>
            <w:proofErr w:type="spellStart"/>
            <w:r w:rsidRPr="00AE0B79">
              <w:rPr>
                <w:rFonts w:ascii="Times New Roman" w:hAnsi="Times New Roman" w:cs="Times New Roman"/>
                <w:sz w:val="24"/>
                <w:szCs w:val="24"/>
              </w:rPr>
              <w:t>Lari</w:t>
            </w:r>
            <w:proofErr w:type="spellEnd"/>
            <w:r w:rsidRPr="00AE0B79">
              <w:rPr>
                <w:rFonts w:ascii="Times New Roman" w:hAnsi="Times New Roman" w:cs="Times New Roman"/>
                <w:sz w:val="24"/>
                <w:szCs w:val="24"/>
              </w:rPr>
              <w:t xml:space="preserve"> (</w:t>
            </w:r>
            <w:r w:rsidRPr="00AE0B79">
              <w:rPr>
                <w:rFonts w:ascii="Times New Roman" w:eastAsia="Times New Roman" w:hAnsi="Times New Roman" w:cs="Times New Roman"/>
                <w:sz w:val="24"/>
                <w:szCs w:val="24"/>
              </w:rPr>
              <w:t xml:space="preserve">7,692.30 US dollars) each. Similarly, the follow-up dialogue has been put to a close with a satisfactory implementation of the Committee’s recommendations in case No. 47/2015, </w:t>
            </w:r>
            <w:r w:rsidRPr="005D3248">
              <w:rPr>
                <w:rFonts w:ascii="Times New Roman" w:eastAsia="Times New Roman" w:hAnsi="Times New Roman" w:cs="Times New Roman"/>
                <w:i/>
                <w:sz w:val="24"/>
                <w:szCs w:val="24"/>
              </w:rPr>
              <w:t xml:space="preserve">González </w:t>
            </w:r>
            <w:proofErr w:type="spellStart"/>
            <w:r w:rsidRPr="005D3248">
              <w:rPr>
                <w:rFonts w:ascii="Times New Roman" w:eastAsia="Times New Roman" w:hAnsi="Times New Roman" w:cs="Times New Roman"/>
                <w:i/>
                <w:sz w:val="24"/>
                <w:szCs w:val="24"/>
              </w:rPr>
              <w:t>Carreño</w:t>
            </w:r>
            <w:proofErr w:type="spellEnd"/>
            <w:r w:rsidRPr="005D3248">
              <w:rPr>
                <w:rFonts w:ascii="Times New Roman" w:eastAsia="Times New Roman" w:hAnsi="Times New Roman" w:cs="Times New Roman"/>
                <w:i/>
                <w:sz w:val="24"/>
                <w:szCs w:val="24"/>
              </w:rPr>
              <w:t xml:space="preserve"> v Spain</w:t>
            </w:r>
            <w:r w:rsidRPr="00AE0B79">
              <w:rPr>
                <w:rFonts w:ascii="Times New Roman" w:eastAsia="Times New Roman" w:hAnsi="Times New Roman" w:cs="Times New Roman"/>
                <w:sz w:val="24"/>
                <w:szCs w:val="24"/>
              </w:rPr>
              <w:t>, where, following a judgement of the Supreme Court of Spain</w:t>
            </w:r>
            <w:r w:rsidR="005D3248">
              <w:rPr>
                <w:rFonts w:ascii="Times New Roman" w:eastAsia="Times New Roman" w:hAnsi="Times New Roman" w:cs="Times New Roman"/>
                <w:sz w:val="24"/>
                <w:szCs w:val="24"/>
              </w:rPr>
              <w:t>,</w:t>
            </w:r>
            <w:r w:rsidRPr="00AE0B79">
              <w:rPr>
                <w:rFonts w:ascii="Times New Roman" w:eastAsia="Times New Roman" w:hAnsi="Times New Roman" w:cs="Times New Roman"/>
                <w:sz w:val="24"/>
                <w:szCs w:val="24"/>
              </w:rPr>
              <w:t xml:space="preserve"> based on the Committee’s views, </w:t>
            </w:r>
            <w:r w:rsidR="005D3248">
              <w:rPr>
                <w:rFonts w:ascii="Times New Roman" w:eastAsia="Times New Roman" w:hAnsi="Times New Roman" w:cs="Times New Roman"/>
                <w:sz w:val="24"/>
                <w:szCs w:val="24"/>
              </w:rPr>
              <w:t xml:space="preserve">the State party </w:t>
            </w:r>
            <w:r w:rsidRPr="00AE0B79">
              <w:rPr>
                <w:rFonts w:ascii="Times New Roman" w:eastAsia="Times New Roman" w:hAnsi="Times New Roman" w:cs="Times New Roman"/>
                <w:sz w:val="24"/>
                <w:szCs w:val="24"/>
              </w:rPr>
              <w:t xml:space="preserve">paid a compensation of </w:t>
            </w:r>
            <w:r w:rsidR="005D3248">
              <w:rPr>
                <w:rFonts w:ascii="Times New Roman" w:eastAsia="Times New Roman" w:hAnsi="Times New Roman" w:cs="Times New Roman"/>
                <w:sz w:val="24"/>
                <w:szCs w:val="24"/>
              </w:rPr>
              <w:t xml:space="preserve">some </w:t>
            </w:r>
            <w:r w:rsidRPr="00AE0B79">
              <w:rPr>
                <w:rFonts w:ascii="Times New Roman" w:eastAsia="Times New Roman" w:hAnsi="Times New Roman" w:cs="Times New Roman"/>
                <w:sz w:val="24"/>
                <w:szCs w:val="24"/>
              </w:rPr>
              <w:t xml:space="preserve">600,000 Euro to the author. See the relevant press release on the matter: https://www.ohchr.org/EN/NewsEvents/Pages/DisplayNews.aspx?NewsID=23849&amp;LangID=E.   </w:t>
            </w:r>
          </w:p>
          <w:p w:rsidR="005D3248" w:rsidRDefault="00201E09" w:rsidP="00201E09">
            <w:pPr>
              <w:tabs>
                <w:tab w:val="num" w:pos="720"/>
              </w:tabs>
              <w:rPr>
                <w:rFonts w:ascii="Times New Roman" w:eastAsia="Times New Roman" w:hAnsi="Times New Roman" w:cs="Times New Roman"/>
                <w:sz w:val="24"/>
                <w:szCs w:val="24"/>
              </w:rPr>
            </w:pPr>
            <w:r w:rsidRPr="00AE0B79">
              <w:rPr>
                <w:rFonts w:ascii="Times New Roman" w:eastAsia="Times New Roman" w:hAnsi="Times New Roman" w:cs="Times New Roman"/>
                <w:sz w:val="24"/>
                <w:szCs w:val="24"/>
              </w:rPr>
              <w:t xml:space="preserve">To the contrary, when it </w:t>
            </w:r>
            <w:r w:rsidR="00A44523">
              <w:rPr>
                <w:rFonts w:ascii="Times New Roman" w:eastAsia="Times New Roman" w:hAnsi="Times New Roman" w:cs="Times New Roman"/>
                <w:sz w:val="24"/>
                <w:szCs w:val="24"/>
              </w:rPr>
              <w:t xml:space="preserve">considers </w:t>
            </w:r>
            <w:r w:rsidRPr="00AE0B79">
              <w:rPr>
                <w:rFonts w:ascii="Times New Roman" w:eastAsia="Times New Roman" w:hAnsi="Times New Roman" w:cs="Times New Roman"/>
                <w:sz w:val="24"/>
                <w:szCs w:val="24"/>
              </w:rPr>
              <w:t xml:space="preserve">that a State party does not give effect to its views and it considers that further efforts </w:t>
            </w:r>
            <w:r w:rsidR="005D3248">
              <w:rPr>
                <w:rFonts w:ascii="Times New Roman" w:eastAsia="Times New Roman" w:hAnsi="Times New Roman" w:cs="Times New Roman"/>
                <w:sz w:val="24"/>
                <w:szCs w:val="24"/>
              </w:rPr>
              <w:t xml:space="preserve">regarding follow-up </w:t>
            </w:r>
            <w:r w:rsidRPr="00AE0B79">
              <w:rPr>
                <w:rFonts w:ascii="Times New Roman" w:eastAsia="Times New Roman" w:hAnsi="Times New Roman" w:cs="Times New Roman"/>
                <w:sz w:val="24"/>
                <w:szCs w:val="24"/>
              </w:rPr>
              <w:t xml:space="preserve">appear to be vain, the </w:t>
            </w:r>
            <w:r w:rsidR="00A44523">
              <w:rPr>
                <w:rFonts w:ascii="Times New Roman" w:eastAsia="Times New Roman" w:hAnsi="Times New Roman" w:cs="Times New Roman"/>
                <w:sz w:val="24"/>
                <w:szCs w:val="24"/>
              </w:rPr>
              <w:t xml:space="preserve">Working Group </w:t>
            </w:r>
            <w:r w:rsidRPr="00AE0B79">
              <w:rPr>
                <w:rFonts w:ascii="Times New Roman" w:eastAsia="Times New Roman" w:hAnsi="Times New Roman" w:cs="Times New Roman"/>
                <w:sz w:val="24"/>
                <w:szCs w:val="24"/>
              </w:rPr>
              <w:t>may decide to put the follow-up dialogue to a</w:t>
            </w:r>
            <w:r w:rsidR="00AE0B79" w:rsidRPr="00AE0B79">
              <w:rPr>
                <w:rFonts w:ascii="Times New Roman" w:eastAsia="Times New Roman" w:hAnsi="Times New Roman" w:cs="Times New Roman"/>
                <w:sz w:val="24"/>
                <w:szCs w:val="24"/>
              </w:rPr>
              <w:t xml:space="preserve">n end </w:t>
            </w:r>
            <w:r w:rsidRPr="00AE0B79">
              <w:rPr>
                <w:rFonts w:ascii="Times New Roman" w:eastAsia="Times New Roman" w:hAnsi="Times New Roman" w:cs="Times New Roman"/>
                <w:sz w:val="24"/>
                <w:szCs w:val="24"/>
              </w:rPr>
              <w:t xml:space="preserve">with a finding of unsatisfactory implementation of the Committee’s recommendations. </w:t>
            </w:r>
          </w:p>
          <w:p w:rsidR="00AE0B79" w:rsidRPr="00AE0B79" w:rsidRDefault="00201E09" w:rsidP="00201E09">
            <w:pPr>
              <w:tabs>
                <w:tab w:val="num" w:pos="720"/>
              </w:tabs>
              <w:rPr>
                <w:rFonts w:ascii="Times New Roman" w:eastAsia="Times New Roman" w:hAnsi="Times New Roman" w:cs="Times New Roman"/>
                <w:sz w:val="24"/>
                <w:szCs w:val="24"/>
              </w:rPr>
            </w:pPr>
            <w:r w:rsidRPr="00AE0B79">
              <w:rPr>
                <w:rFonts w:ascii="Times New Roman" w:eastAsia="Times New Roman" w:hAnsi="Times New Roman" w:cs="Times New Roman"/>
                <w:sz w:val="24"/>
                <w:szCs w:val="24"/>
              </w:rPr>
              <w:t xml:space="preserve">This was the situation for example at the </w:t>
            </w:r>
            <w:r w:rsidR="005D3248">
              <w:rPr>
                <w:rFonts w:ascii="Times New Roman" w:eastAsia="Times New Roman" w:hAnsi="Times New Roman" w:cs="Times New Roman"/>
                <w:sz w:val="24"/>
                <w:szCs w:val="24"/>
              </w:rPr>
              <w:t>CEDAW 74</w:t>
            </w:r>
            <w:r w:rsidRPr="00AE0B79">
              <w:rPr>
                <w:rFonts w:ascii="Times New Roman" w:eastAsia="Times New Roman" w:hAnsi="Times New Roman" w:cs="Times New Roman"/>
                <w:sz w:val="24"/>
                <w:szCs w:val="24"/>
                <w:vertAlign w:val="superscript"/>
              </w:rPr>
              <w:t>th</w:t>
            </w:r>
            <w:r w:rsidRPr="00AE0B79">
              <w:rPr>
                <w:rFonts w:ascii="Times New Roman" w:eastAsia="Times New Roman" w:hAnsi="Times New Roman" w:cs="Times New Roman"/>
                <w:sz w:val="24"/>
                <w:szCs w:val="24"/>
              </w:rPr>
              <w:t xml:space="preserve"> session (October 2019) when the Committee closed the follow-up dialogue regarding case</w:t>
            </w:r>
            <w:r w:rsidR="00AE0B79" w:rsidRPr="00AE0B79">
              <w:rPr>
                <w:rFonts w:ascii="Times New Roman" w:eastAsia="Times New Roman" w:hAnsi="Times New Roman" w:cs="Times New Roman"/>
                <w:sz w:val="24"/>
                <w:szCs w:val="24"/>
              </w:rPr>
              <w:t xml:space="preserve"> </w:t>
            </w:r>
            <w:r w:rsidR="00A44523">
              <w:rPr>
                <w:rFonts w:ascii="Times New Roman" w:eastAsia="Times New Roman" w:hAnsi="Times New Roman" w:cs="Times New Roman"/>
                <w:sz w:val="24"/>
                <w:szCs w:val="24"/>
              </w:rPr>
              <w:t xml:space="preserve">no. </w:t>
            </w:r>
            <w:r w:rsidR="00AE0B79" w:rsidRPr="00AE0B79">
              <w:rPr>
                <w:rFonts w:ascii="Times New Roman" w:eastAsia="Times New Roman" w:hAnsi="Times New Roman" w:cs="Times New Roman"/>
                <w:sz w:val="24"/>
                <w:szCs w:val="24"/>
              </w:rPr>
              <w:t xml:space="preserve">91/2015, </w:t>
            </w:r>
            <w:r w:rsidR="00AE0B79" w:rsidRPr="005D3248">
              <w:rPr>
                <w:rFonts w:ascii="Times New Roman" w:eastAsia="Times New Roman" w:hAnsi="Times New Roman" w:cs="Times New Roman"/>
                <w:i/>
                <w:sz w:val="24"/>
                <w:szCs w:val="24"/>
              </w:rPr>
              <w:t>O.G. v. the Russian Federation</w:t>
            </w:r>
            <w:r w:rsidR="005D3248">
              <w:rPr>
                <w:rFonts w:ascii="Times New Roman" w:eastAsia="Times New Roman" w:hAnsi="Times New Roman" w:cs="Times New Roman"/>
                <w:i/>
                <w:sz w:val="24"/>
                <w:szCs w:val="24"/>
              </w:rPr>
              <w:t>,</w:t>
            </w:r>
            <w:r w:rsidR="00AE0B79" w:rsidRPr="00AE0B79">
              <w:rPr>
                <w:rFonts w:ascii="Times New Roman" w:eastAsia="Times New Roman" w:hAnsi="Times New Roman" w:cs="Times New Roman"/>
                <w:sz w:val="24"/>
                <w:szCs w:val="24"/>
              </w:rPr>
              <w:t xml:space="preserve"> with a finding of unsatisfactory implementation of the Committee’s recommendations, as in spite of the receipt of a follow-up reply by the State party, the Committee considered that the authorities have taken no measures to give effect to </w:t>
            </w:r>
            <w:r w:rsidR="005D3248">
              <w:rPr>
                <w:rFonts w:ascii="Times New Roman" w:eastAsia="Times New Roman" w:hAnsi="Times New Roman" w:cs="Times New Roman"/>
                <w:sz w:val="24"/>
                <w:szCs w:val="24"/>
              </w:rPr>
              <w:t xml:space="preserve">the recommendations contained in </w:t>
            </w:r>
            <w:r w:rsidR="00AE0B79" w:rsidRPr="00AE0B79">
              <w:rPr>
                <w:rFonts w:ascii="Times New Roman" w:eastAsia="Times New Roman" w:hAnsi="Times New Roman" w:cs="Times New Roman"/>
                <w:sz w:val="24"/>
                <w:szCs w:val="24"/>
              </w:rPr>
              <w:t xml:space="preserve">its views. </w:t>
            </w:r>
          </w:p>
          <w:p w:rsidR="00AE0B79" w:rsidRDefault="00AE0B79" w:rsidP="00201E09">
            <w:pPr>
              <w:tabs>
                <w:tab w:val="num" w:pos="720"/>
              </w:tabs>
              <w:rPr>
                <w:rFonts w:ascii="Times New Roman" w:eastAsia="Times New Roman" w:hAnsi="Times New Roman" w:cs="Times New Roman"/>
                <w:sz w:val="24"/>
                <w:szCs w:val="24"/>
              </w:rPr>
            </w:pPr>
            <w:r w:rsidRPr="00AE0B79">
              <w:rPr>
                <w:rFonts w:ascii="Times New Roman" w:eastAsia="Times New Roman" w:hAnsi="Times New Roman" w:cs="Times New Roman"/>
                <w:sz w:val="24"/>
                <w:szCs w:val="24"/>
              </w:rPr>
              <w:t xml:space="preserve">The follow-up reports and the Committee’s assessment therein are public and </w:t>
            </w:r>
            <w:r w:rsidR="00A44523">
              <w:rPr>
                <w:rFonts w:ascii="Times New Roman" w:eastAsia="Times New Roman" w:hAnsi="Times New Roman" w:cs="Times New Roman"/>
                <w:sz w:val="24"/>
                <w:szCs w:val="24"/>
              </w:rPr>
              <w:t xml:space="preserve">are </w:t>
            </w:r>
            <w:r w:rsidRPr="00AE0B79">
              <w:rPr>
                <w:rFonts w:ascii="Times New Roman" w:eastAsia="Times New Roman" w:hAnsi="Times New Roman" w:cs="Times New Roman"/>
                <w:sz w:val="24"/>
                <w:szCs w:val="24"/>
              </w:rPr>
              <w:t xml:space="preserve">placed on the Committee’s webpage.  </w:t>
            </w:r>
          </w:p>
          <w:p w:rsidR="00201E09" w:rsidRPr="00AE0B79" w:rsidRDefault="00AE0B79" w:rsidP="00A44523">
            <w:pPr>
              <w:tabs>
                <w:tab w:val="num" w:pos="72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case of important developments regarding measures taken by the States parties in the framework of the follow-up procedure, the Committee, assisted by the Press office of OHCHR, may issue press releases in order to raise awareness and </w:t>
            </w:r>
            <w:r w:rsidR="005D3248">
              <w:rPr>
                <w:rFonts w:ascii="Times New Roman" w:eastAsia="Times New Roman" w:hAnsi="Times New Roman" w:cs="Times New Roman"/>
                <w:sz w:val="24"/>
                <w:szCs w:val="24"/>
              </w:rPr>
              <w:t xml:space="preserve">increase </w:t>
            </w:r>
            <w:r>
              <w:rPr>
                <w:rFonts w:ascii="Times New Roman" w:eastAsia="Times New Roman" w:hAnsi="Times New Roman" w:cs="Times New Roman"/>
                <w:sz w:val="24"/>
                <w:szCs w:val="24"/>
              </w:rPr>
              <w:t xml:space="preserve">the visibility of the </w:t>
            </w:r>
            <w:r w:rsidR="005D3248">
              <w:rPr>
                <w:rFonts w:ascii="Times New Roman" w:eastAsia="Times New Roman" w:hAnsi="Times New Roman" w:cs="Times New Roman"/>
                <w:sz w:val="24"/>
                <w:szCs w:val="24"/>
              </w:rPr>
              <w:t xml:space="preserve">Committee’s work on individual cases and the usefulness and effectiveness of the </w:t>
            </w:r>
            <w:r>
              <w:rPr>
                <w:rFonts w:ascii="Times New Roman" w:eastAsia="Times New Roman" w:hAnsi="Times New Roman" w:cs="Times New Roman"/>
                <w:sz w:val="24"/>
                <w:szCs w:val="24"/>
              </w:rPr>
              <w:t>proceedings.</w:t>
            </w:r>
            <w:bookmarkStart w:id="0" w:name="_GoBack"/>
            <w:bookmarkEnd w:id="0"/>
          </w:p>
        </w:tc>
      </w:tr>
    </w:tbl>
    <w:p w:rsidR="006D487C" w:rsidRPr="00AE0B79" w:rsidRDefault="00D12DC5" w:rsidP="006D487C">
      <w:pPr>
        <w:tabs>
          <w:tab w:val="num" w:pos="720"/>
        </w:tabs>
        <w:rPr>
          <w:rFonts w:ascii="Times New Roman" w:hAnsi="Times New Roman" w:cs="Times New Roman"/>
          <w:sz w:val="24"/>
          <w:szCs w:val="24"/>
        </w:rPr>
      </w:pPr>
      <w:r w:rsidRPr="00AE0B79">
        <w:rPr>
          <w:rFonts w:ascii="Times New Roman" w:hAnsi="Times New Roman" w:cs="Times New Roman"/>
          <w:sz w:val="24"/>
          <w:szCs w:val="24"/>
        </w:rPr>
        <w:t xml:space="preserve">   </w:t>
      </w:r>
      <w:r w:rsidR="005B3E33" w:rsidRPr="00AE0B79">
        <w:rPr>
          <w:rFonts w:ascii="Times New Roman" w:hAnsi="Times New Roman" w:cs="Times New Roman"/>
          <w:sz w:val="24"/>
          <w:szCs w:val="24"/>
        </w:rPr>
        <w:t xml:space="preserve">     </w:t>
      </w:r>
      <w:r w:rsidR="006D487C" w:rsidRPr="00AE0B79">
        <w:rPr>
          <w:rFonts w:ascii="Times New Roman" w:hAnsi="Times New Roman" w:cs="Times New Roman"/>
          <w:sz w:val="24"/>
          <w:szCs w:val="24"/>
        </w:rPr>
        <w:t xml:space="preserve">   </w:t>
      </w:r>
    </w:p>
    <w:p w:rsidR="008B6416" w:rsidRPr="00AE0B79" w:rsidRDefault="00157778" w:rsidP="006D487C">
      <w:pPr>
        <w:tabs>
          <w:tab w:val="num" w:pos="720"/>
        </w:tabs>
        <w:rPr>
          <w:rFonts w:ascii="Times New Roman" w:hAnsi="Times New Roman" w:cs="Times New Roman"/>
          <w:sz w:val="24"/>
          <w:szCs w:val="24"/>
        </w:rPr>
      </w:pPr>
      <w:r w:rsidRPr="00AE0B79">
        <w:rPr>
          <w:rFonts w:ascii="Times New Roman" w:hAnsi="Times New Roman" w:cs="Times New Roman"/>
          <w:sz w:val="24"/>
          <w:szCs w:val="24"/>
        </w:rPr>
        <w:lastRenderedPageBreak/>
        <w:t xml:space="preserve">   </w:t>
      </w:r>
    </w:p>
    <w:sectPr w:rsidR="008B6416" w:rsidRPr="00AE0B7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062E" w:rsidRDefault="006F062E" w:rsidP="005B3E33">
      <w:pPr>
        <w:spacing w:after="0" w:line="240" w:lineRule="auto"/>
      </w:pPr>
      <w:r>
        <w:separator/>
      </w:r>
    </w:p>
  </w:endnote>
  <w:endnote w:type="continuationSeparator" w:id="0">
    <w:p w:rsidR="006F062E" w:rsidRDefault="006F062E" w:rsidP="005B3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062E" w:rsidRDefault="006F062E" w:rsidP="005B3E33">
      <w:pPr>
        <w:spacing w:after="0" w:line="240" w:lineRule="auto"/>
      </w:pPr>
      <w:r>
        <w:separator/>
      </w:r>
    </w:p>
  </w:footnote>
  <w:footnote w:type="continuationSeparator" w:id="0">
    <w:p w:rsidR="006F062E" w:rsidRDefault="006F062E" w:rsidP="005B3E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5565F"/>
    <w:multiLevelType w:val="multilevel"/>
    <w:tmpl w:val="A024F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D020296"/>
    <w:multiLevelType w:val="hybridMultilevel"/>
    <w:tmpl w:val="79FC573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778"/>
    <w:rsid w:val="00157778"/>
    <w:rsid w:val="00201E09"/>
    <w:rsid w:val="005B3E33"/>
    <w:rsid w:val="005D3248"/>
    <w:rsid w:val="006D487C"/>
    <w:rsid w:val="006F062E"/>
    <w:rsid w:val="00734E9C"/>
    <w:rsid w:val="008B6416"/>
    <w:rsid w:val="00A44523"/>
    <w:rsid w:val="00AE0B79"/>
    <w:rsid w:val="00AE3397"/>
    <w:rsid w:val="00D12D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7589F"/>
  <w15:chartTrackingRefBased/>
  <w15:docId w15:val="{101BB862-1D42-4DA4-9323-1146E65AD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next w:val="Normal"/>
    <w:link w:val="Titre3Car"/>
    <w:uiPriority w:val="9"/>
    <w:semiHidden/>
    <w:unhideWhenUsed/>
    <w:qFormat/>
    <w:rsid w:val="006D487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57778"/>
    <w:rPr>
      <w:rFonts w:ascii="Times New Roman" w:hAnsi="Times New Roman" w:cs="Times New Roman"/>
      <w:sz w:val="24"/>
      <w:szCs w:val="24"/>
    </w:rPr>
  </w:style>
  <w:style w:type="character" w:customStyle="1" w:styleId="Titre3Car">
    <w:name w:val="Titre 3 Car"/>
    <w:basedOn w:val="Policepardfaut"/>
    <w:link w:val="Titre3"/>
    <w:uiPriority w:val="9"/>
    <w:semiHidden/>
    <w:rsid w:val="006D487C"/>
    <w:rPr>
      <w:rFonts w:asciiTheme="majorHAnsi" w:eastAsiaTheme="majorEastAsia" w:hAnsiTheme="majorHAnsi" w:cstheme="majorBidi"/>
      <w:color w:val="1F4D78" w:themeColor="accent1" w:themeShade="7F"/>
      <w:sz w:val="24"/>
      <w:szCs w:val="24"/>
    </w:rPr>
  </w:style>
  <w:style w:type="paragraph" w:styleId="Notedebasdepage">
    <w:name w:val="footnote text"/>
    <w:basedOn w:val="Normal"/>
    <w:link w:val="NotedebasdepageCar"/>
    <w:uiPriority w:val="99"/>
    <w:semiHidden/>
    <w:unhideWhenUsed/>
    <w:rsid w:val="005B3E3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B3E33"/>
    <w:rPr>
      <w:sz w:val="20"/>
      <w:szCs w:val="20"/>
    </w:rPr>
  </w:style>
  <w:style w:type="character" w:styleId="Appelnotedebasdep">
    <w:name w:val="footnote reference"/>
    <w:basedOn w:val="Policepardfaut"/>
    <w:uiPriority w:val="99"/>
    <w:semiHidden/>
    <w:unhideWhenUsed/>
    <w:rsid w:val="005B3E33"/>
    <w:rPr>
      <w:vertAlign w:val="superscript"/>
    </w:rPr>
  </w:style>
  <w:style w:type="paragraph" w:styleId="Paragraphedeliste">
    <w:name w:val="List Paragraph"/>
    <w:basedOn w:val="Normal"/>
    <w:uiPriority w:val="34"/>
    <w:qFormat/>
    <w:rsid w:val="00D12D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8458381">
      <w:bodyDiv w:val="1"/>
      <w:marLeft w:val="0"/>
      <w:marRight w:val="0"/>
      <w:marTop w:val="0"/>
      <w:marBottom w:val="0"/>
      <w:divBdr>
        <w:top w:val="none" w:sz="0" w:space="0" w:color="auto"/>
        <w:left w:val="none" w:sz="0" w:space="0" w:color="auto"/>
        <w:bottom w:val="none" w:sz="0" w:space="0" w:color="auto"/>
        <w:right w:val="none" w:sz="0" w:space="0" w:color="auto"/>
      </w:divBdr>
      <w:divsChild>
        <w:div w:id="754281465">
          <w:marLeft w:val="0"/>
          <w:marRight w:val="0"/>
          <w:marTop w:val="0"/>
          <w:marBottom w:val="0"/>
          <w:divBdr>
            <w:top w:val="none" w:sz="0" w:space="0" w:color="auto"/>
            <w:left w:val="none" w:sz="0" w:space="0" w:color="auto"/>
            <w:bottom w:val="none" w:sz="0" w:space="0" w:color="auto"/>
            <w:right w:val="none" w:sz="0" w:space="0" w:color="auto"/>
          </w:divBdr>
          <w:divsChild>
            <w:div w:id="724985524">
              <w:marLeft w:val="0"/>
              <w:marRight w:val="0"/>
              <w:marTop w:val="0"/>
              <w:marBottom w:val="0"/>
              <w:divBdr>
                <w:top w:val="none" w:sz="0" w:space="0" w:color="auto"/>
                <w:left w:val="none" w:sz="0" w:space="0" w:color="auto"/>
                <w:bottom w:val="none" w:sz="0" w:space="0" w:color="auto"/>
                <w:right w:val="none" w:sz="0" w:space="0" w:color="auto"/>
              </w:divBdr>
              <w:divsChild>
                <w:div w:id="2010785215">
                  <w:marLeft w:val="0"/>
                  <w:marRight w:val="0"/>
                  <w:marTop w:val="0"/>
                  <w:marBottom w:val="0"/>
                  <w:divBdr>
                    <w:top w:val="none" w:sz="0" w:space="0" w:color="auto"/>
                    <w:left w:val="none" w:sz="0" w:space="0" w:color="auto"/>
                    <w:bottom w:val="none" w:sz="0" w:space="0" w:color="auto"/>
                    <w:right w:val="none" w:sz="0" w:space="0" w:color="auto"/>
                  </w:divBdr>
                  <w:divsChild>
                    <w:div w:id="53091073">
                      <w:marLeft w:val="0"/>
                      <w:marRight w:val="0"/>
                      <w:marTop w:val="0"/>
                      <w:marBottom w:val="0"/>
                      <w:divBdr>
                        <w:top w:val="none" w:sz="0" w:space="0" w:color="auto"/>
                        <w:left w:val="none" w:sz="0" w:space="0" w:color="auto"/>
                        <w:bottom w:val="none" w:sz="0" w:space="0" w:color="auto"/>
                        <w:right w:val="none" w:sz="0" w:space="0" w:color="auto"/>
                      </w:divBdr>
                      <w:divsChild>
                        <w:div w:id="189222153">
                          <w:marLeft w:val="0"/>
                          <w:marRight w:val="0"/>
                          <w:marTop w:val="0"/>
                          <w:marBottom w:val="0"/>
                          <w:divBdr>
                            <w:top w:val="none" w:sz="0" w:space="0" w:color="auto"/>
                            <w:left w:val="none" w:sz="0" w:space="0" w:color="auto"/>
                            <w:bottom w:val="none" w:sz="0" w:space="0" w:color="auto"/>
                            <w:right w:val="none" w:sz="0" w:space="0" w:color="auto"/>
                          </w:divBdr>
                          <w:divsChild>
                            <w:div w:id="105207396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427622">
      <w:bodyDiv w:val="1"/>
      <w:marLeft w:val="0"/>
      <w:marRight w:val="0"/>
      <w:marTop w:val="0"/>
      <w:marBottom w:val="0"/>
      <w:divBdr>
        <w:top w:val="none" w:sz="0" w:space="0" w:color="auto"/>
        <w:left w:val="none" w:sz="0" w:space="0" w:color="auto"/>
        <w:bottom w:val="none" w:sz="0" w:space="0" w:color="auto"/>
        <w:right w:val="none" w:sz="0" w:space="0" w:color="auto"/>
      </w:divBdr>
      <w:divsChild>
        <w:div w:id="2130975955">
          <w:marLeft w:val="0"/>
          <w:marRight w:val="0"/>
          <w:marTop w:val="0"/>
          <w:marBottom w:val="0"/>
          <w:divBdr>
            <w:top w:val="none" w:sz="0" w:space="0" w:color="auto"/>
            <w:left w:val="none" w:sz="0" w:space="0" w:color="auto"/>
            <w:bottom w:val="none" w:sz="0" w:space="0" w:color="auto"/>
            <w:right w:val="none" w:sz="0" w:space="0" w:color="auto"/>
          </w:divBdr>
          <w:divsChild>
            <w:div w:id="2146769965">
              <w:marLeft w:val="0"/>
              <w:marRight w:val="0"/>
              <w:marTop w:val="0"/>
              <w:marBottom w:val="0"/>
              <w:divBdr>
                <w:top w:val="none" w:sz="0" w:space="0" w:color="auto"/>
                <w:left w:val="none" w:sz="0" w:space="0" w:color="auto"/>
                <w:bottom w:val="none" w:sz="0" w:space="0" w:color="auto"/>
                <w:right w:val="none" w:sz="0" w:space="0" w:color="auto"/>
              </w:divBdr>
              <w:divsChild>
                <w:div w:id="1250773758">
                  <w:marLeft w:val="0"/>
                  <w:marRight w:val="0"/>
                  <w:marTop w:val="0"/>
                  <w:marBottom w:val="0"/>
                  <w:divBdr>
                    <w:top w:val="none" w:sz="0" w:space="0" w:color="auto"/>
                    <w:left w:val="none" w:sz="0" w:space="0" w:color="auto"/>
                    <w:bottom w:val="none" w:sz="0" w:space="0" w:color="auto"/>
                    <w:right w:val="none" w:sz="0" w:space="0" w:color="auto"/>
                  </w:divBdr>
                  <w:divsChild>
                    <w:div w:id="1957132762">
                      <w:marLeft w:val="0"/>
                      <w:marRight w:val="0"/>
                      <w:marTop w:val="0"/>
                      <w:marBottom w:val="0"/>
                      <w:divBdr>
                        <w:top w:val="none" w:sz="0" w:space="0" w:color="auto"/>
                        <w:left w:val="none" w:sz="0" w:space="0" w:color="auto"/>
                        <w:bottom w:val="none" w:sz="0" w:space="0" w:color="auto"/>
                        <w:right w:val="none" w:sz="0" w:space="0" w:color="auto"/>
                      </w:divBdr>
                      <w:divsChild>
                        <w:div w:id="576785439">
                          <w:marLeft w:val="0"/>
                          <w:marRight w:val="0"/>
                          <w:marTop w:val="0"/>
                          <w:marBottom w:val="0"/>
                          <w:divBdr>
                            <w:top w:val="none" w:sz="0" w:space="0" w:color="auto"/>
                            <w:left w:val="none" w:sz="0" w:space="0" w:color="auto"/>
                            <w:bottom w:val="none" w:sz="0" w:space="0" w:color="auto"/>
                            <w:right w:val="none" w:sz="0" w:space="0" w:color="auto"/>
                          </w:divBdr>
                          <w:divsChild>
                            <w:div w:id="148847109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8071468">
      <w:bodyDiv w:val="1"/>
      <w:marLeft w:val="0"/>
      <w:marRight w:val="0"/>
      <w:marTop w:val="0"/>
      <w:marBottom w:val="0"/>
      <w:divBdr>
        <w:top w:val="none" w:sz="0" w:space="0" w:color="auto"/>
        <w:left w:val="none" w:sz="0" w:space="0" w:color="auto"/>
        <w:bottom w:val="none" w:sz="0" w:space="0" w:color="auto"/>
        <w:right w:val="none" w:sz="0" w:space="0" w:color="auto"/>
      </w:divBdr>
      <w:divsChild>
        <w:div w:id="1597640058">
          <w:marLeft w:val="0"/>
          <w:marRight w:val="0"/>
          <w:marTop w:val="0"/>
          <w:marBottom w:val="0"/>
          <w:divBdr>
            <w:top w:val="none" w:sz="0" w:space="0" w:color="auto"/>
            <w:left w:val="none" w:sz="0" w:space="0" w:color="auto"/>
            <w:bottom w:val="none" w:sz="0" w:space="0" w:color="auto"/>
            <w:right w:val="none" w:sz="0" w:space="0" w:color="auto"/>
          </w:divBdr>
          <w:divsChild>
            <w:div w:id="220408904">
              <w:marLeft w:val="0"/>
              <w:marRight w:val="0"/>
              <w:marTop w:val="0"/>
              <w:marBottom w:val="0"/>
              <w:divBdr>
                <w:top w:val="none" w:sz="0" w:space="0" w:color="auto"/>
                <w:left w:val="none" w:sz="0" w:space="0" w:color="auto"/>
                <w:bottom w:val="none" w:sz="0" w:space="0" w:color="auto"/>
                <w:right w:val="none" w:sz="0" w:space="0" w:color="auto"/>
              </w:divBdr>
              <w:divsChild>
                <w:div w:id="1050808868">
                  <w:marLeft w:val="0"/>
                  <w:marRight w:val="0"/>
                  <w:marTop w:val="0"/>
                  <w:marBottom w:val="0"/>
                  <w:divBdr>
                    <w:top w:val="none" w:sz="0" w:space="0" w:color="auto"/>
                    <w:left w:val="none" w:sz="0" w:space="0" w:color="auto"/>
                    <w:bottom w:val="none" w:sz="0" w:space="0" w:color="auto"/>
                    <w:right w:val="none" w:sz="0" w:space="0" w:color="auto"/>
                  </w:divBdr>
                  <w:divsChild>
                    <w:div w:id="280771183">
                      <w:marLeft w:val="0"/>
                      <w:marRight w:val="0"/>
                      <w:marTop w:val="0"/>
                      <w:marBottom w:val="0"/>
                      <w:divBdr>
                        <w:top w:val="none" w:sz="0" w:space="0" w:color="auto"/>
                        <w:left w:val="none" w:sz="0" w:space="0" w:color="auto"/>
                        <w:bottom w:val="none" w:sz="0" w:space="0" w:color="auto"/>
                        <w:right w:val="none" w:sz="0" w:space="0" w:color="auto"/>
                      </w:divBdr>
                      <w:divsChild>
                        <w:div w:id="1495603816">
                          <w:marLeft w:val="0"/>
                          <w:marRight w:val="0"/>
                          <w:marTop w:val="0"/>
                          <w:marBottom w:val="0"/>
                          <w:divBdr>
                            <w:top w:val="none" w:sz="0" w:space="0" w:color="auto"/>
                            <w:left w:val="none" w:sz="0" w:space="0" w:color="auto"/>
                            <w:bottom w:val="none" w:sz="0" w:space="0" w:color="auto"/>
                            <w:right w:val="none" w:sz="0" w:space="0" w:color="auto"/>
                          </w:divBdr>
                          <w:divsChild>
                            <w:div w:id="59593887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B3C9865-18CB-4EBD-A2B8-5A6FE7441460}">
  <ds:schemaRefs>
    <ds:schemaRef ds:uri="http://schemas.openxmlformats.org/officeDocument/2006/bibliography"/>
  </ds:schemaRefs>
</ds:datastoreItem>
</file>

<file path=customXml/itemProps2.xml><?xml version="1.0" encoding="utf-8"?>
<ds:datastoreItem xmlns:ds="http://schemas.openxmlformats.org/officeDocument/2006/customXml" ds:itemID="{D621EB23-8049-44A4-9029-8473BAB08529}"/>
</file>

<file path=customXml/itemProps3.xml><?xml version="1.0" encoding="utf-8"?>
<ds:datastoreItem xmlns:ds="http://schemas.openxmlformats.org/officeDocument/2006/customXml" ds:itemID="{CE61D219-6B7C-4D75-9725-90FE0F2A3A5A}"/>
</file>

<file path=customXml/itemProps4.xml><?xml version="1.0" encoding="utf-8"?>
<ds:datastoreItem xmlns:ds="http://schemas.openxmlformats.org/officeDocument/2006/customXml" ds:itemID="{FF58BE7D-E36F-48C1-9D2F-9F74F6E03420}"/>
</file>

<file path=docProps/app.xml><?xml version="1.0" encoding="utf-8"?>
<Properties xmlns="http://schemas.openxmlformats.org/officeDocument/2006/extended-properties" xmlns:vt="http://schemas.openxmlformats.org/officeDocument/2006/docPropsVTypes">
  <Template>Normal</Template>
  <TotalTime>0</TotalTime>
  <Pages>3</Pages>
  <Words>900</Words>
  <Characters>4956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PETROV Ivaylo</dc:creator>
  <cp:keywords/>
  <dc:description/>
  <cp:lastModifiedBy>Ivaylo Petrov</cp:lastModifiedBy>
  <cp:revision>2</cp:revision>
  <dcterms:created xsi:type="dcterms:W3CDTF">2020-02-27T15:56:00Z</dcterms:created>
  <dcterms:modified xsi:type="dcterms:W3CDTF">2020-02-27T15:56:00Z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