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8532" w14:textId="7331FE4B" w:rsidR="0002594D" w:rsidRPr="002500BD" w:rsidRDefault="00295E0A" w:rsidP="00121AA1">
      <w:pPr>
        <w:spacing w:after="0" w:line="240" w:lineRule="auto"/>
        <w:jc w:val="both"/>
        <w:rPr>
          <w:rFonts w:ascii="Times New Roman" w:hAnsi="Times New Roman" w:cs="Times New Roman"/>
          <w:b/>
          <w:bCs/>
          <w:lang w:val="en-US"/>
        </w:rPr>
      </w:pPr>
      <w:r w:rsidRPr="002500BD">
        <w:rPr>
          <w:rFonts w:ascii="Times New Roman" w:hAnsi="Times New Roman" w:cs="Times New Roman"/>
          <w:b/>
          <w:bCs/>
          <w:lang w:val="en-US"/>
        </w:rPr>
        <w:t>S</w:t>
      </w:r>
      <w:r w:rsidR="00260C59" w:rsidRPr="002500BD">
        <w:rPr>
          <w:rFonts w:ascii="Times New Roman" w:hAnsi="Times New Roman" w:cs="Times New Roman"/>
          <w:b/>
          <w:bCs/>
          <w:lang w:val="en-US"/>
        </w:rPr>
        <w:t xml:space="preserve">ubmission </w:t>
      </w:r>
      <w:r w:rsidR="00236C5E" w:rsidRPr="002500BD">
        <w:rPr>
          <w:rFonts w:ascii="Times New Roman" w:hAnsi="Times New Roman" w:cs="Times New Roman"/>
          <w:b/>
          <w:bCs/>
          <w:lang w:val="en-US"/>
        </w:rPr>
        <w:t xml:space="preserve">from the Center for Reproductive Rights following the </w:t>
      </w:r>
      <w:r w:rsidR="0002594D" w:rsidRPr="002500BD">
        <w:rPr>
          <w:rFonts w:ascii="Times New Roman" w:hAnsi="Times New Roman" w:cs="Times New Roman"/>
          <w:b/>
          <w:bCs/>
          <w:lang w:val="en-US"/>
        </w:rPr>
        <w:t>call for submission of the Committee on the Elimination of Discrimination Against Women (CEDAW Committee) for the Day general discussion on “the rights of indigenous women and girls”</w:t>
      </w:r>
    </w:p>
    <w:p w14:paraId="3278A826" w14:textId="59D77632" w:rsidR="00B33047" w:rsidRPr="002500BD" w:rsidRDefault="00B33047" w:rsidP="00121AA1">
      <w:pPr>
        <w:spacing w:after="0" w:line="240" w:lineRule="auto"/>
        <w:jc w:val="both"/>
        <w:rPr>
          <w:rFonts w:ascii="Times New Roman" w:hAnsi="Times New Roman" w:cs="Times New Roman"/>
          <w:b/>
          <w:bCs/>
          <w:lang w:val="en-US"/>
        </w:rPr>
      </w:pPr>
    </w:p>
    <w:p w14:paraId="1F1ABB65" w14:textId="5C96CDF6" w:rsidR="00B33047" w:rsidRPr="002500BD" w:rsidRDefault="00B33047" w:rsidP="007B3B82">
      <w:pPr>
        <w:autoSpaceDE w:val="0"/>
        <w:autoSpaceDN w:val="0"/>
        <w:adjustRightInd w:val="0"/>
        <w:spacing w:after="0" w:line="240" w:lineRule="auto"/>
        <w:jc w:val="both"/>
        <w:rPr>
          <w:rFonts w:ascii="Times New Roman" w:hAnsi="Times New Roman" w:cs="Times New Roman"/>
          <w:b/>
          <w:bCs/>
        </w:rPr>
      </w:pPr>
      <w:bookmarkStart w:id="0" w:name="_Hlk74672317"/>
      <w:r w:rsidRPr="002500BD">
        <w:rPr>
          <w:rFonts w:ascii="Times New Roman" w:hAnsi="Times New Roman" w:cs="Times New Roman"/>
          <w:b/>
          <w:bCs/>
        </w:rPr>
        <w:t xml:space="preserve">The </w:t>
      </w:r>
      <w:proofErr w:type="spellStart"/>
      <w:r w:rsidRPr="002500BD">
        <w:rPr>
          <w:rFonts w:ascii="Times New Roman" w:hAnsi="Times New Roman" w:cs="Times New Roman"/>
          <w:b/>
          <w:bCs/>
        </w:rPr>
        <w:t>Center</w:t>
      </w:r>
      <w:proofErr w:type="spellEnd"/>
      <w:r w:rsidRPr="002500BD">
        <w:rPr>
          <w:rFonts w:ascii="Times New Roman" w:hAnsi="Times New Roman" w:cs="Times New Roman"/>
          <w:b/>
          <w:bCs/>
        </w:rPr>
        <w:t xml:space="preserve"> for Reproductive Rights (the </w:t>
      </w:r>
      <w:proofErr w:type="spellStart"/>
      <w:r w:rsidRPr="002500BD">
        <w:rPr>
          <w:rFonts w:ascii="Times New Roman" w:hAnsi="Times New Roman" w:cs="Times New Roman"/>
          <w:b/>
          <w:bCs/>
        </w:rPr>
        <w:t>Center</w:t>
      </w:r>
      <w:proofErr w:type="spellEnd"/>
      <w:r w:rsidRPr="002500BD">
        <w:rPr>
          <w:rFonts w:ascii="Times New Roman" w:hAnsi="Times New Roman" w:cs="Times New Roman"/>
          <w:b/>
          <w:bCs/>
        </w:rPr>
        <w:t>)—an international non</w:t>
      </w:r>
      <w:r w:rsidR="00121AA1" w:rsidRPr="002500BD">
        <w:rPr>
          <w:rFonts w:ascii="Times New Roman" w:hAnsi="Times New Roman" w:cs="Times New Roman"/>
          <w:b/>
          <w:bCs/>
          <w:lang w:val="en-US"/>
        </w:rPr>
        <w:t>-</w:t>
      </w:r>
      <w:r w:rsidRPr="002500BD">
        <w:rPr>
          <w:rFonts w:ascii="Times New Roman" w:hAnsi="Times New Roman" w:cs="Times New Roman"/>
          <w:b/>
          <w:bCs/>
        </w:rPr>
        <w:t xml:space="preserve">profit legal advocacy organization headquartered in New York City, with regional offices in Nairobi, Bogotá, Geneva, and Washington, D.C.—uses the law to advance reproductive freedom as a fundamental human right that all governments are legally obligated to respect, protect, and fulfill. Since its inception 27 years ago, the </w:t>
      </w:r>
      <w:proofErr w:type="spellStart"/>
      <w:r w:rsidRPr="002500BD">
        <w:rPr>
          <w:rFonts w:ascii="Times New Roman" w:hAnsi="Times New Roman" w:cs="Times New Roman"/>
          <w:b/>
          <w:bCs/>
        </w:rPr>
        <w:t>Center</w:t>
      </w:r>
      <w:proofErr w:type="spellEnd"/>
      <w:r w:rsidRPr="002500BD">
        <w:rPr>
          <w:rFonts w:ascii="Times New Roman" w:hAnsi="Times New Roman" w:cs="Times New Roman"/>
          <w:b/>
          <w:bCs/>
        </w:rPr>
        <w:t xml:space="preserve"> has advocated for the realization of women and girls’ human rights on a broad range of issues, including on the right to access sexual and reproductive health services free from coercion, discrimination and violence; on the right to bodily autonomy; preventing and addressing sexual </w:t>
      </w:r>
      <w:r w:rsidR="00121AA1" w:rsidRPr="002500BD">
        <w:rPr>
          <w:rFonts w:ascii="Times New Roman" w:hAnsi="Times New Roman" w:cs="Times New Roman"/>
          <w:b/>
          <w:bCs/>
        </w:rPr>
        <w:t>violence; and</w:t>
      </w:r>
      <w:r w:rsidRPr="002500BD">
        <w:rPr>
          <w:rFonts w:ascii="Times New Roman" w:hAnsi="Times New Roman" w:cs="Times New Roman"/>
          <w:b/>
          <w:bCs/>
        </w:rPr>
        <w:t xml:space="preserve"> the eradication of harmful traditional practices. </w:t>
      </w:r>
    </w:p>
    <w:bookmarkEnd w:id="0"/>
    <w:p w14:paraId="39DE4570" w14:textId="77777777" w:rsidR="00B33047" w:rsidRPr="002500BD" w:rsidRDefault="00B33047" w:rsidP="00121AA1">
      <w:pPr>
        <w:spacing w:after="0" w:line="240" w:lineRule="auto"/>
        <w:jc w:val="both"/>
        <w:rPr>
          <w:rFonts w:ascii="Times New Roman" w:hAnsi="Times New Roman" w:cs="Times New Roman"/>
          <w:b/>
          <w:bCs/>
        </w:rPr>
      </w:pPr>
    </w:p>
    <w:p w14:paraId="10A43C69" w14:textId="1771995B" w:rsidR="00B33047" w:rsidRPr="002500BD" w:rsidRDefault="00260C59" w:rsidP="00121AA1">
      <w:p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lang w:val="en-US"/>
        </w:rPr>
        <w:t>The Center for Reproductive Rights (the Center)</w:t>
      </w:r>
      <w:r w:rsidR="00A13068" w:rsidRPr="002500BD">
        <w:rPr>
          <w:rFonts w:ascii="Times New Roman" w:hAnsi="Times New Roman" w:cs="Times New Roman"/>
          <w:lang w:val="en-US"/>
        </w:rPr>
        <w:t xml:space="preserve"> is please</w:t>
      </w:r>
      <w:r w:rsidR="008470C4" w:rsidRPr="002500BD">
        <w:rPr>
          <w:rFonts w:ascii="Times New Roman" w:hAnsi="Times New Roman" w:cs="Times New Roman"/>
          <w:lang w:val="en-US"/>
        </w:rPr>
        <w:t xml:space="preserve">d to provide this submission </w:t>
      </w:r>
      <w:r w:rsidR="0002594D" w:rsidRPr="002500BD">
        <w:rPr>
          <w:rFonts w:ascii="Times New Roman" w:hAnsi="Times New Roman" w:cs="Times New Roman"/>
          <w:lang w:val="en-US"/>
        </w:rPr>
        <w:t>for the day general discussion on “the rights of indigenous women and girls”.</w:t>
      </w:r>
    </w:p>
    <w:p w14:paraId="4265D21B" w14:textId="77777777" w:rsidR="00B33047" w:rsidRPr="002500BD" w:rsidRDefault="00B33047" w:rsidP="00121AA1">
      <w:pPr>
        <w:spacing w:after="0" w:line="240" w:lineRule="auto"/>
        <w:jc w:val="both"/>
        <w:rPr>
          <w:rFonts w:ascii="Times New Roman" w:hAnsi="Times New Roman" w:cs="Times New Roman"/>
          <w:color w:val="000000"/>
          <w:shd w:val="clear" w:color="auto" w:fill="FFFFFF"/>
          <w:lang w:val="en-US"/>
        </w:rPr>
      </w:pPr>
    </w:p>
    <w:p w14:paraId="67CACA57" w14:textId="33F6EE44" w:rsidR="007D3338" w:rsidRDefault="007D3338" w:rsidP="00121AA1">
      <w:p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rPr>
        <w:t xml:space="preserve">This </w:t>
      </w:r>
      <w:r w:rsidRPr="002500BD">
        <w:rPr>
          <w:rFonts w:ascii="Times New Roman" w:hAnsi="Times New Roman" w:cs="Times New Roman"/>
          <w:lang w:val="en-US"/>
        </w:rPr>
        <w:t>submission</w:t>
      </w:r>
      <w:r w:rsidRPr="002500BD">
        <w:rPr>
          <w:rFonts w:ascii="Times New Roman" w:hAnsi="Times New Roman" w:cs="Times New Roman"/>
        </w:rPr>
        <w:t xml:space="preserve"> will focus on</w:t>
      </w:r>
      <w:r w:rsidR="0002594D" w:rsidRPr="002500BD">
        <w:rPr>
          <w:rFonts w:ascii="Times New Roman" w:hAnsi="Times New Roman" w:cs="Times New Roman"/>
          <w:lang w:val="en-US"/>
        </w:rPr>
        <w:t xml:space="preserve"> </w:t>
      </w:r>
      <w:r w:rsidR="002B7280" w:rsidRPr="002500BD">
        <w:rPr>
          <w:rFonts w:ascii="Times New Roman" w:hAnsi="Times New Roman" w:cs="Times New Roman"/>
          <w:lang w:val="en-US"/>
        </w:rPr>
        <w:t>discrimination, violence, retaliation and persecution</w:t>
      </w:r>
      <w:r w:rsidR="009D52F5" w:rsidRPr="002500BD">
        <w:rPr>
          <w:rFonts w:ascii="Times New Roman" w:hAnsi="Times New Roman" w:cs="Times New Roman"/>
          <w:lang w:val="en-US"/>
        </w:rPr>
        <w:t xml:space="preserve"> suffered by indigenous women and girls and</w:t>
      </w:r>
      <w:r w:rsidRPr="002500BD">
        <w:rPr>
          <w:rFonts w:ascii="Times New Roman" w:hAnsi="Times New Roman" w:cs="Times New Roman"/>
          <w:lang w:val="en-US"/>
        </w:rPr>
        <w:t xml:space="preserve"> examines </w:t>
      </w:r>
      <w:r w:rsidR="002B7280" w:rsidRPr="002500BD">
        <w:rPr>
          <w:rFonts w:ascii="Times New Roman" w:hAnsi="Times New Roman" w:cs="Times New Roman"/>
          <w:lang w:val="en-US"/>
        </w:rPr>
        <w:t xml:space="preserve">the linkages between historical, structural and colonialism that impact </w:t>
      </w:r>
      <w:r w:rsidR="009D52F5" w:rsidRPr="002500BD">
        <w:rPr>
          <w:rFonts w:ascii="Times New Roman" w:hAnsi="Times New Roman" w:cs="Times New Roman"/>
          <w:lang w:val="en-US"/>
        </w:rPr>
        <w:t>them</w:t>
      </w:r>
      <w:r w:rsidR="002B7280" w:rsidRPr="002500BD">
        <w:rPr>
          <w:rFonts w:ascii="Times New Roman" w:hAnsi="Times New Roman" w:cs="Times New Roman"/>
          <w:lang w:val="en-US"/>
        </w:rPr>
        <w:t xml:space="preserve"> in their access to sexual and reproductive health and rights (SRHR)</w:t>
      </w:r>
      <w:r w:rsidR="00B33047" w:rsidRPr="002500BD">
        <w:rPr>
          <w:rFonts w:ascii="Times New Roman" w:hAnsi="Times New Roman" w:cs="Times New Roman"/>
          <w:color w:val="000000"/>
          <w:shd w:val="clear" w:color="auto" w:fill="FFFFFF"/>
          <w:lang w:val="en-US"/>
        </w:rPr>
        <w:t xml:space="preserve">. </w:t>
      </w:r>
    </w:p>
    <w:p w14:paraId="231F6AF7" w14:textId="77777777" w:rsidR="0022546A" w:rsidRPr="002500BD" w:rsidRDefault="0022546A" w:rsidP="00121AA1">
      <w:pPr>
        <w:spacing w:after="0" w:line="240" w:lineRule="auto"/>
        <w:jc w:val="both"/>
        <w:rPr>
          <w:rFonts w:ascii="Times New Roman" w:hAnsi="Times New Roman" w:cs="Times New Roman"/>
          <w:lang w:val="en-US"/>
        </w:rPr>
      </w:pPr>
    </w:p>
    <w:p w14:paraId="33401991" w14:textId="77777777" w:rsidR="00121AA1" w:rsidRPr="002500BD" w:rsidRDefault="00121AA1" w:rsidP="00121AA1">
      <w:pPr>
        <w:spacing w:after="0" w:line="240" w:lineRule="auto"/>
        <w:jc w:val="both"/>
        <w:rPr>
          <w:rFonts w:ascii="Times New Roman" w:hAnsi="Times New Roman" w:cs="Times New Roman"/>
          <w:lang w:val="en-US"/>
        </w:rPr>
      </w:pPr>
    </w:p>
    <w:p w14:paraId="069D7259" w14:textId="0DC5BA53" w:rsidR="00B33047" w:rsidRPr="002500BD" w:rsidRDefault="00B33047" w:rsidP="00A14B61">
      <w:pPr>
        <w:pStyle w:val="ListParagraph"/>
        <w:numPr>
          <w:ilvl w:val="0"/>
          <w:numId w:val="19"/>
        </w:numPr>
        <w:spacing w:after="0" w:line="240" w:lineRule="auto"/>
        <w:jc w:val="both"/>
        <w:rPr>
          <w:rFonts w:ascii="Times New Roman" w:hAnsi="Times New Roman" w:cs="Times New Roman"/>
          <w:b/>
          <w:bCs/>
          <w:u w:val="single"/>
          <w:lang w:val="en-US"/>
        </w:rPr>
      </w:pPr>
      <w:r w:rsidRPr="002500BD">
        <w:rPr>
          <w:rFonts w:ascii="Times New Roman" w:hAnsi="Times New Roman" w:cs="Times New Roman"/>
          <w:b/>
          <w:bCs/>
          <w:u w:val="single"/>
          <w:lang w:val="en-US"/>
        </w:rPr>
        <w:t>Background</w:t>
      </w:r>
    </w:p>
    <w:p w14:paraId="5CF5D993" w14:textId="2DCB4A10" w:rsidR="00F47A8B" w:rsidRPr="002500BD" w:rsidRDefault="003E6044" w:rsidP="00121AA1">
      <w:pPr>
        <w:spacing w:after="0" w:line="240" w:lineRule="auto"/>
        <w:jc w:val="both"/>
        <w:rPr>
          <w:rFonts w:ascii="Times New Roman" w:hAnsi="Times New Roman" w:cs="Times New Roman"/>
          <w:lang w:val="en-US"/>
        </w:rPr>
      </w:pPr>
      <w:r w:rsidRPr="002500BD">
        <w:rPr>
          <w:rFonts w:ascii="Times New Roman" w:hAnsi="Times New Roman" w:cs="Times New Roman"/>
          <w:lang w:val="en-US"/>
        </w:rPr>
        <w:t xml:space="preserve">Indigenous women and girls are particularly vulnerable to </w:t>
      </w:r>
      <w:r w:rsidR="00333AA3" w:rsidRPr="002500BD">
        <w:rPr>
          <w:rFonts w:ascii="Times New Roman" w:hAnsi="Times New Roman" w:cs="Times New Roman"/>
          <w:lang w:val="en-US"/>
        </w:rPr>
        <w:t>suffer from</w:t>
      </w:r>
      <w:r w:rsidRPr="002500BD">
        <w:rPr>
          <w:rFonts w:ascii="Times New Roman" w:hAnsi="Times New Roman" w:cs="Times New Roman"/>
          <w:lang w:val="en-US"/>
        </w:rPr>
        <w:t xml:space="preserve"> </w:t>
      </w:r>
      <w:r w:rsidR="002B7280" w:rsidRPr="002500BD">
        <w:rPr>
          <w:rFonts w:ascii="Times New Roman" w:hAnsi="Times New Roman" w:cs="Times New Roman"/>
          <w:lang w:val="en-US"/>
        </w:rPr>
        <w:t xml:space="preserve">discrimination, </w:t>
      </w:r>
      <w:r w:rsidRPr="002500BD">
        <w:rPr>
          <w:rFonts w:ascii="Times New Roman" w:hAnsi="Times New Roman" w:cs="Times New Roman"/>
          <w:lang w:val="en-US"/>
        </w:rPr>
        <w:t xml:space="preserve">acts of violence, retaliation and persecution, including sexual violence and violations </w:t>
      </w:r>
      <w:r w:rsidR="002B7280" w:rsidRPr="002500BD">
        <w:rPr>
          <w:rFonts w:ascii="Times New Roman" w:hAnsi="Times New Roman" w:cs="Times New Roman"/>
          <w:lang w:val="en-US"/>
        </w:rPr>
        <w:t xml:space="preserve">of their </w:t>
      </w:r>
      <w:r w:rsidRPr="002500BD">
        <w:rPr>
          <w:rFonts w:ascii="Times New Roman" w:hAnsi="Times New Roman" w:cs="Times New Roman"/>
          <w:lang w:val="en-US"/>
        </w:rPr>
        <w:t xml:space="preserve">SRHR. </w:t>
      </w:r>
      <w:r w:rsidR="002500BD" w:rsidRPr="002500BD">
        <w:rPr>
          <w:rFonts w:ascii="Times New Roman" w:hAnsi="Times New Roman" w:cs="Times New Roman"/>
          <w:lang w:val="en-US"/>
        </w:rPr>
        <w:t>T</w:t>
      </w:r>
      <w:r w:rsidRPr="002500BD">
        <w:rPr>
          <w:rFonts w:ascii="Times New Roman" w:hAnsi="Times New Roman" w:cs="Times New Roman"/>
          <w:lang w:val="en-US"/>
        </w:rPr>
        <w:t xml:space="preserve">heir </w:t>
      </w:r>
      <w:r w:rsidR="001F6480">
        <w:rPr>
          <w:rFonts w:ascii="Times New Roman" w:hAnsi="Times New Roman" w:cs="Times New Roman"/>
          <w:lang w:val="en-US"/>
        </w:rPr>
        <w:t>intersectional</w:t>
      </w:r>
      <w:r w:rsidRPr="002500BD">
        <w:rPr>
          <w:rFonts w:ascii="Times New Roman" w:hAnsi="Times New Roman" w:cs="Times New Roman"/>
          <w:lang w:val="en-US"/>
        </w:rPr>
        <w:t xml:space="preserve"> identity, including their culture, sex, gender, ethnicity, socio-economic situation, and languages, among others, places them at the </w:t>
      </w:r>
      <w:r w:rsidR="00B122A0">
        <w:rPr>
          <w:rFonts w:ascii="Times New Roman" w:hAnsi="Times New Roman" w:cs="Times New Roman"/>
          <w:lang w:val="en-US"/>
        </w:rPr>
        <w:t>center</w:t>
      </w:r>
      <w:r w:rsidR="001F6480">
        <w:rPr>
          <w:rFonts w:ascii="Times New Roman" w:hAnsi="Times New Roman" w:cs="Times New Roman"/>
          <w:lang w:val="en-US"/>
        </w:rPr>
        <w:t xml:space="preserve"> </w:t>
      </w:r>
      <w:r w:rsidRPr="002500BD">
        <w:rPr>
          <w:rFonts w:ascii="Times New Roman" w:hAnsi="Times New Roman" w:cs="Times New Roman"/>
          <w:lang w:val="en-US"/>
        </w:rPr>
        <w:t xml:space="preserve">of systemic </w:t>
      </w:r>
      <w:r w:rsidR="00AE72F6">
        <w:rPr>
          <w:rFonts w:ascii="Times New Roman" w:hAnsi="Times New Roman" w:cs="Times New Roman"/>
          <w:lang w:val="en-US"/>
        </w:rPr>
        <w:t xml:space="preserve">and intersectional </w:t>
      </w:r>
      <w:r w:rsidRPr="002500BD">
        <w:rPr>
          <w:rFonts w:ascii="Times New Roman" w:hAnsi="Times New Roman" w:cs="Times New Roman"/>
          <w:lang w:val="en-US"/>
        </w:rPr>
        <w:t>discrimination.</w:t>
      </w:r>
      <w:r w:rsidRPr="002500BD">
        <w:rPr>
          <w:rStyle w:val="EndnoteReference"/>
          <w:rFonts w:ascii="Times New Roman" w:hAnsi="Times New Roman" w:cs="Times New Roman"/>
          <w:lang w:val="en-CA"/>
        </w:rPr>
        <w:endnoteReference w:id="1"/>
      </w:r>
      <w:r w:rsidR="002B1145" w:rsidRPr="002500BD">
        <w:rPr>
          <w:rFonts w:ascii="Times New Roman" w:hAnsi="Times New Roman" w:cs="Times New Roman"/>
          <w:lang w:val="en-US"/>
        </w:rPr>
        <w:t xml:space="preserve"> This situation is the product of, and compounded by the historical, structural and enduring colonialism, discrimination and racism found in society</w:t>
      </w:r>
      <w:r w:rsidR="007034B2">
        <w:rPr>
          <w:rFonts w:ascii="Times New Roman" w:hAnsi="Times New Roman" w:cs="Times New Roman"/>
          <w:lang w:val="en-US"/>
        </w:rPr>
        <w:t xml:space="preserve"> and </w:t>
      </w:r>
      <w:r w:rsidR="00ED158F">
        <w:rPr>
          <w:rFonts w:ascii="Times New Roman" w:hAnsi="Times New Roman" w:cs="Times New Roman"/>
          <w:lang w:val="en-US"/>
        </w:rPr>
        <w:t>in its</w:t>
      </w:r>
      <w:r w:rsidR="007034B2">
        <w:rPr>
          <w:rFonts w:ascii="Times New Roman" w:hAnsi="Times New Roman" w:cs="Times New Roman"/>
          <w:lang w:val="en-US"/>
        </w:rPr>
        <w:t xml:space="preserve"> laws,</w:t>
      </w:r>
      <w:r w:rsidR="002B1145" w:rsidRPr="002500BD">
        <w:rPr>
          <w:rFonts w:ascii="Times New Roman" w:hAnsi="Times New Roman" w:cs="Times New Roman"/>
          <w:lang w:val="en-US"/>
        </w:rPr>
        <w:t xml:space="preserve"> policies and institutions.</w:t>
      </w:r>
      <w:r w:rsidR="002B1145" w:rsidRPr="002500BD">
        <w:rPr>
          <w:rStyle w:val="EndnoteReference"/>
          <w:rFonts w:ascii="Times New Roman" w:hAnsi="Times New Roman" w:cs="Times New Roman"/>
          <w:lang w:val="en-CA"/>
        </w:rPr>
        <w:endnoteReference w:id="2"/>
      </w:r>
      <w:r w:rsidR="00340329" w:rsidRPr="002500BD">
        <w:rPr>
          <w:rFonts w:ascii="Times New Roman" w:hAnsi="Times New Roman" w:cs="Times New Roman"/>
          <w:lang w:val="en-US"/>
        </w:rPr>
        <w:t xml:space="preserve"> </w:t>
      </w:r>
      <w:r w:rsidR="004B35E3">
        <w:rPr>
          <w:rFonts w:ascii="Times New Roman" w:hAnsi="Times New Roman" w:cs="Times New Roman"/>
          <w:lang w:val="en-US"/>
        </w:rPr>
        <w:t>Therefore, v</w:t>
      </w:r>
      <w:r w:rsidR="00340329" w:rsidRPr="002500BD">
        <w:rPr>
          <w:rFonts w:ascii="Times New Roman" w:hAnsi="Times New Roman" w:cs="Times New Roman"/>
          <w:lang w:val="en-US"/>
        </w:rPr>
        <w:t>iolence against indigenous women and girls is closely linked to the continuing colonial dispossession of their peoples’ lands and most commonly involves discriminatory and coercive practices, including acts of sexual abuse and rape.</w:t>
      </w:r>
      <w:r w:rsidR="00340329" w:rsidRPr="002500BD">
        <w:rPr>
          <w:rStyle w:val="EndnoteReference"/>
          <w:rFonts w:ascii="Times New Roman" w:hAnsi="Times New Roman" w:cs="Times New Roman"/>
          <w:lang w:val="en-CA"/>
        </w:rPr>
        <w:endnoteReference w:id="3"/>
      </w:r>
      <w:r w:rsidR="00340329" w:rsidRPr="002500BD">
        <w:rPr>
          <w:rFonts w:ascii="Times New Roman" w:hAnsi="Times New Roman" w:cs="Times New Roman"/>
          <w:lang w:val="en-US"/>
        </w:rPr>
        <w:t xml:space="preserve"> This situation undoubtedly impacts indigenous women human rights defenders and women land defenders in a disproportionate manner</w:t>
      </w:r>
      <w:r w:rsidR="005D3733">
        <w:rPr>
          <w:rFonts w:ascii="Times New Roman" w:hAnsi="Times New Roman" w:cs="Times New Roman"/>
          <w:lang w:val="en-US"/>
        </w:rPr>
        <w:t>, and has impact on their health, including their SRHR</w:t>
      </w:r>
      <w:r w:rsidR="00340329" w:rsidRPr="002500BD">
        <w:rPr>
          <w:rFonts w:ascii="Times New Roman" w:hAnsi="Times New Roman" w:cs="Times New Roman"/>
          <w:lang w:val="en-US"/>
        </w:rPr>
        <w:t xml:space="preserve">. </w:t>
      </w:r>
    </w:p>
    <w:p w14:paraId="52A99A0B" w14:textId="07574B6B" w:rsidR="0002594D" w:rsidRDefault="0002594D" w:rsidP="00121AA1">
      <w:pPr>
        <w:spacing w:after="0" w:line="240" w:lineRule="auto"/>
        <w:jc w:val="both"/>
        <w:rPr>
          <w:rFonts w:ascii="Times New Roman" w:hAnsi="Times New Roman" w:cs="Times New Roman"/>
          <w:color w:val="000000"/>
          <w:shd w:val="clear" w:color="auto" w:fill="FFFFFF"/>
          <w:lang w:val="en-US"/>
        </w:rPr>
      </w:pPr>
    </w:p>
    <w:p w14:paraId="3AF4F880" w14:textId="77777777" w:rsidR="0022546A" w:rsidRPr="002500BD" w:rsidRDefault="0022546A" w:rsidP="00121AA1">
      <w:pPr>
        <w:spacing w:after="0" w:line="240" w:lineRule="auto"/>
        <w:jc w:val="both"/>
        <w:rPr>
          <w:rFonts w:ascii="Times New Roman" w:hAnsi="Times New Roman" w:cs="Times New Roman"/>
          <w:color w:val="000000"/>
          <w:shd w:val="clear" w:color="auto" w:fill="FFFFFF"/>
          <w:lang w:val="en-US"/>
        </w:rPr>
      </w:pPr>
    </w:p>
    <w:p w14:paraId="0A77875F" w14:textId="46A0281C" w:rsidR="00A14B61" w:rsidRPr="00BC09EF" w:rsidRDefault="00DF734E" w:rsidP="00BC09EF">
      <w:pPr>
        <w:pStyle w:val="ListParagraph"/>
        <w:numPr>
          <w:ilvl w:val="0"/>
          <w:numId w:val="19"/>
        </w:numPr>
        <w:spacing w:after="0" w:line="240" w:lineRule="auto"/>
        <w:jc w:val="both"/>
        <w:rPr>
          <w:rFonts w:ascii="Times New Roman" w:hAnsi="Times New Roman" w:cs="Times New Roman"/>
          <w:u w:val="single"/>
          <w:lang w:val="en-US"/>
        </w:rPr>
      </w:pPr>
      <w:r w:rsidRPr="002500BD">
        <w:rPr>
          <w:rFonts w:ascii="Times New Roman" w:hAnsi="Times New Roman" w:cs="Times New Roman"/>
          <w:b/>
          <w:bCs/>
          <w:u w:val="single"/>
          <w:lang w:val="en-US"/>
        </w:rPr>
        <w:t xml:space="preserve">International </w:t>
      </w:r>
      <w:r w:rsidR="00260C59" w:rsidRPr="002500BD">
        <w:rPr>
          <w:rFonts w:ascii="Times New Roman" w:hAnsi="Times New Roman" w:cs="Times New Roman"/>
          <w:b/>
          <w:bCs/>
          <w:u w:val="single"/>
          <w:lang w:val="en-US"/>
        </w:rPr>
        <w:t xml:space="preserve">Legal </w:t>
      </w:r>
      <w:r w:rsidR="00DB54BF" w:rsidRPr="002500BD">
        <w:rPr>
          <w:rFonts w:ascii="Times New Roman" w:hAnsi="Times New Roman" w:cs="Times New Roman"/>
          <w:b/>
          <w:bCs/>
          <w:u w:val="single"/>
          <w:lang w:val="en-US"/>
        </w:rPr>
        <w:t>framework</w:t>
      </w:r>
    </w:p>
    <w:p w14:paraId="18754F36" w14:textId="79C98531" w:rsidR="00AB2BA8" w:rsidRPr="002500BD" w:rsidRDefault="00B30AB1" w:rsidP="00121AA1">
      <w:p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S</w:t>
      </w:r>
      <w:r w:rsidR="00234245" w:rsidRPr="002500BD">
        <w:rPr>
          <w:rFonts w:ascii="Times New Roman" w:hAnsi="Times New Roman" w:cs="Times New Roman"/>
          <w:color w:val="000000"/>
          <w:shd w:val="clear" w:color="auto" w:fill="FFFFFF"/>
          <w:lang w:val="en-US"/>
        </w:rPr>
        <w:t xml:space="preserve">tates have clear legal obligations under current human standards to ensure </w:t>
      </w:r>
      <w:r w:rsidR="00B33047" w:rsidRPr="002500BD">
        <w:rPr>
          <w:rFonts w:ascii="Times New Roman" w:hAnsi="Times New Roman" w:cs="Times New Roman"/>
          <w:color w:val="000000"/>
          <w:shd w:val="clear" w:color="auto" w:fill="FFFFFF"/>
          <w:lang w:val="en-US"/>
        </w:rPr>
        <w:t>the respect, protection and fulfillment</w:t>
      </w:r>
      <w:r w:rsidR="00234245" w:rsidRPr="002500BD">
        <w:rPr>
          <w:rFonts w:ascii="Times New Roman" w:hAnsi="Times New Roman" w:cs="Times New Roman"/>
          <w:color w:val="000000"/>
          <w:shd w:val="clear" w:color="auto" w:fill="FFFFFF"/>
          <w:lang w:val="en-US"/>
        </w:rPr>
        <w:t xml:space="preserve"> </w:t>
      </w:r>
      <w:r w:rsidRPr="002500BD">
        <w:rPr>
          <w:rFonts w:ascii="Times New Roman" w:hAnsi="Times New Roman" w:cs="Times New Roman"/>
          <w:color w:val="000000"/>
          <w:shd w:val="clear" w:color="auto" w:fill="FFFFFF"/>
          <w:lang w:val="en-US"/>
        </w:rPr>
        <w:t xml:space="preserve">of </w:t>
      </w:r>
      <w:r w:rsidR="00980277" w:rsidRPr="002500BD">
        <w:rPr>
          <w:rFonts w:ascii="Times New Roman" w:hAnsi="Times New Roman" w:cs="Times New Roman"/>
          <w:color w:val="000000"/>
          <w:shd w:val="clear" w:color="auto" w:fill="FFFFFF"/>
          <w:lang w:val="en-US"/>
        </w:rPr>
        <w:t xml:space="preserve">SRHR </w:t>
      </w:r>
      <w:r w:rsidR="001F15AF" w:rsidRPr="002500BD">
        <w:rPr>
          <w:rFonts w:ascii="Times New Roman" w:hAnsi="Times New Roman" w:cs="Times New Roman"/>
          <w:color w:val="000000"/>
          <w:shd w:val="clear" w:color="auto" w:fill="FFFFFF"/>
          <w:lang w:val="en-US"/>
        </w:rPr>
        <w:t>of indigenous women and girls</w:t>
      </w:r>
      <w:r w:rsidR="00F50610" w:rsidRPr="002500BD">
        <w:rPr>
          <w:rFonts w:ascii="Times New Roman" w:hAnsi="Times New Roman" w:cs="Times New Roman"/>
          <w:color w:val="000000"/>
          <w:shd w:val="clear" w:color="auto" w:fill="FFFFFF"/>
          <w:lang w:val="en-US"/>
        </w:rPr>
        <w:t xml:space="preserve"> with no discrimination</w:t>
      </w:r>
      <w:r w:rsidR="001F15AF" w:rsidRPr="002500BD">
        <w:rPr>
          <w:rFonts w:ascii="Times New Roman" w:hAnsi="Times New Roman" w:cs="Times New Roman"/>
          <w:color w:val="000000"/>
          <w:shd w:val="clear" w:color="auto" w:fill="FFFFFF"/>
          <w:lang w:val="en-US"/>
        </w:rPr>
        <w:t>.</w:t>
      </w:r>
      <w:r w:rsidR="00E43129" w:rsidRPr="002500BD">
        <w:rPr>
          <w:rFonts w:ascii="Times New Roman" w:hAnsi="Times New Roman" w:cs="Times New Roman"/>
          <w:color w:val="000000"/>
          <w:shd w:val="clear" w:color="auto" w:fill="FFFFFF"/>
          <w:lang w:val="en-US"/>
        </w:rPr>
        <w:t xml:space="preserve"> These obligations require </w:t>
      </w:r>
      <w:r w:rsidR="00A80F12">
        <w:rPr>
          <w:rFonts w:ascii="Times New Roman" w:hAnsi="Times New Roman" w:cs="Times New Roman"/>
          <w:color w:val="000000"/>
          <w:shd w:val="clear" w:color="auto" w:fill="FFFFFF"/>
          <w:lang w:val="en-US"/>
        </w:rPr>
        <w:t>S</w:t>
      </w:r>
      <w:r w:rsidR="00E43129" w:rsidRPr="002500BD">
        <w:rPr>
          <w:rFonts w:ascii="Times New Roman" w:hAnsi="Times New Roman" w:cs="Times New Roman"/>
          <w:color w:val="000000"/>
          <w:shd w:val="clear" w:color="auto" w:fill="FFFFFF"/>
          <w:lang w:val="en-US"/>
        </w:rPr>
        <w:t>tates to guarantee that women and girls not only have access to comprehensive reproductive health information and services, bus also that they experience positive reproductive health outcomes, including lower rates of maternal mortality, and have the opportunity to make fully informed decisions about their sexuality and reproductive lives.</w:t>
      </w:r>
      <w:r w:rsidR="00E43129" w:rsidRPr="002500BD">
        <w:rPr>
          <w:rStyle w:val="EndnoteReference"/>
          <w:rFonts w:ascii="Times New Roman" w:hAnsi="Times New Roman" w:cs="Times New Roman"/>
          <w:color w:val="000000"/>
          <w:shd w:val="clear" w:color="auto" w:fill="FFFFFF"/>
          <w:lang w:val="en-US"/>
        </w:rPr>
        <w:endnoteReference w:id="4"/>
      </w:r>
    </w:p>
    <w:p w14:paraId="3EF7FBC7" w14:textId="54185E95" w:rsidR="00150CBA" w:rsidRPr="002500BD" w:rsidRDefault="00150CBA" w:rsidP="00150CBA">
      <w:pPr>
        <w:spacing w:after="0" w:line="240" w:lineRule="auto"/>
        <w:jc w:val="both"/>
        <w:rPr>
          <w:rFonts w:ascii="Times New Roman" w:hAnsi="Times New Roman" w:cs="Times New Roman"/>
          <w:color w:val="000000"/>
          <w:shd w:val="clear" w:color="auto" w:fill="FFFFFF"/>
          <w:lang w:val="en-US"/>
        </w:rPr>
      </w:pPr>
    </w:p>
    <w:p w14:paraId="78E2083E" w14:textId="092F907E" w:rsidR="00E43129" w:rsidRPr="00BC09EF" w:rsidRDefault="00150CBA" w:rsidP="00150CBA">
      <w:pPr>
        <w:spacing w:after="0" w:line="240" w:lineRule="auto"/>
        <w:jc w:val="both"/>
        <w:rPr>
          <w:rFonts w:ascii="Times New Roman" w:hAnsi="Times New Roman" w:cs="Times New Roman"/>
          <w:b/>
          <w:bCs/>
          <w:color w:val="000000"/>
          <w:shd w:val="clear" w:color="auto" w:fill="FFFFFF"/>
          <w:lang w:val="en-US"/>
        </w:rPr>
      </w:pPr>
      <w:r w:rsidRPr="002500BD">
        <w:rPr>
          <w:rFonts w:ascii="Times New Roman" w:hAnsi="Times New Roman" w:cs="Times New Roman"/>
          <w:b/>
          <w:bCs/>
          <w:color w:val="000000"/>
          <w:shd w:val="clear" w:color="auto" w:fill="FFFFFF"/>
          <w:lang w:val="en-US"/>
        </w:rPr>
        <w:t>1) Equality and non-discrimination</w:t>
      </w:r>
    </w:p>
    <w:p w14:paraId="79F678EF" w14:textId="4BD2CD9C" w:rsidR="00B71639" w:rsidRDefault="00150CBA" w:rsidP="00150CBA">
      <w:p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Most of the Treaty Bodies have recognized that gender equality is essential to the realization of human rights.</w:t>
      </w:r>
      <w:r w:rsidRPr="002500BD">
        <w:rPr>
          <w:rStyle w:val="EndnoteReference"/>
          <w:rFonts w:ascii="Times New Roman" w:hAnsi="Times New Roman" w:cs="Times New Roman"/>
          <w:color w:val="000000"/>
          <w:shd w:val="clear" w:color="auto" w:fill="FFFFFF"/>
          <w:lang w:val="en-US"/>
        </w:rPr>
        <w:endnoteReference w:id="5"/>
      </w:r>
      <w:r w:rsidR="00E14DBB" w:rsidRPr="002500BD">
        <w:rPr>
          <w:rStyle w:val="EndnoteReference"/>
          <w:rFonts w:ascii="Times New Roman" w:hAnsi="Times New Roman" w:cs="Times New Roman"/>
        </w:rPr>
        <w:t xml:space="preserve"> </w:t>
      </w:r>
      <w:r w:rsidR="00A52B5F" w:rsidRPr="002500BD">
        <w:rPr>
          <w:rFonts w:ascii="Times New Roman" w:hAnsi="Times New Roman" w:cs="Times New Roman"/>
          <w:color w:val="000000"/>
          <w:shd w:val="clear" w:color="auto" w:fill="FFFFFF"/>
          <w:lang w:val="en-US"/>
        </w:rPr>
        <w:t>Nevertheless, traditional models have failed to address the historical roots of gender discrimination, gender stereotypes and traditional understandings of gender roles that perpetuate gender and inequality.</w:t>
      </w:r>
      <w:r w:rsidR="00A52B5F" w:rsidRPr="002500BD">
        <w:rPr>
          <w:rStyle w:val="EndnoteReference"/>
          <w:rFonts w:ascii="Times New Roman" w:hAnsi="Times New Roman" w:cs="Times New Roman"/>
          <w:color w:val="000000"/>
          <w:shd w:val="clear" w:color="auto" w:fill="FFFFFF"/>
          <w:lang w:val="en-US"/>
        </w:rPr>
        <w:endnoteReference w:id="6"/>
      </w:r>
      <w:r w:rsidR="0005285E" w:rsidRPr="002500BD">
        <w:rPr>
          <w:rFonts w:ascii="Times New Roman" w:hAnsi="Times New Roman" w:cs="Times New Roman"/>
          <w:color w:val="000000"/>
          <w:shd w:val="clear" w:color="auto" w:fill="FFFFFF"/>
          <w:lang w:val="en-US"/>
        </w:rPr>
        <w:t xml:space="preserve"> </w:t>
      </w:r>
      <w:r w:rsidR="000235F9">
        <w:rPr>
          <w:rFonts w:ascii="Times New Roman" w:hAnsi="Times New Roman" w:cs="Times New Roman"/>
          <w:color w:val="000000"/>
          <w:shd w:val="clear" w:color="auto" w:fill="FFFFFF"/>
          <w:lang w:val="en-US"/>
        </w:rPr>
        <w:t xml:space="preserve">In its General Comment No. 22, </w:t>
      </w:r>
      <w:r w:rsidR="007422D9">
        <w:rPr>
          <w:rFonts w:ascii="Times New Roman" w:hAnsi="Times New Roman" w:cs="Times New Roman"/>
          <w:color w:val="000000"/>
          <w:shd w:val="clear" w:color="auto" w:fill="FFFFFF"/>
          <w:lang w:val="en-US"/>
        </w:rPr>
        <w:t xml:space="preserve">the </w:t>
      </w:r>
      <w:r w:rsidR="000235F9">
        <w:rPr>
          <w:rFonts w:ascii="Times New Roman" w:hAnsi="Times New Roman" w:cs="Times New Roman"/>
          <w:color w:val="000000"/>
          <w:shd w:val="clear" w:color="auto" w:fill="FFFFFF"/>
          <w:lang w:val="en-US"/>
        </w:rPr>
        <w:t xml:space="preserve">CEDAW </w:t>
      </w:r>
      <w:r w:rsidR="007422D9">
        <w:rPr>
          <w:rFonts w:ascii="Times New Roman" w:hAnsi="Times New Roman" w:cs="Times New Roman"/>
          <w:color w:val="000000"/>
          <w:shd w:val="clear" w:color="auto" w:fill="FFFFFF"/>
          <w:lang w:val="en-US"/>
        </w:rPr>
        <w:t xml:space="preserve">Committee </w:t>
      </w:r>
      <w:r w:rsidR="000235F9">
        <w:rPr>
          <w:rFonts w:ascii="Times New Roman" w:hAnsi="Times New Roman" w:cs="Times New Roman"/>
          <w:color w:val="000000"/>
          <w:shd w:val="clear" w:color="auto" w:fill="FFFFFF"/>
          <w:lang w:val="en-US"/>
        </w:rPr>
        <w:t>identified “groups</w:t>
      </w:r>
      <w:r w:rsidR="00EE6B09" w:rsidRPr="00EE6B09">
        <w:rPr>
          <w:rFonts w:ascii="Times New Roman" w:hAnsi="Times New Roman" w:cs="Times New Roman"/>
          <w:color w:val="000000"/>
          <w:shd w:val="clear" w:color="auto" w:fill="FFFFFF"/>
          <w:lang w:val="en-US"/>
        </w:rPr>
        <w:t xml:space="preserve"> </w:t>
      </w:r>
      <w:r w:rsidR="00EE6B09">
        <w:rPr>
          <w:rFonts w:ascii="Times New Roman" w:hAnsi="Times New Roman" w:cs="Times New Roman"/>
          <w:color w:val="000000"/>
          <w:shd w:val="clear" w:color="auto" w:fill="FFFFFF"/>
          <w:lang w:val="en-US"/>
        </w:rPr>
        <w:t>as</w:t>
      </w:r>
      <w:r w:rsidR="000235F9">
        <w:rPr>
          <w:rFonts w:ascii="Times New Roman" w:hAnsi="Times New Roman" w:cs="Times New Roman"/>
          <w:color w:val="000000"/>
          <w:shd w:val="clear" w:color="auto" w:fill="FFFFFF"/>
          <w:lang w:val="en-US"/>
        </w:rPr>
        <w:t>, but not limited to, poor women, persons with disabilities, migrants, indigenous or other ethnic minorities, adolescent, lesbian, gay bisexual, transgender and intersex persons, and people living with HIV/AIDS [as] more likely to experience multiple discrimination.</w:t>
      </w:r>
      <w:r w:rsidR="000235F9">
        <w:rPr>
          <w:rStyle w:val="EndnoteReference"/>
          <w:rFonts w:ascii="Times New Roman" w:hAnsi="Times New Roman" w:cs="Times New Roman"/>
          <w:color w:val="000000"/>
          <w:shd w:val="clear" w:color="auto" w:fill="FFFFFF"/>
          <w:lang w:val="en-US"/>
        </w:rPr>
        <w:endnoteReference w:id="7"/>
      </w:r>
      <w:r w:rsidR="00B71639">
        <w:rPr>
          <w:rFonts w:ascii="Times New Roman" w:hAnsi="Times New Roman" w:cs="Times New Roman"/>
          <w:color w:val="000000"/>
          <w:shd w:val="clear" w:color="auto" w:fill="FFFFFF"/>
          <w:lang w:val="en-US"/>
        </w:rPr>
        <w:t xml:space="preserve"> In the same line, in its General Recommendation No. 28 </w:t>
      </w:r>
      <w:r w:rsidR="007422D9">
        <w:rPr>
          <w:rFonts w:ascii="Times New Roman" w:hAnsi="Times New Roman" w:cs="Times New Roman"/>
          <w:color w:val="000000"/>
          <w:shd w:val="clear" w:color="auto" w:fill="FFFFFF"/>
          <w:lang w:val="en-US"/>
        </w:rPr>
        <w:t xml:space="preserve">the </w:t>
      </w:r>
      <w:r w:rsidR="00B71639">
        <w:rPr>
          <w:rFonts w:ascii="Times New Roman" w:hAnsi="Times New Roman" w:cs="Times New Roman"/>
          <w:color w:val="000000"/>
          <w:shd w:val="clear" w:color="auto" w:fill="FFFFFF"/>
          <w:lang w:val="en-US"/>
        </w:rPr>
        <w:t xml:space="preserve">CEDAW </w:t>
      </w:r>
      <w:r w:rsidR="007422D9">
        <w:rPr>
          <w:rFonts w:ascii="Times New Roman" w:hAnsi="Times New Roman" w:cs="Times New Roman"/>
          <w:color w:val="000000"/>
          <w:shd w:val="clear" w:color="auto" w:fill="FFFFFF"/>
          <w:lang w:val="en-US"/>
        </w:rPr>
        <w:t xml:space="preserve">Committee </w:t>
      </w:r>
      <w:r w:rsidR="00B71639">
        <w:rPr>
          <w:rFonts w:ascii="Times New Roman" w:hAnsi="Times New Roman" w:cs="Times New Roman"/>
          <w:color w:val="000000"/>
          <w:shd w:val="clear" w:color="auto" w:fill="FFFFFF"/>
          <w:lang w:val="en-US"/>
        </w:rPr>
        <w:t>stated that “States parties should recognize that rural women are not a homogenous group and often face intersecting discrimination” and that “[m]any indigenous and afro-descendent women live in rural settings and experience discrimination based on their ethnicity, language and traditional way of life”.</w:t>
      </w:r>
      <w:r w:rsidR="00B71639">
        <w:rPr>
          <w:rStyle w:val="EndnoteReference"/>
          <w:rFonts w:ascii="Times New Roman" w:hAnsi="Times New Roman" w:cs="Times New Roman"/>
          <w:color w:val="000000"/>
          <w:shd w:val="clear" w:color="auto" w:fill="FFFFFF"/>
          <w:lang w:val="en-US"/>
        </w:rPr>
        <w:endnoteReference w:id="8"/>
      </w:r>
      <w:r w:rsidR="00CC68EF">
        <w:rPr>
          <w:rFonts w:ascii="Times New Roman" w:hAnsi="Times New Roman" w:cs="Times New Roman"/>
          <w:color w:val="000000"/>
          <w:shd w:val="clear" w:color="auto" w:fill="FFFFFF"/>
          <w:lang w:val="en-US"/>
        </w:rPr>
        <w:t xml:space="preserve"> The Committee recommended that “States parties should eliminate all forms of discrimination against disadvantaged and marginalized groups or rural </w:t>
      </w:r>
      <w:r w:rsidR="00CC68EF">
        <w:rPr>
          <w:rFonts w:ascii="Times New Roman" w:hAnsi="Times New Roman" w:cs="Times New Roman"/>
          <w:color w:val="000000"/>
          <w:shd w:val="clear" w:color="auto" w:fill="FFFFFF"/>
          <w:lang w:val="en-US"/>
        </w:rPr>
        <w:lastRenderedPageBreak/>
        <w:t>women”, including indigenous women and ensure that they “are protected from intersecting forms of discrimination and have access to [...] health care”.</w:t>
      </w:r>
      <w:r w:rsidR="00CC68EF">
        <w:rPr>
          <w:rStyle w:val="EndnoteReference"/>
          <w:rFonts w:ascii="Times New Roman" w:hAnsi="Times New Roman" w:cs="Times New Roman"/>
          <w:color w:val="000000"/>
          <w:shd w:val="clear" w:color="auto" w:fill="FFFFFF"/>
          <w:lang w:val="en-US"/>
        </w:rPr>
        <w:endnoteReference w:id="9"/>
      </w:r>
    </w:p>
    <w:p w14:paraId="7126BE39" w14:textId="77777777" w:rsidR="007422D9" w:rsidRDefault="007422D9" w:rsidP="00150CBA">
      <w:pPr>
        <w:spacing w:after="0" w:line="240" w:lineRule="auto"/>
        <w:jc w:val="both"/>
        <w:rPr>
          <w:rFonts w:ascii="Times New Roman" w:hAnsi="Times New Roman" w:cs="Times New Roman"/>
          <w:color w:val="000000"/>
          <w:shd w:val="clear" w:color="auto" w:fill="FFFFFF"/>
          <w:lang w:val="en-US"/>
        </w:rPr>
      </w:pPr>
    </w:p>
    <w:p w14:paraId="26FD7E88" w14:textId="51E48932" w:rsidR="00A52B5F" w:rsidRPr="002500BD" w:rsidRDefault="004B35E3" w:rsidP="00150CBA">
      <w:pPr>
        <w:spacing w:after="0" w:line="240" w:lineRule="auto"/>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T</w:t>
      </w:r>
      <w:r w:rsidR="00A52B5F" w:rsidRPr="002500BD">
        <w:rPr>
          <w:rFonts w:ascii="Times New Roman" w:hAnsi="Times New Roman" w:cs="Times New Roman"/>
          <w:color w:val="000000"/>
          <w:shd w:val="clear" w:color="auto" w:fill="FFFFFF"/>
          <w:lang w:val="en-US"/>
        </w:rPr>
        <w:t xml:space="preserve">he principle of substantive equality seeks to remedy entrenched discrimination by requiring </w:t>
      </w:r>
      <w:r w:rsidR="00A80F12">
        <w:rPr>
          <w:rFonts w:ascii="Times New Roman" w:hAnsi="Times New Roman" w:cs="Times New Roman"/>
          <w:color w:val="000000"/>
          <w:shd w:val="clear" w:color="auto" w:fill="FFFFFF"/>
          <w:lang w:val="en-US"/>
        </w:rPr>
        <w:t>S</w:t>
      </w:r>
      <w:r w:rsidR="00A52B5F" w:rsidRPr="002500BD">
        <w:rPr>
          <w:rFonts w:ascii="Times New Roman" w:hAnsi="Times New Roman" w:cs="Times New Roman"/>
          <w:color w:val="000000"/>
          <w:shd w:val="clear" w:color="auto" w:fill="FFFFFF"/>
          <w:lang w:val="en-US"/>
        </w:rPr>
        <w:t xml:space="preserve">tates to take positive measures to address the inequalities that women face, for which </w:t>
      </w:r>
      <w:r w:rsidR="00A80F12">
        <w:rPr>
          <w:rFonts w:ascii="Times New Roman" w:hAnsi="Times New Roman" w:cs="Times New Roman"/>
          <w:color w:val="000000"/>
          <w:shd w:val="clear" w:color="auto" w:fill="FFFFFF"/>
          <w:lang w:val="en-US"/>
        </w:rPr>
        <w:t>S</w:t>
      </w:r>
      <w:r w:rsidR="00A52B5F" w:rsidRPr="002500BD">
        <w:rPr>
          <w:rFonts w:ascii="Times New Roman" w:hAnsi="Times New Roman" w:cs="Times New Roman"/>
          <w:color w:val="000000"/>
          <w:shd w:val="clear" w:color="auto" w:fill="FFFFFF"/>
          <w:lang w:val="en-US"/>
        </w:rPr>
        <w:t>tates should:</w:t>
      </w:r>
    </w:p>
    <w:p w14:paraId="7E0B5FFE" w14:textId="77777777" w:rsidR="00845DBE" w:rsidRPr="002500BD" w:rsidRDefault="00845DBE" w:rsidP="00150CBA">
      <w:pPr>
        <w:spacing w:after="0" w:line="240" w:lineRule="auto"/>
        <w:jc w:val="both"/>
        <w:rPr>
          <w:rFonts w:ascii="Times New Roman" w:hAnsi="Times New Roman" w:cs="Times New Roman"/>
          <w:color w:val="000000"/>
          <w:shd w:val="clear" w:color="auto" w:fill="FFFFFF"/>
          <w:lang w:val="en-US"/>
        </w:rPr>
      </w:pPr>
    </w:p>
    <w:p w14:paraId="2E06745A" w14:textId="0BBC2E6F" w:rsidR="00A52B5F" w:rsidRPr="002500BD" w:rsidRDefault="00A52B5F" w:rsidP="00A52B5F">
      <w:pPr>
        <w:pStyle w:val="ListParagraph"/>
        <w:numPr>
          <w:ilvl w:val="0"/>
          <w:numId w:val="29"/>
        </w:num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Address discriminatory power structures</w:t>
      </w:r>
      <w:r w:rsidR="00BE0B55" w:rsidRPr="002500BD">
        <w:rPr>
          <w:rFonts w:ascii="Times New Roman" w:hAnsi="Times New Roman" w:cs="Times New Roman"/>
          <w:color w:val="000000"/>
          <w:shd w:val="clear" w:color="auto" w:fill="FFFFFF"/>
          <w:lang w:val="en-US"/>
        </w:rPr>
        <w:t>.</w:t>
      </w:r>
      <w:r w:rsidR="00BE0B55" w:rsidRPr="002500BD">
        <w:rPr>
          <w:rStyle w:val="EndnoteReference"/>
          <w:rFonts w:ascii="Times New Roman" w:hAnsi="Times New Roman" w:cs="Times New Roman"/>
          <w:color w:val="000000"/>
          <w:shd w:val="clear" w:color="auto" w:fill="FFFFFF"/>
          <w:lang w:val="en-US"/>
        </w:rPr>
        <w:endnoteReference w:id="10"/>
      </w:r>
    </w:p>
    <w:p w14:paraId="53FBB340" w14:textId="171D6F63" w:rsidR="00A52B5F" w:rsidRPr="002500BD" w:rsidRDefault="00A52B5F" w:rsidP="00A52B5F">
      <w:pPr>
        <w:pStyle w:val="ListParagraph"/>
        <w:numPr>
          <w:ilvl w:val="0"/>
          <w:numId w:val="29"/>
        </w:num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 xml:space="preserve">Recognize that women </w:t>
      </w:r>
      <w:r w:rsidRPr="004B35E3">
        <w:rPr>
          <w:rFonts w:ascii="Times New Roman" w:hAnsi="Times New Roman" w:cs="Times New Roman"/>
          <w:color w:val="000000"/>
          <w:shd w:val="clear" w:color="auto" w:fill="FFFFFF"/>
          <w:lang w:val="en-US"/>
        </w:rPr>
        <w:t>and men experience different kinds of rights violations due to discriminatory social and cultural norms, including in the context of health</w:t>
      </w:r>
      <w:r w:rsidR="00BE0B55" w:rsidRPr="004B35E3">
        <w:rPr>
          <w:rFonts w:ascii="Times New Roman" w:hAnsi="Times New Roman" w:cs="Times New Roman"/>
          <w:color w:val="000000"/>
          <w:shd w:val="clear" w:color="auto" w:fill="FFFFFF"/>
          <w:lang w:val="en-US"/>
        </w:rPr>
        <w:t>,</w:t>
      </w:r>
      <w:r w:rsidR="00BE0B55" w:rsidRPr="004B35E3">
        <w:rPr>
          <w:rStyle w:val="EndnoteReference"/>
          <w:rFonts w:ascii="Times New Roman" w:hAnsi="Times New Roman" w:cs="Times New Roman"/>
          <w:color w:val="000000"/>
          <w:shd w:val="clear" w:color="auto" w:fill="FFFFFF"/>
          <w:lang w:val="en-US"/>
        </w:rPr>
        <w:endnoteReference w:id="11"/>
      </w:r>
      <w:r w:rsidR="00BE0B55" w:rsidRPr="004B35E3">
        <w:rPr>
          <w:rFonts w:ascii="Times New Roman" w:hAnsi="Times New Roman" w:cs="Times New Roman"/>
          <w:color w:val="000000"/>
          <w:shd w:val="clear" w:color="auto" w:fill="FFFFFF"/>
          <w:lang w:val="en-US"/>
        </w:rPr>
        <w:t xml:space="preserve"> and that</w:t>
      </w:r>
      <w:r w:rsidRPr="004B35E3">
        <w:rPr>
          <w:rFonts w:ascii="Times New Roman" w:hAnsi="Times New Roman" w:cs="Times New Roman"/>
          <w:color w:val="000000"/>
          <w:shd w:val="clear" w:color="auto" w:fill="FFFFFF"/>
          <w:lang w:val="en-US"/>
        </w:rPr>
        <w:t xml:space="preserve">, women may also face multiple discrimination, based </w:t>
      </w:r>
      <w:r w:rsidR="004B35E3">
        <w:rPr>
          <w:rFonts w:ascii="Times New Roman" w:hAnsi="Times New Roman" w:cs="Times New Roman"/>
          <w:color w:val="000000"/>
          <w:shd w:val="clear" w:color="auto" w:fill="FFFFFF"/>
          <w:lang w:val="en-US"/>
        </w:rPr>
        <w:t xml:space="preserve">on </w:t>
      </w:r>
      <w:r w:rsidRPr="004B35E3">
        <w:rPr>
          <w:rFonts w:ascii="Times New Roman" w:hAnsi="Times New Roman" w:cs="Times New Roman"/>
          <w:color w:val="000000"/>
          <w:shd w:val="clear" w:color="auto" w:fill="FFFFFF"/>
          <w:lang w:val="en-US"/>
        </w:rPr>
        <w:t>multiple grounds, including race, disability, age or other marginalized statuses.</w:t>
      </w:r>
      <w:r w:rsidR="00BE0B55" w:rsidRPr="004B35E3">
        <w:rPr>
          <w:rStyle w:val="EndnoteReference"/>
          <w:rFonts w:ascii="Times New Roman" w:hAnsi="Times New Roman" w:cs="Times New Roman"/>
          <w:color w:val="000000"/>
          <w:shd w:val="clear" w:color="auto" w:fill="FFFFFF"/>
          <w:lang w:val="en-US"/>
        </w:rPr>
        <w:endnoteReference w:id="12"/>
      </w:r>
    </w:p>
    <w:p w14:paraId="6003BCFE" w14:textId="500638C2" w:rsidR="00A52B5F" w:rsidRPr="002500BD" w:rsidRDefault="00BE0B55" w:rsidP="00A52B5F">
      <w:pPr>
        <w:pStyle w:val="ListParagraph"/>
        <w:numPr>
          <w:ilvl w:val="0"/>
          <w:numId w:val="29"/>
        </w:num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Ensure equality of results.</w:t>
      </w:r>
      <w:r w:rsidRPr="002500BD">
        <w:rPr>
          <w:rStyle w:val="EndnoteReference"/>
          <w:rFonts w:ascii="Times New Roman" w:hAnsi="Times New Roman" w:cs="Times New Roman"/>
          <w:color w:val="000000"/>
          <w:shd w:val="clear" w:color="auto" w:fill="FFFFFF"/>
          <w:lang w:val="en-US"/>
        </w:rPr>
        <w:endnoteReference w:id="13"/>
      </w:r>
    </w:p>
    <w:p w14:paraId="19BC4FA2" w14:textId="6DC4FE1E" w:rsidR="00E14DBB" w:rsidRPr="002500BD" w:rsidRDefault="00E14DBB" w:rsidP="00E14DBB">
      <w:pPr>
        <w:spacing w:after="0" w:line="240" w:lineRule="auto"/>
        <w:jc w:val="both"/>
        <w:rPr>
          <w:rFonts w:ascii="Times New Roman" w:hAnsi="Times New Roman" w:cs="Times New Roman"/>
          <w:color w:val="000000"/>
          <w:shd w:val="clear" w:color="auto" w:fill="FFFFFF"/>
          <w:lang w:val="en-US"/>
        </w:rPr>
      </w:pPr>
    </w:p>
    <w:p w14:paraId="3955AF60" w14:textId="0B2C3633" w:rsidR="0005285E" w:rsidRPr="002500BD" w:rsidRDefault="0005285E" w:rsidP="00E14DBB">
      <w:p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The Committee</w:t>
      </w:r>
      <w:r w:rsidR="004B35E3">
        <w:rPr>
          <w:rFonts w:ascii="Times New Roman" w:hAnsi="Times New Roman" w:cs="Times New Roman"/>
          <w:color w:val="000000"/>
          <w:shd w:val="clear" w:color="auto" w:fill="FFFFFF"/>
          <w:lang w:val="en-US"/>
        </w:rPr>
        <w:t xml:space="preserve"> on the rights of the Child (CRC</w:t>
      </w:r>
      <w:r w:rsidR="007422D9">
        <w:rPr>
          <w:rFonts w:ascii="Times New Roman" w:hAnsi="Times New Roman" w:cs="Times New Roman"/>
          <w:color w:val="000000"/>
          <w:shd w:val="clear" w:color="auto" w:fill="FFFFFF"/>
          <w:lang w:val="en-US"/>
        </w:rPr>
        <w:t xml:space="preserve"> Committee</w:t>
      </w:r>
      <w:r w:rsidR="004B35E3">
        <w:rPr>
          <w:rFonts w:ascii="Times New Roman" w:hAnsi="Times New Roman" w:cs="Times New Roman"/>
          <w:color w:val="000000"/>
          <w:shd w:val="clear" w:color="auto" w:fill="FFFFFF"/>
          <w:lang w:val="en-US"/>
        </w:rPr>
        <w:t>)</w:t>
      </w:r>
      <w:r w:rsidRPr="002500BD">
        <w:rPr>
          <w:rFonts w:ascii="Times New Roman" w:hAnsi="Times New Roman" w:cs="Times New Roman"/>
          <w:color w:val="000000"/>
          <w:shd w:val="clear" w:color="auto" w:fill="FFFFFF"/>
          <w:lang w:val="en-US"/>
        </w:rPr>
        <w:t xml:space="preserve">, the </w:t>
      </w:r>
      <w:r w:rsidR="007422D9">
        <w:rPr>
          <w:rFonts w:ascii="Times New Roman" w:hAnsi="Times New Roman" w:cs="Times New Roman"/>
          <w:color w:val="000000"/>
          <w:shd w:val="clear" w:color="auto" w:fill="FFFFFF"/>
          <w:lang w:val="en-US"/>
        </w:rPr>
        <w:t>CEDAW</w:t>
      </w:r>
      <w:r w:rsidRPr="002500BD">
        <w:rPr>
          <w:rFonts w:ascii="Times New Roman" w:hAnsi="Times New Roman" w:cs="Times New Roman"/>
          <w:color w:val="000000"/>
          <w:shd w:val="clear" w:color="auto" w:fill="FFFFFF"/>
          <w:lang w:val="en-US"/>
        </w:rPr>
        <w:t xml:space="preserve">, </w:t>
      </w:r>
      <w:r w:rsidR="004B35E3">
        <w:rPr>
          <w:rFonts w:ascii="Times New Roman" w:hAnsi="Times New Roman" w:cs="Times New Roman"/>
          <w:color w:val="000000"/>
          <w:shd w:val="clear" w:color="auto" w:fill="FFFFFF"/>
          <w:lang w:val="en-US"/>
        </w:rPr>
        <w:t xml:space="preserve">the </w:t>
      </w:r>
      <w:r w:rsidRPr="002500BD">
        <w:rPr>
          <w:rFonts w:ascii="Times New Roman" w:hAnsi="Times New Roman" w:cs="Times New Roman"/>
          <w:color w:val="000000"/>
          <w:shd w:val="clear" w:color="auto" w:fill="FFFFFF"/>
          <w:lang w:val="en-US"/>
        </w:rPr>
        <w:t>C</w:t>
      </w:r>
      <w:r w:rsidR="004B35E3">
        <w:rPr>
          <w:rFonts w:ascii="Times New Roman" w:hAnsi="Times New Roman" w:cs="Times New Roman"/>
          <w:color w:val="000000"/>
          <w:shd w:val="clear" w:color="auto" w:fill="FFFFFF"/>
          <w:lang w:val="en-US"/>
        </w:rPr>
        <w:t xml:space="preserve">ommittee on </w:t>
      </w:r>
      <w:r w:rsidRPr="002500BD">
        <w:rPr>
          <w:rFonts w:ascii="Times New Roman" w:hAnsi="Times New Roman" w:cs="Times New Roman"/>
          <w:color w:val="000000"/>
          <w:shd w:val="clear" w:color="auto" w:fill="FFFFFF"/>
          <w:lang w:val="en-US"/>
        </w:rPr>
        <w:t>E</w:t>
      </w:r>
      <w:r w:rsidR="004B35E3">
        <w:rPr>
          <w:rFonts w:ascii="Times New Roman" w:hAnsi="Times New Roman" w:cs="Times New Roman"/>
          <w:color w:val="000000"/>
          <w:shd w:val="clear" w:color="auto" w:fill="FFFFFF"/>
          <w:lang w:val="en-US"/>
        </w:rPr>
        <w:t xml:space="preserve">conomic, </w:t>
      </w:r>
      <w:r w:rsidRPr="002500BD">
        <w:rPr>
          <w:rFonts w:ascii="Times New Roman" w:hAnsi="Times New Roman" w:cs="Times New Roman"/>
          <w:color w:val="000000"/>
          <w:shd w:val="clear" w:color="auto" w:fill="FFFFFF"/>
          <w:lang w:val="en-US"/>
        </w:rPr>
        <w:t>S</w:t>
      </w:r>
      <w:r w:rsidR="004B35E3">
        <w:rPr>
          <w:rFonts w:ascii="Times New Roman" w:hAnsi="Times New Roman" w:cs="Times New Roman"/>
          <w:color w:val="000000"/>
          <w:shd w:val="clear" w:color="auto" w:fill="FFFFFF"/>
          <w:lang w:val="en-US"/>
        </w:rPr>
        <w:t xml:space="preserve">ocial and </w:t>
      </w:r>
      <w:r w:rsidRPr="002500BD">
        <w:rPr>
          <w:rFonts w:ascii="Times New Roman" w:hAnsi="Times New Roman" w:cs="Times New Roman"/>
          <w:color w:val="000000"/>
          <w:shd w:val="clear" w:color="auto" w:fill="FFFFFF"/>
          <w:lang w:val="en-US"/>
        </w:rPr>
        <w:t>C</w:t>
      </w:r>
      <w:r w:rsidR="004B35E3">
        <w:rPr>
          <w:rFonts w:ascii="Times New Roman" w:hAnsi="Times New Roman" w:cs="Times New Roman"/>
          <w:color w:val="000000"/>
          <w:shd w:val="clear" w:color="auto" w:fill="FFFFFF"/>
          <w:lang w:val="en-US"/>
        </w:rPr>
        <w:t xml:space="preserve">ultural </w:t>
      </w:r>
      <w:r w:rsidRPr="002500BD">
        <w:rPr>
          <w:rFonts w:ascii="Times New Roman" w:hAnsi="Times New Roman" w:cs="Times New Roman"/>
          <w:color w:val="000000"/>
          <w:shd w:val="clear" w:color="auto" w:fill="FFFFFF"/>
          <w:lang w:val="en-US"/>
        </w:rPr>
        <w:t>R</w:t>
      </w:r>
      <w:r w:rsidR="004B35E3">
        <w:rPr>
          <w:rFonts w:ascii="Times New Roman" w:hAnsi="Times New Roman" w:cs="Times New Roman"/>
          <w:color w:val="000000"/>
          <w:shd w:val="clear" w:color="auto" w:fill="FFFFFF"/>
          <w:lang w:val="en-US"/>
        </w:rPr>
        <w:t>ights (ESCR</w:t>
      </w:r>
      <w:r w:rsidR="007422D9">
        <w:rPr>
          <w:rFonts w:ascii="Times New Roman" w:hAnsi="Times New Roman" w:cs="Times New Roman"/>
          <w:color w:val="000000"/>
          <w:shd w:val="clear" w:color="auto" w:fill="FFFFFF"/>
          <w:lang w:val="en-US"/>
        </w:rPr>
        <w:t xml:space="preserve"> Committee</w:t>
      </w:r>
      <w:r w:rsidR="004B35E3">
        <w:rPr>
          <w:rFonts w:ascii="Times New Roman" w:hAnsi="Times New Roman" w:cs="Times New Roman"/>
          <w:color w:val="000000"/>
          <w:shd w:val="clear" w:color="auto" w:fill="FFFFFF"/>
          <w:lang w:val="en-US"/>
        </w:rPr>
        <w:t>)</w:t>
      </w:r>
      <w:r w:rsidRPr="002500BD">
        <w:rPr>
          <w:rFonts w:ascii="Times New Roman" w:hAnsi="Times New Roman" w:cs="Times New Roman"/>
          <w:color w:val="000000"/>
          <w:shd w:val="clear" w:color="auto" w:fill="FFFFFF"/>
          <w:lang w:val="en-US"/>
        </w:rPr>
        <w:t>, the C</w:t>
      </w:r>
      <w:r w:rsidR="004B35E3">
        <w:rPr>
          <w:rFonts w:ascii="Times New Roman" w:hAnsi="Times New Roman" w:cs="Times New Roman"/>
          <w:color w:val="000000"/>
          <w:shd w:val="clear" w:color="auto" w:fill="FFFFFF"/>
          <w:lang w:val="en-US"/>
        </w:rPr>
        <w:t xml:space="preserve">ommittee on the </w:t>
      </w:r>
      <w:r w:rsidRPr="002500BD">
        <w:rPr>
          <w:rFonts w:ascii="Times New Roman" w:hAnsi="Times New Roman" w:cs="Times New Roman"/>
          <w:color w:val="000000"/>
          <w:shd w:val="clear" w:color="auto" w:fill="FFFFFF"/>
          <w:lang w:val="en-US"/>
        </w:rPr>
        <w:t>R</w:t>
      </w:r>
      <w:r w:rsidR="004B35E3">
        <w:rPr>
          <w:rFonts w:ascii="Times New Roman" w:hAnsi="Times New Roman" w:cs="Times New Roman"/>
          <w:color w:val="000000"/>
          <w:shd w:val="clear" w:color="auto" w:fill="FFFFFF"/>
          <w:lang w:val="en-US"/>
        </w:rPr>
        <w:t xml:space="preserve">ights of </w:t>
      </w:r>
      <w:r w:rsidRPr="002500BD">
        <w:rPr>
          <w:rFonts w:ascii="Times New Roman" w:hAnsi="Times New Roman" w:cs="Times New Roman"/>
          <w:color w:val="000000"/>
          <w:shd w:val="clear" w:color="auto" w:fill="FFFFFF"/>
          <w:lang w:val="en-US"/>
        </w:rPr>
        <w:t>P</w:t>
      </w:r>
      <w:r w:rsidR="004B35E3">
        <w:rPr>
          <w:rFonts w:ascii="Times New Roman" w:hAnsi="Times New Roman" w:cs="Times New Roman"/>
          <w:color w:val="000000"/>
          <w:shd w:val="clear" w:color="auto" w:fill="FFFFFF"/>
          <w:lang w:val="en-US"/>
        </w:rPr>
        <w:t xml:space="preserve">ersons with </w:t>
      </w:r>
      <w:r w:rsidRPr="002500BD">
        <w:rPr>
          <w:rFonts w:ascii="Times New Roman" w:hAnsi="Times New Roman" w:cs="Times New Roman"/>
          <w:color w:val="000000"/>
          <w:shd w:val="clear" w:color="auto" w:fill="FFFFFF"/>
          <w:lang w:val="en-US"/>
        </w:rPr>
        <w:t>D</w:t>
      </w:r>
      <w:r w:rsidR="004B35E3">
        <w:rPr>
          <w:rFonts w:ascii="Times New Roman" w:hAnsi="Times New Roman" w:cs="Times New Roman"/>
          <w:color w:val="000000"/>
          <w:shd w:val="clear" w:color="auto" w:fill="FFFFFF"/>
          <w:lang w:val="en-US"/>
        </w:rPr>
        <w:t>isabilities (CRPD</w:t>
      </w:r>
      <w:r w:rsidR="007422D9">
        <w:rPr>
          <w:rFonts w:ascii="Times New Roman" w:hAnsi="Times New Roman" w:cs="Times New Roman"/>
          <w:color w:val="000000"/>
          <w:shd w:val="clear" w:color="auto" w:fill="FFFFFF"/>
          <w:lang w:val="en-US"/>
        </w:rPr>
        <w:t xml:space="preserve"> Committee</w:t>
      </w:r>
      <w:r w:rsidR="004B35E3">
        <w:rPr>
          <w:rFonts w:ascii="Times New Roman" w:hAnsi="Times New Roman" w:cs="Times New Roman"/>
          <w:color w:val="000000"/>
          <w:shd w:val="clear" w:color="auto" w:fill="FFFFFF"/>
          <w:lang w:val="en-US"/>
        </w:rPr>
        <w:t>)</w:t>
      </w:r>
      <w:r w:rsidRPr="002500BD">
        <w:rPr>
          <w:rFonts w:ascii="Times New Roman" w:hAnsi="Times New Roman" w:cs="Times New Roman"/>
          <w:color w:val="000000"/>
          <w:shd w:val="clear" w:color="auto" w:fill="FFFFFF"/>
          <w:lang w:val="en-US"/>
        </w:rPr>
        <w:t xml:space="preserve"> and the Human Rights Committee have urged </w:t>
      </w:r>
      <w:r w:rsidR="00A80F12">
        <w:rPr>
          <w:rFonts w:ascii="Times New Roman" w:hAnsi="Times New Roman" w:cs="Times New Roman"/>
          <w:color w:val="000000"/>
          <w:shd w:val="clear" w:color="auto" w:fill="FFFFFF"/>
          <w:lang w:val="en-US"/>
        </w:rPr>
        <w:t>S</w:t>
      </w:r>
      <w:r w:rsidRPr="002500BD">
        <w:rPr>
          <w:rFonts w:ascii="Times New Roman" w:hAnsi="Times New Roman" w:cs="Times New Roman"/>
          <w:color w:val="000000"/>
          <w:shd w:val="clear" w:color="auto" w:fill="FFFFFF"/>
          <w:lang w:val="en-US"/>
        </w:rPr>
        <w:t xml:space="preserve">tates to address both </w:t>
      </w:r>
      <w:r w:rsidRPr="002500BD">
        <w:rPr>
          <w:rFonts w:ascii="Times New Roman" w:hAnsi="Times New Roman" w:cs="Times New Roman"/>
          <w:i/>
          <w:iCs/>
          <w:color w:val="000000"/>
          <w:shd w:val="clear" w:color="auto" w:fill="FFFFFF"/>
          <w:lang w:val="en-US"/>
        </w:rPr>
        <w:t>de jure</w:t>
      </w:r>
      <w:r w:rsidRPr="002500BD">
        <w:rPr>
          <w:rFonts w:ascii="Times New Roman" w:hAnsi="Times New Roman" w:cs="Times New Roman"/>
          <w:color w:val="000000"/>
          <w:shd w:val="clear" w:color="auto" w:fill="FFFFFF"/>
          <w:lang w:val="en-US"/>
        </w:rPr>
        <w:t xml:space="preserve"> and </w:t>
      </w:r>
      <w:r w:rsidRPr="002500BD">
        <w:rPr>
          <w:rFonts w:ascii="Times New Roman" w:hAnsi="Times New Roman" w:cs="Times New Roman"/>
          <w:i/>
          <w:iCs/>
          <w:color w:val="000000"/>
          <w:shd w:val="clear" w:color="auto" w:fill="FFFFFF"/>
          <w:lang w:val="en-US"/>
        </w:rPr>
        <w:t xml:space="preserve">de facto </w:t>
      </w:r>
      <w:r w:rsidRPr="002500BD">
        <w:rPr>
          <w:rFonts w:ascii="Times New Roman" w:hAnsi="Times New Roman" w:cs="Times New Roman"/>
          <w:color w:val="000000"/>
          <w:shd w:val="clear" w:color="auto" w:fill="FFFFFF"/>
          <w:lang w:val="en-US"/>
        </w:rPr>
        <w:t>discrimination in private and public spheres, adopt measures to eliminate gender stereotypes towards women, and address practices that disproportionately impact women.</w:t>
      </w:r>
      <w:r w:rsidRPr="002500BD">
        <w:rPr>
          <w:rStyle w:val="EndnoteReference"/>
          <w:rFonts w:ascii="Times New Roman" w:hAnsi="Times New Roman" w:cs="Times New Roman"/>
          <w:color w:val="000000"/>
          <w:shd w:val="clear" w:color="auto" w:fill="FFFFFF"/>
          <w:lang w:val="en-US"/>
        </w:rPr>
        <w:endnoteReference w:id="14"/>
      </w:r>
      <w:r w:rsidR="004458F6" w:rsidRPr="002500BD">
        <w:rPr>
          <w:rFonts w:ascii="Times New Roman" w:hAnsi="Times New Roman" w:cs="Times New Roman"/>
          <w:color w:val="000000"/>
          <w:shd w:val="clear" w:color="auto" w:fill="FFFFFF"/>
          <w:lang w:val="en-US"/>
        </w:rPr>
        <w:t xml:space="preserve"> </w:t>
      </w:r>
      <w:r w:rsidR="004B35E3">
        <w:rPr>
          <w:rFonts w:ascii="Times New Roman" w:hAnsi="Times New Roman" w:cs="Times New Roman"/>
          <w:color w:val="000000"/>
          <w:shd w:val="clear" w:color="auto" w:fill="FFFFFF"/>
          <w:lang w:val="en-US"/>
        </w:rPr>
        <w:t xml:space="preserve">This </w:t>
      </w:r>
      <w:r w:rsidR="00A80F12">
        <w:rPr>
          <w:rFonts w:ascii="Times New Roman" w:hAnsi="Times New Roman" w:cs="Times New Roman"/>
          <w:color w:val="000000"/>
          <w:shd w:val="clear" w:color="auto" w:fill="FFFFFF"/>
          <w:lang w:val="en-US"/>
        </w:rPr>
        <w:t>translates by the fact</w:t>
      </w:r>
      <w:r w:rsidR="004B35E3">
        <w:rPr>
          <w:rFonts w:ascii="Times New Roman" w:hAnsi="Times New Roman" w:cs="Times New Roman"/>
          <w:color w:val="000000"/>
          <w:shd w:val="clear" w:color="auto" w:fill="FFFFFF"/>
          <w:lang w:val="en-US"/>
        </w:rPr>
        <w:t xml:space="preserve"> that</w:t>
      </w:r>
      <w:r w:rsidR="004458F6" w:rsidRPr="002500BD">
        <w:rPr>
          <w:rFonts w:ascii="Times New Roman" w:hAnsi="Times New Roman" w:cs="Times New Roman"/>
          <w:color w:val="000000"/>
          <w:shd w:val="clear" w:color="auto" w:fill="FFFFFF"/>
          <w:lang w:val="en-US"/>
        </w:rPr>
        <w:t xml:space="preserve"> </w:t>
      </w:r>
      <w:r w:rsidR="00A80F12">
        <w:rPr>
          <w:rFonts w:ascii="Times New Roman" w:hAnsi="Times New Roman" w:cs="Times New Roman"/>
          <w:color w:val="000000"/>
          <w:shd w:val="clear" w:color="auto" w:fill="FFFFFF"/>
          <w:lang w:val="en-US"/>
        </w:rPr>
        <w:t>S</w:t>
      </w:r>
      <w:r w:rsidR="004458F6" w:rsidRPr="002500BD">
        <w:rPr>
          <w:rFonts w:ascii="Times New Roman" w:hAnsi="Times New Roman" w:cs="Times New Roman"/>
          <w:color w:val="000000"/>
          <w:shd w:val="clear" w:color="auto" w:fill="FFFFFF"/>
          <w:lang w:val="en-US"/>
        </w:rPr>
        <w:t xml:space="preserve">tates should take positive measures to create an enabling environment that improves social conditions, </w:t>
      </w:r>
      <w:r w:rsidR="00772304" w:rsidRPr="002500BD">
        <w:rPr>
          <w:rFonts w:ascii="Times New Roman" w:hAnsi="Times New Roman" w:cs="Times New Roman"/>
          <w:color w:val="000000"/>
          <w:shd w:val="clear" w:color="auto" w:fill="FFFFFF"/>
          <w:lang w:val="en-US"/>
        </w:rPr>
        <w:t>including poverty and unemployment, factors that have an impact on women’s right to equality in healthcare.</w:t>
      </w:r>
      <w:r w:rsidR="00772304" w:rsidRPr="002500BD">
        <w:rPr>
          <w:rStyle w:val="EndnoteReference"/>
          <w:rFonts w:ascii="Times New Roman" w:hAnsi="Times New Roman" w:cs="Times New Roman"/>
          <w:color w:val="000000"/>
          <w:shd w:val="clear" w:color="auto" w:fill="FFFFFF"/>
          <w:lang w:val="en-US"/>
        </w:rPr>
        <w:endnoteReference w:id="15"/>
      </w:r>
    </w:p>
    <w:p w14:paraId="0C3C2D0E" w14:textId="77777777" w:rsidR="0005285E" w:rsidRPr="002500BD" w:rsidRDefault="0005285E" w:rsidP="00E14DBB">
      <w:pPr>
        <w:spacing w:after="0" w:line="240" w:lineRule="auto"/>
        <w:jc w:val="both"/>
        <w:rPr>
          <w:rFonts w:ascii="Times New Roman" w:hAnsi="Times New Roman" w:cs="Times New Roman"/>
          <w:color w:val="000000"/>
          <w:shd w:val="clear" w:color="auto" w:fill="FFFFFF"/>
          <w:lang w:val="en-US"/>
        </w:rPr>
      </w:pPr>
    </w:p>
    <w:p w14:paraId="53C29A38" w14:textId="7605306C" w:rsidR="00E14DBB" w:rsidRDefault="00E14DBB" w:rsidP="00E14DBB">
      <w:p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 xml:space="preserve">Treaty Bodies have also called on </w:t>
      </w:r>
      <w:r w:rsidR="00A80F12">
        <w:rPr>
          <w:rFonts w:ascii="Times New Roman" w:hAnsi="Times New Roman" w:cs="Times New Roman"/>
          <w:color w:val="000000"/>
          <w:shd w:val="clear" w:color="auto" w:fill="FFFFFF"/>
          <w:lang w:val="en-US"/>
        </w:rPr>
        <w:t>States to</w:t>
      </w:r>
      <w:r w:rsidRPr="002500BD">
        <w:rPr>
          <w:rFonts w:ascii="Times New Roman" w:hAnsi="Times New Roman" w:cs="Times New Roman"/>
          <w:color w:val="000000"/>
          <w:shd w:val="clear" w:color="auto" w:fill="FFFFFF"/>
          <w:lang w:val="en-US"/>
        </w:rPr>
        <w:t xml:space="preserve"> ensure positive reproductive health outcomes, in addition to ensure access to </w:t>
      </w:r>
      <w:r w:rsidR="000224C6" w:rsidRPr="002500BD">
        <w:rPr>
          <w:rFonts w:ascii="Times New Roman" w:hAnsi="Times New Roman" w:cs="Times New Roman"/>
          <w:color w:val="000000"/>
          <w:shd w:val="clear" w:color="auto" w:fill="FFFFFF"/>
          <w:lang w:val="en-US"/>
        </w:rPr>
        <w:t>reproductive health services.</w:t>
      </w:r>
      <w:r w:rsidR="000224C6" w:rsidRPr="002500BD">
        <w:rPr>
          <w:rStyle w:val="EndnoteReference"/>
          <w:rFonts w:ascii="Times New Roman" w:hAnsi="Times New Roman" w:cs="Times New Roman"/>
          <w:lang w:val="en-US"/>
        </w:rPr>
        <w:endnoteReference w:id="16"/>
      </w:r>
      <w:r w:rsidR="000224C6" w:rsidRPr="002500BD">
        <w:rPr>
          <w:rFonts w:ascii="Times New Roman" w:hAnsi="Times New Roman" w:cs="Times New Roman"/>
          <w:color w:val="000000"/>
          <w:shd w:val="clear" w:color="auto" w:fill="FFFFFF"/>
          <w:lang w:val="en-US"/>
        </w:rPr>
        <w:t xml:space="preserve"> They are also recognizing the interlinkages between the realization of a range of human rights and of women’s reproductive health, often called social and other determinants of health,</w:t>
      </w:r>
      <w:r w:rsidR="000224C6" w:rsidRPr="002500BD">
        <w:rPr>
          <w:rStyle w:val="EndnoteReference"/>
          <w:rFonts w:ascii="Times New Roman" w:hAnsi="Times New Roman" w:cs="Times New Roman"/>
          <w:color w:val="000000"/>
          <w:shd w:val="clear" w:color="auto" w:fill="FFFFFF"/>
          <w:lang w:val="en-US"/>
        </w:rPr>
        <w:endnoteReference w:id="17"/>
      </w:r>
      <w:r w:rsidR="000224C6" w:rsidRPr="002500BD">
        <w:rPr>
          <w:rFonts w:ascii="Times New Roman" w:hAnsi="Times New Roman" w:cs="Times New Roman"/>
          <w:color w:val="000000"/>
          <w:shd w:val="clear" w:color="auto" w:fill="FFFFFF"/>
          <w:lang w:val="en-US"/>
        </w:rPr>
        <w:t xml:space="preserve"> which refer to the conditions in which people are born, grow, live, work and age, which are shaped by power structures and resource distribution at the local, national and global levels.</w:t>
      </w:r>
      <w:r w:rsidR="000224C6" w:rsidRPr="002500BD">
        <w:rPr>
          <w:rStyle w:val="EndnoteReference"/>
          <w:rFonts w:ascii="Times New Roman" w:hAnsi="Times New Roman" w:cs="Times New Roman"/>
          <w:color w:val="000000"/>
          <w:shd w:val="clear" w:color="auto" w:fill="FFFFFF"/>
          <w:lang w:val="en-US"/>
        </w:rPr>
        <w:endnoteReference w:id="18"/>
      </w:r>
      <w:r w:rsidR="009F6255" w:rsidRPr="002500BD">
        <w:rPr>
          <w:rFonts w:ascii="Times New Roman" w:hAnsi="Times New Roman" w:cs="Times New Roman"/>
          <w:color w:val="000000"/>
          <w:shd w:val="clear" w:color="auto" w:fill="FFFFFF"/>
          <w:lang w:val="en-US"/>
        </w:rPr>
        <w:t xml:space="preserve"> These determinants impact the choices and meaningful agency that individuals can exercise with respect to their sexual and reproductive health.</w:t>
      </w:r>
      <w:r w:rsidR="009F6255" w:rsidRPr="002500BD">
        <w:rPr>
          <w:rStyle w:val="EndnoteReference"/>
          <w:rFonts w:ascii="Times New Roman" w:hAnsi="Times New Roman" w:cs="Times New Roman"/>
          <w:color w:val="000000"/>
          <w:shd w:val="clear" w:color="auto" w:fill="FFFFFF"/>
          <w:lang w:val="en-US"/>
        </w:rPr>
        <w:endnoteReference w:id="19"/>
      </w:r>
      <w:r w:rsidR="00B5132A" w:rsidRPr="002500BD">
        <w:rPr>
          <w:rFonts w:ascii="Times New Roman" w:hAnsi="Times New Roman" w:cs="Times New Roman"/>
          <w:color w:val="000000"/>
          <w:shd w:val="clear" w:color="auto" w:fill="FFFFFF"/>
          <w:lang w:val="en-US"/>
        </w:rPr>
        <w:t xml:space="preserve"> These determinants impact the choices and meaningful agency that individuals can exercise with respect to their sexual and reproductive health.</w:t>
      </w:r>
      <w:r w:rsidR="00B5132A" w:rsidRPr="002500BD">
        <w:rPr>
          <w:rStyle w:val="EndnoteReference"/>
          <w:rFonts w:ascii="Times New Roman" w:hAnsi="Times New Roman" w:cs="Times New Roman"/>
          <w:color w:val="000000"/>
          <w:shd w:val="clear" w:color="auto" w:fill="FFFFFF"/>
          <w:lang w:val="en-US"/>
        </w:rPr>
        <w:endnoteReference w:id="20"/>
      </w:r>
    </w:p>
    <w:p w14:paraId="401F8F2D" w14:textId="04F0E80B" w:rsidR="00A80F12" w:rsidRDefault="00A80F12" w:rsidP="00E14DBB">
      <w:pPr>
        <w:spacing w:after="0" w:line="240" w:lineRule="auto"/>
        <w:jc w:val="both"/>
        <w:rPr>
          <w:rFonts w:ascii="Times New Roman" w:hAnsi="Times New Roman" w:cs="Times New Roman"/>
          <w:color w:val="000000"/>
          <w:shd w:val="clear" w:color="auto" w:fill="FFFFFF"/>
          <w:lang w:val="en-US"/>
        </w:rPr>
      </w:pPr>
    </w:p>
    <w:p w14:paraId="40F2C9EB" w14:textId="0CE21ED7" w:rsidR="0054510D" w:rsidRDefault="00A80F12" w:rsidP="00016581">
      <w:pPr>
        <w:spacing w:after="0" w:line="240" w:lineRule="auto"/>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Treaty Bodies recognized that the failure to provide women with quality maternal health services violates the rights to equality and non-discrimination, since these are services that only women need to meet their specific health needs.</w:t>
      </w:r>
      <w:r>
        <w:rPr>
          <w:rStyle w:val="EndnoteReference"/>
          <w:rFonts w:ascii="Times New Roman" w:hAnsi="Times New Roman" w:cs="Times New Roman"/>
          <w:color w:val="000000"/>
          <w:shd w:val="clear" w:color="auto" w:fill="FFFFFF"/>
          <w:lang w:val="en-US"/>
        </w:rPr>
        <w:endnoteReference w:id="21"/>
      </w:r>
      <w:r w:rsidR="00786533">
        <w:rPr>
          <w:rFonts w:ascii="Times New Roman" w:hAnsi="Times New Roman" w:cs="Times New Roman"/>
          <w:color w:val="000000"/>
          <w:shd w:val="clear" w:color="auto" w:fill="FFFFFF"/>
          <w:lang w:val="en-US"/>
        </w:rPr>
        <w:t xml:space="preserve"> The Committees have also specifically recognized that intersectional discrimination can hinder women’s access to reproductive health services</w:t>
      </w:r>
      <w:r w:rsidR="00016581">
        <w:rPr>
          <w:rStyle w:val="EndnoteReference"/>
          <w:rFonts w:ascii="Times New Roman" w:hAnsi="Times New Roman" w:cs="Times New Roman"/>
          <w:color w:val="000000"/>
          <w:shd w:val="clear" w:color="auto" w:fill="FFFFFF"/>
          <w:lang w:val="en-US"/>
        </w:rPr>
        <w:endnoteReference w:id="22"/>
      </w:r>
      <w:r w:rsidR="00016581">
        <w:rPr>
          <w:rFonts w:ascii="Times New Roman" w:hAnsi="Times New Roman" w:cs="Times New Roman"/>
          <w:color w:val="000000"/>
          <w:shd w:val="clear" w:color="auto" w:fill="FFFFFF"/>
          <w:lang w:val="en-US"/>
        </w:rPr>
        <w:t xml:space="preserve"> and have recommended to States to place a particular focus on the maternal health needs of marginalized groups of women, including adolescents, poor women, minority women, rural women and women with disabilities.</w:t>
      </w:r>
      <w:r w:rsidR="00016581">
        <w:rPr>
          <w:rStyle w:val="EndnoteReference"/>
          <w:rFonts w:ascii="Times New Roman" w:hAnsi="Times New Roman" w:cs="Times New Roman"/>
          <w:color w:val="000000"/>
          <w:shd w:val="clear" w:color="auto" w:fill="FFFFFF"/>
          <w:lang w:val="en-US"/>
        </w:rPr>
        <w:endnoteReference w:id="23"/>
      </w:r>
    </w:p>
    <w:p w14:paraId="197115FD" w14:textId="77777777" w:rsidR="00016581" w:rsidRDefault="00016581" w:rsidP="008C20D8">
      <w:pPr>
        <w:pStyle w:val="NormalWeb"/>
        <w:shd w:val="clear" w:color="auto" w:fill="FFFFFF"/>
        <w:spacing w:before="0" w:beforeAutospacing="0" w:after="0" w:afterAutospacing="0"/>
        <w:jc w:val="both"/>
        <w:rPr>
          <w:sz w:val="22"/>
          <w:szCs w:val="22"/>
          <w:lang w:val="en-US"/>
        </w:rPr>
      </w:pPr>
    </w:p>
    <w:p w14:paraId="65A68609" w14:textId="5A44B8C4" w:rsidR="008C20D8" w:rsidRPr="008C20D8" w:rsidRDefault="008C20D8" w:rsidP="008C20D8">
      <w:pPr>
        <w:pStyle w:val="NormalWeb"/>
        <w:shd w:val="clear" w:color="auto" w:fill="FFFFFF"/>
        <w:spacing w:before="0" w:beforeAutospacing="0" w:after="0" w:afterAutospacing="0"/>
        <w:jc w:val="both"/>
        <w:rPr>
          <w:sz w:val="22"/>
          <w:szCs w:val="22"/>
          <w:lang w:val="en-US"/>
        </w:rPr>
      </w:pPr>
      <w:r>
        <w:rPr>
          <w:sz w:val="22"/>
          <w:szCs w:val="22"/>
          <w:lang w:val="en-US"/>
        </w:rPr>
        <w:t>In this context, m</w:t>
      </w:r>
      <w:r w:rsidRPr="00121AA1">
        <w:rPr>
          <w:sz w:val="22"/>
          <w:szCs w:val="22"/>
          <w:lang w:val="en-US"/>
        </w:rPr>
        <w:t xml:space="preserve">arginalized populations, including </w:t>
      </w:r>
      <w:r w:rsidRPr="00121AA1">
        <w:rPr>
          <w:i/>
          <w:iCs/>
          <w:sz w:val="22"/>
          <w:szCs w:val="22"/>
          <w:lang w:val="en-US"/>
        </w:rPr>
        <w:t xml:space="preserve">inter </w:t>
      </w:r>
      <w:r w:rsidRPr="00121AA1">
        <w:rPr>
          <w:sz w:val="22"/>
          <w:szCs w:val="22"/>
          <w:lang w:val="en-US"/>
        </w:rPr>
        <w:t xml:space="preserve">alia, racial, indigenous minorities and other ethnic communities, as well as migrant and rural women and women deprived of their liberty have long experienced the disproportionate impact of restricted access to comprehensive reproductive health care and the </w:t>
      </w:r>
      <w:r>
        <w:rPr>
          <w:sz w:val="22"/>
          <w:szCs w:val="22"/>
          <w:lang w:val="en-US"/>
        </w:rPr>
        <w:t>COVID-19</w:t>
      </w:r>
      <w:r w:rsidRPr="00121AA1">
        <w:rPr>
          <w:sz w:val="22"/>
          <w:szCs w:val="22"/>
          <w:lang w:val="en-US"/>
        </w:rPr>
        <w:t xml:space="preserve"> has exacerbated the existing inequities.</w:t>
      </w:r>
      <w:r w:rsidRPr="001E1443">
        <w:rPr>
          <w:rStyle w:val="EndnoteReference"/>
          <w:sz w:val="22"/>
          <w:szCs w:val="22"/>
          <w:lang w:val="en-US"/>
        </w:rPr>
        <w:endnoteReference w:id="24"/>
      </w:r>
    </w:p>
    <w:p w14:paraId="5870A8ED" w14:textId="268046FF" w:rsidR="009D52F5" w:rsidRPr="002500BD" w:rsidRDefault="009D52F5" w:rsidP="00E14DBB">
      <w:pPr>
        <w:spacing w:after="0" w:line="240" w:lineRule="auto"/>
        <w:jc w:val="both"/>
        <w:rPr>
          <w:rFonts w:ascii="Times New Roman" w:hAnsi="Times New Roman" w:cs="Times New Roman"/>
          <w:color w:val="000000"/>
          <w:shd w:val="clear" w:color="auto" w:fill="FFFFFF"/>
          <w:lang w:val="en-US"/>
        </w:rPr>
      </w:pPr>
    </w:p>
    <w:p w14:paraId="7BD9E534" w14:textId="00C6EED8" w:rsidR="0073531F" w:rsidRPr="002500BD" w:rsidRDefault="0073531F" w:rsidP="00E14DBB">
      <w:pPr>
        <w:spacing w:after="0" w:line="240" w:lineRule="auto"/>
        <w:jc w:val="both"/>
        <w:rPr>
          <w:rFonts w:ascii="Times New Roman" w:hAnsi="Times New Roman" w:cs="Times New Roman"/>
          <w:b/>
          <w:bCs/>
          <w:color w:val="000000"/>
          <w:shd w:val="clear" w:color="auto" w:fill="FFFFFF"/>
          <w:lang w:val="en-US"/>
        </w:rPr>
      </w:pPr>
      <w:r w:rsidRPr="002500BD">
        <w:rPr>
          <w:rFonts w:ascii="Times New Roman" w:hAnsi="Times New Roman" w:cs="Times New Roman"/>
          <w:b/>
          <w:bCs/>
          <w:color w:val="000000"/>
          <w:shd w:val="clear" w:color="auto" w:fill="FFFFFF"/>
          <w:lang w:val="en-US"/>
        </w:rPr>
        <w:t>2) Access to sexual and reproductive health information and services</w:t>
      </w:r>
    </w:p>
    <w:p w14:paraId="66D9C08E" w14:textId="00189BE6" w:rsidR="00C62376" w:rsidRDefault="003E393E" w:rsidP="00ED31AE">
      <w:p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The right to the highest attainable standard of physical and mental health includes the a</w:t>
      </w:r>
      <w:r w:rsidR="0073531F" w:rsidRPr="002500BD">
        <w:rPr>
          <w:rFonts w:ascii="Times New Roman" w:hAnsi="Times New Roman" w:cs="Times New Roman"/>
          <w:color w:val="000000"/>
          <w:shd w:val="clear" w:color="auto" w:fill="FFFFFF"/>
          <w:lang w:val="en-US"/>
        </w:rPr>
        <w:t>ccess to reproductive health information and services</w:t>
      </w:r>
      <w:r w:rsidRPr="002500BD">
        <w:rPr>
          <w:rFonts w:ascii="Times New Roman" w:hAnsi="Times New Roman" w:cs="Times New Roman"/>
          <w:color w:val="000000"/>
          <w:shd w:val="clear" w:color="auto" w:fill="FFFFFF"/>
          <w:lang w:val="en-US"/>
        </w:rPr>
        <w:t xml:space="preserve">. In its General Comment No. 14, </w:t>
      </w:r>
      <w:r w:rsidR="007422D9">
        <w:rPr>
          <w:rFonts w:ascii="Times New Roman" w:hAnsi="Times New Roman" w:cs="Times New Roman"/>
          <w:color w:val="000000"/>
          <w:shd w:val="clear" w:color="auto" w:fill="FFFFFF"/>
          <w:lang w:val="en-US"/>
        </w:rPr>
        <w:t xml:space="preserve">the </w:t>
      </w:r>
      <w:r w:rsidRPr="002500BD">
        <w:rPr>
          <w:rFonts w:ascii="Times New Roman" w:hAnsi="Times New Roman" w:cs="Times New Roman"/>
          <w:color w:val="000000"/>
          <w:shd w:val="clear" w:color="auto" w:fill="FFFFFF"/>
          <w:lang w:val="en-US"/>
        </w:rPr>
        <w:t>ESCR</w:t>
      </w:r>
      <w:r w:rsidR="007422D9">
        <w:rPr>
          <w:rFonts w:ascii="Times New Roman" w:hAnsi="Times New Roman" w:cs="Times New Roman"/>
          <w:color w:val="000000"/>
          <w:shd w:val="clear" w:color="auto" w:fill="FFFFFF"/>
          <w:lang w:val="en-US"/>
        </w:rPr>
        <w:t xml:space="preserve"> Committee</w:t>
      </w:r>
      <w:r w:rsidRPr="002500BD">
        <w:rPr>
          <w:rFonts w:ascii="Times New Roman" w:hAnsi="Times New Roman" w:cs="Times New Roman"/>
          <w:color w:val="000000"/>
          <w:shd w:val="clear" w:color="auto" w:fill="FFFFFF"/>
          <w:lang w:val="en-US"/>
        </w:rPr>
        <w:t xml:space="preserve"> establishes four interrelated and essential elements of the right to health, finding that health facilities, goods and services must be available, accessible, acceptable and of good quality.</w:t>
      </w:r>
      <w:r w:rsidRPr="002500BD">
        <w:rPr>
          <w:rStyle w:val="EndnoteReference"/>
          <w:rFonts w:ascii="Times New Roman" w:hAnsi="Times New Roman" w:cs="Times New Roman"/>
          <w:color w:val="000000"/>
          <w:shd w:val="clear" w:color="auto" w:fill="FFFFFF"/>
          <w:lang w:val="en-US"/>
        </w:rPr>
        <w:endnoteReference w:id="25"/>
      </w:r>
      <w:r w:rsidR="00C62376">
        <w:rPr>
          <w:rFonts w:ascii="Times New Roman" w:hAnsi="Times New Roman" w:cs="Times New Roman"/>
          <w:color w:val="000000"/>
          <w:shd w:val="clear" w:color="auto" w:fill="FFFFFF"/>
          <w:lang w:val="en-US"/>
        </w:rPr>
        <w:t xml:space="preserve"> The element of acceptability </w:t>
      </w:r>
      <w:r w:rsidR="00B743EA">
        <w:rPr>
          <w:rFonts w:ascii="Times New Roman" w:hAnsi="Times New Roman" w:cs="Times New Roman"/>
          <w:color w:val="000000"/>
          <w:shd w:val="clear" w:color="auto" w:fill="FFFFFF"/>
          <w:lang w:val="en-US"/>
        </w:rPr>
        <w:t>means that “[a]</w:t>
      </w:r>
      <w:proofErr w:type="spellStart"/>
      <w:r w:rsidR="00B743EA">
        <w:rPr>
          <w:rFonts w:ascii="Times New Roman" w:hAnsi="Times New Roman" w:cs="Times New Roman"/>
          <w:color w:val="000000"/>
          <w:shd w:val="clear" w:color="auto" w:fill="FFFFFF"/>
          <w:lang w:val="en-US"/>
        </w:rPr>
        <w:t>ll</w:t>
      </w:r>
      <w:proofErr w:type="spellEnd"/>
      <w:r w:rsidR="00B743EA">
        <w:rPr>
          <w:rFonts w:ascii="Times New Roman" w:hAnsi="Times New Roman" w:cs="Times New Roman"/>
          <w:color w:val="000000"/>
          <w:shd w:val="clear" w:color="auto" w:fill="FFFFFF"/>
          <w:lang w:val="en-US"/>
        </w:rPr>
        <w:t xml:space="preserve"> sexual and reproductive health facilities, goods and services must be […] culturally appropriate, i.e. respectful of the culture of individuals, minorities, peoples and communities”,</w:t>
      </w:r>
      <w:r w:rsidR="00B743EA">
        <w:rPr>
          <w:rStyle w:val="EndnoteReference"/>
          <w:rFonts w:ascii="Times New Roman" w:hAnsi="Times New Roman" w:cs="Times New Roman"/>
          <w:color w:val="000000"/>
          <w:shd w:val="clear" w:color="auto" w:fill="FFFFFF"/>
          <w:lang w:val="en-US"/>
        </w:rPr>
        <w:endnoteReference w:id="26"/>
      </w:r>
      <w:r w:rsidR="00B743EA">
        <w:rPr>
          <w:rFonts w:ascii="Times New Roman" w:hAnsi="Times New Roman" w:cs="Times New Roman"/>
          <w:color w:val="000000"/>
          <w:shd w:val="clear" w:color="auto" w:fill="FFFFFF"/>
          <w:lang w:val="en-US"/>
        </w:rPr>
        <w:t xml:space="preserve"> which also </w:t>
      </w:r>
      <w:r w:rsidR="00DE0A68">
        <w:rPr>
          <w:rFonts w:ascii="Times New Roman" w:hAnsi="Times New Roman" w:cs="Times New Roman"/>
          <w:color w:val="000000"/>
          <w:shd w:val="clear" w:color="auto" w:fill="FFFFFF"/>
          <w:lang w:val="en-US"/>
        </w:rPr>
        <w:t>applies</w:t>
      </w:r>
      <w:r w:rsidR="00B743EA">
        <w:rPr>
          <w:rFonts w:ascii="Times New Roman" w:hAnsi="Times New Roman" w:cs="Times New Roman"/>
          <w:color w:val="000000"/>
          <w:shd w:val="clear" w:color="auto" w:fill="FFFFFF"/>
          <w:lang w:val="en-US"/>
        </w:rPr>
        <w:t xml:space="preserve"> for indigenous women and girls.</w:t>
      </w:r>
    </w:p>
    <w:p w14:paraId="2EA597CD" w14:textId="77777777" w:rsidR="00C62376" w:rsidRDefault="00C62376" w:rsidP="00ED31AE">
      <w:pPr>
        <w:spacing w:after="0" w:line="240" w:lineRule="auto"/>
        <w:jc w:val="both"/>
        <w:rPr>
          <w:rFonts w:ascii="Times New Roman" w:hAnsi="Times New Roman" w:cs="Times New Roman"/>
          <w:color w:val="000000"/>
          <w:shd w:val="clear" w:color="auto" w:fill="FFFFFF"/>
          <w:lang w:val="en-US"/>
        </w:rPr>
      </w:pPr>
    </w:p>
    <w:p w14:paraId="1A514F3A" w14:textId="165E62A9" w:rsidR="00ED31AE" w:rsidRPr="002500BD" w:rsidRDefault="003E393E" w:rsidP="00ED31AE">
      <w:pPr>
        <w:spacing w:after="0" w:line="240" w:lineRule="auto"/>
        <w:jc w:val="both"/>
        <w:rPr>
          <w:rFonts w:ascii="Times New Roman" w:hAnsi="Times New Roman" w:cs="Times New Roman"/>
          <w:color w:val="000000"/>
          <w:shd w:val="clear" w:color="auto" w:fill="FFFFFF"/>
          <w:lang w:val="en-US"/>
        </w:rPr>
      </w:pPr>
      <w:r w:rsidRPr="002500BD">
        <w:rPr>
          <w:rFonts w:ascii="Times New Roman" w:hAnsi="Times New Roman" w:cs="Times New Roman"/>
          <w:color w:val="000000"/>
          <w:shd w:val="clear" w:color="auto" w:fill="FFFFFF"/>
          <w:lang w:val="en-US"/>
        </w:rPr>
        <w:t xml:space="preserve">In General Comment No. 22, </w:t>
      </w:r>
      <w:r w:rsidR="007422D9">
        <w:rPr>
          <w:rFonts w:ascii="Times New Roman" w:hAnsi="Times New Roman" w:cs="Times New Roman"/>
          <w:color w:val="000000"/>
          <w:shd w:val="clear" w:color="auto" w:fill="FFFFFF"/>
          <w:lang w:val="en-US"/>
        </w:rPr>
        <w:t xml:space="preserve">the </w:t>
      </w:r>
      <w:r w:rsidR="004B35E3">
        <w:rPr>
          <w:rFonts w:ascii="Times New Roman" w:hAnsi="Times New Roman" w:cs="Times New Roman"/>
          <w:color w:val="000000"/>
          <w:shd w:val="clear" w:color="auto" w:fill="FFFFFF"/>
          <w:lang w:val="en-US"/>
        </w:rPr>
        <w:t>ESCR</w:t>
      </w:r>
      <w:r w:rsidR="007422D9">
        <w:rPr>
          <w:rFonts w:ascii="Times New Roman" w:hAnsi="Times New Roman" w:cs="Times New Roman"/>
          <w:color w:val="000000"/>
          <w:shd w:val="clear" w:color="auto" w:fill="FFFFFF"/>
          <w:lang w:val="en-US"/>
        </w:rPr>
        <w:t xml:space="preserve"> Committee</w:t>
      </w:r>
      <w:r w:rsidR="004B35E3">
        <w:rPr>
          <w:rFonts w:ascii="Times New Roman" w:hAnsi="Times New Roman" w:cs="Times New Roman"/>
          <w:color w:val="000000"/>
          <w:shd w:val="clear" w:color="auto" w:fill="FFFFFF"/>
          <w:lang w:val="en-US"/>
        </w:rPr>
        <w:t xml:space="preserve"> </w:t>
      </w:r>
      <w:r w:rsidRPr="002500BD">
        <w:rPr>
          <w:rFonts w:ascii="Times New Roman" w:hAnsi="Times New Roman" w:cs="Times New Roman"/>
          <w:color w:val="000000"/>
          <w:shd w:val="clear" w:color="auto" w:fill="FFFFFF"/>
          <w:lang w:val="en-US"/>
        </w:rPr>
        <w:t>applies these principles to the right to sexual and reproductive health. Other Treaty Bodies have used this framework</w:t>
      </w:r>
      <w:r w:rsidR="002D6A0F" w:rsidRPr="002500BD">
        <w:rPr>
          <w:rFonts w:ascii="Times New Roman" w:hAnsi="Times New Roman" w:cs="Times New Roman"/>
          <w:color w:val="000000"/>
          <w:shd w:val="clear" w:color="auto" w:fill="FFFFFF"/>
          <w:lang w:val="en-US"/>
        </w:rPr>
        <w:t xml:space="preserve"> with respect to reproductive health and services</w:t>
      </w:r>
      <w:r w:rsidR="002D6A0F" w:rsidRPr="002500BD">
        <w:rPr>
          <w:rStyle w:val="EndnoteReference"/>
          <w:rFonts w:ascii="Times New Roman" w:hAnsi="Times New Roman" w:cs="Times New Roman"/>
          <w:color w:val="000000"/>
          <w:shd w:val="clear" w:color="auto" w:fill="FFFFFF"/>
          <w:lang w:val="en-US"/>
        </w:rPr>
        <w:endnoteReference w:id="27"/>
      </w:r>
      <w:r w:rsidR="002D6A0F" w:rsidRPr="002500BD">
        <w:rPr>
          <w:rFonts w:ascii="Times New Roman" w:hAnsi="Times New Roman" w:cs="Times New Roman"/>
          <w:color w:val="000000"/>
          <w:shd w:val="clear" w:color="auto" w:fill="FFFFFF"/>
          <w:lang w:val="en-US"/>
        </w:rPr>
        <w:t xml:space="preserve"> </w:t>
      </w:r>
      <w:r w:rsidR="007422D9">
        <w:rPr>
          <w:rFonts w:ascii="Times New Roman" w:hAnsi="Times New Roman" w:cs="Times New Roman"/>
          <w:color w:val="000000"/>
          <w:shd w:val="clear" w:color="auto" w:fill="FFFFFF"/>
          <w:lang w:val="en-US"/>
        </w:rPr>
        <w:t>and</w:t>
      </w:r>
      <w:r w:rsidR="002D6A0F" w:rsidRPr="002500BD">
        <w:rPr>
          <w:rFonts w:ascii="Times New Roman" w:hAnsi="Times New Roman" w:cs="Times New Roman"/>
          <w:color w:val="000000"/>
          <w:shd w:val="clear" w:color="auto" w:fill="FFFFFF"/>
          <w:lang w:val="en-US"/>
        </w:rPr>
        <w:t xml:space="preserve">  reiterates the </w:t>
      </w:r>
      <w:r w:rsidR="00C76A07">
        <w:rPr>
          <w:rFonts w:ascii="Times New Roman" w:hAnsi="Times New Roman" w:cs="Times New Roman"/>
          <w:color w:val="000000"/>
          <w:shd w:val="clear" w:color="auto" w:fill="FFFFFF"/>
          <w:lang w:val="en-US"/>
        </w:rPr>
        <w:t>S</w:t>
      </w:r>
      <w:r w:rsidR="002D6A0F" w:rsidRPr="002500BD">
        <w:rPr>
          <w:rFonts w:ascii="Times New Roman" w:hAnsi="Times New Roman" w:cs="Times New Roman"/>
          <w:color w:val="000000"/>
          <w:shd w:val="clear" w:color="auto" w:fill="FFFFFF"/>
          <w:lang w:val="en-US"/>
        </w:rPr>
        <w:t>tates’ o</w:t>
      </w:r>
      <w:r w:rsidR="004B35E3">
        <w:rPr>
          <w:rFonts w:ascii="Times New Roman" w:hAnsi="Times New Roman" w:cs="Times New Roman"/>
          <w:color w:val="000000"/>
          <w:shd w:val="clear" w:color="auto" w:fill="FFFFFF"/>
          <w:lang w:val="en-US"/>
        </w:rPr>
        <w:t>b</w:t>
      </w:r>
      <w:r w:rsidR="002D6A0F" w:rsidRPr="002500BD">
        <w:rPr>
          <w:rFonts w:ascii="Times New Roman" w:hAnsi="Times New Roman" w:cs="Times New Roman"/>
          <w:color w:val="000000"/>
          <w:shd w:val="clear" w:color="auto" w:fill="FFFFFF"/>
          <w:lang w:val="en-US"/>
        </w:rPr>
        <w:t xml:space="preserve">ligation “to adopt appropriate legislative, administrative, </w:t>
      </w:r>
      <w:r w:rsidR="002D6A0F" w:rsidRPr="002500BD">
        <w:rPr>
          <w:rFonts w:ascii="Times New Roman" w:hAnsi="Times New Roman" w:cs="Times New Roman"/>
          <w:color w:val="000000"/>
          <w:shd w:val="clear" w:color="auto" w:fill="FFFFFF"/>
          <w:lang w:val="en-US"/>
        </w:rPr>
        <w:lastRenderedPageBreak/>
        <w:t>budgetary, judicial, promotional and other measures to ensure the full realization of the right to sexual and reproductive health”.</w:t>
      </w:r>
      <w:r w:rsidR="002D6A0F" w:rsidRPr="002500BD">
        <w:rPr>
          <w:rStyle w:val="EndnoteReference"/>
          <w:rFonts w:ascii="Times New Roman" w:hAnsi="Times New Roman" w:cs="Times New Roman"/>
          <w:color w:val="000000"/>
          <w:shd w:val="clear" w:color="auto" w:fill="FFFFFF"/>
          <w:lang w:val="en-US"/>
        </w:rPr>
        <w:endnoteReference w:id="28"/>
      </w:r>
      <w:r w:rsidR="00ED31AE" w:rsidRPr="002500BD">
        <w:rPr>
          <w:rFonts w:ascii="Times New Roman" w:hAnsi="Times New Roman" w:cs="Times New Roman"/>
          <w:color w:val="000000"/>
          <w:shd w:val="clear" w:color="auto" w:fill="FFFFFF"/>
          <w:lang w:val="en-US"/>
        </w:rPr>
        <w:t xml:space="preserve"> In relation to the provision of reproductive health services, there are minimum core obligations that </w:t>
      </w:r>
      <w:r w:rsidR="00C76A07">
        <w:rPr>
          <w:rFonts w:ascii="Times New Roman" w:hAnsi="Times New Roman" w:cs="Times New Roman"/>
          <w:color w:val="000000"/>
          <w:shd w:val="clear" w:color="auto" w:fill="FFFFFF"/>
          <w:lang w:val="en-US"/>
        </w:rPr>
        <w:t>S</w:t>
      </w:r>
      <w:r w:rsidR="00ED31AE" w:rsidRPr="002500BD">
        <w:rPr>
          <w:rFonts w:ascii="Times New Roman" w:hAnsi="Times New Roman" w:cs="Times New Roman"/>
          <w:color w:val="000000"/>
          <w:shd w:val="clear" w:color="auto" w:fill="FFFFFF"/>
          <w:lang w:val="en-US"/>
        </w:rPr>
        <w:t>tates must fulfil regardless of resource constraints, which are, among others</w:t>
      </w:r>
      <w:r w:rsidR="00C76A07">
        <w:rPr>
          <w:rFonts w:ascii="Times New Roman" w:hAnsi="Times New Roman" w:cs="Times New Roman"/>
          <w:color w:val="000000"/>
          <w:shd w:val="clear" w:color="auto" w:fill="FFFFFF"/>
          <w:lang w:val="en-US"/>
        </w:rPr>
        <w:t>,</w:t>
      </w:r>
      <w:r w:rsidR="00ED31AE" w:rsidRPr="002500BD">
        <w:rPr>
          <w:rFonts w:ascii="Times New Roman" w:hAnsi="Times New Roman" w:cs="Times New Roman"/>
          <w:color w:val="000000"/>
          <w:shd w:val="clear" w:color="auto" w:fill="FFFFFF"/>
          <w:lang w:val="en-US"/>
        </w:rPr>
        <w:t xml:space="preserve"> to ensure that individuals are free from gender discrimination in the provision of health services</w:t>
      </w:r>
      <w:r w:rsidR="00ED31AE" w:rsidRPr="002500BD">
        <w:rPr>
          <w:rStyle w:val="EndnoteReference"/>
          <w:rFonts w:ascii="Times New Roman" w:hAnsi="Times New Roman" w:cs="Times New Roman"/>
          <w:color w:val="000000"/>
          <w:shd w:val="clear" w:color="auto" w:fill="FFFFFF"/>
          <w:lang w:val="en-US"/>
        </w:rPr>
        <w:endnoteReference w:id="29"/>
      </w:r>
      <w:r w:rsidR="00ED31AE" w:rsidRPr="002500BD">
        <w:rPr>
          <w:rFonts w:ascii="Times New Roman" w:hAnsi="Times New Roman" w:cs="Times New Roman"/>
          <w:color w:val="000000"/>
          <w:shd w:val="clear" w:color="auto" w:fill="FFFFFF"/>
          <w:lang w:val="en-US"/>
        </w:rPr>
        <w:t xml:space="preserve"> and to avoid all retrogressive measures that would perpetuate existing, or establish new oppressions.</w:t>
      </w:r>
      <w:r w:rsidR="00ED31AE" w:rsidRPr="002500BD">
        <w:rPr>
          <w:rStyle w:val="EndnoteReference"/>
          <w:rFonts w:ascii="Times New Roman" w:hAnsi="Times New Roman" w:cs="Times New Roman"/>
          <w:color w:val="000000"/>
          <w:shd w:val="clear" w:color="auto" w:fill="FFFFFF"/>
          <w:lang w:val="en-US"/>
        </w:rPr>
        <w:endnoteReference w:id="30"/>
      </w:r>
      <w:r w:rsidR="009A2C2D" w:rsidRPr="002500BD">
        <w:rPr>
          <w:rFonts w:ascii="Times New Roman" w:hAnsi="Times New Roman" w:cs="Times New Roman"/>
          <w:color w:val="000000"/>
          <w:shd w:val="clear" w:color="auto" w:fill="FFFFFF"/>
          <w:lang w:val="en-US"/>
        </w:rPr>
        <w:t xml:space="preserve"> General Comment No. 22 </w:t>
      </w:r>
      <w:r w:rsidR="007422D9">
        <w:rPr>
          <w:rFonts w:ascii="Times New Roman" w:hAnsi="Times New Roman" w:cs="Times New Roman"/>
          <w:color w:val="000000"/>
          <w:shd w:val="clear" w:color="auto" w:fill="FFFFFF"/>
          <w:lang w:val="en-US"/>
        </w:rPr>
        <w:t xml:space="preserve">of the ESCR Committee </w:t>
      </w:r>
      <w:r w:rsidR="009A2C2D" w:rsidRPr="002500BD">
        <w:rPr>
          <w:rFonts w:ascii="Times New Roman" w:hAnsi="Times New Roman" w:cs="Times New Roman"/>
          <w:color w:val="000000"/>
          <w:shd w:val="clear" w:color="auto" w:fill="FFFFFF"/>
          <w:lang w:val="en-US"/>
        </w:rPr>
        <w:t xml:space="preserve">also indicates that </w:t>
      </w:r>
      <w:r w:rsidR="00C76A07">
        <w:rPr>
          <w:rFonts w:ascii="Times New Roman" w:hAnsi="Times New Roman" w:cs="Times New Roman"/>
          <w:color w:val="000000"/>
          <w:shd w:val="clear" w:color="auto" w:fill="FFFFFF"/>
          <w:lang w:val="en-US"/>
        </w:rPr>
        <w:t>S</w:t>
      </w:r>
      <w:r w:rsidR="009A2C2D" w:rsidRPr="002500BD">
        <w:rPr>
          <w:rFonts w:ascii="Times New Roman" w:hAnsi="Times New Roman" w:cs="Times New Roman"/>
          <w:color w:val="000000"/>
          <w:shd w:val="clear" w:color="auto" w:fill="FFFFFF"/>
          <w:lang w:val="en-US"/>
        </w:rPr>
        <w:t>tates must eliminate or remove all laws and policies that undermine the ability of certain individuals and groups to obtain the full range of reproductive health information, goods and services.</w:t>
      </w:r>
      <w:r w:rsidR="009A2C2D" w:rsidRPr="002500BD">
        <w:rPr>
          <w:rStyle w:val="EndnoteReference"/>
          <w:rFonts w:ascii="Times New Roman" w:hAnsi="Times New Roman" w:cs="Times New Roman"/>
          <w:color w:val="000000"/>
          <w:shd w:val="clear" w:color="auto" w:fill="FFFFFF"/>
          <w:lang w:val="en-US"/>
        </w:rPr>
        <w:endnoteReference w:id="31"/>
      </w:r>
    </w:p>
    <w:p w14:paraId="5A730311" w14:textId="4B039EE2" w:rsidR="002D6A0F" w:rsidRPr="002500BD" w:rsidRDefault="002D6A0F" w:rsidP="00E14DBB">
      <w:pPr>
        <w:spacing w:after="0" w:line="240" w:lineRule="auto"/>
        <w:jc w:val="both"/>
        <w:rPr>
          <w:rFonts w:ascii="Times New Roman" w:hAnsi="Times New Roman" w:cs="Times New Roman"/>
          <w:color w:val="000000"/>
          <w:shd w:val="clear" w:color="auto" w:fill="FFFFFF"/>
          <w:lang w:val="en-US"/>
        </w:rPr>
      </w:pPr>
    </w:p>
    <w:p w14:paraId="64F32D86" w14:textId="43558A2C" w:rsidR="009A2C2D" w:rsidRPr="002500BD" w:rsidRDefault="009A2C2D" w:rsidP="00A90D18">
      <w:pPr>
        <w:spacing w:after="0" w:line="240" w:lineRule="auto"/>
        <w:jc w:val="both"/>
        <w:rPr>
          <w:rFonts w:ascii="Times New Roman" w:hAnsi="Times New Roman" w:cs="Times New Roman"/>
          <w:b/>
          <w:bCs/>
          <w:color w:val="000000"/>
          <w:shd w:val="clear" w:color="auto" w:fill="FFFFFF"/>
          <w:lang w:val="en-US"/>
        </w:rPr>
      </w:pPr>
      <w:r w:rsidRPr="002500BD">
        <w:rPr>
          <w:rFonts w:ascii="Times New Roman" w:hAnsi="Times New Roman" w:cs="Times New Roman"/>
          <w:b/>
          <w:bCs/>
          <w:color w:val="000000"/>
          <w:shd w:val="clear" w:color="auto" w:fill="FFFFFF"/>
          <w:lang w:val="en-US"/>
        </w:rPr>
        <w:t xml:space="preserve">3) </w:t>
      </w:r>
      <w:r w:rsidR="0045122C" w:rsidRPr="002500BD">
        <w:rPr>
          <w:rFonts w:ascii="Times New Roman" w:hAnsi="Times New Roman" w:cs="Times New Roman"/>
          <w:b/>
          <w:bCs/>
          <w:color w:val="000000"/>
          <w:shd w:val="clear" w:color="auto" w:fill="FFFFFF"/>
          <w:lang w:val="en-US"/>
        </w:rPr>
        <w:t>Access to abortion</w:t>
      </w:r>
    </w:p>
    <w:p w14:paraId="0EF41BC5" w14:textId="548223A7" w:rsidR="00641976" w:rsidRDefault="00641976" w:rsidP="00641976">
      <w:pPr>
        <w:spacing w:after="0" w:line="240" w:lineRule="auto"/>
        <w:jc w:val="both"/>
        <w:rPr>
          <w:rFonts w:ascii="Times New Roman" w:hAnsi="Times New Roman" w:cs="Times New Roman"/>
          <w:lang w:val="en-US"/>
        </w:rPr>
      </w:pPr>
      <w:r w:rsidRPr="001E1443">
        <w:rPr>
          <w:rFonts w:ascii="Times New Roman" w:hAnsi="Times New Roman" w:cs="Times New Roman"/>
          <w:lang w:val="en-US"/>
        </w:rPr>
        <w:t>W</w:t>
      </w:r>
      <w:r w:rsidRPr="00121AA1">
        <w:rPr>
          <w:rFonts w:ascii="Times New Roman" w:hAnsi="Times New Roman" w:cs="Times New Roman"/>
          <w:lang w:val="en-US"/>
        </w:rPr>
        <w:t>HO has established access to legal and safe abortion services as essential services</w:t>
      </w:r>
      <w:r w:rsidRPr="001E1443">
        <w:rPr>
          <w:rStyle w:val="EndnoteReference"/>
          <w:rFonts w:ascii="Times New Roman" w:hAnsi="Times New Roman" w:cs="Times New Roman"/>
          <w:lang w:val="en-US"/>
        </w:rPr>
        <w:endnoteReference w:id="32"/>
      </w:r>
      <w:r w:rsidRPr="001E1443">
        <w:rPr>
          <w:rFonts w:ascii="Times New Roman" w:hAnsi="Times New Roman" w:cs="Times New Roman"/>
          <w:lang w:val="en-US"/>
        </w:rPr>
        <w:t xml:space="preserve"> </w:t>
      </w:r>
      <w:r w:rsidRPr="00121AA1">
        <w:rPr>
          <w:rFonts w:ascii="Times New Roman" w:hAnsi="Times New Roman" w:cs="Times New Roman"/>
          <w:lang w:val="en-US"/>
        </w:rPr>
        <w:t xml:space="preserve">and </w:t>
      </w:r>
      <w:r w:rsidR="00BC09EF">
        <w:rPr>
          <w:rFonts w:ascii="Times New Roman" w:hAnsi="Times New Roman" w:cs="Times New Roman"/>
          <w:lang w:val="en-US"/>
        </w:rPr>
        <w:t>Treaty Bodies</w:t>
      </w:r>
      <w:r w:rsidRPr="00121AA1">
        <w:rPr>
          <w:rFonts w:ascii="Times New Roman" w:hAnsi="Times New Roman" w:cs="Times New Roman"/>
          <w:lang w:val="en-US"/>
        </w:rPr>
        <w:t xml:space="preserve"> indicated that restrictive laws on abortion violate a series of human rights, including the rights to health, life, privacy and the right to live a life free of discrimination based on gender or on gender stereotypes and the right to live a life free from</w:t>
      </w:r>
      <w:r>
        <w:rPr>
          <w:rFonts w:ascii="Times New Roman" w:hAnsi="Times New Roman" w:cs="Times New Roman"/>
          <w:lang w:val="en-US"/>
        </w:rPr>
        <w:t xml:space="preserve"> cruel, inhuman and degrading treatment</w:t>
      </w:r>
      <w:r w:rsidRPr="00121AA1">
        <w:rPr>
          <w:rFonts w:ascii="Times New Roman" w:hAnsi="Times New Roman" w:cs="Times New Roman"/>
          <w:lang w:val="en-US"/>
        </w:rPr>
        <w:t>.</w:t>
      </w:r>
      <w:r w:rsidRPr="001E1443">
        <w:rPr>
          <w:rStyle w:val="EndnoteReference"/>
          <w:rFonts w:ascii="Times New Roman" w:hAnsi="Times New Roman" w:cs="Times New Roman"/>
          <w:lang w:val="en-US"/>
        </w:rPr>
        <w:endnoteReference w:id="33"/>
      </w:r>
      <w:r w:rsidRPr="001E1443">
        <w:rPr>
          <w:rFonts w:ascii="Times New Roman" w:hAnsi="Times New Roman" w:cs="Times New Roman"/>
          <w:lang w:val="en-US"/>
        </w:rPr>
        <w:t xml:space="preserve"> </w:t>
      </w:r>
      <w:r w:rsidR="007422D9">
        <w:rPr>
          <w:rFonts w:ascii="Times New Roman" w:hAnsi="Times New Roman" w:cs="Times New Roman"/>
          <w:lang w:val="en-US"/>
        </w:rPr>
        <w:t xml:space="preserve">The </w:t>
      </w:r>
      <w:r w:rsidRPr="00121AA1">
        <w:rPr>
          <w:rFonts w:ascii="Times New Roman" w:hAnsi="Times New Roman" w:cs="Times New Roman"/>
          <w:lang w:val="en-US"/>
        </w:rPr>
        <w:t>CEDAW</w:t>
      </w:r>
      <w:r w:rsidR="007422D9">
        <w:rPr>
          <w:rFonts w:ascii="Times New Roman" w:hAnsi="Times New Roman" w:cs="Times New Roman"/>
          <w:lang w:val="en-US"/>
        </w:rPr>
        <w:t xml:space="preserve"> Committee</w:t>
      </w:r>
      <w:r w:rsidRPr="00121AA1">
        <w:rPr>
          <w:rFonts w:ascii="Times New Roman" w:hAnsi="Times New Roman" w:cs="Times New Roman"/>
          <w:lang w:val="en-US"/>
        </w:rPr>
        <w:t xml:space="preserve"> has established that the criminalization of abortion, the denial or delay of safe abortion and the post-abortion care and the forced continuation of a pregnancy are forms of discrimination and gender-based violence.</w:t>
      </w:r>
      <w:r w:rsidRPr="001E1443">
        <w:rPr>
          <w:rStyle w:val="EndnoteReference"/>
          <w:rFonts w:ascii="Times New Roman" w:hAnsi="Times New Roman" w:cs="Times New Roman"/>
          <w:lang w:val="en-US"/>
        </w:rPr>
        <w:endnoteReference w:id="34"/>
      </w:r>
    </w:p>
    <w:p w14:paraId="45DA1651" w14:textId="77777777" w:rsidR="00641976" w:rsidRPr="00121AA1" w:rsidRDefault="00641976" w:rsidP="00641976">
      <w:pPr>
        <w:spacing w:after="0" w:line="240" w:lineRule="auto"/>
        <w:jc w:val="both"/>
        <w:rPr>
          <w:rFonts w:ascii="Times New Roman" w:hAnsi="Times New Roman" w:cs="Times New Roman"/>
          <w:lang w:val="en-US"/>
        </w:rPr>
      </w:pPr>
    </w:p>
    <w:p w14:paraId="5A96F708" w14:textId="5BBA275E" w:rsidR="00641976" w:rsidRDefault="00641976" w:rsidP="00641976">
      <w:pPr>
        <w:spacing w:after="0" w:line="240" w:lineRule="auto"/>
        <w:jc w:val="both"/>
        <w:rPr>
          <w:rFonts w:ascii="Times New Roman" w:hAnsi="Times New Roman" w:cs="Times New Roman"/>
          <w:lang w:val="en-US"/>
        </w:rPr>
      </w:pPr>
      <w:r w:rsidRPr="00121AA1">
        <w:rPr>
          <w:rFonts w:ascii="Times New Roman" w:hAnsi="Times New Roman" w:cs="Times New Roman"/>
          <w:lang w:val="en-US"/>
        </w:rPr>
        <w:t xml:space="preserve">Treaty </w:t>
      </w:r>
      <w:r w:rsidR="00BC09EF">
        <w:rPr>
          <w:rFonts w:ascii="Times New Roman" w:hAnsi="Times New Roman" w:cs="Times New Roman"/>
          <w:lang w:val="en-US"/>
        </w:rPr>
        <w:t>B</w:t>
      </w:r>
      <w:r w:rsidRPr="00121AA1">
        <w:rPr>
          <w:rFonts w:ascii="Times New Roman" w:hAnsi="Times New Roman" w:cs="Times New Roman"/>
          <w:lang w:val="en-US"/>
        </w:rPr>
        <w:t>odies</w:t>
      </w:r>
      <w:r w:rsidRPr="00121AA1">
        <w:rPr>
          <w:rFonts w:ascii="Times New Roman" w:hAnsi="Times New Roman" w:cs="Times New Roman"/>
        </w:rPr>
        <w:t xml:space="preserve"> have long recognized the connection between restrictive abortion laws, high rates of unsafe abortion, and maternal mortality.</w:t>
      </w:r>
      <w:r w:rsidRPr="001E1443">
        <w:rPr>
          <w:rStyle w:val="EndnoteReference"/>
          <w:rFonts w:ascii="Times New Roman" w:hAnsi="Times New Roman" w:cs="Times New Roman"/>
        </w:rPr>
        <w:endnoteReference w:id="35"/>
      </w:r>
      <w:r w:rsidRPr="001E1443">
        <w:rPr>
          <w:rFonts w:ascii="Times New Roman" w:hAnsi="Times New Roman" w:cs="Times New Roman"/>
          <w:lang w:val="en-US"/>
        </w:rPr>
        <w:t xml:space="preserve"> </w:t>
      </w:r>
      <w:r w:rsidRPr="00121AA1">
        <w:rPr>
          <w:rFonts w:ascii="Times New Roman" w:hAnsi="Times New Roman" w:cs="Times New Roman"/>
        </w:rPr>
        <w:t>In General Comment No. 36 on the right to life, the Human Rights Committee has reaffirmed that</w:t>
      </w:r>
      <w:r w:rsidR="00C76A07">
        <w:rPr>
          <w:rFonts w:ascii="Times New Roman" w:hAnsi="Times New Roman" w:cs="Times New Roman"/>
          <w:lang w:val="en-US"/>
        </w:rPr>
        <w:t xml:space="preserve"> S</w:t>
      </w:r>
      <w:r w:rsidRPr="00121AA1">
        <w:rPr>
          <w:rFonts w:ascii="Times New Roman" w:hAnsi="Times New Roman" w:cs="Times New Roman"/>
          <w:lang w:val="en-US"/>
        </w:rPr>
        <w:t>tates</w:t>
      </w:r>
      <w:r w:rsidRPr="00121AA1">
        <w:rPr>
          <w:rFonts w:ascii="Times New Roman" w:hAnsi="Times New Roman" w:cs="Times New Roman"/>
        </w:rPr>
        <w:t xml:space="preserve"> have a duty to ensure that women and girls do not have to undertake unsafe abortions as part of preventing foreseeable threats to the right to life</w:t>
      </w:r>
      <w:r>
        <w:rPr>
          <w:rFonts w:ascii="Times New Roman" w:hAnsi="Times New Roman" w:cs="Times New Roman"/>
          <w:lang w:val="en-US"/>
        </w:rPr>
        <w:t xml:space="preserve"> and that </w:t>
      </w:r>
      <w:r w:rsidRPr="00CA73ED">
        <w:rPr>
          <w:rFonts w:ascii="Times New Roman" w:hAnsi="Times New Roman" w:cs="Times New Roman"/>
          <w:lang w:val="en-US"/>
        </w:rPr>
        <w:t>States parties may not regulate pregnancy or abortion in all other cases in a manner that runs contrary to their duty to ensure that women and girls do not have to undertake unsafe abortions</w:t>
      </w:r>
      <w:r w:rsidRPr="00121AA1">
        <w:rPr>
          <w:rFonts w:ascii="Times New Roman" w:hAnsi="Times New Roman" w:cs="Times New Roman"/>
        </w:rPr>
        <w:t>.</w:t>
      </w:r>
      <w:r w:rsidRPr="001E1443">
        <w:rPr>
          <w:rStyle w:val="EndnoteReference"/>
          <w:rFonts w:ascii="Times New Roman" w:hAnsi="Times New Roman" w:cs="Times New Roman"/>
        </w:rPr>
        <w:endnoteReference w:id="36"/>
      </w:r>
      <w:r w:rsidRPr="001E1443">
        <w:rPr>
          <w:rFonts w:ascii="Times New Roman" w:hAnsi="Times New Roman" w:cs="Times New Roman"/>
          <w:lang w:val="en-US"/>
        </w:rPr>
        <w:t xml:space="preserve"> </w:t>
      </w:r>
    </w:p>
    <w:p w14:paraId="63141A60" w14:textId="77777777" w:rsidR="00641976" w:rsidRDefault="00641976" w:rsidP="00641976">
      <w:pPr>
        <w:spacing w:after="0" w:line="240" w:lineRule="auto"/>
        <w:jc w:val="both"/>
        <w:rPr>
          <w:rFonts w:ascii="Times New Roman" w:hAnsi="Times New Roman" w:cs="Times New Roman"/>
          <w:lang w:val="en-US"/>
        </w:rPr>
      </w:pPr>
    </w:p>
    <w:p w14:paraId="1E8A2D67" w14:textId="129DDA38" w:rsidR="00D27A51" w:rsidRDefault="00641976" w:rsidP="00D27A51">
      <w:pPr>
        <w:spacing w:after="0" w:line="240" w:lineRule="auto"/>
        <w:jc w:val="both"/>
        <w:rPr>
          <w:rFonts w:ascii="Times New Roman" w:hAnsi="Times New Roman" w:cs="Times New Roman"/>
        </w:rPr>
      </w:pPr>
      <w:r w:rsidRPr="00121AA1">
        <w:rPr>
          <w:rFonts w:ascii="Times New Roman" w:hAnsi="Times New Roman" w:cs="Times New Roman"/>
          <w:lang w:val="en-US"/>
        </w:rPr>
        <w:t xml:space="preserve">The provision of post-abortion care is </w:t>
      </w:r>
      <w:r>
        <w:rPr>
          <w:rFonts w:ascii="Times New Roman" w:hAnsi="Times New Roman" w:cs="Times New Roman"/>
          <w:lang w:val="en-US"/>
        </w:rPr>
        <w:t xml:space="preserve">a long standing human rights obligation </w:t>
      </w:r>
      <w:r w:rsidRPr="00121AA1">
        <w:rPr>
          <w:rFonts w:ascii="Times New Roman" w:hAnsi="Times New Roman" w:cs="Times New Roman"/>
          <w:lang w:val="en-US"/>
        </w:rPr>
        <w:t>and denying</w:t>
      </w:r>
      <w:r>
        <w:rPr>
          <w:rFonts w:ascii="Times New Roman" w:hAnsi="Times New Roman" w:cs="Times New Roman"/>
          <w:lang w:val="en-US"/>
        </w:rPr>
        <w:t xml:space="preserve"> of abortion and </w:t>
      </w:r>
      <w:r w:rsidRPr="00121AA1">
        <w:rPr>
          <w:rFonts w:ascii="Times New Roman" w:hAnsi="Times New Roman" w:cs="Times New Roman"/>
          <w:lang w:val="en-US"/>
        </w:rPr>
        <w:t xml:space="preserve"> </w:t>
      </w:r>
      <w:r>
        <w:rPr>
          <w:rFonts w:ascii="Times New Roman" w:hAnsi="Times New Roman" w:cs="Times New Roman"/>
          <w:lang w:val="en-US"/>
        </w:rPr>
        <w:t>post-</w:t>
      </w:r>
      <w:r w:rsidRPr="00121AA1">
        <w:rPr>
          <w:rFonts w:ascii="Times New Roman" w:hAnsi="Times New Roman" w:cs="Times New Roman"/>
          <w:lang w:val="en-US"/>
        </w:rPr>
        <w:t xml:space="preserve">abortion care can pose a risk </w:t>
      </w:r>
      <w:r w:rsidRPr="00121AA1">
        <w:rPr>
          <w:rFonts w:ascii="Times New Roman" w:hAnsi="Times New Roman" w:cs="Times New Roman"/>
        </w:rPr>
        <w:t>to physical, mental, and emotional health and safety</w:t>
      </w:r>
      <w:r w:rsidR="00D27A51">
        <w:rPr>
          <w:rFonts w:ascii="Times New Roman" w:hAnsi="Times New Roman" w:cs="Times New Roman"/>
          <w:lang w:val="en-US"/>
        </w:rPr>
        <w:t>,</w:t>
      </w:r>
      <w:r w:rsidR="00D27A51" w:rsidRPr="00D27A51">
        <w:rPr>
          <w:rFonts w:ascii="Times New Roman" w:hAnsi="Times New Roman" w:cs="Times New Roman"/>
        </w:rPr>
        <w:t xml:space="preserve"> </w:t>
      </w:r>
      <w:r w:rsidR="00D27A51" w:rsidRPr="00121AA1">
        <w:rPr>
          <w:rFonts w:ascii="Times New Roman" w:hAnsi="Times New Roman" w:cs="Times New Roman"/>
        </w:rPr>
        <w:t xml:space="preserve">risks </w:t>
      </w:r>
      <w:r w:rsidR="00D27A51" w:rsidRPr="00121AA1">
        <w:rPr>
          <w:rFonts w:ascii="Times New Roman" w:hAnsi="Times New Roman" w:cs="Times New Roman"/>
          <w:lang w:val="en-US"/>
        </w:rPr>
        <w:t>that</w:t>
      </w:r>
      <w:r w:rsidR="00D27A51" w:rsidRPr="00121AA1">
        <w:rPr>
          <w:rFonts w:ascii="Times New Roman" w:hAnsi="Times New Roman" w:cs="Times New Roman"/>
        </w:rPr>
        <w:t xml:space="preserve"> are heightened during a pandemic.</w:t>
      </w:r>
    </w:p>
    <w:p w14:paraId="5577AE2D" w14:textId="77777777" w:rsidR="00376F0A" w:rsidRPr="001C2C00" w:rsidRDefault="00376F0A" w:rsidP="00376F0A">
      <w:pPr>
        <w:spacing w:after="0" w:line="240" w:lineRule="auto"/>
        <w:jc w:val="both"/>
        <w:rPr>
          <w:rFonts w:ascii="Times New Roman" w:hAnsi="Times New Roman" w:cs="Times New Roman"/>
          <w:lang w:val="en-US"/>
        </w:rPr>
      </w:pPr>
    </w:p>
    <w:p w14:paraId="25F5ADA8" w14:textId="461CA088" w:rsidR="00376F0A" w:rsidRDefault="00376F0A" w:rsidP="00376F0A">
      <w:pPr>
        <w:spacing w:after="0" w:line="240" w:lineRule="auto"/>
        <w:jc w:val="both"/>
        <w:rPr>
          <w:rFonts w:ascii="Times New Roman" w:hAnsi="Times New Roman" w:cs="Times New Roman"/>
          <w:lang w:val="en-US"/>
        </w:rPr>
      </w:pPr>
      <w:r w:rsidRPr="001C2C00">
        <w:rPr>
          <w:rFonts w:ascii="Times New Roman" w:hAnsi="Times New Roman" w:cs="Times New Roman"/>
          <w:lang w:val="en-US"/>
        </w:rPr>
        <w:t xml:space="preserve">The </w:t>
      </w:r>
      <w:r>
        <w:rPr>
          <w:rFonts w:ascii="Times New Roman" w:hAnsi="Times New Roman" w:cs="Times New Roman"/>
          <w:lang w:val="en-US"/>
        </w:rPr>
        <w:t>T</w:t>
      </w:r>
      <w:r w:rsidRPr="001C2C00">
        <w:rPr>
          <w:rFonts w:ascii="Times New Roman" w:hAnsi="Times New Roman" w:cs="Times New Roman"/>
          <w:lang w:val="en-US"/>
        </w:rPr>
        <w:t xml:space="preserve">reaty </w:t>
      </w:r>
      <w:r>
        <w:rPr>
          <w:rFonts w:ascii="Times New Roman" w:hAnsi="Times New Roman" w:cs="Times New Roman"/>
          <w:lang w:val="en-US"/>
        </w:rPr>
        <w:t>B</w:t>
      </w:r>
      <w:r w:rsidRPr="001C2C00">
        <w:rPr>
          <w:rFonts w:ascii="Times New Roman" w:hAnsi="Times New Roman" w:cs="Times New Roman"/>
          <w:lang w:val="en-US"/>
        </w:rPr>
        <w:t xml:space="preserve">odies recognize that abortion must be decriminalized, legalized at </w:t>
      </w:r>
      <w:r w:rsidR="004721CF">
        <w:rPr>
          <w:rFonts w:ascii="Times New Roman" w:hAnsi="Times New Roman" w:cs="Times New Roman"/>
          <w:lang w:val="en-US"/>
        </w:rPr>
        <w:t>a minimum</w:t>
      </w:r>
      <w:r w:rsidRPr="001C2C00">
        <w:rPr>
          <w:rFonts w:ascii="Times New Roman" w:hAnsi="Times New Roman" w:cs="Times New Roman"/>
          <w:lang w:val="en-US"/>
        </w:rPr>
        <w:t xml:space="preserve"> on certain grounds, and services must be available, accessible, affordable, acceptable, and of good quality</w:t>
      </w:r>
      <w:r w:rsidR="004721CF">
        <w:rPr>
          <w:rFonts w:ascii="Times New Roman" w:hAnsi="Times New Roman" w:cs="Times New Roman"/>
          <w:lang w:val="en-US"/>
        </w:rPr>
        <w:t xml:space="preserve"> and that any regulation of abortion must not force women and girls to undergo unsafe abortion.</w:t>
      </w:r>
      <w:r>
        <w:rPr>
          <w:rStyle w:val="EndnoteReference"/>
          <w:rFonts w:ascii="Times New Roman" w:hAnsi="Times New Roman" w:cs="Times New Roman"/>
          <w:lang w:val="en-US"/>
        </w:rPr>
        <w:endnoteReference w:id="37"/>
      </w:r>
      <w:r w:rsidRPr="001C2C00">
        <w:rPr>
          <w:rFonts w:ascii="Times New Roman" w:hAnsi="Times New Roman" w:cs="Times New Roman"/>
          <w:lang w:val="en-US"/>
        </w:rPr>
        <w:t xml:space="preserve"> The Human Rights Committee </w:t>
      </w:r>
      <w:r w:rsidR="00C44C56">
        <w:rPr>
          <w:rFonts w:ascii="Times New Roman" w:hAnsi="Times New Roman" w:cs="Times New Roman"/>
          <w:lang w:val="en-US"/>
        </w:rPr>
        <w:t>indicated</w:t>
      </w:r>
      <w:r w:rsidRPr="001C2C00">
        <w:rPr>
          <w:rFonts w:ascii="Times New Roman" w:hAnsi="Times New Roman" w:cs="Times New Roman"/>
          <w:lang w:val="en-US"/>
        </w:rPr>
        <w:t xml:space="preserve"> that </w:t>
      </w:r>
      <w:r w:rsidR="00C76A07">
        <w:rPr>
          <w:rFonts w:ascii="Times New Roman" w:hAnsi="Times New Roman" w:cs="Times New Roman"/>
          <w:lang w:val="en-US"/>
        </w:rPr>
        <w:t>S</w:t>
      </w:r>
      <w:r w:rsidRPr="001C2C00">
        <w:rPr>
          <w:rFonts w:ascii="Times New Roman" w:hAnsi="Times New Roman" w:cs="Times New Roman"/>
          <w:lang w:val="en-US"/>
        </w:rPr>
        <w:t>tates must provide safe, legal and effective access to abortion,</w:t>
      </w:r>
      <w:r w:rsidRPr="00376F0A">
        <w:rPr>
          <w:rFonts w:ascii="Times New Roman" w:hAnsi="Times New Roman" w:cs="Times New Roman"/>
          <w:i/>
          <w:iCs/>
          <w:lang w:val="en-US"/>
        </w:rPr>
        <w:t xml:space="preserve"> inter alia</w:t>
      </w:r>
      <w:r w:rsidRPr="001C2C00">
        <w:rPr>
          <w:rFonts w:ascii="Times New Roman" w:hAnsi="Times New Roman" w:cs="Times New Roman"/>
          <w:lang w:val="en-US"/>
        </w:rPr>
        <w:t>, “when carrying a pregnancy to term would cause the pregnant woman or girl substantial pain or suffering.</w:t>
      </w:r>
      <w:r>
        <w:rPr>
          <w:rStyle w:val="EndnoteReference"/>
          <w:rFonts w:ascii="Times New Roman" w:hAnsi="Times New Roman" w:cs="Times New Roman"/>
          <w:lang w:val="en-US"/>
        </w:rPr>
        <w:endnoteReference w:id="38"/>
      </w:r>
      <w:r w:rsidRPr="001C2C00">
        <w:rPr>
          <w:rFonts w:ascii="Times New Roman" w:hAnsi="Times New Roman" w:cs="Times New Roman"/>
          <w:lang w:val="en-US"/>
        </w:rPr>
        <w:t xml:space="preserve"> The </w:t>
      </w:r>
      <w:r>
        <w:rPr>
          <w:rFonts w:ascii="Times New Roman" w:hAnsi="Times New Roman" w:cs="Times New Roman"/>
          <w:lang w:val="en-US"/>
        </w:rPr>
        <w:t>T</w:t>
      </w:r>
      <w:r w:rsidRPr="001C2C00">
        <w:rPr>
          <w:rFonts w:ascii="Times New Roman" w:hAnsi="Times New Roman" w:cs="Times New Roman"/>
          <w:lang w:val="en-US"/>
        </w:rPr>
        <w:t xml:space="preserve">reaty </w:t>
      </w:r>
      <w:r>
        <w:rPr>
          <w:rFonts w:ascii="Times New Roman" w:hAnsi="Times New Roman" w:cs="Times New Roman"/>
          <w:lang w:val="en-US"/>
        </w:rPr>
        <w:t>B</w:t>
      </w:r>
      <w:r w:rsidRPr="001C2C00">
        <w:rPr>
          <w:rFonts w:ascii="Times New Roman" w:hAnsi="Times New Roman" w:cs="Times New Roman"/>
          <w:lang w:val="en-US"/>
        </w:rPr>
        <w:t xml:space="preserve">odies recommend that </w:t>
      </w:r>
      <w:r w:rsidR="00C76A07">
        <w:rPr>
          <w:rFonts w:ascii="Times New Roman" w:hAnsi="Times New Roman" w:cs="Times New Roman"/>
          <w:lang w:val="en-US"/>
        </w:rPr>
        <w:t>S</w:t>
      </w:r>
      <w:r w:rsidRPr="001C2C00">
        <w:rPr>
          <w:rFonts w:ascii="Times New Roman" w:hAnsi="Times New Roman" w:cs="Times New Roman"/>
          <w:lang w:val="en-US"/>
        </w:rPr>
        <w:t>tates should liberalize their abortion laws to improve access and remove legal, financial, and practical barriers that deny effective access by women and girls to safe and legal abortion, including medically unnecessary barriers to abortion and</w:t>
      </w:r>
      <w:r>
        <w:rPr>
          <w:rFonts w:ascii="Times New Roman" w:hAnsi="Times New Roman" w:cs="Times New Roman"/>
          <w:lang w:val="en-US"/>
        </w:rPr>
        <w:t xml:space="preserve"> </w:t>
      </w:r>
      <w:r w:rsidRPr="001C2C00">
        <w:rPr>
          <w:rFonts w:ascii="Times New Roman" w:hAnsi="Times New Roman" w:cs="Times New Roman"/>
          <w:lang w:val="en-US"/>
        </w:rPr>
        <w:t>third-party authorization requirements.</w:t>
      </w:r>
      <w:r>
        <w:rPr>
          <w:rStyle w:val="EndnoteReference"/>
          <w:rFonts w:ascii="Times New Roman" w:hAnsi="Times New Roman" w:cs="Times New Roman"/>
          <w:lang w:val="en-US"/>
        </w:rPr>
        <w:endnoteReference w:id="39"/>
      </w:r>
    </w:p>
    <w:p w14:paraId="37B1EB9A" w14:textId="77777777" w:rsidR="00376F0A" w:rsidRDefault="00376F0A" w:rsidP="00376F0A">
      <w:pPr>
        <w:spacing w:after="0" w:line="240" w:lineRule="auto"/>
        <w:jc w:val="both"/>
        <w:rPr>
          <w:rFonts w:ascii="Times New Roman" w:hAnsi="Times New Roman" w:cs="Times New Roman"/>
          <w:lang w:val="en-US"/>
        </w:rPr>
      </w:pPr>
    </w:p>
    <w:p w14:paraId="5D13DBF9" w14:textId="13BA9A7D" w:rsidR="00376F0A" w:rsidRPr="001C2C00" w:rsidRDefault="00376F0A" w:rsidP="00376F0A">
      <w:pPr>
        <w:spacing w:after="0" w:line="240" w:lineRule="auto"/>
        <w:jc w:val="both"/>
        <w:rPr>
          <w:rFonts w:ascii="Times New Roman" w:hAnsi="Times New Roman" w:cs="Times New Roman"/>
          <w:lang w:val="en-US"/>
        </w:rPr>
      </w:pPr>
      <w:r w:rsidRPr="001C2C00">
        <w:rPr>
          <w:rFonts w:ascii="Times New Roman" w:hAnsi="Times New Roman" w:cs="Times New Roman"/>
          <w:lang w:val="en-US"/>
        </w:rPr>
        <w:t>States are required to eliminate laws and policies that undermine autonomy, integrity and right to equality and non-discrimination in the full enjoyment of the right to sexual and reproductive health.</w:t>
      </w:r>
      <w:r w:rsidR="00FC6734">
        <w:rPr>
          <w:rStyle w:val="EndnoteReference"/>
          <w:rFonts w:ascii="Times New Roman" w:hAnsi="Times New Roman" w:cs="Times New Roman"/>
          <w:lang w:val="en-US"/>
        </w:rPr>
        <w:endnoteReference w:id="40"/>
      </w:r>
    </w:p>
    <w:p w14:paraId="33A0071E" w14:textId="6CF1D150" w:rsidR="00ED31AE" w:rsidRPr="002500BD" w:rsidRDefault="00ED31AE" w:rsidP="00121AA1">
      <w:pPr>
        <w:pStyle w:val="NormalWeb"/>
        <w:shd w:val="clear" w:color="auto" w:fill="FFFFFF"/>
        <w:spacing w:before="0" w:beforeAutospacing="0" w:after="0" w:afterAutospacing="0"/>
        <w:jc w:val="both"/>
        <w:rPr>
          <w:sz w:val="22"/>
          <w:szCs w:val="22"/>
          <w:lang w:val="en-US"/>
        </w:rPr>
      </w:pPr>
    </w:p>
    <w:p w14:paraId="13F7DAAF" w14:textId="32355458" w:rsidR="00CA00C6" w:rsidRPr="002500BD" w:rsidRDefault="00CA00C6" w:rsidP="00121AA1">
      <w:pPr>
        <w:pStyle w:val="NormalWeb"/>
        <w:shd w:val="clear" w:color="auto" w:fill="FFFFFF"/>
        <w:spacing w:before="0" w:beforeAutospacing="0" w:after="0" w:afterAutospacing="0"/>
        <w:jc w:val="both"/>
        <w:rPr>
          <w:b/>
          <w:bCs/>
          <w:sz w:val="22"/>
          <w:szCs w:val="22"/>
          <w:lang w:val="en-US"/>
        </w:rPr>
      </w:pPr>
      <w:r w:rsidRPr="002500BD">
        <w:rPr>
          <w:b/>
          <w:bCs/>
          <w:sz w:val="22"/>
          <w:szCs w:val="22"/>
          <w:lang w:val="en-US"/>
        </w:rPr>
        <w:t xml:space="preserve">4) </w:t>
      </w:r>
      <w:r w:rsidR="0054510D">
        <w:rPr>
          <w:b/>
          <w:bCs/>
          <w:sz w:val="22"/>
          <w:szCs w:val="22"/>
          <w:lang w:val="en-US"/>
        </w:rPr>
        <w:t>Freedom from violence in maternal health facilities</w:t>
      </w:r>
    </w:p>
    <w:p w14:paraId="33ED1180" w14:textId="30B56DC4" w:rsidR="0004584F" w:rsidRPr="0004584F" w:rsidRDefault="00637BCD" w:rsidP="00121AA1">
      <w:pPr>
        <w:pStyle w:val="NormalWeb"/>
        <w:shd w:val="clear" w:color="auto" w:fill="FFFFFF"/>
        <w:spacing w:before="0" w:beforeAutospacing="0" w:after="0" w:afterAutospacing="0"/>
        <w:jc w:val="both"/>
        <w:rPr>
          <w:sz w:val="22"/>
          <w:szCs w:val="22"/>
        </w:rPr>
      </w:pPr>
      <w:r w:rsidRPr="002174D1">
        <w:rPr>
          <w:sz w:val="22"/>
          <w:szCs w:val="22"/>
          <w:lang w:val="en-US"/>
        </w:rPr>
        <w:t>In 2015, WHO condemned “</w:t>
      </w:r>
      <w:r w:rsidRPr="002174D1">
        <w:rPr>
          <w:sz w:val="22"/>
          <w:szCs w:val="22"/>
        </w:rPr>
        <w:t>outright physical abuse, profound humiliation and verbal abuse, coercive or unconsented medical procedures (including sterilization), lack of confidentiality, failure to get fully informed consent, refusal to give pain medication, gross violations of privacy, refusal of admission to health facilities, neglecting women during childbirth to suffer life-threatening, avoidable complications, and detention of women and their newborns in facilities after childbirth due to an inability to pay</w:t>
      </w:r>
      <w:r w:rsidRPr="002174D1">
        <w:rPr>
          <w:sz w:val="22"/>
          <w:szCs w:val="22"/>
          <w:lang w:val="en-US"/>
        </w:rPr>
        <w:t>”.</w:t>
      </w:r>
      <w:r w:rsidRPr="002174D1">
        <w:rPr>
          <w:rStyle w:val="EndnoteReference"/>
          <w:sz w:val="22"/>
          <w:szCs w:val="22"/>
          <w:lang w:val="en-US"/>
        </w:rPr>
        <w:endnoteReference w:id="41"/>
      </w:r>
      <w:r w:rsidR="002174D1" w:rsidRPr="002174D1">
        <w:rPr>
          <w:sz w:val="22"/>
          <w:szCs w:val="22"/>
          <w:lang w:val="en-US"/>
        </w:rPr>
        <w:t xml:space="preserve"> The organization also recognized that</w:t>
      </w:r>
      <w:r w:rsidR="002174D1" w:rsidRPr="002174D1">
        <w:rPr>
          <w:sz w:val="22"/>
          <w:szCs w:val="22"/>
        </w:rPr>
        <w:t xml:space="preserve"> “such treatment not only violates the rights of women to respectful care, but can also threaten their rights to life, health, bodily integrity and freedom from discrimination.”</w:t>
      </w:r>
    </w:p>
    <w:p w14:paraId="22CD688F" w14:textId="77777777" w:rsidR="00637BCD" w:rsidRDefault="00637BCD" w:rsidP="00121AA1">
      <w:pPr>
        <w:pStyle w:val="NormalWeb"/>
        <w:shd w:val="clear" w:color="auto" w:fill="FFFFFF"/>
        <w:spacing w:before="0" w:beforeAutospacing="0" w:after="0" w:afterAutospacing="0"/>
        <w:jc w:val="both"/>
        <w:rPr>
          <w:sz w:val="22"/>
          <w:szCs w:val="22"/>
          <w:lang w:val="en-US"/>
        </w:rPr>
      </w:pPr>
    </w:p>
    <w:p w14:paraId="4CD4A193" w14:textId="33C3BCBF" w:rsidR="00C43947" w:rsidRPr="00C43947" w:rsidRDefault="00C76A07" w:rsidP="00121AA1">
      <w:pPr>
        <w:pStyle w:val="NormalWeb"/>
        <w:shd w:val="clear" w:color="auto" w:fill="FFFFFF"/>
        <w:spacing w:before="0" w:beforeAutospacing="0" w:after="0" w:afterAutospacing="0"/>
        <w:jc w:val="both"/>
        <w:rPr>
          <w:sz w:val="22"/>
          <w:szCs w:val="22"/>
          <w:lang w:val="en-US"/>
        </w:rPr>
      </w:pPr>
      <w:r w:rsidRPr="0004584F">
        <w:rPr>
          <w:sz w:val="22"/>
          <w:szCs w:val="22"/>
          <w:lang w:val="en-US"/>
        </w:rPr>
        <w:t xml:space="preserve">Treaty Bodies </w:t>
      </w:r>
      <w:r w:rsidR="0014669E" w:rsidRPr="0004584F">
        <w:rPr>
          <w:sz w:val="22"/>
          <w:szCs w:val="22"/>
          <w:lang w:val="en-US"/>
        </w:rPr>
        <w:t>recognize</w:t>
      </w:r>
      <w:r w:rsidR="002174D1" w:rsidRPr="0004584F">
        <w:rPr>
          <w:sz w:val="22"/>
          <w:szCs w:val="22"/>
          <w:lang w:val="en-US"/>
        </w:rPr>
        <w:t>d</w:t>
      </w:r>
      <w:r w:rsidR="0014669E" w:rsidRPr="0004584F">
        <w:rPr>
          <w:sz w:val="22"/>
          <w:szCs w:val="22"/>
          <w:lang w:val="en-US"/>
        </w:rPr>
        <w:t xml:space="preserve"> that States must guarantee women the right to be free from violence when seeking maternal health services</w:t>
      </w:r>
      <w:r w:rsidR="00637BCD" w:rsidRPr="0004584F">
        <w:rPr>
          <w:sz w:val="22"/>
          <w:szCs w:val="22"/>
          <w:lang w:val="en-US"/>
        </w:rPr>
        <w:t>.</w:t>
      </w:r>
      <w:r w:rsidR="0014669E" w:rsidRPr="0004584F">
        <w:rPr>
          <w:rStyle w:val="EndnoteReference"/>
          <w:sz w:val="22"/>
          <w:szCs w:val="22"/>
          <w:lang w:val="en-US"/>
        </w:rPr>
        <w:endnoteReference w:id="42"/>
      </w:r>
      <w:r w:rsidR="00637BCD" w:rsidRPr="0004584F">
        <w:rPr>
          <w:sz w:val="22"/>
          <w:szCs w:val="22"/>
          <w:lang w:val="en-US"/>
        </w:rPr>
        <w:t xml:space="preserve"> </w:t>
      </w:r>
      <w:r w:rsidR="0004584F" w:rsidRPr="0004584F">
        <w:rPr>
          <w:sz w:val="22"/>
          <w:szCs w:val="22"/>
          <w:lang w:val="en-US"/>
        </w:rPr>
        <w:t>The Special Rapporteur on violence against women, its causes and consequences recognized that “[m]</w:t>
      </w:r>
      <w:proofErr w:type="spellStart"/>
      <w:r w:rsidR="0004584F" w:rsidRPr="0004584F">
        <w:rPr>
          <w:sz w:val="22"/>
          <w:szCs w:val="22"/>
          <w:lang w:val="en-US"/>
        </w:rPr>
        <w:t>istreatment</w:t>
      </w:r>
      <w:proofErr w:type="spellEnd"/>
      <w:r w:rsidR="0004584F" w:rsidRPr="0004584F">
        <w:rPr>
          <w:sz w:val="22"/>
          <w:szCs w:val="22"/>
          <w:lang w:val="en-US"/>
        </w:rPr>
        <w:t xml:space="preserve"> and </w:t>
      </w:r>
      <w:proofErr w:type="spellStart"/>
      <w:r w:rsidR="0004584F" w:rsidRPr="0004584F">
        <w:rPr>
          <w:sz w:val="22"/>
          <w:szCs w:val="22"/>
          <w:lang w:val="en-US"/>
        </w:rPr>
        <w:t>violen</w:t>
      </w:r>
      <w:r w:rsidR="0004584F" w:rsidRPr="0004584F">
        <w:rPr>
          <w:sz w:val="22"/>
          <w:szCs w:val="22"/>
        </w:rPr>
        <w:t>ce</w:t>
      </w:r>
      <w:proofErr w:type="spellEnd"/>
      <w:r w:rsidR="0004584F" w:rsidRPr="0004584F">
        <w:rPr>
          <w:sz w:val="22"/>
          <w:szCs w:val="22"/>
        </w:rPr>
        <w:t xml:space="preserve"> against women not only violates the rights </w:t>
      </w:r>
      <w:r w:rsidR="0004584F" w:rsidRPr="0004584F">
        <w:rPr>
          <w:sz w:val="22"/>
          <w:szCs w:val="22"/>
        </w:rPr>
        <w:lastRenderedPageBreak/>
        <w:t xml:space="preserve">of women to live a life free from violence but can also threaten their rights to life, health, bodily </w:t>
      </w:r>
      <w:r w:rsidR="0004584F" w:rsidRPr="00C43947">
        <w:rPr>
          <w:sz w:val="22"/>
          <w:szCs w:val="22"/>
        </w:rPr>
        <w:t>integrity, privacy, autonomy and freedom from discrimination</w:t>
      </w:r>
      <w:r w:rsidR="0004584F" w:rsidRPr="00C43947">
        <w:rPr>
          <w:sz w:val="22"/>
          <w:szCs w:val="22"/>
          <w:lang w:val="en-US"/>
        </w:rPr>
        <w:t>”</w:t>
      </w:r>
      <w:r w:rsidR="00C43947" w:rsidRPr="00C43947">
        <w:rPr>
          <w:sz w:val="22"/>
          <w:szCs w:val="22"/>
          <w:lang w:val="en-US"/>
        </w:rPr>
        <w:t xml:space="preserve"> and added that “[</w:t>
      </w:r>
      <w:proofErr w:type="spellStart"/>
      <w:r w:rsidR="00C43947" w:rsidRPr="00C43947">
        <w:rPr>
          <w:sz w:val="22"/>
          <w:szCs w:val="22"/>
          <w:lang w:val="en-US"/>
        </w:rPr>
        <w:t>i</w:t>
      </w:r>
      <w:proofErr w:type="spellEnd"/>
      <w:r w:rsidR="00C43947" w:rsidRPr="00C43947">
        <w:rPr>
          <w:sz w:val="22"/>
          <w:szCs w:val="22"/>
          <w:lang w:val="en-US"/>
        </w:rPr>
        <w:t>]</w:t>
      </w:r>
      <w:proofErr w:type="spellStart"/>
      <w:r w:rsidR="00C43947" w:rsidRPr="00C43947">
        <w:rPr>
          <w:sz w:val="22"/>
          <w:szCs w:val="22"/>
        </w:rPr>
        <w:t>nformed</w:t>
      </w:r>
      <w:proofErr w:type="spellEnd"/>
      <w:r w:rsidR="00C43947" w:rsidRPr="00C43947">
        <w:rPr>
          <w:sz w:val="22"/>
          <w:szCs w:val="22"/>
        </w:rPr>
        <w:t xml:space="preserve"> consent for medical treatment related to reproductive health services and childbirth is a fundamental human right</w:t>
      </w:r>
      <w:r w:rsidR="00C43947" w:rsidRPr="00C43947">
        <w:rPr>
          <w:sz w:val="22"/>
          <w:szCs w:val="22"/>
          <w:lang w:val="en-US"/>
        </w:rPr>
        <w:t>”</w:t>
      </w:r>
      <w:r w:rsidR="00C43947" w:rsidRPr="00C43947">
        <w:rPr>
          <w:sz w:val="22"/>
          <w:szCs w:val="22"/>
        </w:rPr>
        <w:t>.</w:t>
      </w:r>
      <w:r w:rsidR="00C43947" w:rsidRPr="00C43947">
        <w:rPr>
          <w:rStyle w:val="EndnoteReference"/>
          <w:sz w:val="22"/>
          <w:szCs w:val="22"/>
        </w:rPr>
        <w:endnoteReference w:id="43"/>
      </w:r>
    </w:p>
    <w:p w14:paraId="4C56C35B" w14:textId="5E1BC93B" w:rsidR="0063133F" w:rsidRDefault="0063133F" w:rsidP="00121AA1">
      <w:pPr>
        <w:pStyle w:val="NormalWeb"/>
        <w:shd w:val="clear" w:color="auto" w:fill="FFFFFF"/>
        <w:spacing w:before="0" w:beforeAutospacing="0" w:after="0" w:afterAutospacing="0"/>
        <w:jc w:val="both"/>
        <w:rPr>
          <w:sz w:val="22"/>
          <w:szCs w:val="22"/>
          <w:lang w:val="en-US"/>
        </w:rPr>
      </w:pPr>
    </w:p>
    <w:p w14:paraId="67A365B0" w14:textId="00435FED" w:rsidR="00744D09" w:rsidRDefault="00744D09" w:rsidP="00121AA1">
      <w:pPr>
        <w:pStyle w:val="NormalWeb"/>
        <w:shd w:val="clear" w:color="auto" w:fill="FFFFFF"/>
        <w:spacing w:before="0" w:beforeAutospacing="0" w:after="0" w:afterAutospacing="0"/>
        <w:jc w:val="both"/>
        <w:rPr>
          <w:sz w:val="22"/>
          <w:szCs w:val="22"/>
          <w:lang w:val="en-US"/>
        </w:rPr>
      </w:pPr>
      <w:r w:rsidRPr="00744D09">
        <w:rPr>
          <w:sz w:val="22"/>
          <w:szCs w:val="22"/>
        </w:rPr>
        <w:t xml:space="preserve">In 2015, several </w:t>
      </w:r>
      <w:r w:rsidRPr="00744D09">
        <w:rPr>
          <w:sz w:val="22"/>
          <w:szCs w:val="22"/>
          <w:lang w:val="en-US"/>
        </w:rPr>
        <w:t>UN</w:t>
      </w:r>
      <w:r w:rsidRPr="00744D09">
        <w:rPr>
          <w:sz w:val="22"/>
          <w:szCs w:val="22"/>
        </w:rPr>
        <w:t xml:space="preserve"> and regional human rights experts</w:t>
      </w:r>
      <w:r w:rsidRPr="00744D09">
        <w:rPr>
          <w:sz w:val="22"/>
          <w:szCs w:val="22"/>
          <w:lang w:val="en-US"/>
        </w:rPr>
        <w:t xml:space="preserve"> called on the</w:t>
      </w:r>
      <w:r w:rsidRPr="00744D09">
        <w:rPr>
          <w:sz w:val="22"/>
          <w:szCs w:val="22"/>
        </w:rPr>
        <w:t xml:space="preserve"> States to “address acts of obstetric and institutional violence suffered by women in health care facilities” and “to take all practical and legislative measures to prevent, prohibit, and punish such acts and guarantee redress”</w:t>
      </w:r>
      <w:r w:rsidR="00E146D2">
        <w:rPr>
          <w:sz w:val="22"/>
          <w:szCs w:val="22"/>
          <w:lang w:val="en-US"/>
        </w:rPr>
        <w:t>.</w:t>
      </w:r>
      <w:r>
        <w:rPr>
          <w:rStyle w:val="EndnoteReference"/>
          <w:sz w:val="22"/>
          <w:szCs w:val="22"/>
        </w:rPr>
        <w:endnoteReference w:id="44"/>
      </w:r>
      <w:r w:rsidR="00E146D2">
        <w:rPr>
          <w:sz w:val="22"/>
          <w:szCs w:val="22"/>
          <w:lang w:val="en-US"/>
        </w:rPr>
        <w:t xml:space="preserve"> At the regional level, t</w:t>
      </w:r>
      <w:r w:rsidR="0063133F">
        <w:rPr>
          <w:sz w:val="22"/>
          <w:szCs w:val="22"/>
          <w:lang w:val="en-US"/>
        </w:rPr>
        <w:t xml:space="preserve">he Committee of Experts of the Follow-up Mechanism of the </w:t>
      </w:r>
      <w:proofErr w:type="spellStart"/>
      <w:r w:rsidR="0063133F">
        <w:rPr>
          <w:sz w:val="22"/>
          <w:szCs w:val="22"/>
          <w:lang w:val="en-US"/>
        </w:rPr>
        <w:t>Belém</w:t>
      </w:r>
      <w:proofErr w:type="spellEnd"/>
      <w:r w:rsidR="0063133F">
        <w:rPr>
          <w:sz w:val="22"/>
          <w:szCs w:val="22"/>
          <w:lang w:val="en-US"/>
        </w:rPr>
        <w:t xml:space="preserve"> do Pará Convention recognizes obstetric violence as a human rights violation.</w:t>
      </w:r>
      <w:r w:rsidR="0063133F">
        <w:rPr>
          <w:rStyle w:val="EndnoteReference"/>
          <w:sz w:val="22"/>
          <w:szCs w:val="22"/>
          <w:lang w:val="en-US"/>
        </w:rPr>
        <w:endnoteReference w:id="45"/>
      </w:r>
    </w:p>
    <w:p w14:paraId="3BC8C79A" w14:textId="77777777" w:rsidR="0054510D" w:rsidRPr="002500BD" w:rsidRDefault="0054510D" w:rsidP="00121AA1">
      <w:pPr>
        <w:pStyle w:val="NormalWeb"/>
        <w:shd w:val="clear" w:color="auto" w:fill="FFFFFF"/>
        <w:spacing w:before="0" w:beforeAutospacing="0" w:after="0" w:afterAutospacing="0"/>
        <w:jc w:val="both"/>
        <w:rPr>
          <w:sz w:val="22"/>
          <w:szCs w:val="22"/>
          <w:lang w:val="en-US"/>
        </w:rPr>
      </w:pPr>
    </w:p>
    <w:p w14:paraId="671CA162" w14:textId="0C142C61" w:rsidR="003D1CAF" w:rsidRDefault="003D1CAF" w:rsidP="0022546A">
      <w:pPr>
        <w:pStyle w:val="NormalWeb"/>
        <w:numPr>
          <w:ilvl w:val="0"/>
          <w:numId w:val="19"/>
        </w:numPr>
        <w:shd w:val="clear" w:color="auto" w:fill="FFFFFF"/>
        <w:spacing w:before="0" w:beforeAutospacing="0" w:after="0" w:afterAutospacing="0"/>
        <w:jc w:val="both"/>
        <w:rPr>
          <w:b/>
          <w:bCs/>
          <w:sz w:val="22"/>
          <w:szCs w:val="22"/>
          <w:u w:val="single"/>
          <w:lang w:val="en-US"/>
        </w:rPr>
      </w:pPr>
      <w:r w:rsidRPr="002500BD">
        <w:rPr>
          <w:b/>
          <w:bCs/>
          <w:sz w:val="22"/>
          <w:szCs w:val="22"/>
          <w:u w:val="single"/>
          <w:lang w:val="en-US"/>
        </w:rPr>
        <w:t>Regional examples</w:t>
      </w:r>
      <w:r w:rsidR="00F47A8B" w:rsidRPr="002500BD">
        <w:rPr>
          <w:b/>
          <w:bCs/>
          <w:sz w:val="22"/>
          <w:szCs w:val="22"/>
          <w:u w:val="single"/>
          <w:lang w:val="en-US"/>
        </w:rPr>
        <w:t xml:space="preserve"> (focus on </w:t>
      </w:r>
      <w:r w:rsidR="006925ED">
        <w:rPr>
          <w:b/>
          <w:bCs/>
          <w:sz w:val="22"/>
          <w:szCs w:val="22"/>
          <w:u w:val="single"/>
          <w:lang w:val="en-US"/>
        </w:rPr>
        <w:t>the LAC region</w:t>
      </w:r>
      <w:r w:rsidR="00F47A8B" w:rsidRPr="002500BD">
        <w:rPr>
          <w:b/>
          <w:bCs/>
          <w:sz w:val="22"/>
          <w:szCs w:val="22"/>
          <w:u w:val="single"/>
          <w:lang w:val="en-US"/>
        </w:rPr>
        <w:t>)</w:t>
      </w:r>
    </w:p>
    <w:p w14:paraId="7CF73D48" w14:textId="77777777" w:rsidR="0022546A" w:rsidRPr="0022546A" w:rsidRDefault="0022546A" w:rsidP="0022546A">
      <w:pPr>
        <w:pStyle w:val="NormalWeb"/>
        <w:shd w:val="clear" w:color="auto" w:fill="FFFFFF"/>
        <w:spacing w:before="0" w:beforeAutospacing="0" w:after="0" w:afterAutospacing="0"/>
        <w:ind w:left="1080"/>
        <w:jc w:val="both"/>
        <w:rPr>
          <w:b/>
          <w:bCs/>
          <w:sz w:val="22"/>
          <w:szCs w:val="22"/>
          <w:u w:val="single"/>
          <w:lang w:val="en-US"/>
        </w:rPr>
      </w:pPr>
    </w:p>
    <w:p w14:paraId="544B8FF2" w14:textId="3A1951E7" w:rsidR="00B50600" w:rsidRPr="002500BD" w:rsidRDefault="00B50600" w:rsidP="00B50600">
      <w:pPr>
        <w:spacing w:after="0" w:line="240" w:lineRule="auto"/>
        <w:jc w:val="both"/>
        <w:rPr>
          <w:rFonts w:ascii="Times New Roman" w:hAnsi="Times New Roman" w:cs="Times New Roman"/>
          <w:b/>
          <w:bCs/>
          <w:lang w:val="en-US"/>
        </w:rPr>
      </w:pPr>
      <w:r w:rsidRPr="002500BD">
        <w:rPr>
          <w:rFonts w:ascii="Times New Roman" w:hAnsi="Times New Roman" w:cs="Times New Roman"/>
          <w:b/>
          <w:bCs/>
          <w:lang w:val="en-US"/>
        </w:rPr>
        <w:t>1) Violence against indigenous women and girls</w:t>
      </w:r>
    </w:p>
    <w:p w14:paraId="7867CAFB" w14:textId="5F0041BB" w:rsidR="00596923" w:rsidRPr="002500BD" w:rsidRDefault="00596923" w:rsidP="00B50600">
      <w:pPr>
        <w:spacing w:after="0" w:line="240" w:lineRule="auto"/>
        <w:jc w:val="both"/>
        <w:rPr>
          <w:rFonts w:ascii="Times New Roman" w:hAnsi="Times New Roman" w:cs="Times New Roman"/>
          <w:lang w:val="en-US"/>
        </w:rPr>
      </w:pPr>
      <w:r w:rsidRPr="002500BD">
        <w:rPr>
          <w:rFonts w:ascii="Times New Roman" w:hAnsi="Times New Roman" w:cs="Times New Roman"/>
          <w:lang w:val="en-US"/>
        </w:rPr>
        <w:t xml:space="preserve">The Special Rapporteur on the rights of indigenous peoples indicated that indigenous peoples in </w:t>
      </w:r>
      <w:r w:rsidRPr="002500BD">
        <w:rPr>
          <w:rFonts w:ascii="Times New Roman" w:hAnsi="Times New Roman" w:cs="Times New Roman"/>
          <w:b/>
          <w:bCs/>
          <w:lang w:val="en-US"/>
        </w:rPr>
        <w:t>Honduras</w:t>
      </w:r>
      <w:r w:rsidRPr="002500BD">
        <w:rPr>
          <w:rFonts w:ascii="Times New Roman" w:hAnsi="Times New Roman" w:cs="Times New Roman"/>
          <w:lang w:val="en-US"/>
        </w:rPr>
        <w:t xml:space="preserve"> are directly drawn into an exacerbated situation of violence and general insecurity of the country, especially when they seek to defend their lands and exercise their rights as human rights defenders.</w:t>
      </w:r>
      <w:r w:rsidRPr="002500BD">
        <w:rPr>
          <w:rFonts w:ascii="Times New Roman" w:hAnsi="Times New Roman" w:cs="Times New Roman"/>
          <w:vertAlign w:val="superscript"/>
          <w:lang w:val="en-CA"/>
        </w:rPr>
        <w:endnoteReference w:id="46"/>
      </w:r>
      <w:r w:rsidRPr="002500BD">
        <w:rPr>
          <w:rFonts w:ascii="Times New Roman" w:hAnsi="Times New Roman" w:cs="Times New Roman"/>
          <w:lang w:val="en-US"/>
        </w:rPr>
        <w:t xml:space="preserve"> She also found an alarming prevalence of cases of assault, attempted homicide and sexual violence against indigenous women defenders.</w:t>
      </w:r>
      <w:r w:rsidRPr="002500BD">
        <w:rPr>
          <w:rFonts w:ascii="Times New Roman" w:hAnsi="Times New Roman" w:cs="Times New Roman"/>
          <w:vertAlign w:val="superscript"/>
          <w:lang w:val="en-CA"/>
        </w:rPr>
        <w:endnoteReference w:id="47"/>
      </w:r>
      <w:r w:rsidRPr="002500BD">
        <w:rPr>
          <w:rFonts w:ascii="Times New Roman" w:hAnsi="Times New Roman" w:cs="Times New Roman"/>
          <w:lang w:val="en-US"/>
        </w:rPr>
        <w:t xml:space="preserve"> Similarly, data from 2014 reveals that approximately 38% of indigenous women in </w:t>
      </w:r>
      <w:r w:rsidRPr="002500BD">
        <w:rPr>
          <w:rFonts w:ascii="Times New Roman" w:hAnsi="Times New Roman" w:cs="Times New Roman"/>
          <w:b/>
          <w:bCs/>
          <w:lang w:val="en-US"/>
        </w:rPr>
        <w:t>Ecuador</w:t>
      </w:r>
      <w:r w:rsidRPr="002500BD">
        <w:rPr>
          <w:rFonts w:ascii="Times New Roman" w:hAnsi="Times New Roman" w:cs="Times New Roman"/>
          <w:lang w:val="en-US"/>
        </w:rPr>
        <w:t xml:space="preserve"> and </w:t>
      </w:r>
      <w:r w:rsidRPr="002500BD">
        <w:rPr>
          <w:rFonts w:ascii="Times New Roman" w:hAnsi="Times New Roman" w:cs="Times New Roman"/>
          <w:b/>
          <w:bCs/>
          <w:lang w:val="en-US"/>
        </w:rPr>
        <w:t>Peru</w:t>
      </w:r>
      <w:r w:rsidRPr="002500BD">
        <w:rPr>
          <w:rFonts w:ascii="Times New Roman" w:hAnsi="Times New Roman" w:cs="Times New Roman"/>
          <w:lang w:val="en-US"/>
        </w:rPr>
        <w:t xml:space="preserve"> had suffered physical or sexual violence and, </w:t>
      </w:r>
      <w:r w:rsidR="006925ED">
        <w:rPr>
          <w:rFonts w:ascii="Times New Roman" w:hAnsi="Times New Roman" w:cs="Times New Roman"/>
          <w:lang w:val="en-US"/>
        </w:rPr>
        <w:t>although the figures are</w:t>
      </w:r>
      <w:r w:rsidRPr="002500BD">
        <w:rPr>
          <w:rFonts w:ascii="Times New Roman" w:hAnsi="Times New Roman" w:cs="Times New Roman"/>
          <w:lang w:val="en-US"/>
        </w:rPr>
        <w:t xml:space="preserve"> lower in </w:t>
      </w:r>
      <w:r w:rsidRPr="002500BD">
        <w:rPr>
          <w:rFonts w:ascii="Times New Roman" w:hAnsi="Times New Roman" w:cs="Times New Roman"/>
          <w:b/>
          <w:bCs/>
          <w:lang w:val="en-US"/>
        </w:rPr>
        <w:t>Guatemala</w:t>
      </w:r>
      <w:r w:rsidRPr="002500BD">
        <w:rPr>
          <w:rFonts w:ascii="Times New Roman" w:hAnsi="Times New Roman" w:cs="Times New Roman"/>
          <w:lang w:val="en-US"/>
        </w:rPr>
        <w:t xml:space="preserve"> (24%) and </w:t>
      </w:r>
      <w:r w:rsidRPr="002500BD">
        <w:rPr>
          <w:rFonts w:ascii="Times New Roman" w:hAnsi="Times New Roman" w:cs="Times New Roman"/>
          <w:b/>
          <w:bCs/>
          <w:lang w:val="en-US"/>
        </w:rPr>
        <w:t>Paraguay</w:t>
      </w:r>
      <w:r w:rsidRPr="002500BD">
        <w:rPr>
          <w:rFonts w:ascii="Times New Roman" w:hAnsi="Times New Roman" w:cs="Times New Roman"/>
          <w:lang w:val="en-US"/>
        </w:rPr>
        <w:t xml:space="preserve"> (20%),</w:t>
      </w:r>
      <w:r w:rsidRPr="002500BD">
        <w:rPr>
          <w:rStyle w:val="EndnoteReference"/>
          <w:rFonts w:ascii="Times New Roman" w:hAnsi="Times New Roman" w:cs="Times New Roman"/>
          <w:lang w:val="en-CA"/>
        </w:rPr>
        <w:endnoteReference w:id="48"/>
      </w:r>
      <w:r w:rsidRPr="002500BD">
        <w:rPr>
          <w:rFonts w:ascii="Times New Roman" w:hAnsi="Times New Roman" w:cs="Times New Roman"/>
          <w:lang w:val="en-US"/>
        </w:rPr>
        <w:t xml:space="preserve"> the trend is alarming. Reports from 2020 reveal that 59.5% of indigenous women in </w:t>
      </w:r>
      <w:r w:rsidRPr="002500BD">
        <w:rPr>
          <w:rFonts w:ascii="Times New Roman" w:hAnsi="Times New Roman" w:cs="Times New Roman"/>
          <w:b/>
          <w:bCs/>
          <w:lang w:val="en-US"/>
        </w:rPr>
        <w:t>Mexico</w:t>
      </w:r>
      <w:r w:rsidRPr="002500BD">
        <w:rPr>
          <w:rFonts w:ascii="Times New Roman" w:hAnsi="Times New Roman" w:cs="Times New Roman"/>
          <w:lang w:val="en-US"/>
        </w:rPr>
        <w:t xml:space="preserve"> have experienced at least one form of sexual violence in their lives.</w:t>
      </w:r>
      <w:r w:rsidRPr="002500BD">
        <w:rPr>
          <w:rStyle w:val="EndnoteReference"/>
          <w:rFonts w:ascii="Times New Roman" w:hAnsi="Times New Roman" w:cs="Times New Roman"/>
          <w:lang w:val="en-CA"/>
        </w:rPr>
        <w:endnoteReference w:id="49"/>
      </w:r>
      <w:r w:rsidRPr="002500BD">
        <w:rPr>
          <w:rFonts w:ascii="Times New Roman" w:hAnsi="Times New Roman" w:cs="Times New Roman"/>
          <w:lang w:val="en-US"/>
        </w:rPr>
        <w:t xml:space="preserve"> </w:t>
      </w:r>
      <w:r w:rsidR="006925ED">
        <w:rPr>
          <w:rFonts w:ascii="Times New Roman" w:hAnsi="Times New Roman" w:cs="Times New Roman"/>
          <w:lang w:val="en-US"/>
        </w:rPr>
        <w:t>In addition</w:t>
      </w:r>
      <w:r w:rsidRPr="002500BD">
        <w:rPr>
          <w:rFonts w:ascii="Times New Roman" w:hAnsi="Times New Roman" w:cs="Times New Roman"/>
          <w:lang w:val="en-US"/>
        </w:rPr>
        <w:t>, indigenous women face several obstacles in accessing justice and impunity, which perpetuates and normalizes this type of violence.</w:t>
      </w:r>
      <w:r w:rsidRPr="002500BD">
        <w:rPr>
          <w:rStyle w:val="EndnoteReference"/>
          <w:rFonts w:ascii="Times New Roman" w:hAnsi="Times New Roman" w:cs="Times New Roman"/>
          <w:lang w:val="en-CA"/>
        </w:rPr>
        <w:endnoteReference w:id="50"/>
      </w:r>
    </w:p>
    <w:p w14:paraId="5D436B21" w14:textId="7E71C340" w:rsidR="00596923" w:rsidRPr="002500BD" w:rsidRDefault="00596923" w:rsidP="00B50600">
      <w:pPr>
        <w:spacing w:after="0" w:line="240" w:lineRule="auto"/>
        <w:jc w:val="both"/>
        <w:rPr>
          <w:rFonts w:ascii="Times New Roman" w:hAnsi="Times New Roman" w:cs="Times New Roman"/>
          <w:lang w:val="en-US"/>
        </w:rPr>
      </w:pPr>
    </w:p>
    <w:p w14:paraId="6D5C6E86" w14:textId="6C9F703A" w:rsidR="00596923" w:rsidRPr="002500BD" w:rsidRDefault="00596923" w:rsidP="00B50600">
      <w:pPr>
        <w:spacing w:after="0" w:line="240" w:lineRule="auto"/>
        <w:jc w:val="both"/>
        <w:rPr>
          <w:rFonts w:ascii="Times New Roman" w:hAnsi="Times New Roman" w:cs="Times New Roman"/>
          <w:lang w:val="en-US"/>
        </w:rPr>
      </w:pPr>
      <w:r w:rsidRPr="002500BD">
        <w:rPr>
          <w:rFonts w:ascii="Times New Roman" w:hAnsi="Times New Roman" w:cs="Times New Roman"/>
          <w:lang w:val="en-US"/>
        </w:rPr>
        <w:t>The situation described above is further exacerbated by the limited and inadequate access of indigenous women and girls to sexual and reproductive health information, education and services, including in cases of rape.</w:t>
      </w:r>
      <w:r w:rsidRPr="002500BD">
        <w:rPr>
          <w:rStyle w:val="EndnoteReference"/>
          <w:rFonts w:ascii="Times New Roman" w:hAnsi="Times New Roman" w:cs="Times New Roman"/>
          <w:lang w:val="en-CA"/>
        </w:rPr>
        <w:endnoteReference w:id="51"/>
      </w:r>
    </w:p>
    <w:p w14:paraId="29900E97" w14:textId="168C71AD" w:rsidR="00596923" w:rsidRPr="002500BD" w:rsidRDefault="00596923" w:rsidP="00B50600">
      <w:pPr>
        <w:spacing w:after="0" w:line="240" w:lineRule="auto"/>
        <w:jc w:val="both"/>
        <w:rPr>
          <w:rFonts w:ascii="Times New Roman" w:hAnsi="Times New Roman" w:cs="Times New Roman"/>
          <w:lang w:val="en-US"/>
        </w:rPr>
      </w:pPr>
    </w:p>
    <w:p w14:paraId="7D1EBB2D" w14:textId="079E224E" w:rsidR="00725099" w:rsidRPr="002500BD" w:rsidRDefault="00725099" w:rsidP="00725099">
      <w:pPr>
        <w:spacing w:after="0" w:line="240" w:lineRule="auto"/>
        <w:jc w:val="both"/>
        <w:rPr>
          <w:rFonts w:ascii="Times New Roman" w:hAnsi="Times New Roman" w:cs="Times New Roman"/>
          <w:b/>
          <w:bCs/>
          <w:lang w:val="en-US"/>
        </w:rPr>
      </w:pPr>
      <w:r w:rsidRPr="002500BD">
        <w:rPr>
          <w:rFonts w:ascii="Times New Roman" w:hAnsi="Times New Roman" w:cs="Times New Roman"/>
          <w:b/>
          <w:bCs/>
          <w:lang w:val="en-CA"/>
        </w:rPr>
        <w:t>2</w:t>
      </w:r>
      <w:r w:rsidRPr="002500BD">
        <w:rPr>
          <w:rFonts w:ascii="Times New Roman" w:hAnsi="Times New Roman" w:cs="Times New Roman"/>
          <w:b/>
          <w:bCs/>
          <w:lang w:val="en-US"/>
        </w:rPr>
        <w:t xml:space="preserve">) Access to </w:t>
      </w:r>
      <w:r w:rsidR="00881636" w:rsidRPr="002500BD">
        <w:rPr>
          <w:rFonts w:ascii="Times New Roman" w:hAnsi="Times New Roman" w:cs="Times New Roman"/>
          <w:b/>
          <w:bCs/>
          <w:lang w:val="en-US"/>
        </w:rPr>
        <w:t>SRHS</w:t>
      </w:r>
      <w:r w:rsidRPr="002500BD">
        <w:rPr>
          <w:rFonts w:ascii="Times New Roman" w:hAnsi="Times New Roman" w:cs="Times New Roman"/>
          <w:b/>
          <w:bCs/>
          <w:lang w:val="en-US"/>
        </w:rPr>
        <w:t xml:space="preserve"> and maternal mortality</w:t>
      </w:r>
    </w:p>
    <w:p w14:paraId="738B9ABC" w14:textId="163B95FE" w:rsidR="00881636" w:rsidRPr="006925ED" w:rsidRDefault="00881636" w:rsidP="00881636">
      <w:pPr>
        <w:spacing w:after="0" w:line="240" w:lineRule="auto"/>
        <w:jc w:val="both"/>
        <w:rPr>
          <w:rFonts w:ascii="Times New Roman" w:hAnsi="Times New Roman" w:cs="Times New Roman"/>
          <w:lang w:val="en-US"/>
        </w:rPr>
      </w:pPr>
      <w:r w:rsidRPr="002500BD">
        <w:rPr>
          <w:rFonts w:ascii="Times New Roman" w:hAnsi="Times New Roman" w:cs="Times New Roman"/>
          <w:lang w:val="en-US"/>
        </w:rPr>
        <w:t>Indigenous women suffer higher rates of unintended pregnancy, unsafe abortion</w:t>
      </w:r>
      <w:r w:rsidRPr="002500BD">
        <w:rPr>
          <w:rStyle w:val="EndnoteReference"/>
          <w:rFonts w:ascii="Times New Roman" w:hAnsi="Times New Roman" w:cs="Times New Roman"/>
          <w:lang w:val="en-CA"/>
        </w:rPr>
        <w:endnoteReference w:id="52"/>
      </w:r>
      <w:r w:rsidRPr="002500BD">
        <w:rPr>
          <w:rFonts w:ascii="Times New Roman" w:hAnsi="Times New Roman" w:cs="Times New Roman"/>
          <w:lang w:val="en-US"/>
        </w:rPr>
        <w:t xml:space="preserve"> and maternal mortality</w:t>
      </w:r>
      <w:r w:rsidRPr="002500BD">
        <w:rPr>
          <w:rStyle w:val="EndnoteReference"/>
          <w:rFonts w:ascii="Times New Roman" w:hAnsi="Times New Roman" w:cs="Times New Roman"/>
          <w:lang w:val="en-CA"/>
        </w:rPr>
        <w:endnoteReference w:id="53"/>
      </w:r>
      <w:r w:rsidRPr="002500BD">
        <w:rPr>
          <w:rFonts w:ascii="Times New Roman" w:hAnsi="Times New Roman" w:cs="Times New Roman"/>
          <w:lang w:val="en-US"/>
        </w:rPr>
        <w:t xml:space="preserve"> than non-indigenous women. Approximately two of 10 adolescents in the LAC region become mothers, which is considerably higher among adolescents belonging to indigenous peoples.</w:t>
      </w:r>
      <w:r w:rsidRPr="002500BD">
        <w:rPr>
          <w:rStyle w:val="EndnoteReference"/>
          <w:rFonts w:ascii="Times New Roman" w:hAnsi="Times New Roman" w:cs="Times New Roman"/>
          <w:lang w:val="en-CA"/>
        </w:rPr>
        <w:endnoteReference w:id="54"/>
      </w:r>
      <w:r w:rsidRPr="002500BD">
        <w:rPr>
          <w:rFonts w:ascii="Times New Roman" w:hAnsi="Times New Roman" w:cs="Times New Roman"/>
          <w:lang w:val="en-US"/>
        </w:rPr>
        <w:t xml:space="preserve"> </w:t>
      </w:r>
      <w:r w:rsidR="006925ED">
        <w:rPr>
          <w:rFonts w:ascii="Times New Roman" w:hAnsi="Times New Roman" w:cs="Times New Roman"/>
          <w:lang w:val="en-US"/>
        </w:rPr>
        <w:t xml:space="preserve"> </w:t>
      </w:r>
      <w:r w:rsidR="00725099" w:rsidRPr="002500BD">
        <w:rPr>
          <w:rFonts w:ascii="Times New Roman" w:hAnsi="Times New Roman" w:cs="Times New Roman"/>
          <w:lang w:val="en-CA"/>
        </w:rPr>
        <w:t xml:space="preserve">According to UNICEF “indigenous adolescents in </w:t>
      </w:r>
      <w:r w:rsidR="00725099" w:rsidRPr="002500BD">
        <w:rPr>
          <w:rFonts w:ascii="Times New Roman" w:hAnsi="Times New Roman" w:cs="Times New Roman"/>
          <w:b/>
          <w:bCs/>
          <w:lang w:val="en-CA"/>
        </w:rPr>
        <w:t>Bolivia</w:t>
      </w:r>
      <w:r w:rsidR="00725099" w:rsidRPr="002500BD">
        <w:rPr>
          <w:rFonts w:ascii="Times New Roman" w:hAnsi="Times New Roman" w:cs="Times New Roman"/>
          <w:lang w:val="en-CA"/>
        </w:rPr>
        <w:t xml:space="preserve">, </w:t>
      </w:r>
      <w:r w:rsidR="00725099" w:rsidRPr="002500BD">
        <w:rPr>
          <w:rFonts w:ascii="Times New Roman" w:hAnsi="Times New Roman" w:cs="Times New Roman"/>
          <w:b/>
          <w:bCs/>
          <w:lang w:val="en-CA"/>
        </w:rPr>
        <w:t>Guatemala</w:t>
      </w:r>
      <w:r w:rsidR="00725099" w:rsidRPr="002500BD">
        <w:rPr>
          <w:rFonts w:ascii="Times New Roman" w:hAnsi="Times New Roman" w:cs="Times New Roman"/>
          <w:lang w:val="en-CA"/>
        </w:rPr>
        <w:t xml:space="preserve">, </w:t>
      </w:r>
      <w:r w:rsidR="00725099" w:rsidRPr="002500BD">
        <w:rPr>
          <w:rFonts w:ascii="Times New Roman" w:hAnsi="Times New Roman" w:cs="Times New Roman"/>
          <w:b/>
          <w:bCs/>
          <w:lang w:val="en-CA"/>
        </w:rPr>
        <w:t>Ecuador</w:t>
      </w:r>
      <w:r w:rsidR="00725099" w:rsidRPr="002500BD">
        <w:rPr>
          <w:rFonts w:ascii="Times New Roman" w:hAnsi="Times New Roman" w:cs="Times New Roman"/>
          <w:lang w:val="en-CA"/>
        </w:rPr>
        <w:t xml:space="preserve">, and </w:t>
      </w:r>
      <w:r w:rsidR="00725099" w:rsidRPr="002500BD">
        <w:rPr>
          <w:rFonts w:ascii="Times New Roman" w:hAnsi="Times New Roman" w:cs="Times New Roman"/>
          <w:b/>
          <w:bCs/>
          <w:lang w:val="en-CA"/>
        </w:rPr>
        <w:t>Nicaragua</w:t>
      </w:r>
      <w:r w:rsidR="00725099" w:rsidRPr="002500BD">
        <w:rPr>
          <w:rFonts w:ascii="Times New Roman" w:hAnsi="Times New Roman" w:cs="Times New Roman"/>
          <w:lang w:val="en-CA"/>
        </w:rPr>
        <w:t xml:space="preserve"> had a larger unmet need for family planning than non-indigenous youth”</w:t>
      </w:r>
      <w:r w:rsidR="006925ED">
        <w:rPr>
          <w:rFonts w:ascii="Times New Roman" w:hAnsi="Times New Roman" w:cs="Times New Roman"/>
          <w:lang w:val="en-CA"/>
        </w:rPr>
        <w:t>.</w:t>
      </w:r>
      <w:r w:rsidR="00725099" w:rsidRPr="002500BD">
        <w:rPr>
          <w:rStyle w:val="EndnoteReference"/>
          <w:rFonts w:ascii="Times New Roman" w:hAnsi="Times New Roman" w:cs="Times New Roman"/>
          <w:lang w:val="en-CA"/>
        </w:rPr>
        <w:endnoteReference w:id="55"/>
      </w:r>
      <w:r w:rsidR="00725099" w:rsidRPr="002500BD">
        <w:rPr>
          <w:rFonts w:ascii="Times New Roman" w:hAnsi="Times New Roman" w:cs="Times New Roman"/>
          <w:lang w:val="en-CA"/>
        </w:rPr>
        <w:t xml:space="preserve"> </w:t>
      </w:r>
      <w:r w:rsidR="006925ED">
        <w:rPr>
          <w:rFonts w:ascii="Times New Roman" w:hAnsi="Times New Roman" w:cs="Times New Roman"/>
          <w:lang w:val="en-CA"/>
        </w:rPr>
        <w:t xml:space="preserve">In addition, </w:t>
      </w:r>
      <w:r w:rsidR="007D4A2C">
        <w:rPr>
          <w:rFonts w:ascii="Times New Roman" w:hAnsi="Times New Roman" w:cs="Times New Roman"/>
          <w:lang w:val="en-CA"/>
        </w:rPr>
        <w:t>Economic Commission for Latin America and the Caribbean (</w:t>
      </w:r>
      <w:r w:rsidR="00725099" w:rsidRPr="002500BD">
        <w:rPr>
          <w:rFonts w:ascii="Times New Roman" w:hAnsi="Times New Roman" w:cs="Times New Roman"/>
          <w:lang w:val="en-CA"/>
        </w:rPr>
        <w:t>ECLAC</w:t>
      </w:r>
      <w:r w:rsidR="007D4A2C">
        <w:rPr>
          <w:rFonts w:ascii="Times New Roman" w:hAnsi="Times New Roman" w:cs="Times New Roman"/>
          <w:lang w:val="en-CA"/>
        </w:rPr>
        <w:t>)</w:t>
      </w:r>
      <w:r w:rsidR="00C62376" w:rsidRPr="002500BD">
        <w:rPr>
          <w:rFonts w:ascii="Times New Roman" w:hAnsi="Times New Roman" w:cs="Times New Roman"/>
          <w:lang w:val="en-CA"/>
        </w:rPr>
        <w:t xml:space="preserve"> </w:t>
      </w:r>
      <w:r w:rsidR="00725099" w:rsidRPr="002500BD">
        <w:rPr>
          <w:rFonts w:ascii="Times New Roman" w:hAnsi="Times New Roman" w:cs="Times New Roman"/>
          <w:lang w:val="en-CA"/>
        </w:rPr>
        <w:t>reported that indigenous households in LAC tend to have higher fertility rates</w:t>
      </w:r>
      <w:r w:rsidRPr="002500BD">
        <w:rPr>
          <w:rFonts w:ascii="Times New Roman" w:hAnsi="Times New Roman" w:cs="Times New Roman"/>
          <w:lang w:val="en-CA"/>
        </w:rPr>
        <w:t>.</w:t>
      </w:r>
      <w:r w:rsidR="00725099" w:rsidRPr="002500BD">
        <w:rPr>
          <w:rStyle w:val="EndnoteReference"/>
          <w:rFonts w:ascii="Times New Roman" w:hAnsi="Times New Roman" w:cs="Times New Roman"/>
          <w:lang w:val="en-CA"/>
        </w:rPr>
        <w:endnoteReference w:id="56"/>
      </w:r>
    </w:p>
    <w:p w14:paraId="45F91A17" w14:textId="77777777" w:rsidR="00881636" w:rsidRPr="002500BD" w:rsidRDefault="00881636" w:rsidP="00881636">
      <w:pPr>
        <w:spacing w:after="0" w:line="240" w:lineRule="auto"/>
        <w:jc w:val="both"/>
        <w:rPr>
          <w:rFonts w:ascii="Times New Roman" w:hAnsi="Times New Roman" w:cs="Times New Roman"/>
          <w:lang w:val="en-CA"/>
        </w:rPr>
      </w:pPr>
    </w:p>
    <w:p w14:paraId="6153969C" w14:textId="077CCC4D" w:rsidR="00881636" w:rsidRPr="002500BD" w:rsidRDefault="00881636" w:rsidP="00881636">
      <w:pPr>
        <w:spacing w:after="0" w:line="240" w:lineRule="auto"/>
        <w:jc w:val="both"/>
        <w:rPr>
          <w:rFonts w:ascii="Times New Roman" w:hAnsi="Times New Roman" w:cs="Times New Roman"/>
          <w:b/>
          <w:bCs/>
          <w:lang w:val="en-CA"/>
        </w:rPr>
      </w:pPr>
      <w:r w:rsidRPr="002500BD">
        <w:rPr>
          <w:rFonts w:ascii="Times New Roman" w:hAnsi="Times New Roman" w:cs="Times New Roman"/>
          <w:b/>
          <w:bCs/>
          <w:lang w:val="en-CA"/>
        </w:rPr>
        <w:t xml:space="preserve">3) </w:t>
      </w:r>
      <w:r w:rsidR="006925ED">
        <w:rPr>
          <w:rFonts w:ascii="Times New Roman" w:hAnsi="Times New Roman" w:cs="Times New Roman"/>
          <w:b/>
          <w:bCs/>
          <w:lang w:val="en-CA"/>
        </w:rPr>
        <w:t>No incorporation of an intercultural approach</w:t>
      </w:r>
    </w:p>
    <w:p w14:paraId="6D2D5057" w14:textId="398D17AE" w:rsidR="00725099" w:rsidRDefault="00881636" w:rsidP="006925ED">
      <w:pPr>
        <w:spacing w:after="0" w:line="240" w:lineRule="auto"/>
        <w:jc w:val="both"/>
        <w:rPr>
          <w:rFonts w:ascii="Times New Roman" w:hAnsi="Times New Roman" w:cs="Times New Roman"/>
          <w:lang w:val="en-CA"/>
        </w:rPr>
      </w:pPr>
      <w:r w:rsidRPr="002500BD">
        <w:rPr>
          <w:rFonts w:ascii="Times New Roman" w:hAnsi="Times New Roman" w:cs="Times New Roman"/>
          <w:lang w:val="en-CA"/>
        </w:rPr>
        <w:t>T</w:t>
      </w:r>
      <w:r w:rsidR="00725099" w:rsidRPr="002500BD">
        <w:rPr>
          <w:rFonts w:ascii="Times New Roman" w:hAnsi="Times New Roman" w:cs="Times New Roman"/>
          <w:lang w:val="en-CA"/>
        </w:rPr>
        <w:t>he criminalization of indigenous midwifery and the imposition of giving birth outside their ancestral land contributes to the overall feeling of insecurity and the distress of pregnant women during childbirth</w:t>
      </w:r>
      <w:r w:rsidRPr="002500BD">
        <w:rPr>
          <w:rFonts w:ascii="Times New Roman" w:hAnsi="Times New Roman" w:cs="Times New Roman"/>
          <w:lang w:val="en-CA"/>
        </w:rPr>
        <w:t>.</w:t>
      </w:r>
      <w:r w:rsidR="00725099" w:rsidRPr="002500BD">
        <w:rPr>
          <w:rStyle w:val="EndnoteReference"/>
          <w:rFonts w:ascii="Times New Roman" w:hAnsi="Times New Roman" w:cs="Times New Roman"/>
          <w:lang w:val="en-CA"/>
        </w:rPr>
        <w:endnoteReference w:id="57"/>
      </w:r>
      <w:r w:rsidR="00637BC0">
        <w:rPr>
          <w:rFonts w:ascii="Times New Roman" w:hAnsi="Times New Roman" w:cs="Times New Roman"/>
          <w:lang w:val="en-CA"/>
        </w:rPr>
        <w:t xml:space="preserve"> Sexual and Reproductive Health Services (</w:t>
      </w:r>
      <w:r w:rsidR="00725099" w:rsidRPr="002500BD">
        <w:rPr>
          <w:rFonts w:ascii="Times New Roman" w:hAnsi="Times New Roman" w:cs="Times New Roman"/>
          <w:lang w:val="en-CA"/>
        </w:rPr>
        <w:t>SRHS</w:t>
      </w:r>
      <w:r w:rsidR="00637BC0">
        <w:rPr>
          <w:rFonts w:ascii="Times New Roman" w:hAnsi="Times New Roman" w:cs="Times New Roman"/>
          <w:lang w:val="en-CA"/>
        </w:rPr>
        <w:t>)</w:t>
      </w:r>
      <w:r w:rsidR="00725099" w:rsidRPr="002500BD">
        <w:rPr>
          <w:rFonts w:ascii="Times New Roman" w:hAnsi="Times New Roman" w:cs="Times New Roman"/>
          <w:lang w:val="en-CA"/>
        </w:rPr>
        <w:t xml:space="preserve"> generally do not incorporate an intercultural approach, nor do they consider indigenous knowledge and worldview</w:t>
      </w:r>
      <w:r w:rsidRPr="002500BD">
        <w:rPr>
          <w:rFonts w:ascii="Times New Roman" w:hAnsi="Times New Roman" w:cs="Times New Roman"/>
          <w:lang w:val="en-CA"/>
        </w:rPr>
        <w:t>.</w:t>
      </w:r>
      <w:r w:rsidR="00725099" w:rsidRPr="002500BD">
        <w:rPr>
          <w:rStyle w:val="EndnoteReference"/>
          <w:rFonts w:ascii="Times New Roman" w:hAnsi="Times New Roman" w:cs="Times New Roman"/>
          <w:lang w:val="en-CA"/>
        </w:rPr>
        <w:endnoteReference w:id="58"/>
      </w:r>
      <w:r w:rsidR="00725099" w:rsidRPr="002500BD">
        <w:rPr>
          <w:rFonts w:ascii="Times New Roman" w:hAnsi="Times New Roman" w:cs="Times New Roman"/>
          <w:lang w:val="en-CA"/>
        </w:rPr>
        <w:t xml:space="preserve"> On the contrary, indigenous women’s sexual and reproductive rights, including their right to autonomy and personal integrity, have been historically and severely violated.</w:t>
      </w:r>
      <w:r w:rsidR="00725099" w:rsidRPr="002500BD">
        <w:rPr>
          <w:rStyle w:val="EndnoteReference"/>
          <w:rFonts w:ascii="Times New Roman" w:hAnsi="Times New Roman" w:cs="Times New Roman"/>
          <w:lang w:val="en-CA"/>
        </w:rPr>
        <w:endnoteReference w:id="59"/>
      </w:r>
      <w:r w:rsidR="00725099" w:rsidRPr="002500BD">
        <w:rPr>
          <w:rFonts w:ascii="Times New Roman" w:hAnsi="Times New Roman" w:cs="Times New Roman"/>
          <w:lang w:val="en-CA"/>
        </w:rPr>
        <w:t xml:space="preserve"> </w:t>
      </w:r>
      <w:r w:rsidR="00637BC0">
        <w:rPr>
          <w:rFonts w:ascii="Times New Roman" w:hAnsi="Times New Roman" w:cs="Times New Roman"/>
          <w:lang w:val="en-CA"/>
        </w:rPr>
        <w:t>The Inter-American Commission on Human Rights</w:t>
      </w:r>
      <w:r w:rsidR="007D4A2C">
        <w:rPr>
          <w:rFonts w:ascii="Times New Roman" w:hAnsi="Times New Roman" w:cs="Times New Roman"/>
          <w:lang w:val="en-CA"/>
        </w:rPr>
        <w:t xml:space="preserve"> (IACHR)</w:t>
      </w:r>
      <w:r w:rsidR="00C62376" w:rsidRPr="002500BD">
        <w:rPr>
          <w:rFonts w:ascii="Times New Roman" w:hAnsi="Times New Roman" w:cs="Times New Roman"/>
          <w:lang w:val="en-CA"/>
        </w:rPr>
        <w:t xml:space="preserve"> </w:t>
      </w:r>
      <w:r w:rsidR="00725099" w:rsidRPr="002500BD">
        <w:rPr>
          <w:rFonts w:ascii="Times New Roman" w:hAnsi="Times New Roman" w:cs="Times New Roman"/>
          <w:lang w:val="en-CA"/>
        </w:rPr>
        <w:t>has documented “[e]</w:t>
      </w:r>
      <w:proofErr w:type="spellStart"/>
      <w:r w:rsidR="00725099" w:rsidRPr="002500BD">
        <w:rPr>
          <w:rFonts w:ascii="Times New Roman" w:hAnsi="Times New Roman" w:cs="Times New Roman"/>
          <w:lang w:val="en-CA"/>
        </w:rPr>
        <w:t>xamples</w:t>
      </w:r>
      <w:proofErr w:type="spellEnd"/>
      <w:r w:rsidR="00725099" w:rsidRPr="002500BD">
        <w:rPr>
          <w:rFonts w:ascii="Times New Roman" w:hAnsi="Times New Roman" w:cs="Times New Roman"/>
          <w:lang w:val="en-CA"/>
        </w:rPr>
        <w:t xml:space="preserve"> of obstetric violence [faced by…] indigenous women </w:t>
      </w:r>
      <w:proofErr w:type="spellStart"/>
      <w:r w:rsidR="00725099" w:rsidRPr="002500BD">
        <w:rPr>
          <w:rFonts w:ascii="Times New Roman" w:hAnsi="Times New Roman" w:cs="Times New Roman"/>
          <w:lang w:val="en-CA"/>
        </w:rPr>
        <w:t>includ</w:t>
      </w:r>
      <w:proofErr w:type="spellEnd"/>
      <w:r w:rsidR="00725099" w:rsidRPr="002500BD">
        <w:rPr>
          <w:rFonts w:ascii="Times New Roman" w:hAnsi="Times New Roman" w:cs="Times New Roman"/>
          <w:lang w:val="en-CA"/>
        </w:rPr>
        <w:t>[</w:t>
      </w:r>
      <w:proofErr w:type="spellStart"/>
      <w:r w:rsidR="00725099" w:rsidRPr="002500BD">
        <w:rPr>
          <w:rFonts w:ascii="Times New Roman" w:hAnsi="Times New Roman" w:cs="Times New Roman"/>
          <w:lang w:val="en-CA"/>
        </w:rPr>
        <w:t>ing</w:t>
      </w:r>
      <w:proofErr w:type="spellEnd"/>
      <w:r w:rsidR="00414124">
        <w:rPr>
          <w:rFonts w:ascii="Times New Roman" w:hAnsi="Times New Roman" w:cs="Times New Roman"/>
          <w:lang w:val="en-CA"/>
        </w:rPr>
        <w:t xml:space="preserve"> of women</w:t>
      </w:r>
      <w:r w:rsidR="00725099" w:rsidRPr="002500BD">
        <w:rPr>
          <w:rFonts w:ascii="Times New Roman" w:hAnsi="Times New Roman" w:cs="Times New Roman"/>
          <w:lang w:val="en-CA"/>
        </w:rPr>
        <w:t>] being forced to give birth in a supine position rather than a vertical position; coerced sterilizations procedures,</w:t>
      </w:r>
      <w:r w:rsidR="00725099" w:rsidRPr="002500BD">
        <w:rPr>
          <w:rStyle w:val="EndnoteReference"/>
          <w:rFonts w:ascii="Times New Roman" w:hAnsi="Times New Roman" w:cs="Times New Roman"/>
          <w:lang w:val="en-CA"/>
        </w:rPr>
        <w:endnoteReference w:id="60"/>
      </w:r>
      <w:r w:rsidR="00725099" w:rsidRPr="002500BD">
        <w:rPr>
          <w:rFonts w:ascii="Times New Roman" w:hAnsi="Times New Roman" w:cs="Times New Roman"/>
          <w:lang w:val="en-CA"/>
        </w:rPr>
        <w:t xml:space="preserve"> [and forced abortions in the context of armed conflict</w:t>
      </w:r>
      <w:r w:rsidR="00725099" w:rsidRPr="002500BD">
        <w:rPr>
          <w:rStyle w:val="EndnoteReference"/>
          <w:rFonts w:ascii="Times New Roman" w:hAnsi="Times New Roman" w:cs="Times New Roman"/>
          <w:lang w:val="en-CA"/>
        </w:rPr>
        <w:endnoteReference w:id="61"/>
      </w:r>
      <w:r w:rsidR="00725099" w:rsidRPr="002500BD">
        <w:rPr>
          <w:rFonts w:ascii="Times New Roman" w:hAnsi="Times New Roman" w:cs="Times New Roman"/>
          <w:lang w:val="en-CA"/>
        </w:rPr>
        <w:t>…], among others”.</w:t>
      </w:r>
      <w:r w:rsidR="00725099" w:rsidRPr="002500BD">
        <w:rPr>
          <w:rStyle w:val="EndnoteReference"/>
          <w:rFonts w:ascii="Times New Roman" w:hAnsi="Times New Roman" w:cs="Times New Roman"/>
          <w:lang w:val="en-CA"/>
        </w:rPr>
        <w:endnoteReference w:id="62"/>
      </w:r>
    </w:p>
    <w:p w14:paraId="184054F8" w14:textId="77777777" w:rsidR="00414124" w:rsidRPr="002500BD" w:rsidRDefault="00414124" w:rsidP="006925ED">
      <w:pPr>
        <w:spacing w:after="0" w:line="240" w:lineRule="auto"/>
        <w:jc w:val="both"/>
        <w:rPr>
          <w:rFonts w:ascii="Times New Roman" w:hAnsi="Times New Roman" w:cs="Times New Roman"/>
          <w:lang w:val="en-CA"/>
        </w:rPr>
      </w:pPr>
    </w:p>
    <w:p w14:paraId="7E700FD7" w14:textId="229641EB" w:rsidR="00725099" w:rsidRDefault="00725099" w:rsidP="00414124">
      <w:pPr>
        <w:spacing w:after="0" w:line="240" w:lineRule="auto"/>
        <w:jc w:val="both"/>
        <w:rPr>
          <w:rFonts w:ascii="Times New Roman" w:hAnsi="Times New Roman" w:cs="Times New Roman"/>
          <w:lang w:val="en-CA"/>
        </w:rPr>
      </w:pPr>
      <w:r w:rsidRPr="002500BD">
        <w:rPr>
          <w:rFonts w:ascii="Times New Roman" w:hAnsi="Times New Roman" w:cs="Times New Roman"/>
          <w:lang w:val="en-CA"/>
        </w:rPr>
        <w:t xml:space="preserve">The two emblematic cases presented </w:t>
      </w:r>
      <w:r w:rsidR="00881636" w:rsidRPr="002500BD">
        <w:rPr>
          <w:rFonts w:ascii="Times New Roman" w:hAnsi="Times New Roman" w:cs="Times New Roman"/>
          <w:lang w:val="en-CA"/>
        </w:rPr>
        <w:t>further</w:t>
      </w:r>
      <w:r w:rsidRPr="002500BD">
        <w:rPr>
          <w:rFonts w:ascii="Times New Roman" w:hAnsi="Times New Roman" w:cs="Times New Roman"/>
          <w:lang w:val="en-CA"/>
        </w:rPr>
        <w:t>, will illustrate this alarming context.</w:t>
      </w:r>
    </w:p>
    <w:p w14:paraId="796B87C5" w14:textId="77777777" w:rsidR="00645E9B" w:rsidRPr="002500BD" w:rsidRDefault="00645E9B" w:rsidP="00414124">
      <w:pPr>
        <w:spacing w:after="0" w:line="240" w:lineRule="auto"/>
        <w:jc w:val="both"/>
        <w:rPr>
          <w:rFonts w:ascii="Times New Roman" w:hAnsi="Times New Roman" w:cs="Times New Roman"/>
          <w:lang w:val="en-CA"/>
        </w:rPr>
      </w:pPr>
    </w:p>
    <w:p w14:paraId="2C1C9D39" w14:textId="69732640" w:rsidR="00725099" w:rsidRPr="00645E9B" w:rsidRDefault="00645E9B" w:rsidP="00645E9B">
      <w:pPr>
        <w:spacing w:after="0" w:line="240" w:lineRule="auto"/>
        <w:jc w:val="both"/>
        <w:rPr>
          <w:rFonts w:ascii="Times New Roman" w:hAnsi="Times New Roman" w:cs="Times New Roman"/>
          <w:b/>
          <w:bCs/>
          <w:lang w:val="en-CA"/>
        </w:rPr>
      </w:pPr>
      <w:r w:rsidRPr="00645E9B">
        <w:rPr>
          <w:rFonts w:ascii="Times New Roman" w:hAnsi="Times New Roman" w:cs="Times New Roman"/>
          <w:b/>
          <w:bCs/>
          <w:lang w:val="en-CA"/>
        </w:rPr>
        <w:t xml:space="preserve">a) </w:t>
      </w:r>
      <w:r w:rsidR="00725099" w:rsidRPr="00645E9B">
        <w:rPr>
          <w:rFonts w:ascii="Times New Roman" w:hAnsi="Times New Roman" w:cs="Times New Roman"/>
          <w:b/>
          <w:bCs/>
          <w:lang w:val="en-CA"/>
        </w:rPr>
        <w:t xml:space="preserve">The case of </w:t>
      </w:r>
      <w:proofErr w:type="spellStart"/>
      <w:r w:rsidR="00725099" w:rsidRPr="00645E9B">
        <w:rPr>
          <w:rFonts w:ascii="Times New Roman" w:hAnsi="Times New Roman" w:cs="Times New Roman"/>
          <w:b/>
          <w:bCs/>
          <w:lang w:val="en-CA"/>
        </w:rPr>
        <w:t>Fausia</w:t>
      </w:r>
      <w:proofErr w:type="spellEnd"/>
    </w:p>
    <w:p w14:paraId="60C85FC2" w14:textId="24A8B7D8" w:rsidR="00725099" w:rsidRDefault="00881636" w:rsidP="00414124">
      <w:pPr>
        <w:spacing w:after="0" w:line="240" w:lineRule="auto"/>
        <w:jc w:val="both"/>
        <w:rPr>
          <w:rFonts w:ascii="Times New Roman" w:hAnsi="Times New Roman" w:cs="Times New Roman"/>
          <w:lang w:val="en-CA"/>
        </w:rPr>
      </w:pPr>
      <w:r w:rsidRPr="002500BD">
        <w:rPr>
          <w:rFonts w:ascii="Times New Roman" w:hAnsi="Times New Roman" w:cs="Times New Roman"/>
          <w:lang w:val="en-CA"/>
        </w:rPr>
        <w:t xml:space="preserve">On 13 November 2016, </w:t>
      </w:r>
      <w:proofErr w:type="spellStart"/>
      <w:r w:rsidR="00725099" w:rsidRPr="002500BD">
        <w:rPr>
          <w:rFonts w:ascii="Times New Roman" w:hAnsi="Times New Roman" w:cs="Times New Roman"/>
          <w:lang w:val="en-CA"/>
        </w:rPr>
        <w:t>Fausia</w:t>
      </w:r>
      <w:proofErr w:type="spellEnd"/>
      <w:r w:rsidRPr="002500BD">
        <w:rPr>
          <w:rFonts w:ascii="Times New Roman" w:hAnsi="Times New Roman" w:cs="Times New Roman"/>
          <w:lang w:val="en-CA"/>
        </w:rPr>
        <w:t>,</w:t>
      </w:r>
      <w:r w:rsidR="00C62376" w:rsidRPr="002500BD">
        <w:rPr>
          <w:rStyle w:val="EndnoteReference"/>
          <w:rFonts w:ascii="Times New Roman" w:hAnsi="Times New Roman" w:cs="Times New Roman"/>
          <w:lang w:val="en-CA"/>
        </w:rPr>
        <w:endnoteReference w:id="63"/>
      </w:r>
      <w:r w:rsidR="00C62376" w:rsidRPr="002500BD">
        <w:rPr>
          <w:rFonts w:ascii="Times New Roman" w:hAnsi="Times New Roman" w:cs="Times New Roman"/>
          <w:lang w:val="en-CA"/>
        </w:rPr>
        <w:t xml:space="preserve"> </w:t>
      </w:r>
      <w:r w:rsidR="00725099" w:rsidRPr="002500BD">
        <w:rPr>
          <w:rFonts w:ascii="Times New Roman" w:hAnsi="Times New Roman" w:cs="Times New Roman"/>
          <w:lang w:val="en-CA"/>
        </w:rPr>
        <w:t>an indigenous wom</w:t>
      </w:r>
      <w:r w:rsidRPr="002500BD">
        <w:rPr>
          <w:rFonts w:ascii="Times New Roman" w:hAnsi="Times New Roman" w:cs="Times New Roman"/>
          <w:lang w:val="en-CA"/>
        </w:rPr>
        <w:t>a</w:t>
      </w:r>
      <w:r w:rsidR="00725099" w:rsidRPr="002500BD">
        <w:rPr>
          <w:rFonts w:ascii="Times New Roman" w:hAnsi="Times New Roman" w:cs="Times New Roman"/>
          <w:lang w:val="en-CA"/>
        </w:rPr>
        <w:t xml:space="preserve">n </w:t>
      </w:r>
      <w:r w:rsidR="006D5BD3" w:rsidRPr="002500BD">
        <w:rPr>
          <w:rFonts w:ascii="Times New Roman" w:hAnsi="Times New Roman" w:cs="Times New Roman"/>
          <w:lang w:val="en-CA"/>
        </w:rPr>
        <w:t>human rights and indigenous land defender</w:t>
      </w:r>
      <w:r w:rsidR="00725099" w:rsidRPr="002500BD">
        <w:rPr>
          <w:rFonts w:ascii="Times New Roman" w:hAnsi="Times New Roman" w:cs="Times New Roman"/>
          <w:lang w:val="en-CA"/>
        </w:rPr>
        <w:t xml:space="preserve"> from </w:t>
      </w:r>
      <w:r w:rsidR="00725099" w:rsidRPr="00414124">
        <w:rPr>
          <w:rFonts w:ascii="Times New Roman" w:hAnsi="Times New Roman" w:cs="Times New Roman"/>
          <w:lang w:val="en-CA"/>
        </w:rPr>
        <w:t>Honduras</w:t>
      </w:r>
      <w:r w:rsidRPr="00414124">
        <w:rPr>
          <w:rFonts w:ascii="Times New Roman" w:hAnsi="Times New Roman" w:cs="Times New Roman"/>
          <w:lang w:val="en-CA"/>
        </w:rPr>
        <w:t xml:space="preserve"> </w:t>
      </w:r>
      <w:r w:rsidR="00725099" w:rsidRPr="00414124">
        <w:rPr>
          <w:rFonts w:ascii="Times New Roman" w:hAnsi="Times New Roman" w:cs="Times New Roman"/>
          <w:lang w:val="en-CA"/>
        </w:rPr>
        <w:t>was raped by two mestizo men as a form of retaliation for her work as a community leader and defender of her ancestral land. As a</w:t>
      </w:r>
      <w:r w:rsidR="00725099" w:rsidRPr="002500BD">
        <w:rPr>
          <w:rFonts w:ascii="Times New Roman" w:hAnsi="Times New Roman" w:cs="Times New Roman"/>
          <w:lang w:val="en-CA"/>
        </w:rPr>
        <w:t xml:space="preserve"> result, </w:t>
      </w:r>
      <w:proofErr w:type="spellStart"/>
      <w:r w:rsidR="00725099" w:rsidRPr="002500BD">
        <w:rPr>
          <w:rFonts w:ascii="Times New Roman" w:hAnsi="Times New Roman" w:cs="Times New Roman"/>
          <w:lang w:val="en-CA"/>
        </w:rPr>
        <w:t>Fausia</w:t>
      </w:r>
      <w:proofErr w:type="spellEnd"/>
      <w:r w:rsidR="00725099" w:rsidRPr="002500BD">
        <w:rPr>
          <w:rFonts w:ascii="Times New Roman" w:hAnsi="Times New Roman" w:cs="Times New Roman"/>
          <w:lang w:val="en-CA"/>
        </w:rPr>
        <w:t xml:space="preserve"> faced a forced pregnancy. Given Honduras’ </w:t>
      </w:r>
      <w:r w:rsidR="00725099" w:rsidRPr="002500BD">
        <w:rPr>
          <w:rFonts w:ascii="Times New Roman" w:hAnsi="Times New Roman" w:cs="Times New Roman"/>
          <w:lang w:val="en-CA"/>
        </w:rPr>
        <w:lastRenderedPageBreak/>
        <w:t>severe restrictions on access to reproductive information and healthcare, including the complete ban on access to the emergency contraceptive pill</w:t>
      </w:r>
      <w:r w:rsidR="00725099" w:rsidRPr="002500BD">
        <w:rPr>
          <w:rStyle w:val="EndnoteReference"/>
          <w:rFonts w:ascii="Times New Roman" w:hAnsi="Times New Roman" w:cs="Times New Roman"/>
          <w:lang w:val="en-CA"/>
        </w:rPr>
        <w:endnoteReference w:id="64"/>
      </w:r>
      <w:r w:rsidR="00725099" w:rsidRPr="002500BD">
        <w:rPr>
          <w:rFonts w:ascii="Times New Roman" w:hAnsi="Times New Roman" w:cs="Times New Roman"/>
          <w:lang w:val="en-CA"/>
        </w:rPr>
        <w:t xml:space="preserve"> and </w:t>
      </w:r>
      <w:r w:rsidR="00172ABE">
        <w:rPr>
          <w:rFonts w:ascii="Times New Roman" w:hAnsi="Times New Roman" w:cs="Times New Roman"/>
          <w:lang w:val="en-CA"/>
        </w:rPr>
        <w:t>a complete ban and criminalization of</w:t>
      </w:r>
      <w:r w:rsidR="009D005A">
        <w:rPr>
          <w:rFonts w:ascii="Times New Roman" w:hAnsi="Times New Roman" w:cs="Times New Roman"/>
          <w:lang w:val="en-CA"/>
        </w:rPr>
        <w:t xml:space="preserve"> </w:t>
      </w:r>
      <w:r w:rsidR="00725099" w:rsidRPr="002500BD">
        <w:rPr>
          <w:rFonts w:ascii="Times New Roman" w:hAnsi="Times New Roman" w:cs="Times New Roman"/>
          <w:lang w:val="en-CA"/>
        </w:rPr>
        <w:t>abortion in all circumstances,</w:t>
      </w:r>
      <w:r w:rsidR="00725099" w:rsidRPr="002500BD">
        <w:rPr>
          <w:rStyle w:val="EndnoteReference"/>
          <w:rFonts w:ascii="Times New Roman" w:hAnsi="Times New Roman" w:cs="Times New Roman"/>
          <w:lang w:val="en-CA"/>
        </w:rPr>
        <w:endnoteReference w:id="65"/>
      </w:r>
      <w:r w:rsidR="00725099" w:rsidRPr="002500BD">
        <w:rPr>
          <w:rFonts w:ascii="Times New Roman" w:hAnsi="Times New Roman" w:cs="Times New Roman"/>
          <w:lang w:val="en-CA"/>
        </w:rPr>
        <w:t xml:space="preserve"> including rape, </w:t>
      </w:r>
      <w:proofErr w:type="spellStart"/>
      <w:r w:rsidR="00725099" w:rsidRPr="002500BD">
        <w:rPr>
          <w:rFonts w:ascii="Times New Roman" w:hAnsi="Times New Roman" w:cs="Times New Roman"/>
          <w:lang w:val="en-CA"/>
        </w:rPr>
        <w:t>Fausia</w:t>
      </w:r>
      <w:proofErr w:type="spellEnd"/>
      <w:r w:rsidR="00725099" w:rsidRPr="002500BD">
        <w:rPr>
          <w:rFonts w:ascii="Times New Roman" w:hAnsi="Times New Roman" w:cs="Times New Roman"/>
          <w:lang w:val="en-CA"/>
        </w:rPr>
        <w:t xml:space="preserve"> was not able to prevent and</w:t>
      </w:r>
      <w:r w:rsidR="009D005A">
        <w:rPr>
          <w:rFonts w:ascii="Times New Roman" w:hAnsi="Times New Roman" w:cs="Times New Roman"/>
          <w:lang w:val="en-CA"/>
        </w:rPr>
        <w:t xml:space="preserve"> </w:t>
      </w:r>
      <w:r w:rsidR="00E46BE2">
        <w:rPr>
          <w:rFonts w:ascii="Times New Roman" w:hAnsi="Times New Roman" w:cs="Times New Roman"/>
          <w:lang w:val="en-CA"/>
        </w:rPr>
        <w:t>undergo an abortion</w:t>
      </w:r>
      <w:r w:rsidR="00725099" w:rsidRPr="002500BD">
        <w:rPr>
          <w:rFonts w:ascii="Times New Roman" w:hAnsi="Times New Roman" w:cs="Times New Roman"/>
          <w:lang w:val="en-CA"/>
        </w:rPr>
        <w:t>, as she wished to</w:t>
      </w:r>
      <w:r w:rsidR="00414124">
        <w:rPr>
          <w:rFonts w:ascii="Times New Roman" w:hAnsi="Times New Roman" w:cs="Times New Roman"/>
          <w:lang w:val="en-CA"/>
        </w:rPr>
        <w:t xml:space="preserve">. Therefore, </w:t>
      </w:r>
      <w:r w:rsidR="00725099" w:rsidRPr="002500BD">
        <w:rPr>
          <w:rFonts w:ascii="Times New Roman" w:hAnsi="Times New Roman" w:cs="Times New Roman"/>
          <w:lang w:val="en-CA"/>
        </w:rPr>
        <w:t xml:space="preserve">she was forced into an unwanted </w:t>
      </w:r>
      <w:r w:rsidR="006B5452">
        <w:rPr>
          <w:rFonts w:ascii="Times New Roman" w:hAnsi="Times New Roman" w:cs="Times New Roman"/>
          <w:lang w:val="en-CA"/>
        </w:rPr>
        <w:t xml:space="preserve">pregnancy and </w:t>
      </w:r>
      <w:r w:rsidR="00725099" w:rsidRPr="002500BD">
        <w:rPr>
          <w:rFonts w:ascii="Times New Roman" w:hAnsi="Times New Roman" w:cs="Times New Roman"/>
          <w:lang w:val="en-CA"/>
        </w:rPr>
        <w:t>maternity.</w:t>
      </w:r>
    </w:p>
    <w:p w14:paraId="17E90F1A" w14:textId="77777777" w:rsidR="00645E9B" w:rsidRPr="002500BD" w:rsidRDefault="00645E9B" w:rsidP="00414124">
      <w:pPr>
        <w:spacing w:after="0" w:line="240" w:lineRule="auto"/>
        <w:jc w:val="both"/>
        <w:rPr>
          <w:rFonts w:ascii="Times New Roman" w:hAnsi="Times New Roman" w:cs="Times New Roman"/>
          <w:lang w:val="en-CA"/>
        </w:rPr>
      </w:pPr>
    </w:p>
    <w:p w14:paraId="020E7D55" w14:textId="40A31940" w:rsidR="00725099" w:rsidRDefault="00725099" w:rsidP="00414124">
      <w:pPr>
        <w:spacing w:after="0" w:line="240" w:lineRule="auto"/>
        <w:jc w:val="both"/>
        <w:rPr>
          <w:rFonts w:ascii="Times New Roman" w:hAnsi="Times New Roman" w:cs="Times New Roman"/>
          <w:lang w:val="en-CA"/>
        </w:rPr>
      </w:pPr>
      <w:proofErr w:type="spellStart"/>
      <w:r w:rsidRPr="002500BD">
        <w:rPr>
          <w:rFonts w:ascii="Times New Roman" w:hAnsi="Times New Roman" w:cs="Times New Roman"/>
          <w:lang w:val="en-CA"/>
        </w:rPr>
        <w:t>Fausia’s</w:t>
      </w:r>
      <w:proofErr w:type="spellEnd"/>
      <w:r w:rsidRPr="002500BD">
        <w:rPr>
          <w:rFonts w:ascii="Times New Roman" w:hAnsi="Times New Roman" w:cs="Times New Roman"/>
          <w:lang w:val="en-CA"/>
        </w:rPr>
        <w:t xml:space="preserve"> search for justice for the </w:t>
      </w:r>
      <w:r w:rsidRPr="00645E9B">
        <w:rPr>
          <w:rFonts w:ascii="Times New Roman" w:hAnsi="Times New Roman" w:cs="Times New Roman"/>
          <w:lang w:val="en-CA"/>
        </w:rPr>
        <w:t>sexual violence she suffered, led to threats, attacks, and other forms of retaliation against her and her family by the aggressors. Consequently, she and her family were forced to flee their home and ancestral land and</w:t>
      </w:r>
      <w:r w:rsidR="0039728F" w:rsidRPr="00645E9B">
        <w:rPr>
          <w:rFonts w:ascii="Times New Roman" w:hAnsi="Times New Roman" w:cs="Times New Roman"/>
          <w:lang w:val="en-CA"/>
        </w:rPr>
        <w:t>,</w:t>
      </w:r>
      <w:r w:rsidRPr="00645E9B">
        <w:rPr>
          <w:rFonts w:ascii="Times New Roman" w:hAnsi="Times New Roman" w:cs="Times New Roman"/>
          <w:lang w:val="en-CA"/>
        </w:rPr>
        <w:t xml:space="preserve"> due to fear of reprisals and lack of adequate protections measures by the State, they have been forcibly displaced at least </w:t>
      </w:r>
      <w:r w:rsidR="0039728F" w:rsidRPr="00645E9B">
        <w:rPr>
          <w:rFonts w:ascii="Times New Roman" w:hAnsi="Times New Roman" w:cs="Times New Roman"/>
          <w:lang w:val="en-CA"/>
        </w:rPr>
        <w:t>eight</w:t>
      </w:r>
      <w:r w:rsidRPr="00645E9B">
        <w:rPr>
          <w:rFonts w:ascii="Times New Roman" w:hAnsi="Times New Roman" w:cs="Times New Roman"/>
          <w:lang w:val="en-CA"/>
        </w:rPr>
        <w:t xml:space="preserve"> times. This has severely</w:t>
      </w:r>
      <w:r w:rsidRPr="002500BD">
        <w:rPr>
          <w:rFonts w:ascii="Times New Roman" w:hAnsi="Times New Roman" w:cs="Times New Roman"/>
          <w:lang w:val="en-CA"/>
        </w:rPr>
        <w:t xml:space="preserve"> impacted her and her family’s physical and mental health, life, and integrity, as well as their right to cultural heritage and tradition, to self-sufficient livelihood, collective property, and ownership, possession and use of their ancestral territory. To this day, </w:t>
      </w:r>
      <w:proofErr w:type="spellStart"/>
      <w:r w:rsidRPr="002500BD">
        <w:rPr>
          <w:rFonts w:ascii="Times New Roman" w:hAnsi="Times New Roman" w:cs="Times New Roman"/>
          <w:lang w:val="en-CA"/>
        </w:rPr>
        <w:t>Fausia</w:t>
      </w:r>
      <w:proofErr w:type="spellEnd"/>
      <w:r w:rsidRPr="002500BD">
        <w:rPr>
          <w:rFonts w:ascii="Times New Roman" w:hAnsi="Times New Roman" w:cs="Times New Roman"/>
          <w:lang w:val="en-CA"/>
        </w:rPr>
        <w:t xml:space="preserve"> has yet to access justice and reparations for these crimes, nor has she and her family been able to return to their land, even though they have pursued three different recourses – all ineffective. </w:t>
      </w:r>
      <w:proofErr w:type="spellStart"/>
      <w:r w:rsidRPr="002500BD">
        <w:rPr>
          <w:rFonts w:ascii="Times New Roman" w:hAnsi="Times New Roman" w:cs="Times New Roman"/>
          <w:lang w:val="en-CA"/>
        </w:rPr>
        <w:t>Fausia</w:t>
      </w:r>
      <w:proofErr w:type="spellEnd"/>
      <w:r w:rsidRPr="002500BD">
        <w:rPr>
          <w:rFonts w:ascii="Times New Roman" w:hAnsi="Times New Roman" w:cs="Times New Roman"/>
          <w:lang w:val="en-CA"/>
        </w:rPr>
        <w:t xml:space="preserve"> and her family continue to live in hiding and fear, in a situation of extreme vulnerability, which has been further aggravated by the COVID-19 pandemic.</w:t>
      </w:r>
    </w:p>
    <w:p w14:paraId="6EBD240F" w14:textId="77777777" w:rsidR="00645E9B" w:rsidRPr="002500BD" w:rsidRDefault="00645E9B" w:rsidP="00414124">
      <w:pPr>
        <w:spacing w:after="0" w:line="240" w:lineRule="auto"/>
        <w:jc w:val="both"/>
        <w:rPr>
          <w:rFonts w:ascii="Times New Roman" w:hAnsi="Times New Roman" w:cs="Times New Roman"/>
          <w:lang w:val="en-CA"/>
        </w:rPr>
      </w:pPr>
    </w:p>
    <w:p w14:paraId="00EACFEB" w14:textId="305AB1B1" w:rsidR="00725099" w:rsidRPr="008C20D8" w:rsidRDefault="00725099" w:rsidP="00414124">
      <w:pPr>
        <w:spacing w:after="0" w:line="240" w:lineRule="auto"/>
        <w:jc w:val="both"/>
        <w:rPr>
          <w:rFonts w:ascii="Times New Roman" w:hAnsi="Times New Roman" w:cs="Times New Roman"/>
          <w:lang w:val="en-CA"/>
        </w:rPr>
      </w:pPr>
      <w:proofErr w:type="spellStart"/>
      <w:r w:rsidRPr="002500BD">
        <w:rPr>
          <w:rFonts w:ascii="Times New Roman" w:hAnsi="Times New Roman" w:cs="Times New Roman"/>
          <w:lang w:val="en-CA"/>
        </w:rPr>
        <w:t>Fausia’s</w:t>
      </w:r>
      <w:proofErr w:type="spellEnd"/>
      <w:r w:rsidRPr="002500BD">
        <w:rPr>
          <w:rFonts w:ascii="Times New Roman" w:hAnsi="Times New Roman" w:cs="Times New Roman"/>
          <w:lang w:val="en-CA"/>
        </w:rPr>
        <w:t xml:space="preserve"> case is emblematic because it </w:t>
      </w:r>
      <w:r w:rsidR="009D005A">
        <w:rPr>
          <w:rFonts w:ascii="Times New Roman" w:hAnsi="Times New Roman" w:cs="Times New Roman"/>
          <w:lang w:val="en-CA"/>
        </w:rPr>
        <w:t xml:space="preserve">illustrates </w:t>
      </w:r>
      <w:r w:rsidRPr="002500BD">
        <w:rPr>
          <w:rFonts w:ascii="Times New Roman" w:hAnsi="Times New Roman" w:cs="Times New Roman"/>
          <w:lang w:val="en-CA"/>
        </w:rPr>
        <w:t xml:space="preserve">the systemic use of sexual violence against women in Honduras as form of power and gender-based discrimination and violence, which disproportionally impacts indigenous, poor, and rural women, but </w:t>
      </w:r>
      <w:r w:rsidR="008C20D8">
        <w:rPr>
          <w:rFonts w:ascii="Times New Roman" w:hAnsi="Times New Roman" w:cs="Times New Roman"/>
          <w:lang w:val="en-CA"/>
        </w:rPr>
        <w:t>also</w:t>
      </w:r>
      <w:r w:rsidRPr="002500BD">
        <w:rPr>
          <w:rFonts w:ascii="Times New Roman" w:hAnsi="Times New Roman" w:cs="Times New Roman"/>
          <w:lang w:val="en-CA"/>
        </w:rPr>
        <w:t xml:space="preserve"> because it illustrates how rape was (and is) used as a form of direct retaliation for the work of indigenous women who are also land and human rights defender</w:t>
      </w:r>
      <w:r w:rsidR="008C20D8">
        <w:rPr>
          <w:rFonts w:ascii="Times New Roman" w:hAnsi="Times New Roman" w:cs="Times New Roman"/>
          <w:lang w:val="en-CA"/>
        </w:rPr>
        <w:t>s</w:t>
      </w:r>
      <w:r w:rsidRPr="002500BD">
        <w:rPr>
          <w:rFonts w:ascii="Times New Roman" w:hAnsi="Times New Roman" w:cs="Times New Roman"/>
          <w:lang w:val="en-CA"/>
        </w:rPr>
        <w:t xml:space="preserve">, in complete disregard </w:t>
      </w:r>
      <w:r w:rsidR="008C20D8">
        <w:rPr>
          <w:rFonts w:ascii="Times New Roman" w:hAnsi="Times New Roman" w:cs="Times New Roman"/>
          <w:lang w:val="en-CA"/>
        </w:rPr>
        <w:t>of</w:t>
      </w:r>
      <w:r w:rsidRPr="002500BD">
        <w:rPr>
          <w:rFonts w:ascii="Times New Roman" w:hAnsi="Times New Roman" w:cs="Times New Roman"/>
          <w:lang w:val="en-CA"/>
        </w:rPr>
        <w:t xml:space="preserve"> the right to sexual autonomy, privacy and integrity. </w:t>
      </w:r>
      <w:r w:rsidR="008C20D8" w:rsidRPr="008C20D8">
        <w:rPr>
          <w:rFonts w:ascii="Times New Roman" w:hAnsi="Times New Roman" w:cs="Times New Roman"/>
          <w:lang w:val="en-CA"/>
        </w:rPr>
        <w:t>In this context</w:t>
      </w:r>
      <w:r w:rsidRPr="008C20D8">
        <w:rPr>
          <w:rFonts w:ascii="Times New Roman" w:hAnsi="Times New Roman" w:cs="Times New Roman"/>
          <w:lang w:val="en-CA"/>
        </w:rPr>
        <w:t xml:space="preserve">, </w:t>
      </w:r>
      <w:r w:rsidR="000E5CA3">
        <w:rPr>
          <w:rFonts w:ascii="Times New Roman" w:hAnsi="Times New Roman" w:cs="Times New Roman"/>
          <w:lang w:val="en-CA"/>
        </w:rPr>
        <w:t>the rape</w:t>
      </w:r>
      <w:r w:rsidR="009D005A">
        <w:rPr>
          <w:rFonts w:ascii="Times New Roman" w:hAnsi="Times New Roman" w:cs="Times New Roman"/>
          <w:lang w:val="en-CA"/>
        </w:rPr>
        <w:t xml:space="preserve"> </w:t>
      </w:r>
      <w:r w:rsidRPr="008C20D8">
        <w:rPr>
          <w:rFonts w:ascii="Times New Roman" w:hAnsi="Times New Roman" w:cs="Times New Roman"/>
          <w:lang w:val="en-CA"/>
        </w:rPr>
        <w:t>was an instrument of retaliation against her work in the context of a territorial dispute with the view of forcibly displacing her and her family.</w:t>
      </w:r>
    </w:p>
    <w:p w14:paraId="13A6B7AA" w14:textId="77777777" w:rsidR="008C20D8" w:rsidRPr="002500BD" w:rsidRDefault="008C20D8" w:rsidP="00414124">
      <w:pPr>
        <w:spacing w:after="0" w:line="240" w:lineRule="auto"/>
        <w:jc w:val="both"/>
        <w:rPr>
          <w:rFonts w:ascii="Times New Roman" w:hAnsi="Times New Roman" w:cs="Times New Roman"/>
          <w:lang w:val="en-CA"/>
        </w:rPr>
      </w:pPr>
    </w:p>
    <w:p w14:paraId="331291BE" w14:textId="156F40F0" w:rsidR="00FC499F" w:rsidRPr="008C20D8" w:rsidRDefault="00725099" w:rsidP="00414124">
      <w:pPr>
        <w:spacing w:after="0" w:line="240" w:lineRule="auto"/>
        <w:jc w:val="both"/>
        <w:rPr>
          <w:rFonts w:ascii="Times New Roman" w:hAnsi="Times New Roman" w:cs="Times New Roman"/>
          <w:lang w:val="en-CA"/>
        </w:rPr>
      </w:pPr>
      <w:r w:rsidRPr="002500BD">
        <w:rPr>
          <w:rFonts w:ascii="Times New Roman" w:hAnsi="Times New Roman" w:cs="Times New Roman"/>
          <w:lang w:val="en-CA"/>
        </w:rPr>
        <w:t xml:space="preserve">Moreover, </w:t>
      </w:r>
      <w:proofErr w:type="spellStart"/>
      <w:r w:rsidRPr="002500BD">
        <w:rPr>
          <w:rFonts w:ascii="Times New Roman" w:hAnsi="Times New Roman" w:cs="Times New Roman"/>
          <w:lang w:val="en-CA"/>
        </w:rPr>
        <w:t>Fausia</w:t>
      </w:r>
      <w:proofErr w:type="spellEnd"/>
      <w:r w:rsidRPr="002500BD">
        <w:rPr>
          <w:rFonts w:ascii="Times New Roman" w:hAnsi="Times New Roman" w:cs="Times New Roman"/>
          <w:lang w:val="en-CA"/>
        </w:rPr>
        <w:t xml:space="preserve"> never had access to information regarding her sexual and reproductive rights, including the healthcare she needed as a </w:t>
      </w:r>
      <w:r w:rsidR="000F40F3">
        <w:rPr>
          <w:rFonts w:ascii="Times New Roman" w:hAnsi="Times New Roman" w:cs="Times New Roman"/>
          <w:lang w:val="en-CA"/>
        </w:rPr>
        <w:t>survivor</w:t>
      </w:r>
      <w:r w:rsidR="009D005A">
        <w:rPr>
          <w:rFonts w:ascii="Times New Roman" w:hAnsi="Times New Roman" w:cs="Times New Roman"/>
          <w:lang w:val="en-CA"/>
        </w:rPr>
        <w:t xml:space="preserve"> </w:t>
      </w:r>
      <w:r w:rsidRPr="002500BD">
        <w:rPr>
          <w:rFonts w:ascii="Times New Roman" w:hAnsi="Times New Roman" w:cs="Times New Roman"/>
          <w:lang w:val="en-CA"/>
        </w:rPr>
        <w:t xml:space="preserve">of rape, and she was </w:t>
      </w:r>
      <w:r w:rsidR="008C20D8" w:rsidRPr="002500BD">
        <w:rPr>
          <w:rFonts w:ascii="Times New Roman" w:hAnsi="Times New Roman" w:cs="Times New Roman"/>
          <w:lang w:val="en-CA"/>
        </w:rPr>
        <w:t xml:space="preserve">thus </w:t>
      </w:r>
      <w:r w:rsidRPr="002500BD">
        <w:rPr>
          <w:rFonts w:ascii="Times New Roman" w:hAnsi="Times New Roman" w:cs="Times New Roman"/>
          <w:lang w:val="en-CA"/>
        </w:rPr>
        <w:t xml:space="preserve">forced, after an already traumatic experience, into a forced pregnancy and an undesired maternity. </w:t>
      </w:r>
      <w:r w:rsidRPr="008C20D8">
        <w:rPr>
          <w:rFonts w:ascii="Times New Roman" w:hAnsi="Times New Roman" w:cs="Times New Roman"/>
          <w:lang w:val="en-CA"/>
        </w:rPr>
        <w:t xml:space="preserve">As such, </w:t>
      </w:r>
      <w:proofErr w:type="spellStart"/>
      <w:r w:rsidRPr="008C20D8">
        <w:rPr>
          <w:rFonts w:ascii="Times New Roman" w:hAnsi="Times New Roman" w:cs="Times New Roman"/>
          <w:lang w:val="en-CA"/>
        </w:rPr>
        <w:t>Fausia’s</w:t>
      </w:r>
      <w:proofErr w:type="spellEnd"/>
      <w:r w:rsidRPr="008C20D8">
        <w:rPr>
          <w:rFonts w:ascii="Times New Roman" w:hAnsi="Times New Roman" w:cs="Times New Roman"/>
          <w:lang w:val="en-CA"/>
        </w:rPr>
        <w:t xml:space="preserve"> case also exposes the implications that the restrictions and denial of women’s reproductive rights, have on rural, indigenous, poor women, particularly those who are victims of sexual violence.</w:t>
      </w:r>
    </w:p>
    <w:p w14:paraId="4CBDA601" w14:textId="77777777" w:rsidR="00645E9B" w:rsidRPr="002500BD" w:rsidRDefault="00645E9B" w:rsidP="00414124">
      <w:pPr>
        <w:spacing w:after="0" w:line="240" w:lineRule="auto"/>
        <w:jc w:val="both"/>
        <w:rPr>
          <w:rFonts w:ascii="Times New Roman" w:hAnsi="Times New Roman" w:cs="Times New Roman"/>
          <w:lang w:val="en-CA"/>
        </w:rPr>
      </w:pPr>
    </w:p>
    <w:p w14:paraId="1BEE5D19" w14:textId="77F7CAB0" w:rsidR="00725099" w:rsidRPr="00534AEC" w:rsidRDefault="00534AEC" w:rsidP="00534AEC">
      <w:pPr>
        <w:spacing w:after="0" w:line="240" w:lineRule="auto"/>
        <w:jc w:val="both"/>
        <w:rPr>
          <w:rFonts w:ascii="Times New Roman" w:hAnsi="Times New Roman" w:cs="Times New Roman"/>
          <w:b/>
          <w:bCs/>
          <w:lang w:val="en-CA"/>
        </w:rPr>
      </w:pPr>
      <w:r w:rsidRPr="00534AEC">
        <w:rPr>
          <w:rFonts w:ascii="Times New Roman" w:hAnsi="Times New Roman" w:cs="Times New Roman"/>
          <w:b/>
          <w:bCs/>
          <w:lang w:val="en-CA"/>
        </w:rPr>
        <w:t xml:space="preserve">b) </w:t>
      </w:r>
      <w:r w:rsidR="009D005A">
        <w:rPr>
          <w:rFonts w:ascii="Times New Roman" w:hAnsi="Times New Roman" w:cs="Times New Roman"/>
          <w:b/>
          <w:bCs/>
          <w:lang w:val="en-CA"/>
        </w:rPr>
        <w:t xml:space="preserve">The case of </w:t>
      </w:r>
      <w:r w:rsidR="00725099" w:rsidRPr="00534AEC">
        <w:rPr>
          <w:rFonts w:ascii="Times New Roman" w:hAnsi="Times New Roman" w:cs="Times New Roman"/>
          <w:b/>
          <w:bCs/>
          <w:lang w:val="en-CA"/>
        </w:rPr>
        <w:t>Eulogia and her son</w:t>
      </w:r>
      <w:r>
        <w:rPr>
          <w:rFonts w:ascii="Times New Roman" w:hAnsi="Times New Roman" w:cs="Times New Roman"/>
          <w:b/>
          <w:bCs/>
          <w:lang w:val="en-CA"/>
        </w:rPr>
        <w:t>,</w:t>
      </w:r>
      <w:r w:rsidR="00725099" w:rsidRPr="00534AEC">
        <w:rPr>
          <w:rFonts w:ascii="Times New Roman" w:hAnsi="Times New Roman" w:cs="Times New Roman"/>
          <w:b/>
          <w:bCs/>
          <w:lang w:val="en-CA"/>
        </w:rPr>
        <w:t xml:space="preserve"> Sergio vs. Peru</w:t>
      </w:r>
    </w:p>
    <w:p w14:paraId="227657A8" w14:textId="538CDB05" w:rsidR="00725099" w:rsidRPr="002500BD" w:rsidRDefault="00725099" w:rsidP="00414124">
      <w:pPr>
        <w:spacing w:after="0" w:line="240" w:lineRule="auto"/>
        <w:jc w:val="both"/>
        <w:rPr>
          <w:rFonts w:ascii="Times New Roman" w:hAnsi="Times New Roman" w:cs="Times New Roman"/>
          <w:lang w:val="en-CA"/>
        </w:rPr>
      </w:pPr>
      <w:r w:rsidRPr="002500BD">
        <w:rPr>
          <w:rFonts w:ascii="Times New Roman" w:hAnsi="Times New Roman" w:cs="Times New Roman"/>
          <w:lang w:val="en-CA"/>
        </w:rPr>
        <w:t>Eulogia</w:t>
      </w:r>
      <w:r w:rsidR="00534AEC">
        <w:rPr>
          <w:rFonts w:ascii="Times New Roman" w:hAnsi="Times New Roman" w:cs="Times New Roman"/>
          <w:lang w:val="en-CA"/>
        </w:rPr>
        <w:t>,</w:t>
      </w:r>
      <w:r w:rsidRPr="002500BD">
        <w:rPr>
          <w:rStyle w:val="EndnoteReference"/>
          <w:rFonts w:ascii="Times New Roman" w:hAnsi="Times New Roman" w:cs="Times New Roman"/>
          <w:lang w:val="en-CA"/>
        </w:rPr>
        <w:endnoteReference w:id="66"/>
      </w:r>
      <w:r w:rsidRPr="002500BD">
        <w:rPr>
          <w:rFonts w:ascii="Times New Roman" w:hAnsi="Times New Roman" w:cs="Times New Roman"/>
          <w:lang w:val="en-CA"/>
        </w:rPr>
        <w:t xml:space="preserve"> a </w:t>
      </w:r>
      <w:r w:rsidRPr="00534AEC">
        <w:rPr>
          <w:rFonts w:ascii="Times New Roman" w:hAnsi="Times New Roman" w:cs="Times New Roman"/>
          <w:i/>
          <w:iCs/>
          <w:lang w:val="en-CA"/>
        </w:rPr>
        <w:t>campesino</w:t>
      </w:r>
      <w:r w:rsidRPr="002500BD">
        <w:rPr>
          <w:rFonts w:ascii="Times New Roman" w:hAnsi="Times New Roman" w:cs="Times New Roman"/>
          <w:lang w:val="en-CA"/>
        </w:rPr>
        <w:t xml:space="preserve"> woman descendant from the original Quechua people of Peru, did not have access to adequate prenatal controls, healthcare, and information due to the physical and cultural inaccessibility </w:t>
      </w:r>
      <w:r w:rsidR="00B96EB2">
        <w:rPr>
          <w:rFonts w:ascii="Times New Roman" w:hAnsi="Times New Roman" w:cs="Times New Roman"/>
          <w:lang w:val="en-CA"/>
        </w:rPr>
        <w:t xml:space="preserve">of </w:t>
      </w:r>
      <w:r w:rsidRPr="002500BD">
        <w:rPr>
          <w:rFonts w:ascii="Times New Roman" w:hAnsi="Times New Roman" w:cs="Times New Roman"/>
          <w:lang w:val="en-CA"/>
        </w:rPr>
        <w:t>these services</w:t>
      </w:r>
      <w:r w:rsidR="00534AEC" w:rsidRPr="002500BD">
        <w:rPr>
          <w:rFonts w:ascii="Times New Roman" w:hAnsi="Times New Roman" w:cs="Times New Roman"/>
          <w:lang w:val="en-CA"/>
        </w:rPr>
        <w:t>, during her sixth pregnancy</w:t>
      </w:r>
      <w:r w:rsidRPr="002500BD">
        <w:rPr>
          <w:rFonts w:ascii="Times New Roman" w:hAnsi="Times New Roman" w:cs="Times New Roman"/>
          <w:lang w:val="en-CA"/>
        </w:rPr>
        <w:t xml:space="preserve">. On </w:t>
      </w:r>
      <w:r w:rsidR="00B96EB2">
        <w:rPr>
          <w:rFonts w:ascii="Times New Roman" w:hAnsi="Times New Roman" w:cs="Times New Roman"/>
          <w:lang w:val="en-CA"/>
        </w:rPr>
        <w:t xml:space="preserve">10 </w:t>
      </w:r>
      <w:r w:rsidRPr="002500BD">
        <w:rPr>
          <w:rFonts w:ascii="Times New Roman" w:hAnsi="Times New Roman" w:cs="Times New Roman"/>
          <w:lang w:val="en-CA"/>
        </w:rPr>
        <w:t xml:space="preserve">August 2013, when she went into labor, instead of </w:t>
      </w:r>
      <w:r w:rsidR="00E146D2">
        <w:rPr>
          <w:rFonts w:ascii="Times New Roman" w:hAnsi="Times New Roman" w:cs="Times New Roman"/>
          <w:lang w:val="en-CA"/>
        </w:rPr>
        <w:t>respecting her decision of having a homebirth</w:t>
      </w:r>
      <w:r w:rsidRPr="002500BD">
        <w:rPr>
          <w:rFonts w:ascii="Times New Roman" w:hAnsi="Times New Roman" w:cs="Times New Roman"/>
          <w:lang w:val="en-CA"/>
        </w:rPr>
        <w:t xml:space="preserve"> (as she had done so for her other </w:t>
      </w:r>
      <w:r w:rsidR="00B96EB2">
        <w:rPr>
          <w:rFonts w:ascii="Times New Roman" w:hAnsi="Times New Roman" w:cs="Times New Roman"/>
          <w:lang w:val="en-CA"/>
        </w:rPr>
        <w:t>five</w:t>
      </w:r>
      <w:r w:rsidRPr="002500BD">
        <w:rPr>
          <w:rFonts w:ascii="Times New Roman" w:hAnsi="Times New Roman" w:cs="Times New Roman"/>
          <w:lang w:val="en-CA"/>
        </w:rPr>
        <w:t xml:space="preserve"> children), she was forced to go to a health center</w:t>
      </w:r>
      <w:r w:rsidR="007D4A2C" w:rsidRPr="00E146D2">
        <w:rPr>
          <w:rFonts w:ascii="Times New Roman" w:hAnsi="Times New Roman" w:cs="Times New Roman"/>
          <w:lang w:val="en-CA"/>
        </w:rPr>
        <w:t xml:space="preserve">, </w:t>
      </w:r>
      <w:r w:rsidR="00E146D2">
        <w:rPr>
          <w:rFonts w:ascii="Times New Roman" w:hAnsi="Times New Roman" w:cs="Times New Roman"/>
          <w:lang w:val="en-CA"/>
        </w:rPr>
        <w:t>under the threat of both a monetary fine and the withholding of the birth certificate of her child</w:t>
      </w:r>
      <w:r w:rsidRPr="002500BD">
        <w:rPr>
          <w:rFonts w:ascii="Times New Roman" w:hAnsi="Times New Roman" w:cs="Times New Roman"/>
          <w:lang w:val="en-CA"/>
        </w:rPr>
        <w:t xml:space="preserve">. </w:t>
      </w:r>
      <w:r w:rsidR="00E146D2">
        <w:rPr>
          <w:rFonts w:ascii="Times New Roman" w:hAnsi="Times New Roman" w:cs="Times New Roman"/>
          <w:lang w:val="en-CA"/>
        </w:rPr>
        <w:t xml:space="preserve">Once at the health center, instead of receiving the obstetric care she needed, which included her right of having a vertical birth, Eulogia was not provided with assistance in her language, </w:t>
      </w:r>
      <w:r w:rsidR="008047A7">
        <w:rPr>
          <w:rFonts w:ascii="Times New Roman" w:hAnsi="Times New Roman" w:cs="Times New Roman"/>
          <w:lang w:val="en-CA"/>
        </w:rPr>
        <w:t xml:space="preserve">despite being a </w:t>
      </w:r>
      <w:r w:rsidRPr="002500BD">
        <w:rPr>
          <w:rFonts w:ascii="Times New Roman" w:hAnsi="Times New Roman" w:cs="Times New Roman"/>
          <w:lang w:val="en-CA"/>
        </w:rPr>
        <w:t xml:space="preserve">Quechua-speaking woman, and was </w:t>
      </w:r>
      <w:r w:rsidR="00435200">
        <w:rPr>
          <w:rFonts w:ascii="Times New Roman" w:hAnsi="Times New Roman" w:cs="Times New Roman"/>
          <w:lang w:val="en-CA"/>
        </w:rPr>
        <w:t xml:space="preserve">left </w:t>
      </w:r>
      <w:r w:rsidRPr="002500BD">
        <w:rPr>
          <w:rFonts w:ascii="Times New Roman" w:hAnsi="Times New Roman" w:cs="Times New Roman"/>
          <w:lang w:val="en-CA"/>
        </w:rPr>
        <w:t xml:space="preserve">without receiving any care. </w:t>
      </w:r>
      <w:r w:rsidR="008047A7">
        <w:rPr>
          <w:rFonts w:ascii="Times New Roman" w:hAnsi="Times New Roman" w:cs="Times New Roman"/>
          <w:lang w:val="en-CA"/>
        </w:rPr>
        <w:t>Only w</w:t>
      </w:r>
      <w:r w:rsidRPr="002500BD">
        <w:rPr>
          <w:rFonts w:ascii="Times New Roman" w:hAnsi="Times New Roman" w:cs="Times New Roman"/>
          <w:lang w:val="en-CA"/>
        </w:rPr>
        <w:t xml:space="preserve">hen her delivery was imminent, </w:t>
      </w:r>
      <w:r w:rsidR="008047A7">
        <w:rPr>
          <w:rFonts w:ascii="Times New Roman" w:hAnsi="Times New Roman" w:cs="Times New Roman"/>
          <w:lang w:val="en-CA"/>
        </w:rPr>
        <w:t xml:space="preserve">medical personnel approached her and </w:t>
      </w:r>
      <w:r w:rsidRPr="002500BD">
        <w:rPr>
          <w:rFonts w:ascii="Times New Roman" w:hAnsi="Times New Roman" w:cs="Times New Roman"/>
          <w:lang w:val="en-CA"/>
        </w:rPr>
        <w:t>she was violently and physically forced to give birth in a horizontal position against her ancestral customs and</w:t>
      </w:r>
      <w:r w:rsidR="00B96EB2">
        <w:rPr>
          <w:rFonts w:ascii="Times New Roman" w:hAnsi="Times New Roman" w:cs="Times New Roman"/>
          <w:lang w:val="en-CA"/>
        </w:rPr>
        <w:t>,</w:t>
      </w:r>
      <w:r w:rsidRPr="002500BD">
        <w:rPr>
          <w:rFonts w:ascii="Times New Roman" w:hAnsi="Times New Roman" w:cs="Times New Roman"/>
          <w:lang w:val="en-CA"/>
        </w:rPr>
        <w:t xml:space="preserve"> as a result, her son Sergio was hit in the head at the moment of birth. After this violent birthing, Eulogia not only was denied information regarding her son’s health stat</w:t>
      </w:r>
      <w:r w:rsidR="006316AA">
        <w:rPr>
          <w:rFonts w:ascii="Times New Roman" w:hAnsi="Times New Roman" w:cs="Times New Roman"/>
          <w:lang w:val="en-CA"/>
        </w:rPr>
        <w:t>us</w:t>
      </w:r>
      <w:r w:rsidRPr="002500BD">
        <w:rPr>
          <w:rFonts w:ascii="Times New Roman" w:hAnsi="Times New Roman" w:cs="Times New Roman"/>
          <w:lang w:val="en-CA"/>
        </w:rPr>
        <w:t xml:space="preserve">, but she was also forced to shower with cold water against her own will and against her </w:t>
      </w:r>
      <w:r w:rsidR="00E96642">
        <w:rPr>
          <w:rFonts w:ascii="Times New Roman" w:hAnsi="Times New Roman" w:cs="Times New Roman"/>
          <w:lang w:val="en-CA"/>
        </w:rPr>
        <w:t xml:space="preserve">people’s </w:t>
      </w:r>
      <w:r w:rsidRPr="002500BD">
        <w:rPr>
          <w:rFonts w:ascii="Times New Roman" w:hAnsi="Times New Roman" w:cs="Times New Roman"/>
          <w:lang w:val="en-CA"/>
        </w:rPr>
        <w:t>cosmovision that considers cold water as a wound to the body that has just given birth. As a result of the injury Sergio suffered at birth, he had severe health problems and ultimately died at the age of 12.</w:t>
      </w:r>
      <w:r w:rsidRPr="002500BD">
        <w:rPr>
          <w:rStyle w:val="EndnoteReference"/>
          <w:rFonts w:ascii="Times New Roman" w:hAnsi="Times New Roman" w:cs="Times New Roman"/>
          <w:lang w:val="en-CA"/>
        </w:rPr>
        <w:endnoteReference w:id="67"/>
      </w:r>
    </w:p>
    <w:p w14:paraId="15566CA0" w14:textId="77777777" w:rsidR="005B5A28" w:rsidRDefault="005B5A28" w:rsidP="00414124">
      <w:pPr>
        <w:spacing w:after="0" w:line="240" w:lineRule="auto"/>
        <w:jc w:val="both"/>
        <w:rPr>
          <w:rFonts w:ascii="Times New Roman" w:hAnsi="Times New Roman" w:cs="Times New Roman"/>
          <w:lang w:val="en-CA"/>
        </w:rPr>
      </w:pPr>
    </w:p>
    <w:p w14:paraId="63B1E2E8" w14:textId="7B0F251E" w:rsidR="0022546A" w:rsidRDefault="00725099" w:rsidP="008047A7">
      <w:pPr>
        <w:spacing w:after="0" w:line="240" w:lineRule="auto"/>
        <w:jc w:val="both"/>
        <w:rPr>
          <w:rFonts w:ascii="Times New Roman" w:hAnsi="Times New Roman" w:cs="Times New Roman"/>
          <w:lang w:val="en-CA"/>
        </w:rPr>
      </w:pPr>
      <w:r w:rsidRPr="002500BD">
        <w:rPr>
          <w:rFonts w:ascii="Times New Roman" w:hAnsi="Times New Roman" w:cs="Times New Roman"/>
          <w:lang w:val="en-CA"/>
        </w:rPr>
        <w:t xml:space="preserve">Eulogia’s </w:t>
      </w:r>
      <w:r w:rsidRPr="00C31557">
        <w:rPr>
          <w:rFonts w:ascii="Times New Roman" w:hAnsi="Times New Roman" w:cs="Times New Roman"/>
          <w:lang w:val="en-CA"/>
        </w:rPr>
        <w:t>case</w:t>
      </w:r>
      <w:r w:rsidR="005B5A28" w:rsidRPr="00C31557">
        <w:rPr>
          <w:rFonts w:ascii="Times New Roman" w:hAnsi="Times New Roman" w:cs="Times New Roman"/>
          <w:lang w:val="en-CA"/>
        </w:rPr>
        <w:t xml:space="preserve"> </w:t>
      </w:r>
      <w:r w:rsidRPr="00C31557">
        <w:rPr>
          <w:rFonts w:ascii="Times New Roman" w:hAnsi="Times New Roman" w:cs="Times New Roman"/>
          <w:lang w:val="en-CA"/>
        </w:rPr>
        <w:t>reveals, a system of institutionalized gender</w:t>
      </w:r>
      <w:r w:rsidR="00C31557">
        <w:rPr>
          <w:rFonts w:ascii="Times New Roman" w:hAnsi="Times New Roman" w:cs="Times New Roman"/>
          <w:lang w:val="en-CA"/>
        </w:rPr>
        <w:t>-ba</w:t>
      </w:r>
      <w:r w:rsidR="009D005A">
        <w:rPr>
          <w:rFonts w:ascii="Times New Roman" w:hAnsi="Times New Roman" w:cs="Times New Roman"/>
          <w:lang w:val="en-CA"/>
        </w:rPr>
        <w:t>s</w:t>
      </w:r>
      <w:r w:rsidR="00C31557">
        <w:rPr>
          <w:rFonts w:ascii="Times New Roman" w:hAnsi="Times New Roman" w:cs="Times New Roman"/>
          <w:lang w:val="en-CA"/>
        </w:rPr>
        <w:t>ed</w:t>
      </w:r>
      <w:r w:rsidRPr="00C31557">
        <w:rPr>
          <w:rFonts w:ascii="Times New Roman" w:hAnsi="Times New Roman" w:cs="Times New Roman"/>
          <w:lang w:val="en-CA"/>
        </w:rPr>
        <w:t xml:space="preserve"> violence that perpetuates discriminatory stereotypes against indigenous </w:t>
      </w:r>
      <w:r w:rsidR="00C31557">
        <w:rPr>
          <w:rFonts w:ascii="Times New Roman" w:hAnsi="Times New Roman" w:cs="Times New Roman"/>
          <w:lang w:val="en-CA"/>
        </w:rPr>
        <w:t>peoples</w:t>
      </w:r>
      <w:r w:rsidRPr="00C31557">
        <w:rPr>
          <w:rFonts w:ascii="Times New Roman" w:hAnsi="Times New Roman" w:cs="Times New Roman"/>
          <w:lang w:val="en-CA"/>
        </w:rPr>
        <w:t xml:space="preserve">, in particular, indigenous women, and </w:t>
      </w:r>
      <w:r w:rsidRPr="00C31557">
        <w:rPr>
          <w:rFonts w:ascii="Times New Roman" w:hAnsi="Times New Roman" w:cs="Times New Roman"/>
          <w:i/>
          <w:iCs/>
          <w:lang w:val="en-CA"/>
        </w:rPr>
        <w:t>campesino</w:t>
      </w:r>
      <w:r w:rsidRPr="00C31557">
        <w:rPr>
          <w:rFonts w:ascii="Times New Roman" w:hAnsi="Times New Roman" w:cs="Times New Roman"/>
          <w:lang w:val="en-CA"/>
        </w:rPr>
        <w:t>, Quechua-speaking and poor women. Specifically, Eulogia’s treatment during and after birth evidence</w:t>
      </w:r>
      <w:r w:rsidR="00C31557">
        <w:rPr>
          <w:rFonts w:ascii="Times New Roman" w:hAnsi="Times New Roman" w:cs="Times New Roman"/>
          <w:lang w:val="en-CA"/>
        </w:rPr>
        <w:t>s</w:t>
      </w:r>
      <w:r w:rsidRPr="00C31557">
        <w:rPr>
          <w:rFonts w:ascii="Times New Roman" w:hAnsi="Times New Roman" w:cs="Times New Roman"/>
          <w:lang w:val="en-CA"/>
        </w:rPr>
        <w:t xml:space="preserve"> the commission of acts of violence, discrimination and obstetric violence amounting to torture due to the serious impacts to her integrity</w:t>
      </w:r>
      <w:r w:rsidRPr="002500BD">
        <w:rPr>
          <w:rFonts w:ascii="Times New Roman" w:hAnsi="Times New Roman" w:cs="Times New Roman"/>
          <w:lang w:val="en-CA"/>
        </w:rPr>
        <w:t xml:space="preserve">, all of which was aggravated by her condition as pregnant, indigenous, Quechua-speaking peasant and poor woman. The severe and serious impacts that the violence Eulogia suffered before, during and after giving birth were prolonged and intensified </w:t>
      </w:r>
      <w:r w:rsidRPr="002500BD">
        <w:rPr>
          <w:rFonts w:ascii="Times New Roman" w:hAnsi="Times New Roman" w:cs="Times New Roman"/>
          <w:lang w:val="en-CA"/>
        </w:rPr>
        <w:lastRenderedPageBreak/>
        <w:t>during Sergio’s life, not only constituting serious human rights violations but also evidencing the inter-generational impact of these violations.</w:t>
      </w:r>
    </w:p>
    <w:p w14:paraId="0F0FE16B" w14:textId="77777777" w:rsidR="008047A7" w:rsidRPr="008047A7" w:rsidRDefault="008047A7" w:rsidP="008047A7">
      <w:pPr>
        <w:spacing w:after="0" w:line="240" w:lineRule="auto"/>
        <w:jc w:val="both"/>
        <w:rPr>
          <w:rFonts w:ascii="Times New Roman" w:hAnsi="Times New Roman" w:cs="Times New Roman"/>
          <w:lang w:val="en-CA"/>
        </w:rPr>
      </w:pPr>
    </w:p>
    <w:p w14:paraId="47365956" w14:textId="77777777" w:rsidR="0022546A" w:rsidRPr="002500BD" w:rsidRDefault="0022546A" w:rsidP="00414124">
      <w:pPr>
        <w:pStyle w:val="NormalWeb"/>
        <w:shd w:val="clear" w:color="auto" w:fill="FFFFFF"/>
        <w:spacing w:before="0" w:beforeAutospacing="0" w:after="0" w:afterAutospacing="0"/>
        <w:jc w:val="both"/>
        <w:rPr>
          <w:sz w:val="22"/>
          <w:szCs w:val="22"/>
          <w:lang w:val="en-US"/>
        </w:rPr>
      </w:pPr>
    </w:p>
    <w:p w14:paraId="081F308A" w14:textId="1858684C" w:rsidR="00260C59" w:rsidRPr="002500BD" w:rsidRDefault="003D1CAF" w:rsidP="00414124">
      <w:pPr>
        <w:pStyle w:val="ListParagraph"/>
        <w:numPr>
          <w:ilvl w:val="0"/>
          <w:numId w:val="19"/>
        </w:numPr>
        <w:spacing w:after="0" w:line="240" w:lineRule="auto"/>
        <w:jc w:val="both"/>
        <w:rPr>
          <w:rFonts w:ascii="Times New Roman" w:hAnsi="Times New Roman" w:cs="Times New Roman"/>
          <w:b/>
          <w:bCs/>
          <w:u w:val="single"/>
          <w:lang w:val="en-US"/>
        </w:rPr>
      </w:pPr>
      <w:r w:rsidRPr="002500BD">
        <w:rPr>
          <w:rFonts w:ascii="Times New Roman" w:hAnsi="Times New Roman" w:cs="Times New Roman"/>
          <w:b/>
          <w:bCs/>
          <w:u w:val="single"/>
          <w:lang w:val="en-US"/>
        </w:rPr>
        <w:t xml:space="preserve"> </w:t>
      </w:r>
      <w:r w:rsidR="001F5BBE" w:rsidRPr="002500BD">
        <w:rPr>
          <w:rFonts w:ascii="Times New Roman" w:hAnsi="Times New Roman" w:cs="Times New Roman"/>
          <w:b/>
          <w:bCs/>
          <w:u w:val="single"/>
          <w:lang w:val="en-US"/>
        </w:rPr>
        <w:t>Suggested r</w:t>
      </w:r>
      <w:r w:rsidR="00260C59" w:rsidRPr="002500BD">
        <w:rPr>
          <w:rFonts w:ascii="Times New Roman" w:hAnsi="Times New Roman" w:cs="Times New Roman"/>
          <w:b/>
          <w:bCs/>
          <w:u w:val="single"/>
          <w:lang w:val="en-US"/>
        </w:rPr>
        <w:t>ecommendations</w:t>
      </w:r>
    </w:p>
    <w:p w14:paraId="7AA5BD95" w14:textId="1E3E7621" w:rsidR="00845DBE" w:rsidRPr="002500BD" w:rsidRDefault="00845DBE" w:rsidP="00414124">
      <w:pPr>
        <w:spacing w:after="0" w:line="240" w:lineRule="auto"/>
        <w:jc w:val="both"/>
        <w:rPr>
          <w:rFonts w:ascii="Times New Roman" w:hAnsi="Times New Roman" w:cs="Times New Roman"/>
          <w:lang w:val="en-US"/>
        </w:rPr>
      </w:pPr>
      <w:r w:rsidRPr="002500BD">
        <w:rPr>
          <w:rFonts w:ascii="Times New Roman" w:hAnsi="Times New Roman" w:cs="Times New Roman"/>
          <w:lang w:val="en-US"/>
        </w:rPr>
        <w:t>We respectfully suggest that the General Recommendation of the Committee on the rights of indigenous women and girls include clear and specific language and recommendations recognizing:</w:t>
      </w:r>
    </w:p>
    <w:p w14:paraId="35B8BD6F" w14:textId="1864AD29" w:rsidR="00062709" w:rsidRPr="002500BD" w:rsidRDefault="00062709" w:rsidP="00414124">
      <w:pPr>
        <w:spacing w:after="0" w:line="240" w:lineRule="auto"/>
        <w:jc w:val="both"/>
        <w:rPr>
          <w:rFonts w:ascii="Times New Roman" w:hAnsi="Times New Roman" w:cs="Times New Roman"/>
          <w:b/>
          <w:bCs/>
          <w:lang w:val="en-US"/>
        </w:rPr>
      </w:pPr>
    </w:p>
    <w:p w14:paraId="6953CF1D" w14:textId="1B0887C7" w:rsidR="00062709" w:rsidRPr="002500BD" w:rsidRDefault="00062709" w:rsidP="00414124">
      <w:pPr>
        <w:spacing w:after="0" w:line="240" w:lineRule="auto"/>
        <w:jc w:val="both"/>
        <w:rPr>
          <w:rFonts w:ascii="Times New Roman" w:hAnsi="Times New Roman" w:cs="Times New Roman"/>
          <w:b/>
          <w:bCs/>
          <w:lang w:val="en-US"/>
        </w:rPr>
      </w:pPr>
      <w:r w:rsidRPr="002500BD">
        <w:rPr>
          <w:rFonts w:ascii="Times New Roman" w:hAnsi="Times New Roman" w:cs="Times New Roman"/>
          <w:b/>
          <w:bCs/>
          <w:lang w:val="en-US"/>
        </w:rPr>
        <w:t xml:space="preserve">Rights to equality, health, and to be free from violence and discrimination </w:t>
      </w:r>
    </w:p>
    <w:p w14:paraId="00F8BD95" w14:textId="5A3BA7C1" w:rsidR="008A5B56" w:rsidRPr="008A5B56" w:rsidRDefault="008A5B56" w:rsidP="00D70269">
      <w:pPr>
        <w:pStyle w:val="ListParagraph"/>
        <w:numPr>
          <w:ilvl w:val="0"/>
          <w:numId w:val="23"/>
        </w:numPr>
        <w:spacing w:after="0" w:line="240" w:lineRule="auto"/>
        <w:jc w:val="both"/>
        <w:rPr>
          <w:rFonts w:ascii="Times New Roman" w:hAnsi="Times New Roman" w:cs="Times New Roman"/>
          <w:b/>
          <w:bCs/>
          <w:lang w:val="en-US"/>
        </w:rPr>
      </w:pPr>
      <w:r>
        <w:rPr>
          <w:rFonts w:ascii="Times New Roman" w:hAnsi="Times New Roman" w:cs="Times New Roman"/>
          <w:lang w:val="en-US"/>
        </w:rPr>
        <w:t xml:space="preserve">The participation of indigenous peoples, in particular women in the development of culturally sensitive laws, policies and </w:t>
      </w:r>
      <w:proofErr w:type="spellStart"/>
      <w:r>
        <w:rPr>
          <w:rFonts w:ascii="Times New Roman" w:hAnsi="Times New Roman" w:cs="Times New Roman"/>
          <w:lang w:val="en-US"/>
        </w:rPr>
        <w:t>programmes</w:t>
      </w:r>
      <w:proofErr w:type="spellEnd"/>
      <w:r>
        <w:rPr>
          <w:rFonts w:ascii="Times New Roman" w:hAnsi="Times New Roman" w:cs="Times New Roman"/>
          <w:lang w:val="en-US"/>
        </w:rPr>
        <w:t>.</w:t>
      </w:r>
    </w:p>
    <w:p w14:paraId="61EA9B0D" w14:textId="48E7A670" w:rsidR="00D70269" w:rsidRPr="008A5B56" w:rsidRDefault="008A5B56" w:rsidP="00D70269">
      <w:pPr>
        <w:pStyle w:val="ListParagraph"/>
        <w:numPr>
          <w:ilvl w:val="0"/>
          <w:numId w:val="23"/>
        </w:numPr>
        <w:spacing w:after="0" w:line="240" w:lineRule="auto"/>
        <w:jc w:val="both"/>
        <w:rPr>
          <w:rFonts w:ascii="Times New Roman" w:hAnsi="Times New Roman" w:cs="Times New Roman"/>
          <w:b/>
          <w:bCs/>
          <w:lang w:val="en-US"/>
        </w:rPr>
      </w:pPr>
      <w:r>
        <w:rPr>
          <w:rFonts w:ascii="Times New Roman" w:hAnsi="Times New Roman" w:cs="Times New Roman"/>
          <w:lang w:val="en-US"/>
        </w:rPr>
        <w:t>W</w:t>
      </w:r>
      <w:r w:rsidR="00D70269">
        <w:rPr>
          <w:rFonts w:ascii="Times New Roman" w:hAnsi="Times New Roman" w:cs="Times New Roman"/>
          <w:lang w:val="en-US"/>
        </w:rPr>
        <w:t>omen’s right to maternal healthcare, by addressing the root causes of maternal mortality and morbidity, including gender and other forms of inequality, and strive towards the fulfilment of other human rights, including the rights to health and education.</w:t>
      </w:r>
    </w:p>
    <w:p w14:paraId="79E8ECA1" w14:textId="74602A19" w:rsidR="008A5B56" w:rsidRPr="00D70269" w:rsidRDefault="008A5B56" w:rsidP="00D70269">
      <w:pPr>
        <w:pStyle w:val="ListParagraph"/>
        <w:numPr>
          <w:ilvl w:val="0"/>
          <w:numId w:val="23"/>
        </w:numPr>
        <w:spacing w:after="0" w:line="240" w:lineRule="auto"/>
        <w:jc w:val="both"/>
        <w:rPr>
          <w:rFonts w:ascii="Times New Roman" w:hAnsi="Times New Roman" w:cs="Times New Roman"/>
          <w:b/>
          <w:bCs/>
          <w:lang w:val="en-US"/>
        </w:rPr>
      </w:pPr>
      <w:r>
        <w:rPr>
          <w:rFonts w:ascii="Times New Roman" w:hAnsi="Times New Roman" w:cs="Times New Roman"/>
          <w:lang w:val="en-US"/>
        </w:rPr>
        <w:t>Sensitization of healthcare services providers to the cultural differences and development of guidelines and protocols in the health sector that focuses on indigenous peoples and their right to autonomous decision making.</w:t>
      </w:r>
    </w:p>
    <w:p w14:paraId="7DA62A1E" w14:textId="5DD525C7" w:rsidR="00062709" w:rsidRPr="002500BD" w:rsidRDefault="009E69B2" w:rsidP="00414124">
      <w:pPr>
        <w:pStyle w:val="ListParagraph"/>
        <w:numPr>
          <w:ilvl w:val="0"/>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 xml:space="preserve">The incidence on sexual abuse of indigenous women, forced pregnancies and forced motherhood, as a result of the lack of access of </w:t>
      </w:r>
      <w:r w:rsidR="009D005A">
        <w:rPr>
          <w:rFonts w:ascii="Times New Roman" w:hAnsi="Times New Roman" w:cs="Times New Roman"/>
          <w:lang w:val="en-US"/>
        </w:rPr>
        <w:t>sexual and reproductive health services</w:t>
      </w:r>
      <w:r w:rsidRPr="002500BD">
        <w:rPr>
          <w:rFonts w:ascii="Times New Roman" w:hAnsi="Times New Roman" w:cs="Times New Roman"/>
          <w:lang w:val="en-US"/>
        </w:rPr>
        <w:t>, in particular emergency contraception and abortion services.</w:t>
      </w:r>
    </w:p>
    <w:p w14:paraId="17ED7035" w14:textId="55173AF4" w:rsidR="009E69B2" w:rsidRPr="002500BD" w:rsidRDefault="009E69B2" w:rsidP="00414124">
      <w:pPr>
        <w:pStyle w:val="ListParagraph"/>
        <w:numPr>
          <w:ilvl w:val="0"/>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The prevalence of obstetric violence, forced sterilizations and forced medication interventions, due to the lack of information about  women’s health options and the denial and disregard of their autonomy and decision-making capacities, which is a product of the still prevalent gendered, racial and colonial stereotypes.</w:t>
      </w:r>
    </w:p>
    <w:p w14:paraId="0AFC262E" w14:textId="2BA439E4" w:rsidR="00802330" w:rsidRPr="002500BD" w:rsidRDefault="00802330" w:rsidP="00414124">
      <w:pPr>
        <w:pStyle w:val="ListParagraph"/>
        <w:numPr>
          <w:ilvl w:val="0"/>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How indigenous women with intersecting identities – indigenous women and girls, women human rights defenders, indigenous women leaders and activists, living in rural areas and/or with low socio-economic background, having no access to information, education or reproductive health services – are impacted and suffer disproportionately and in cumulative ways the consequences of all forms of violence and discrimination, in particular sexual violence, reproductive violence, and lack of access to sexual and reproductive health services.</w:t>
      </w:r>
    </w:p>
    <w:p w14:paraId="53879A95" w14:textId="45498314" w:rsidR="00F64A7A" w:rsidRPr="002500BD" w:rsidRDefault="00F64A7A" w:rsidP="00414124">
      <w:pPr>
        <w:pStyle w:val="ListParagraph"/>
        <w:numPr>
          <w:ilvl w:val="0"/>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States’ obligation to guarantee access to comprehensive SRHS and rights</w:t>
      </w:r>
      <w:r w:rsidR="00FD17F6">
        <w:rPr>
          <w:rFonts w:ascii="Times New Roman" w:hAnsi="Times New Roman" w:cs="Times New Roman"/>
          <w:lang w:val="en-US"/>
        </w:rPr>
        <w:t xml:space="preserve"> that is culturally sensitive,</w:t>
      </w:r>
      <w:r w:rsidRPr="002500BD">
        <w:rPr>
          <w:rFonts w:ascii="Times New Roman" w:hAnsi="Times New Roman" w:cs="Times New Roman"/>
          <w:lang w:val="en-US"/>
        </w:rPr>
        <w:t xml:space="preserve"> including:</w:t>
      </w:r>
    </w:p>
    <w:p w14:paraId="01181796" w14:textId="07CEDBA6" w:rsidR="00F64A7A" w:rsidRPr="002500BD" w:rsidRDefault="00F64A7A" w:rsidP="00414124">
      <w:pPr>
        <w:pStyle w:val="ListParagraph"/>
        <w:numPr>
          <w:ilvl w:val="1"/>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Emergency contraception, abortion services, access to contraceptives and access to maternal healthcare, with particular care for indigenous women survivors of rape;</w:t>
      </w:r>
    </w:p>
    <w:p w14:paraId="4A4D3373" w14:textId="3CB03852" w:rsidR="00F64A7A" w:rsidRPr="002500BD" w:rsidRDefault="00F64A7A" w:rsidP="00414124">
      <w:pPr>
        <w:pStyle w:val="ListParagraph"/>
        <w:numPr>
          <w:ilvl w:val="1"/>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The implementation of measures, such as telemedicine and other alternative routes for the provision of services that can enable access to SRHS in remote, rural areas or areas with difficult access to technology.</w:t>
      </w:r>
    </w:p>
    <w:p w14:paraId="50D08DF9" w14:textId="619AE073" w:rsidR="00062709" w:rsidRPr="002500BD" w:rsidRDefault="00062709" w:rsidP="00414124">
      <w:pPr>
        <w:spacing w:after="0" w:line="240" w:lineRule="auto"/>
        <w:jc w:val="both"/>
        <w:rPr>
          <w:rFonts w:ascii="Times New Roman" w:hAnsi="Times New Roman" w:cs="Times New Roman"/>
          <w:b/>
          <w:bCs/>
          <w:lang w:val="en-US"/>
        </w:rPr>
      </w:pPr>
    </w:p>
    <w:p w14:paraId="0DA18E32" w14:textId="6CEC04FD" w:rsidR="00F64A7A" w:rsidRPr="002500BD" w:rsidRDefault="00F64A7A" w:rsidP="00414124">
      <w:pPr>
        <w:spacing w:after="0" w:line="240" w:lineRule="auto"/>
        <w:jc w:val="both"/>
        <w:rPr>
          <w:rFonts w:ascii="Times New Roman" w:hAnsi="Times New Roman" w:cs="Times New Roman"/>
          <w:b/>
          <w:bCs/>
          <w:lang w:val="en-US"/>
        </w:rPr>
      </w:pPr>
      <w:r w:rsidRPr="002500BD">
        <w:rPr>
          <w:rFonts w:ascii="Times New Roman" w:hAnsi="Times New Roman" w:cs="Times New Roman"/>
          <w:b/>
          <w:bCs/>
          <w:lang w:val="en-US"/>
        </w:rPr>
        <w:t>Access to justice, reparations and protection</w:t>
      </w:r>
    </w:p>
    <w:p w14:paraId="35885B6A" w14:textId="7AEF79DA" w:rsidR="00F64A7A" w:rsidRPr="002500BD" w:rsidRDefault="00F64A7A" w:rsidP="00414124">
      <w:pPr>
        <w:pStyle w:val="ListParagraph"/>
        <w:numPr>
          <w:ilvl w:val="0"/>
          <w:numId w:val="23"/>
        </w:numPr>
        <w:spacing w:after="0" w:line="240" w:lineRule="auto"/>
        <w:jc w:val="both"/>
        <w:rPr>
          <w:rFonts w:ascii="Times New Roman" w:hAnsi="Times New Roman" w:cs="Times New Roman"/>
          <w:lang w:val="en-US"/>
        </w:rPr>
      </w:pPr>
      <w:r w:rsidRPr="002500BD">
        <w:rPr>
          <w:rFonts w:ascii="Times New Roman" w:hAnsi="Times New Roman" w:cs="Times New Roman"/>
          <w:lang w:val="en-US"/>
        </w:rPr>
        <w:t>The severe consequences and human rights violations resulting from acts of sexual violence, reproductive violence, including obstetric violence, and forced displacement of indigenous women to their and their family’s right to life, health, reproductive health, autonomy, privacy, integrity, not to be subjected to torture or cruel and inhumane treatment, and not to be subjected to violence and discrimination.</w:t>
      </w:r>
    </w:p>
    <w:p w14:paraId="66251C6B" w14:textId="09855424" w:rsidR="00D2061F" w:rsidRPr="002500BD" w:rsidRDefault="00F64A7A" w:rsidP="00414124">
      <w:pPr>
        <w:pStyle w:val="ListParagraph"/>
        <w:numPr>
          <w:ilvl w:val="0"/>
          <w:numId w:val="23"/>
        </w:numPr>
        <w:spacing w:after="0" w:line="240" w:lineRule="auto"/>
        <w:jc w:val="both"/>
        <w:rPr>
          <w:rFonts w:ascii="Times New Roman" w:hAnsi="Times New Roman" w:cs="Times New Roman"/>
          <w:lang w:val="en-US"/>
        </w:rPr>
      </w:pPr>
      <w:r w:rsidRPr="002500BD">
        <w:rPr>
          <w:rFonts w:ascii="Times New Roman" w:hAnsi="Times New Roman" w:cs="Times New Roman"/>
          <w:lang w:val="en-US"/>
        </w:rPr>
        <w:t>States’ obligations to guarantee the right to justice, protective measures and comprehensive rehabilitation</w:t>
      </w:r>
      <w:r w:rsidR="002A2794" w:rsidRPr="002500BD">
        <w:rPr>
          <w:rFonts w:ascii="Times New Roman" w:hAnsi="Times New Roman" w:cs="Times New Roman"/>
          <w:lang w:val="en-US"/>
        </w:rPr>
        <w:t xml:space="preserve">, restitution and reparation measures to indigenous women, in particular for those who have been dispossessed and displaced from their territories, had to flee </w:t>
      </w:r>
      <w:r w:rsidR="006767A5" w:rsidRPr="002500BD">
        <w:rPr>
          <w:rFonts w:ascii="Times New Roman" w:hAnsi="Times New Roman" w:cs="Times New Roman"/>
          <w:lang w:val="en-US"/>
        </w:rPr>
        <w:t>violence, and / or have been victims of rape, obstetric violence, and forced pregnancies, among others.</w:t>
      </w:r>
    </w:p>
    <w:p w14:paraId="1DF40807" w14:textId="5AF98E3E" w:rsidR="00F47A8B" w:rsidRPr="009D005A" w:rsidRDefault="00D2061F" w:rsidP="00414124">
      <w:pPr>
        <w:pStyle w:val="ListParagraph"/>
        <w:numPr>
          <w:ilvl w:val="0"/>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The prevalence of obstetric violence, forced sterilizations and medication interventions, due to the lack of information about the women’s health options and the denial and disregard of their autonomy and decision-making capacities, which is a product of the still prevalent gendered, racial and colonial stereotypes.</w:t>
      </w:r>
    </w:p>
    <w:p w14:paraId="457417C8" w14:textId="77777777" w:rsidR="00051958" w:rsidRDefault="00051958" w:rsidP="00051958">
      <w:pPr>
        <w:spacing w:after="0" w:line="240" w:lineRule="auto"/>
        <w:jc w:val="both"/>
        <w:rPr>
          <w:rFonts w:ascii="Times New Roman" w:hAnsi="Times New Roman" w:cs="Times New Roman"/>
          <w:b/>
          <w:bCs/>
          <w:lang w:val="en-US"/>
        </w:rPr>
      </w:pPr>
    </w:p>
    <w:p w14:paraId="5BEB7F9F" w14:textId="77777777" w:rsidR="008047A7" w:rsidRDefault="008047A7" w:rsidP="00051958">
      <w:pPr>
        <w:spacing w:after="0" w:line="240" w:lineRule="auto"/>
        <w:jc w:val="both"/>
        <w:rPr>
          <w:rFonts w:ascii="Times New Roman" w:hAnsi="Times New Roman" w:cs="Times New Roman"/>
          <w:b/>
          <w:bCs/>
          <w:lang w:val="en-US"/>
        </w:rPr>
      </w:pPr>
    </w:p>
    <w:p w14:paraId="34F09D0C" w14:textId="77777777" w:rsidR="008047A7" w:rsidRDefault="008047A7" w:rsidP="00051958">
      <w:pPr>
        <w:spacing w:after="0" w:line="240" w:lineRule="auto"/>
        <w:jc w:val="both"/>
        <w:rPr>
          <w:rFonts w:ascii="Times New Roman" w:hAnsi="Times New Roman" w:cs="Times New Roman"/>
          <w:b/>
          <w:bCs/>
          <w:lang w:val="en-US"/>
        </w:rPr>
      </w:pPr>
    </w:p>
    <w:p w14:paraId="3586F856" w14:textId="748BDED6" w:rsidR="00051958" w:rsidRPr="002500BD" w:rsidRDefault="00051958" w:rsidP="00051958">
      <w:pPr>
        <w:spacing w:after="0" w:line="240" w:lineRule="auto"/>
        <w:jc w:val="both"/>
        <w:rPr>
          <w:rFonts w:ascii="Times New Roman" w:hAnsi="Times New Roman" w:cs="Times New Roman"/>
          <w:lang w:val="en-CA"/>
        </w:rPr>
      </w:pPr>
      <w:r w:rsidRPr="002500BD">
        <w:rPr>
          <w:rFonts w:ascii="Times New Roman" w:hAnsi="Times New Roman" w:cs="Times New Roman"/>
          <w:b/>
          <w:bCs/>
          <w:lang w:val="en-US"/>
        </w:rPr>
        <w:lastRenderedPageBreak/>
        <w:t xml:space="preserve">Land rights </w:t>
      </w:r>
    </w:p>
    <w:p w14:paraId="15F1D96E" w14:textId="77777777" w:rsidR="00051958" w:rsidRPr="002500BD" w:rsidRDefault="00051958" w:rsidP="00051958">
      <w:pPr>
        <w:pStyle w:val="ListParagraph"/>
        <w:numPr>
          <w:ilvl w:val="0"/>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The prevalence of sexual violence against women as a tool of power and a form of retaliation to install fear and displace indigenous women, leaders and defenders of the land from their ancestral lands and territories.</w:t>
      </w:r>
    </w:p>
    <w:p w14:paraId="7A2F10CC" w14:textId="77777777" w:rsidR="00051958" w:rsidRPr="002500BD" w:rsidRDefault="00051958" w:rsidP="00051958">
      <w:pPr>
        <w:pStyle w:val="ListParagraph"/>
        <w:numPr>
          <w:ilvl w:val="0"/>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The multi-layered impact of forced displacement for their life, integrity, health</w:t>
      </w:r>
      <w:r w:rsidRPr="002500BD">
        <w:rPr>
          <w:rStyle w:val="EndnoteReference"/>
          <w:rFonts w:ascii="Times New Roman" w:hAnsi="Times New Roman" w:cs="Times New Roman"/>
          <w:lang w:val="en-CA"/>
        </w:rPr>
        <w:endnoteReference w:id="68"/>
      </w:r>
      <w:r w:rsidRPr="002500BD">
        <w:rPr>
          <w:rFonts w:ascii="Times New Roman" w:hAnsi="Times New Roman" w:cs="Times New Roman"/>
          <w:lang w:val="en-US"/>
        </w:rPr>
        <w:t xml:space="preserve"> and livelihood of indigenous women and their families and communities.</w:t>
      </w:r>
    </w:p>
    <w:p w14:paraId="45E354EE" w14:textId="165171B9" w:rsidR="00F47A8B" w:rsidRPr="008A5B56" w:rsidRDefault="00051958" w:rsidP="00414124">
      <w:pPr>
        <w:pStyle w:val="ListParagraph"/>
        <w:numPr>
          <w:ilvl w:val="0"/>
          <w:numId w:val="23"/>
        </w:numPr>
        <w:spacing w:after="0" w:line="240" w:lineRule="auto"/>
        <w:jc w:val="both"/>
        <w:rPr>
          <w:rFonts w:ascii="Times New Roman" w:hAnsi="Times New Roman" w:cs="Times New Roman"/>
          <w:b/>
          <w:bCs/>
          <w:lang w:val="en-US"/>
        </w:rPr>
      </w:pPr>
      <w:r w:rsidRPr="002500BD">
        <w:rPr>
          <w:rFonts w:ascii="Times New Roman" w:hAnsi="Times New Roman" w:cs="Times New Roman"/>
          <w:lang w:val="en-US"/>
        </w:rPr>
        <w:t>States’ obligation to ensure and guarantee the political participation and informed consent of indigenous women in all decisions related to the exercise of collective property, which includes a duty to ensure the right of indigenous women to restitution, ownership, possession and use their ancestral lands and territories.</w:t>
      </w:r>
    </w:p>
    <w:sectPr w:rsidR="00F47A8B" w:rsidRPr="008A5B56">
      <w:headerReference w:type="default" r:id="rId11"/>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E7BF" w14:textId="77777777" w:rsidR="00405F46" w:rsidRDefault="00405F46" w:rsidP="00A515E7">
      <w:pPr>
        <w:spacing w:after="0" w:line="240" w:lineRule="auto"/>
      </w:pPr>
      <w:r>
        <w:separator/>
      </w:r>
    </w:p>
  </w:endnote>
  <w:endnote w:type="continuationSeparator" w:id="0">
    <w:p w14:paraId="10D2D6DC" w14:textId="77777777" w:rsidR="00405F46" w:rsidRDefault="00405F46" w:rsidP="00A515E7">
      <w:pPr>
        <w:spacing w:after="0" w:line="240" w:lineRule="auto"/>
      </w:pPr>
      <w:r>
        <w:continuationSeparator/>
      </w:r>
    </w:p>
  </w:endnote>
  <w:endnote w:id="1">
    <w:p w14:paraId="349B68B3" w14:textId="3EBDB83C" w:rsidR="003E6044" w:rsidRPr="002500BD" w:rsidRDefault="003E6044"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Inter-American Commission on Human Rights. </w:t>
      </w:r>
      <w:r w:rsidRPr="002500BD">
        <w:rPr>
          <w:rFonts w:ascii="Times New Roman" w:hAnsi="Times New Roman" w:cs="Times New Roman"/>
          <w:i/>
          <w:iCs/>
          <w:sz w:val="18"/>
          <w:szCs w:val="18"/>
        </w:rPr>
        <w:t>Indigenous Women</w:t>
      </w:r>
      <w:r w:rsidRPr="002500BD">
        <w:rPr>
          <w:rFonts w:ascii="Times New Roman" w:hAnsi="Times New Roman" w:cs="Times New Roman"/>
          <w:sz w:val="18"/>
          <w:szCs w:val="18"/>
        </w:rPr>
        <w:t>.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/V/II. Doc. 44/17. 2017. para 39</w:t>
      </w:r>
      <w:r w:rsidR="0078413F">
        <w:rPr>
          <w:rFonts w:ascii="Times New Roman" w:hAnsi="Times New Roman" w:cs="Times New Roman"/>
          <w:sz w:val="18"/>
          <w:szCs w:val="18"/>
          <w:lang w:val="en-US"/>
        </w:rPr>
        <w:t>, 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1" w:history="1">
        <w:r w:rsidRPr="002500BD">
          <w:rPr>
            <w:rStyle w:val="Hyperlink"/>
            <w:rFonts w:ascii="Times New Roman" w:hAnsi="Times New Roman" w:cs="Times New Roman"/>
            <w:sz w:val="18"/>
            <w:szCs w:val="18"/>
          </w:rPr>
          <w:t>http://www.oas.org/en/iachr/reports/pdfs/IndigenousWomen.pdf</w:t>
        </w:r>
      </w:hyperlink>
      <w:r w:rsidRPr="002500BD">
        <w:rPr>
          <w:rFonts w:ascii="Times New Roman" w:hAnsi="Times New Roman" w:cs="Times New Roman"/>
          <w:sz w:val="18"/>
          <w:szCs w:val="18"/>
        </w:rPr>
        <w:t>; See also: Inter-American Commission on Human Rights</w:t>
      </w:r>
      <w:r w:rsidRPr="002500BD">
        <w:rPr>
          <w:rFonts w:ascii="Times New Roman" w:hAnsi="Times New Roman" w:cs="Times New Roman"/>
          <w:i/>
          <w:iCs/>
          <w:sz w:val="18"/>
          <w:szCs w:val="18"/>
        </w:rPr>
        <w:t xml:space="preserve"> Indigenous Women – Brochure</w:t>
      </w:r>
      <w:r w:rsidRPr="002500BD">
        <w:rPr>
          <w:rFonts w:ascii="Times New Roman" w:hAnsi="Times New Roman" w:cs="Times New Roman"/>
          <w:sz w:val="18"/>
          <w:szCs w:val="18"/>
        </w:rPr>
        <w:t xml:space="preserve"> (2017), p. 1 </w:t>
      </w:r>
      <w:hyperlink r:id="rId2" w:history="1">
        <w:r w:rsidRPr="002500BD">
          <w:rPr>
            <w:rStyle w:val="Hyperlink"/>
            <w:rFonts w:ascii="Times New Roman" w:hAnsi="Times New Roman" w:cs="Times New Roman"/>
            <w:sz w:val="18"/>
            <w:szCs w:val="18"/>
          </w:rPr>
          <w:t>https://www.oas.org/es/cidh/indigenas/docs/pdf/Brochure-MujeresIndigenas.pdf</w:t>
        </w:r>
      </w:hyperlink>
      <w:r w:rsidRPr="002500BD">
        <w:rPr>
          <w:rFonts w:ascii="Times New Roman" w:hAnsi="Times New Roman" w:cs="Times New Roman"/>
          <w:sz w:val="18"/>
          <w:szCs w:val="18"/>
        </w:rPr>
        <w:t xml:space="preserve"> </w:t>
      </w:r>
    </w:p>
  </w:endnote>
  <w:endnote w:id="2">
    <w:p w14:paraId="2C61CB60" w14:textId="3FB12394" w:rsidR="002B1145" w:rsidRPr="002500BD" w:rsidRDefault="002B1145" w:rsidP="002500BD">
      <w:pPr>
        <w:pStyle w:val="EndnoteText"/>
        <w:rPr>
          <w:rFonts w:ascii="Times New Roman" w:hAnsi="Times New Roman" w:cs="Times New Roman"/>
          <w:sz w:val="18"/>
          <w:szCs w:val="18"/>
          <w:lang w:val="es-CO"/>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Inter-American Commission on Human Rights. </w:t>
      </w:r>
      <w:r w:rsidRPr="002500BD">
        <w:rPr>
          <w:rFonts w:ascii="Times New Roman" w:hAnsi="Times New Roman" w:cs="Times New Roman"/>
          <w:i/>
          <w:iCs/>
          <w:sz w:val="18"/>
          <w:szCs w:val="18"/>
        </w:rPr>
        <w:t>Indigenous Women</w:t>
      </w:r>
      <w:r w:rsidRPr="002500BD">
        <w:rPr>
          <w:rFonts w:ascii="Times New Roman" w:hAnsi="Times New Roman" w:cs="Times New Roman"/>
          <w:sz w:val="18"/>
          <w:szCs w:val="18"/>
        </w:rPr>
        <w:t>.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/V/II. Doc. 44/17. 2017. Paras 9, 10, 42</w:t>
      </w:r>
      <w:r w:rsidR="0078413F">
        <w:rPr>
          <w:rFonts w:ascii="Times New Roman" w:hAnsi="Times New Roman" w:cs="Times New Roman"/>
          <w:sz w:val="18"/>
          <w:szCs w:val="18"/>
          <w:lang w:val="en-US"/>
        </w:rPr>
        <w:t>, 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3" w:history="1">
        <w:r w:rsidRPr="002500BD">
          <w:rPr>
            <w:rStyle w:val="Hyperlink"/>
            <w:rFonts w:ascii="Times New Roman" w:hAnsi="Times New Roman" w:cs="Times New Roman"/>
            <w:sz w:val="18"/>
            <w:szCs w:val="18"/>
          </w:rPr>
          <w:t>http://www.oas.org/en/iachr/reports/pdfs/IndigenousWomen.pdf</w:t>
        </w:r>
      </w:hyperlink>
    </w:p>
  </w:endnote>
  <w:endnote w:id="3">
    <w:p w14:paraId="3C2DF3B9" w14:textId="3FAAB885" w:rsidR="00340329" w:rsidRPr="002500BD" w:rsidRDefault="00340329"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Working Group on </w:t>
      </w:r>
      <w:r w:rsidR="0078413F">
        <w:rPr>
          <w:rFonts w:ascii="Times New Roman" w:hAnsi="Times New Roman" w:cs="Times New Roman"/>
          <w:sz w:val="18"/>
          <w:szCs w:val="18"/>
          <w:lang w:val="en-US"/>
        </w:rPr>
        <w:t>d</w:t>
      </w:r>
      <w:proofErr w:type="spellStart"/>
      <w:r w:rsidRPr="002500BD">
        <w:rPr>
          <w:rFonts w:ascii="Times New Roman" w:hAnsi="Times New Roman" w:cs="Times New Roman"/>
          <w:sz w:val="18"/>
          <w:szCs w:val="18"/>
        </w:rPr>
        <w:t>iscrimination</w:t>
      </w:r>
      <w:proofErr w:type="spellEnd"/>
      <w:r w:rsidRPr="002500BD">
        <w:rPr>
          <w:rFonts w:ascii="Times New Roman" w:hAnsi="Times New Roman" w:cs="Times New Roman"/>
          <w:sz w:val="18"/>
          <w:szCs w:val="18"/>
        </w:rPr>
        <w:t xml:space="preserve"> against women and girls</w:t>
      </w:r>
      <w:r w:rsidRPr="002500BD">
        <w:rPr>
          <w:rFonts w:ascii="Times New Roman" w:hAnsi="Times New Roman" w:cs="Times New Roman"/>
          <w:i/>
          <w:iCs/>
          <w:sz w:val="18"/>
          <w:szCs w:val="18"/>
        </w:rPr>
        <w:t>. Women’s and girls’ sexual and reproductive health rights in crisis.</w:t>
      </w:r>
      <w:r w:rsidRPr="002500BD">
        <w:rPr>
          <w:rFonts w:ascii="Times New Roman" w:hAnsi="Times New Roman" w:cs="Times New Roman"/>
          <w:sz w:val="18"/>
          <w:szCs w:val="18"/>
        </w:rPr>
        <w:t xml:space="preserve"> A/HRC/47/38, para. 64; See also: Inter-agency support group on indigenous peoples’ issues. </w:t>
      </w:r>
      <w:r w:rsidRPr="002500BD">
        <w:rPr>
          <w:rFonts w:ascii="Times New Roman" w:hAnsi="Times New Roman" w:cs="Times New Roman"/>
          <w:i/>
          <w:iCs/>
          <w:sz w:val="18"/>
          <w:szCs w:val="18"/>
        </w:rPr>
        <w:t>Thematic paper towards the preparation of the 2014 World Conference on Indigenous Peoples. Elimination and responses to violence, exploitation and abuse of indigenous girls, adolescents and young women</w:t>
      </w:r>
      <w:r w:rsidRPr="002500BD">
        <w:rPr>
          <w:rFonts w:ascii="Times New Roman" w:hAnsi="Times New Roman" w:cs="Times New Roman"/>
          <w:sz w:val="18"/>
          <w:szCs w:val="18"/>
        </w:rPr>
        <w:t xml:space="preserve">. 2014. p. 1. Additionally, in Peru, for example, sexual violence against women was widespread and used as a weapon of war during the Peruvian armed conflict, where 75% of the victims of the conflict were indigenous peoples. Inter-American Commission on Human Rights. </w:t>
      </w:r>
      <w:r w:rsidRPr="002500BD">
        <w:rPr>
          <w:rFonts w:ascii="Times New Roman" w:hAnsi="Times New Roman" w:cs="Times New Roman"/>
          <w:i/>
          <w:iCs/>
          <w:sz w:val="18"/>
          <w:szCs w:val="18"/>
        </w:rPr>
        <w:t>Indigenous Women</w:t>
      </w:r>
      <w:r w:rsidRPr="002500BD">
        <w:rPr>
          <w:rFonts w:ascii="Times New Roman" w:hAnsi="Times New Roman" w:cs="Times New Roman"/>
          <w:sz w:val="18"/>
          <w:szCs w:val="18"/>
        </w:rPr>
        <w:t>.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/V/II. Doc. 44/17. 2017. para 97</w:t>
      </w:r>
      <w:r w:rsidR="0078413F">
        <w:rPr>
          <w:rFonts w:ascii="Times New Roman" w:hAnsi="Times New Roman" w:cs="Times New Roman"/>
          <w:sz w:val="18"/>
          <w:szCs w:val="18"/>
          <w:lang w:val="en-US"/>
        </w:rPr>
        <w:t>, 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4" w:history="1">
        <w:r w:rsidRPr="002500BD">
          <w:rPr>
            <w:rStyle w:val="Hyperlink"/>
            <w:rFonts w:ascii="Times New Roman" w:hAnsi="Times New Roman" w:cs="Times New Roman"/>
            <w:sz w:val="18"/>
            <w:szCs w:val="18"/>
          </w:rPr>
          <w:t>http://www.oas.org/en/iachr/reports/pdfs/IndigenousWomen.pdf</w:t>
        </w:r>
      </w:hyperlink>
    </w:p>
  </w:endnote>
  <w:endnote w:id="4">
    <w:p w14:paraId="037571B2" w14:textId="02F16DBD" w:rsidR="00E43129" w:rsidRPr="002500BD" w:rsidRDefault="00E43129"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0078413F">
        <w:rPr>
          <w:rFonts w:ascii="Times New Roman" w:hAnsi="Times New Roman" w:cs="Times New Roman"/>
          <w:sz w:val="18"/>
          <w:szCs w:val="18"/>
          <w:lang w:val="en-US"/>
        </w:rPr>
        <w:t xml:space="preserve">Center for Reproductive Rights, </w:t>
      </w:r>
      <w:r w:rsidR="0078413F" w:rsidRPr="0078413F">
        <w:rPr>
          <w:rFonts w:ascii="Times New Roman" w:hAnsi="Times New Roman" w:cs="Times New Roman"/>
          <w:i/>
          <w:iCs/>
          <w:sz w:val="18"/>
          <w:szCs w:val="18"/>
          <w:lang w:val="en-US"/>
        </w:rPr>
        <w:t>Breaking Ground 2018: Treaty Monitoring Bodies on Reproductive Rights</w:t>
      </w:r>
      <w:r w:rsidR="0078413F">
        <w:rPr>
          <w:rFonts w:ascii="Times New Roman" w:hAnsi="Times New Roman" w:cs="Times New Roman"/>
          <w:sz w:val="18"/>
          <w:szCs w:val="18"/>
          <w:lang w:val="en-US"/>
        </w:rPr>
        <w:t xml:space="preserve">, 2018, available at: </w:t>
      </w:r>
      <w:hyperlink r:id="rId5" w:history="1">
        <w:r w:rsidR="0078413F">
          <w:rPr>
            <w:rStyle w:val="Hyperlink"/>
            <w:rFonts w:ascii="Times New Roman" w:hAnsi="Times New Roman" w:cs="Times New Roman"/>
            <w:sz w:val="18"/>
            <w:szCs w:val="18"/>
          </w:rPr>
          <w:t>https://reproductiverights.org/breaking-ground-2018-treaty-monitoring-bodies-on-reproductive-rights/</w:t>
        </w:r>
      </w:hyperlink>
    </w:p>
  </w:endnote>
  <w:endnote w:id="5">
    <w:p w14:paraId="671C5FB4" w14:textId="0EB84F61" w:rsidR="00150CBA" w:rsidRPr="0078413F" w:rsidRDefault="00150CBA" w:rsidP="002500BD">
      <w:pPr>
        <w:pStyle w:val="EndnoteText"/>
        <w:rPr>
          <w:rFonts w:ascii="Times New Roman" w:hAnsi="Times New Roman" w:cs="Times New Roman"/>
          <w:i/>
          <w:iCs/>
          <w:sz w:val="18"/>
          <w:szCs w:val="18"/>
          <w:lang w:val="en-US"/>
        </w:rPr>
      </w:pPr>
      <w:r w:rsidRPr="0078413F">
        <w:rPr>
          <w:rStyle w:val="EndnoteReference"/>
          <w:rFonts w:ascii="Times New Roman" w:hAnsi="Times New Roman" w:cs="Times New Roman"/>
          <w:sz w:val="18"/>
          <w:szCs w:val="18"/>
        </w:rPr>
        <w:endnoteRef/>
      </w:r>
      <w:r w:rsidRPr="0078413F">
        <w:rPr>
          <w:rFonts w:ascii="Times New Roman" w:hAnsi="Times New Roman" w:cs="Times New Roman"/>
          <w:sz w:val="18"/>
          <w:szCs w:val="18"/>
        </w:rPr>
        <w:t xml:space="preserve"> </w:t>
      </w:r>
      <w:r w:rsidR="0078413F" w:rsidRPr="0078413F">
        <w:rPr>
          <w:rFonts w:ascii="Times New Roman" w:hAnsi="Times New Roman" w:cs="Times New Roman"/>
          <w:i/>
          <w:iCs/>
          <w:sz w:val="18"/>
          <w:szCs w:val="18"/>
          <w:lang w:val="en-US"/>
        </w:rPr>
        <w:t>Ibid.</w:t>
      </w:r>
      <w:r w:rsidR="0078413F">
        <w:rPr>
          <w:rFonts w:ascii="Times New Roman" w:hAnsi="Times New Roman" w:cs="Times New Roman"/>
          <w:i/>
          <w:iCs/>
          <w:sz w:val="18"/>
          <w:szCs w:val="18"/>
          <w:lang w:val="en-US"/>
        </w:rPr>
        <w:t xml:space="preserve"> </w:t>
      </w:r>
      <w:r w:rsidR="0078413F">
        <w:rPr>
          <w:rFonts w:ascii="Times New Roman" w:hAnsi="Times New Roman" w:cs="Times New Roman"/>
          <w:sz w:val="18"/>
          <w:szCs w:val="18"/>
          <w:lang w:val="en-US"/>
        </w:rPr>
        <w:t xml:space="preserve">See also: </w:t>
      </w:r>
      <w:r w:rsidRPr="002500BD">
        <w:rPr>
          <w:rFonts w:ascii="Times New Roman" w:hAnsi="Times New Roman" w:cs="Times New Roman"/>
          <w:sz w:val="18"/>
          <w:szCs w:val="18"/>
        </w:rPr>
        <w:t>Convention on the Elimination of All Forms of Discrimination against Women, adopted Dec. 18, 1979, art. 1, G.A. Res. 34/180, U.N. GAOR, 34th Sess., Supp. No. 46, at 193, U.N. Doc. A/34/46, U.N.T.S. 13 (entered into force Sept. 3, 1981); International Covenant on Civil and Political Rights, adopted Dec. 16, 1966, art. 3, G.A. Res. 2200A (XXI), U.N. GAOR, 21st Sess., Supp. No. 16, U.N. Doc. A/6316 (1966), 999 U.N.T.S. 171 (entered into force Mar. 23, 1976); International Covenant on Economic, Social and Cultural Rights, adopted Dec. 16, 1966, art. 3, G.A. Res. 2200A (XXI), U.N. GAOR, Supp. No. 16, U.N. Doc. A/6316 (1966) (entered into force Jan. 3, 1976); Convention on the Rights of Persons with Disabilities, adopted Dec. 13, 2006, art, 6, G.A. Res. A/RES/61/106, U.N. GAOR, 61st Sess., U.N. Doc. A/61/611, (entered into force May 3, 2008); Convention on the Rights of the Child, adopted Nov. 20, 1989, art. 29(1)(d), G.A. Res. 44/25, annex, U.N. GAOR, 44th Sess., Supp. No. 49, U.N. Doc. A/44/49 (1989) (entered into force Sept. 2, 1990)</w:t>
      </w:r>
      <w:r w:rsidR="003C7C7B">
        <w:rPr>
          <w:rFonts w:ascii="Times New Roman" w:hAnsi="Times New Roman" w:cs="Times New Roman"/>
          <w:sz w:val="18"/>
          <w:szCs w:val="18"/>
          <w:lang w:val="en-US"/>
        </w:rPr>
        <w:t xml:space="preserve">, </w:t>
      </w:r>
      <w:r w:rsidR="003C7C7B" w:rsidRPr="002500BD">
        <w:rPr>
          <w:rFonts w:ascii="Times New Roman" w:hAnsi="Times New Roman" w:cs="Times New Roman"/>
          <w:sz w:val="18"/>
          <w:szCs w:val="18"/>
        </w:rPr>
        <w:t>Human Rights Committee, Concluding Observations: Cape Verde, para. 8, U.N. Doc. CCPR/C/CPV/CO/1 (2012); Human Rights Committee, Concluding Observations: Jordan, para. 7, U.N. Doc. CCPR/C/JOR/CO/4 (2010); Human Rights Committee, Concluding Observations: Canada, para. 20, U.N. Doc. CCPR/C/79/Add.105 (1999); CEDAW Committee, Gen. Recommendation No. 25, para. 10; CRC Committee, Gen. Comment No. 15, para. 10; CPRD Committee, Concluding Observations: United Kingdom, U.N. Doc. CRPD/C/GBR/CO/1 (2017).</w:t>
      </w:r>
    </w:p>
  </w:endnote>
  <w:endnote w:id="6">
    <w:p w14:paraId="76CAC5C5" w14:textId="7E520338" w:rsidR="00A52B5F" w:rsidRPr="001B6DA6" w:rsidRDefault="00A52B5F"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001B6DA6">
        <w:rPr>
          <w:rFonts w:ascii="Times New Roman" w:hAnsi="Times New Roman" w:cs="Times New Roman"/>
          <w:sz w:val="18"/>
          <w:szCs w:val="18"/>
          <w:lang w:val="en-US"/>
        </w:rPr>
        <w:t>Center for Reproductive Rights</w:t>
      </w:r>
      <w:r w:rsidR="001B6DA6">
        <w:rPr>
          <w:rFonts w:ascii="Times New Roman" w:hAnsi="Times New Roman" w:cs="Times New Roman"/>
          <w:sz w:val="18"/>
          <w:szCs w:val="18"/>
          <w:lang w:val="en-US"/>
        </w:rPr>
        <w:t xml:space="preserve">, </w:t>
      </w:r>
      <w:r w:rsidR="001B6DA6">
        <w:rPr>
          <w:rFonts w:ascii="Times New Roman" w:hAnsi="Times New Roman" w:cs="Times New Roman"/>
          <w:i/>
          <w:iCs/>
          <w:sz w:val="18"/>
          <w:szCs w:val="18"/>
          <w:lang w:val="en-US"/>
        </w:rPr>
        <w:t>op. cit.</w:t>
      </w:r>
      <w:r w:rsidR="001B6DA6">
        <w:rPr>
          <w:rFonts w:ascii="Times New Roman" w:hAnsi="Times New Roman" w:cs="Times New Roman"/>
          <w:sz w:val="18"/>
          <w:szCs w:val="18"/>
          <w:lang w:val="en-US"/>
        </w:rPr>
        <w:t>, note 4.</w:t>
      </w:r>
    </w:p>
  </w:endnote>
  <w:endnote w:id="7">
    <w:p w14:paraId="7CC56CF7" w14:textId="30950284" w:rsidR="000235F9" w:rsidRPr="000235F9" w:rsidRDefault="000235F9">
      <w:pPr>
        <w:pStyle w:val="EndnoteText"/>
        <w:rPr>
          <w:lang w:val="en-US"/>
        </w:rPr>
      </w:pPr>
      <w:r w:rsidRPr="001B6DA6">
        <w:rPr>
          <w:rStyle w:val="EndnoteReference"/>
        </w:rPr>
        <w:endnoteRef/>
      </w:r>
      <w:r w:rsidRPr="001B6DA6">
        <w:t xml:space="preserve"> </w:t>
      </w:r>
      <w:r w:rsidR="00423025">
        <w:rPr>
          <w:rFonts w:ascii="Times New Roman" w:hAnsi="Times New Roman" w:cs="Times New Roman"/>
          <w:sz w:val="18"/>
          <w:szCs w:val="18"/>
          <w:lang w:val="en-US"/>
        </w:rPr>
        <w:t>CESCR</w:t>
      </w:r>
      <w:r w:rsidR="001B6DA6" w:rsidRPr="001B6DA6">
        <w:rPr>
          <w:rFonts w:ascii="Times New Roman" w:hAnsi="Times New Roman" w:cs="Times New Roman"/>
          <w:sz w:val="18"/>
          <w:szCs w:val="18"/>
          <w:lang w:val="en-US"/>
        </w:rPr>
        <w:t xml:space="preserve"> Committee</w:t>
      </w:r>
      <w:r w:rsidRPr="001B6DA6">
        <w:rPr>
          <w:rFonts w:ascii="Times New Roman" w:hAnsi="Times New Roman" w:cs="Times New Roman"/>
          <w:sz w:val="18"/>
          <w:szCs w:val="18"/>
        </w:rPr>
        <w:t>, Gen</w:t>
      </w:r>
      <w:r w:rsidR="001B6DA6" w:rsidRPr="001B6DA6">
        <w:rPr>
          <w:rFonts w:ascii="Times New Roman" w:hAnsi="Times New Roman" w:cs="Times New Roman"/>
          <w:sz w:val="18"/>
          <w:szCs w:val="18"/>
          <w:lang w:val="en-US"/>
        </w:rPr>
        <w:t>.</w:t>
      </w:r>
      <w:r w:rsidRPr="001B6DA6">
        <w:rPr>
          <w:rFonts w:ascii="Times New Roman" w:hAnsi="Times New Roman" w:cs="Times New Roman"/>
          <w:sz w:val="18"/>
          <w:szCs w:val="18"/>
        </w:rPr>
        <w:t xml:space="preserve"> Recommendation No. 2</w:t>
      </w:r>
      <w:r w:rsidRPr="001B6DA6">
        <w:rPr>
          <w:rFonts w:ascii="Times New Roman" w:hAnsi="Times New Roman" w:cs="Times New Roman"/>
          <w:sz w:val="18"/>
          <w:szCs w:val="18"/>
          <w:lang w:val="en-US"/>
        </w:rPr>
        <w:t>2</w:t>
      </w:r>
      <w:r w:rsidR="001B6DA6" w:rsidRPr="001B6DA6">
        <w:rPr>
          <w:rFonts w:ascii="Times New Roman" w:hAnsi="Times New Roman" w:cs="Times New Roman"/>
          <w:sz w:val="18"/>
          <w:szCs w:val="18"/>
          <w:lang w:val="en-US"/>
        </w:rPr>
        <w:t>,</w:t>
      </w:r>
      <w:r w:rsidR="001B6DA6">
        <w:rPr>
          <w:rFonts w:ascii="Times New Roman" w:hAnsi="Times New Roman" w:cs="Times New Roman"/>
          <w:sz w:val="18"/>
          <w:szCs w:val="18"/>
          <w:lang w:val="en-US"/>
        </w:rPr>
        <w:t xml:space="preserve"> para. </w:t>
      </w:r>
      <w:r w:rsidR="00423025">
        <w:rPr>
          <w:rFonts w:ascii="Times New Roman" w:hAnsi="Times New Roman" w:cs="Times New Roman"/>
          <w:sz w:val="18"/>
          <w:szCs w:val="18"/>
          <w:lang w:val="en-US"/>
        </w:rPr>
        <w:t>30.</w:t>
      </w:r>
    </w:p>
  </w:endnote>
  <w:endnote w:id="8">
    <w:p w14:paraId="5E01143D" w14:textId="6836352F" w:rsidR="00B71639" w:rsidRPr="00423025" w:rsidRDefault="00B71639">
      <w:pPr>
        <w:pStyle w:val="EndnoteText"/>
        <w:rPr>
          <w:rFonts w:ascii="Times New Roman" w:hAnsi="Times New Roman" w:cs="Times New Roman"/>
          <w:sz w:val="18"/>
          <w:szCs w:val="18"/>
          <w:lang w:val="en-US"/>
        </w:rPr>
      </w:pPr>
      <w:r w:rsidRPr="00423025">
        <w:rPr>
          <w:rStyle w:val="EndnoteReference"/>
          <w:rFonts w:ascii="Times New Roman" w:hAnsi="Times New Roman" w:cs="Times New Roman"/>
          <w:sz w:val="18"/>
          <w:szCs w:val="18"/>
        </w:rPr>
        <w:endnoteRef/>
      </w:r>
      <w:r w:rsidRPr="00423025">
        <w:rPr>
          <w:rFonts w:ascii="Times New Roman" w:hAnsi="Times New Roman" w:cs="Times New Roman"/>
          <w:sz w:val="18"/>
          <w:szCs w:val="18"/>
        </w:rPr>
        <w:t xml:space="preserve"> </w:t>
      </w:r>
      <w:r w:rsidRPr="00423025">
        <w:rPr>
          <w:rFonts w:ascii="Times New Roman" w:hAnsi="Times New Roman" w:cs="Times New Roman"/>
          <w:sz w:val="18"/>
          <w:szCs w:val="18"/>
          <w:lang w:val="en-US"/>
        </w:rPr>
        <w:t>CEDAW</w:t>
      </w:r>
      <w:r w:rsidR="00A524A1">
        <w:rPr>
          <w:rFonts w:ascii="Times New Roman" w:hAnsi="Times New Roman" w:cs="Times New Roman"/>
          <w:sz w:val="18"/>
          <w:szCs w:val="18"/>
          <w:lang w:val="en-US"/>
        </w:rPr>
        <w:t xml:space="preserve"> Committee</w:t>
      </w:r>
      <w:r w:rsidRPr="00423025">
        <w:rPr>
          <w:rFonts w:ascii="Times New Roman" w:hAnsi="Times New Roman" w:cs="Times New Roman"/>
          <w:sz w:val="18"/>
          <w:szCs w:val="18"/>
          <w:lang w:val="en-US"/>
        </w:rPr>
        <w:t>, General Recommendation No. 34</w:t>
      </w:r>
      <w:r w:rsidR="00423025" w:rsidRPr="00423025">
        <w:rPr>
          <w:rFonts w:ascii="Times New Roman" w:hAnsi="Times New Roman" w:cs="Times New Roman"/>
          <w:sz w:val="18"/>
          <w:szCs w:val="18"/>
          <w:lang w:val="en-US"/>
        </w:rPr>
        <w:t>, para. 14.</w:t>
      </w:r>
    </w:p>
  </w:endnote>
  <w:endnote w:id="9">
    <w:p w14:paraId="40E8223F" w14:textId="7C8340CD" w:rsidR="00CC68EF" w:rsidRPr="00423025" w:rsidRDefault="00CC68EF">
      <w:pPr>
        <w:pStyle w:val="EndnoteText"/>
        <w:rPr>
          <w:rFonts w:ascii="Times New Roman" w:hAnsi="Times New Roman" w:cs="Times New Roman"/>
          <w:sz w:val="18"/>
          <w:szCs w:val="18"/>
          <w:lang w:val="en-US"/>
        </w:rPr>
      </w:pPr>
      <w:r w:rsidRPr="00423025">
        <w:rPr>
          <w:rStyle w:val="EndnoteReference"/>
          <w:rFonts w:ascii="Times New Roman" w:hAnsi="Times New Roman" w:cs="Times New Roman"/>
          <w:sz w:val="18"/>
          <w:szCs w:val="18"/>
        </w:rPr>
        <w:endnoteRef/>
      </w:r>
      <w:r w:rsidRPr="00423025">
        <w:rPr>
          <w:rFonts w:ascii="Times New Roman" w:hAnsi="Times New Roman" w:cs="Times New Roman"/>
          <w:sz w:val="18"/>
          <w:szCs w:val="18"/>
        </w:rPr>
        <w:t xml:space="preserve"> </w:t>
      </w:r>
      <w:r w:rsidRPr="00423025">
        <w:rPr>
          <w:rFonts w:ascii="Times New Roman" w:hAnsi="Times New Roman" w:cs="Times New Roman"/>
          <w:i/>
          <w:iCs/>
          <w:sz w:val="18"/>
          <w:szCs w:val="18"/>
          <w:lang w:val="en-US"/>
        </w:rPr>
        <w:t>Ibid</w:t>
      </w:r>
      <w:r w:rsidR="00423025">
        <w:rPr>
          <w:rFonts w:ascii="Times New Roman" w:hAnsi="Times New Roman" w:cs="Times New Roman"/>
          <w:sz w:val="18"/>
          <w:szCs w:val="18"/>
          <w:lang w:val="en-US"/>
        </w:rPr>
        <w:t>, para. 15.</w:t>
      </w:r>
    </w:p>
  </w:endnote>
  <w:endnote w:id="10">
    <w:p w14:paraId="4D4DFCAA" w14:textId="1379C114" w:rsidR="00BE0B55" w:rsidRPr="002500BD" w:rsidRDefault="00BE0B55"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CEDAW Committee, General Recommendation No. 25: Article 4, para. 9; </w:t>
      </w:r>
      <w:r w:rsidR="004B33E8">
        <w:rPr>
          <w:rFonts w:ascii="Times New Roman" w:hAnsi="Times New Roman" w:cs="Times New Roman"/>
          <w:sz w:val="18"/>
          <w:szCs w:val="18"/>
          <w:lang w:val="en-US"/>
        </w:rPr>
        <w:t>CESCR</w:t>
      </w:r>
      <w:r w:rsidRPr="002500BD">
        <w:rPr>
          <w:rFonts w:ascii="Times New Roman" w:hAnsi="Times New Roman" w:cs="Times New Roman"/>
          <w:sz w:val="18"/>
          <w:szCs w:val="18"/>
        </w:rPr>
        <w:t>, General Comment No. 20, paras. 8, 9 &amp; 39.</w:t>
      </w:r>
    </w:p>
  </w:endnote>
  <w:endnote w:id="11">
    <w:p w14:paraId="43693E0F" w14:textId="17A38181" w:rsidR="00BE0B55" w:rsidRPr="002500BD" w:rsidRDefault="00BE0B55"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CRC Committee, General Comment No. 15, para. 9.</w:t>
      </w:r>
    </w:p>
  </w:endnote>
  <w:endnote w:id="12">
    <w:p w14:paraId="1447B6B0" w14:textId="1E2061B1" w:rsidR="00BE0B55" w:rsidRPr="002500BD" w:rsidRDefault="00BE0B55"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Pr="004B33E8">
        <w:rPr>
          <w:rFonts w:ascii="Times New Roman" w:hAnsi="Times New Roman" w:cs="Times New Roman"/>
          <w:sz w:val="18"/>
          <w:szCs w:val="18"/>
        </w:rPr>
        <w:t>CRPD</w:t>
      </w:r>
      <w:r w:rsidR="007422D9">
        <w:rPr>
          <w:rFonts w:ascii="Times New Roman" w:hAnsi="Times New Roman" w:cs="Times New Roman"/>
          <w:sz w:val="18"/>
          <w:szCs w:val="18"/>
          <w:lang w:val="en-US"/>
        </w:rPr>
        <w:t xml:space="preserve"> Committee</w:t>
      </w:r>
      <w:r w:rsidR="004B33E8">
        <w:rPr>
          <w:rFonts w:ascii="Times New Roman" w:hAnsi="Times New Roman" w:cs="Times New Roman"/>
          <w:sz w:val="18"/>
          <w:szCs w:val="18"/>
          <w:lang w:val="en-US"/>
        </w:rPr>
        <w:t>, General Comment No. 6</w:t>
      </w:r>
      <w:r w:rsidRPr="002500BD">
        <w:rPr>
          <w:rFonts w:ascii="Times New Roman" w:hAnsi="Times New Roman" w:cs="Times New Roman"/>
          <w:sz w:val="18"/>
          <w:szCs w:val="18"/>
        </w:rPr>
        <w:t xml:space="preserve">, </w:t>
      </w:r>
      <w:r w:rsidR="004B33E8">
        <w:rPr>
          <w:rFonts w:ascii="Times New Roman" w:hAnsi="Times New Roman" w:cs="Times New Roman"/>
          <w:sz w:val="18"/>
          <w:szCs w:val="18"/>
          <w:lang w:val="en-US"/>
        </w:rPr>
        <w:t>paras. 19 and 21</w:t>
      </w:r>
      <w:r w:rsidRPr="002500BD">
        <w:rPr>
          <w:rFonts w:ascii="Times New Roman" w:hAnsi="Times New Roman" w:cs="Times New Roman"/>
          <w:sz w:val="18"/>
          <w:szCs w:val="18"/>
        </w:rPr>
        <w:t>; CEDAW Committee, Gen. Recommendation No. 25, para. 12; CEDAW Committee, Gen. Recommendation No. 28, para. 18; ESCR Committee, Gen. Comment No. 20, para. 17; Human Rights Committee, General Comment No. 28, para. 30; CRPD Committee, General Comment No. 3, paras. 3, 4, 38.</w:t>
      </w:r>
    </w:p>
  </w:endnote>
  <w:endnote w:id="13">
    <w:p w14:paraId="073AEEDE" w14:textId="32A134FD" w:rsidR="00BE0B55" w:rsidRPr="002500BD" w:rsidRDefault="00BE0B55" w:rsidP="002500BD">
      <w:pPr>
        <w:spacing w:after="0" w:line="240" w:lineRule="auto"/>
        <w:rPr>
          <w:rFonts w:ascii="Times New Roman" w:hAnsi="Times New Roman" w:cs="Times New Roman"/>
          <w:color w:val="000000"/>
          <w:sz w:val="18"/>
          <w:szCs w:val="18"/>
          <w:shd w:val="clear" w:color="auto" w:fill="FFFFFF"/>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CEDAW Committee, Gen. Recommendation No. 25, paras. 8-10; ESCR Committee, Gen. Comment No. 3, para. 10; Human Rights Committee, Gen. Comment No. 28, para. 3; CEDAW Committee, Gen. Recommendation No. 28, para. 20.</w:t>
      </w:r>
    </w:p>
  </w:endnote>
  <w:endnote w:id="14">
    <w:p w14:paraId="5E2FC26E" w14:textId="76BACD15" w:rsidR="0005285E" w:rsidRPr="002C5F1C" w:rsidRDefault="0005285E" w:rsidP="002500BD">
      <w:pPr>
        <w:pStyle w:val="EndnoteText"/>
        <w:rPr>
          <w:rFonts w:ascii="Times New Roman" w:hAnsi="Times New Roman" w:cs="Times New Roman"/>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Pr="002500BD">
        <w:rPr>
          <w:rFonts w:ascii="Times New Roman" w:hAnsi="Times New Roman" w:cs="Times New Roman"/>
          <w:sz w:val="18"/>
          <w:szCs w:val="18"/>
          <w:lang w:val="en-US"/>
        </w:rPr>
        <w:t>H</w:t>
      </w:r>
      <w:proofErr w:type="spellStart"/>
      <w:r w:rsidRPr="002500BD">
        <w:rPr>
          <w:rFonts w:ascii="Times New Roman" w:hAnsi="Times New Roman" w:cs="Times New Roman"/>
          <w:sz w:val="18"/>
          <w:szCs w:val="18"/>
        </w:rPr>
        <w:t>uman</w:t>
      </w:r>
      <w:proofErr w:type="spellEnd"/>
      <w:r w:rsidRPr="002500BD">
        <w:rPr>
          <w:rFonts w:ascii="Times New Roman" w:hAnsi="Times New Roman" w:cs="Times New Roman"/>
          <w:sz w:val="18"/>
          <w:szCs w:val="18"/>
        </w:rPr>
        <w:t xml:space="preserve"> Rights Committee, Concluding Observations: Cape Verde, para. 8, U.N. Doc. CCPR/C/ CPV/CO/1 (2012); Human Rights Committee, Concluding Observations: Jordan, para. 7, U.N. Doc. CCPR/C/JOR/CO/4 (2010); Human Rights Committee, Concluding Observations: Canada, para. 20, U.N. Doc. CCPR/C/79/Add.105 (1999); CEDAW Committee, Gen. Recommendation No. 25, supra note 3, para. 10; CRC Committee, Gen. Comment No. 15, supra note 4, para. 10; CPRD Committee, Concluding Observations: United Kingdom, U.N. Doc. CRPD/C/GBR/CO/1 (2017)</w:t>
      </w:r>
      <w:r w:rsidR="002C5F1C">
        <w:rPr>
          <w:rFonts w:ascii="Times New Roman" w:hAnsi="Times New Roman" w:cs="Times New Roman"/>
          <w:sz w:val="18"/>
          <w:szCs w:val="18"/>
          <w:lang w:val="en-US"/>
        </w:rPr>
        <w:t>.</w:t>
      </w:r>
    </w:p>
  </w:endnote>
  <w:endnote w:id="15">
    <w:p w14:paraId="7EEB6781" w14:textId="2999D7EC" w:rsidR="00772304" w:rsidRPr="002500BD" w:rsidRDefault="00772304" w:rsidP="002500BD">
      <w:pPr>
        <w:pStyle w:val="EndnoteText"/>
        <w:rPr>
          <w:rFonts w:ascii="Times New Roman" w:hAnsi="Times New Roman" w:cs="Times New Roman"/>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Pr="002500BD">
        <w:rPr>
          <w:rFonts w:ascii="Times New Roman" w:hAnsi="Times New Roman" w:cs="Times New Roman"/>
          <w:sz w:val="18"/>
          <w:szCs w:val="18"/>
          <w:lang w:val="en-US"/>
        </w:rPr>
        <w:t>H</w:t>
      </w:r>
      <w:proofErr w:type="spellStart"/>
      <w:r w:rsidRPr="002500BD">
        <w:rPr>
          <w:rFonts w:ascii="Times New Roman" w:hAnsi="Times New Roman" w:cs="Times New Roman"/>
          <w:sz w:val="18"/>
          <w:szCs w:val="18"/>
        </w:rPr>
        <w:t>uman</w:t>
      </w:r>
      <w:proofErr w:type="spellEnd"/>
      <w:r w:rsidRPr="002500BD">
        <w:rPr>
          <w:rFonts w:ascii="Times New Roman" w:hAnsi="Times New Roman" w:cs="Times New Roman"/>
          <w:sz w:val="18"/>
          <w:szCs w:val="18"/>
        </w:rPr>
        <w:t xml:space="preserve"> Rights Committee, Concluding Observations: Kyrgyzstan, para. 13, U.N. Doc. CCPR/ CO/69/KGZ (2000); CRC Committee, Gen. Comment No. 15, supra note 4, paras. 10, 24.</w:t>
      </w:r>
    </w:p>
  </w:endnote>
  <w:endnote w:id="16">
    <w:p w14:paraId="371AC2B1" w14:textId="4E05F541" w:rsidR="000224C6" w:rsidRPr="002C5F1C" w:rsidRDefault="000224C6" w:rsidP="002500BD">
      <w:pPr>
        <w:pStyle w:val="EndnoteText"/>
        <w:rPr>
          <w:rFonts w:ascii="Times New Roman" w:hAnsi="Times New Roman" w:cs="Times New Roman"/>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CEDAW Committee, Concluding Observations: Argentina, paras. 34-35, U.N. Doc. CEDAW/C/ ARG/CO/7 (2016); CEDAW Committee, Concluding Observations: Thailand, para. 39, U.N. Doc. CEDAW/C/THA/CO/6-7 (2017); CEDAW Committee, Concluding Observations: Congo, para. 36(f), U.N. Doc. CEDAW/C/COG/CO/6 (2012); CRC Committee, Concluding Observations: Central African Republic, para. 55, U.N. Doc. CRC/C/CAF/CO/2 (2017); CRC Committee, Concluding</w:t>
      </w:r>
      <w:r w:rsidRPr="002500BD">
        <w:rPr>
          <w:rFonts w:ascii="Times New Roman" w:hAnsi="Times New Roman" w:cs="Times New Roman"/>
          <w:sz w:val="18"/>
          <w:szCs w:val="18"/>
          <w:lang w:val="en-US"/>
        </w:rPr>
        <w:t xml:space="preserve"> </w:t>
      </w:r>
      <w:r w:rsidRPr="002500BD">
        <w:rPr>
          <w:rFonts w:ascii="Times New Roman" w:hAnsi="Times New Roman" w:cs="Times New Roman"/>
          <w:sz w:val="18"/>
          <w:szCs w:val="18"/>
        </w:rPr>
        <w:t>Observations: Nigeria, paras. 37-38, U.N. Doc. CEDAW/C/NGA/CO/7-8 (2017); ESCR Committee, General Comment No. 16, para. 29; ESCR Committee, Concluding Observations: Namibia, para. 65 (a), U.N. Doc. E/C.12/NAM/CO/1 (2016)</w:t>
      </w:r>
      <w:r w:rsidR="002C5F1C">
        <w:rPr>
          <w:rFonts w:ascii="Times New Roman" w:hAnsi="Times New Roman" w:cs="Times New Roman"/>
          <w:sz w:val="18"/>
          <w:szCs w:val="18"/>
          <w:lang w:val="en-US"/>
        </w:rPr>
        <w:t>.</w:t>
      </w:r>
    </w:p>
  </w:endnote>
  <w:endnote w:id="17">
    <w:p w14:paraId="3AD0FE3D" w14:textId="4D51BB2A" w:rsidR="000224C6" w:rsidRPr="002500BD" w:rsidRDefault="000224C6" w:rsidP="002500BD">
      <w:pPr>
        <w:spacing w:after="0" w:line="240" w:lineRule="auto"/>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See, e.g., CEDAW Committee &amp; CRC Committee, Joint General Recommendation No. 31 &amp; General Comment No. 1</w:t>
      </w:r>
      <w:r w:rsidR="002C5F1C">
        <w:rPr>
          <w:rFonts w:ascii="Times New Roman" w:hAnsi="Times New Roman" w:cs="Times New Roman"/>
          <w:sz w:val="18"/>
          <w:szCs w:val="18"/>
          <w:lang w:val="en-US"/>
        </w:rPr>
        <w:t>8</w:t>
      </w:r>
      <w:r w:rsidRPr="002500BD">
        <w:rPr>
          <w:rFonts w:ascii="Times New Roman" w:hAnsi="Times New Roman" w:cs="Times New Roman"/>
          <w:sz w:val="18"/>
          <w:szCs w:val="18"/>
        </w:rPr>
        <w:t>, paras. 68-9. See also CRC Committee, Concluding Observations: Mongolia, para. 51(a), U.N. Doc. CRC/C/MNG/CO/3-4; ESCR Committee, Concluding Observations: Australia, para. 28, U.N. Doc. E/C.12/AUS/CO/4 (2009).</w:t>
      </w:r>
    </w:p>
  </w:endnote>
  <w:endnote w:id="18">
    <w:p w14:paraId="774CA769" w14:textId="05CBBCFC" w:rsidR="000224C6" w:rsidRPr="002500BD" w:rsidRDefault="000224C6"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Pr="00DD49FE">
        <w:rPr>
          <w:rFonts w:ascii="Times New Roman" w:hAnsi="Times New Roman" w:cs="Times New Roman"/>
          <w:sz w:val="18"/>
          <w:szCs w:val="18"/>
        </w:rPr>
        <w:t>WHO</w:t>
      </w:r>
      <w:r w:rsidRPr="002500BD">
        <w:rPr>
          <w:rFonts w:ascii="Times New Roman" w:hAnsi="Times New Roman" w:cs="Times New Roman"/>
          <w:sz w:val="18"/>
          <w:szCs w:val="18"/>
        </w:rPr>
        <w:t>, About social determinants of health</w:t>
      </w:r>
      <w:r w:rsidR="00DD49FE">
        <w:rPr>
          <w:rFonts w:ascii="Times New Roman" w:hAnsi="Times New Roman" w:cs="Times New Roman"/>
          <w:sz w:val="18"/>
          <w:szCs w:val="18"/>
          <w:lang w:val="en-US"/>
        </w:rPr>
        <w:t xml:space="preserve"> (2017)</w:t>
      </w:r>
      <w:r w:rsidRPr="002500BD">
        <w:rPr>
          <w:rFonts w:ascii="Times New Roman" w:hAnsi="Times New Roman" w:cs="Times New Roman"/>
          <w:sz w:val="18"/>
          <w:szCs w:val="18"/>
        </w:rPr>
        <w:t>, available at</w:t>
      </w:r>
      <w:r w:rsidR="00DD49FE">
        <w:rPr>
          <w:rFonts w:ascii="Times New Roman" w:hAnsi="Times New Roman" w:cs="Times New Roman"/>
          <w:sz w:val="18"/>
          <w:szCs w:val="18"/>
          <w:lang w:val="en-US"/>
        </w:rPr>
        <w:t>:</w:t>
      </w:r>
      <w:r w:rsidRPr="002500BD">
        <w:rPr>
          <w:rFonts w:ascii="Times New Roman" w:hAnsi="Times New Roman" w:cs="Times New Roman"/>
          <w:sz w:val="18"/>
          <w:szCs w:val="18"/>
        </w:rPr>
        <w:t xml:space="preserve"> </w:t>
      </w:r>
      <w:hyperlink r:id="rId6" w:history="1">
        <w:r w:rsidR="002C5F1C" w:rsidRPr="00F258DA">
          <w:rPr>
            <w:rStyle w:val="Hyperlink"/>
            <w:rFonts w:ascii="Times New Roman" w:hAnsi="Times New Roman" w:cs="Times New Roman"/>
            <w:sz w:val="18"/>
            <w:szCs w:val="18"/>
          </w:rPr>
          <w:t>http://www.</w:t>
        </w:r>
        <w:r w:rsidR="002C5F1C" w:rsidRPr="00F258DA">
          <w:rPr>
            <w:rStyle w:val="Hyperlink"/>
            <w:rFonts w:ascii="Times New Roman" w:hAnsi="Times New Roman" w:cs="Times New Roman"/>
            <w:sz w:val="18"/>
            <w:szCs w:val="18"/>
          </w:rPr>
          <w:t>w</w:t>
        </w:r>
        <w:r w:rsidR="002C5F1C" w:rsidRPr="00F258DA">
          <w:rPr>
            <w:rStyle w:val="Hyperlink"/>
            <w:rFonts w:ascii="Times New Roman" w:hAnsi="Times New Roman" w:cs="Times New Roman"/>
            <w:sz w:val="18"/>
            <w:szCs w:val="18"/>
          </w:rPr>
          <w:t>ho.int/social_determinants/sdh_definition/en/</w:t>
        </w:r>
      </w:hyperlink>
      <w:r w:rsidRPr="002500BD">
        <w:rPr>
          <w:rFonts w:ascii="Times New Roman" w:hAnsi="Times New Roman" w:cs="Times New Roman"/>
          <w:sz w:val="18"/>
          <w:szCs w:val="18"/>
        </w:rPr>
        <w:t>.</w:t>
      </w:r>
    </w:p>
  </w:endnote>
  <w:endnote w:id="19">
    <w:p w14:paraId="627A4866" w14:textId="65D5E07F" w:rsidR="009F6255" w:rsidRPr="00DD49FE" w:rsidRDefault="009F6255" w:rsidP="002500BD">
      <w:pPr>
        <w:pStyle w:val="EndnoteText"/>
        <w:rPr>
          <w:rFonts w:ascii="Times New Roman" w:hAnsi="Times New Roman" w:cs="Times New Roman"/>
          <w:i/>
          <w:iCs/>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00DD49FE">
        <w:rPr>
          <w:rFonts w:ascii="Times New Roman" w:hAnsi="Times New Roman" w:cs="Times New Roman"/>
          <w:i/>
          <w:iCs/>
          <w:sz w:val="18"/>
          <w:szCs w:val="18"/>
          <w:lang w:val="en-US"/>
        </w:rPr>
        <w:t>Ibid.</w:t>
      </w:r>
    </w:p>
  </w:endnote>
  <w:endnote w:id="20">
    <w:p w14:paraId="721F8FAC" w14:textId="30D90DEA" w:rsidR="00B5132A" w:rsidRPr="002500BD" w:rsidRDefault="00B5132A" w:rsidP="002500BD">
      <w:pPr>
        <w:spacing w:after="0" w:line="240" w:lineRule="auto"/>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ESCR Committee, Concluding Observations: Australia, para. 28, U.N. Doc. E/C.12/AUS/CO/4 (2009); WHO, About social determinants of health, </w:t>
      </w:r>
      <w:r w:rsidR="00DA3586">
        <w:rPr>
          <w:rFonts w:ascii="Times New Roman" w:hAnsi="Times New Roman" w:cs="Times New Roman"/>
          <w:i/>
          <w:iCs/>
          <w:sz w:val="18"/>
          <w:szCs w:val="18"/>
          <w:lang w:val="en-US"/>
        </w:rPr>
        <w:t>op. cit</w:t>
      </w:r>
      <w:r w:rsidR="00DA3586">
        <w:rPr>
          <w:rFonts w:ascii="Times New Roman" w:hAnsi="Times New Roman" w:cs="Times New Roman"/>
          <w:sz w:val="18"/>
          <w:szCs w:val="18"/>
          <w:lang w:val="en-US"/>
        </w:rPr>
        <w:t>. note 18</w:t>
      </w:r>
      <w:r w:rsidRPr="002500BD">
        <w:rPr>
          <w:rFonts w:ascii="Times New Roman" w:hAnsi="Times New Roman" w:cs="Times New Roman"/>
          <w:sz w:val="18"/>
          <w:szCs w:val="18"/>
        </w:rPr>
        <w:t>.</w:t>
      </w:r>
    </w:p>
    <w:p w14:paraId="034FA35C" w14:textId="6D5D1BB2" w:rsidR="00B5132A" w:rsidRPr="00DA3586" w:rsidRDefault="00B5132A" w:rsidP="002500BD">
      <w:pPr>
        <w:spacing w:after="0" w:line="240" w:lineRule="auto"/>
        <w:rPr>
          <w:rFonts w:ascii="Times New Roman" w:hAnsi="Times New Roman" w:cs="Times New Roman"/>
          <w:b/>
          <w:bCs/>
          <w:i/>
          <w:iCs/>
          <w:color w:val="000000"/>
          <w:sz w:val="18"/>
          <w:szCs w:val="18"/>
          <w:shd w:val="clear" w:color="auto" w:fill="FFFFFF"/>
          <w:lang w:val="it-IT"/>
        </w:rPr>
      </w:pPr>
      <w:r w:rsidRPr="002500BD">
        <w:rPr>
          <w:rFonts w:ascii="Times New Roman" w:hAnsi="Times New Roman" w:cs="Times New Roman"/>
          <w:sz w:val="18"/>
          <w:szCs w:val="18"/>
        </w:rPr>
        <w:t xml:space="preserve">37 </w:t>
      </w:r>
      <w:r w:rsidR="00DA3586" w:rsidRPr="00DA3586">
        <w:rPr>
          <w:rFonts w:ascii="Times New Roman" w:hAnsi="Times New Roman" w:cs="Times New Roman"/>
          <w:i/>
          <w:iCs/>
          <w:sz w:val="18"/>
          <w:szCs w:val="18"/>
          <w:lang w:val="it-IT"/>
        </w:rPr>
        <w:t>I</w:t>
      </w:r>
      <w:r w:rsidR="00DA3586">
        <w:rPr>
          <w:rFonts w:ascii="Times New Roman" w:hAnsi="Times New Roman" w:cs="Times New Roman"/>
          <w:i/>
          <w:iCs/>
          <w:sz w:val="18"/>
          <w:szCs w:val="18"/>
          <w:lang w:val="it-IT"/>
        </w:rPr>
        <w:t>bid.</w:t>
      </w:r>
    </w:p>
  </w:endnote>
  <w:endnote w:id="21">
    <w:p w14:paraId="4FD63206" w14:textId="799B10A9" w:rsidR="00A80F12" w:rsidRPr="00A80F12" w:rsidRDefault="00A80F12">
      <w:pPr>
        <w:pStyle w:val="EndnoteText"/>
        <w:rPr>
          <w:rFonts w:ascii="Times New Roman" w:hAnsi="Times New Roman" w:cs="Times New Roman"/>
          <w:sz w:val="18"/>
          <w:szCs w:val="18"/>
        </w:rPr>
      </w:pPr>
      <w:r w:rsidRPr="00A80F12">
        <w:rPr>
          <w:rStyle w:val="EndnoteReference"/>
          <w:rFonts w:ascii="Times New Roman" w:hAnsi="Times New Roman" w:cs="Times New Roman"/>
          <w:sz w:val="18"/>
          <w:szCs w:val="18"/>
        </w:rPr>
        <w:endnoteRef/>
      </w:r>
      <w:r w:rsidRPr="00A80F12">
        <w:rPr>
          <w:rFonts w:ascii="Times New Roman" w:hAnsi="Times New Roman" w:cs="Times New Roman"/>
          <w:sz w:val="18"/>
          <w:szCs w:val="18"/>
        </w:rPr>
        <w:t xml:space="preserve"> </w:t>
      </w:r>
      <w:proofErr w:type="spellStart"/>
      <w:r w:rsidRPr="00A80F12">
        <w:rPr>
          <w:rFonts w:ascii="Times New Roman" w:hAnsi="Times New Roman" w:cs="Times New Roman"/>
          <w:sz w:val="18"/>
          <w:szCs w:val="18"/>
        </w:rPr>
        <w:t>Alyne</w:t>
      </w:r>
      <w:proofErr w:type="spellEnd"/>
      <w:r w:rsidRPr="00A80F12">
        <w:rPr>
          <w:rFonts w:ascii="Times New Roman" w:hAnsi="Times New Roman" w:cs="Times New Roman"/>
          <w:sz w:val="18"/>
          <w:szCs w:val="18"/>
        </w:rPr>
        <w:t xml:space="preserve"> da Silva Pimentel Teixeira v Brazil, CEDAW Committee, Commc’n No. 17/2008, paras. 7.6- 7.7, U.N. Doc. CEDAW/C/49/D/17/2008 (2011); CRC Committee, Gen. Comment No. 20, para. 59.</w:t>
      </w:r>
    </w:p>
  </w:endnote>
  <w:endnote w:id="22">
    <w:p w14:paraId="384FD7D7" w14:textId="1AF6DE4A" w:rsidR="00016581" w:rsidRPr="00DA3586" w:rsidRDefault="00016581">
      <w:pPr>
        <w:pStyle w:val="EndnoteText"/>
        <w:rPr>
          <w:rFonts w:ascii="Times New Roman" w:hAnsi="Times New Roman" w:cs="Times New Roman"/>
          <w:sz w:val="18"/>
          <w:szCs w:val="18"/>
        </w:rPr>
      </w:pPr>
      <w:r w:rsidRPr="00DA3586">
        <w:rPr>
          <w:rStyle w:val="EndnoteReference"/>
          <w:rFonts w:ascii="Times New Roman" w:hAnsi="Times New Roman" w:cs="Times New Roman"/>
          <w:sz w:val="18"/>
          <w:szCs w:val="18"/>
        </w:rPr>
        <w:endnoteRef/>
      </w:r>
      <w:r w:rsidRPr="00DA3586">
        <w:rPr>
          <w:rFonts w:ascii="Times New Roman" w:hAnsi="Times New Roman" w:cs="Times New Roman"/>
          <w:sz w:val="18"/>
          <w:szCs w:val="18"/>
        </w:rPr>
        <w:t xml:space="preserve"> </w:t>
      </w:r>
      <w:proofErr w:type="spellStart"/>
      <w:r w:rsidR="00DA3586" w:rsidRPr="00DA3586">
        <w:rPr>
          <w:rFonts w:ascii="Times New Roman" w:hAnsi="Times New Roman" w:cs="Times New Roman"/>
          <w:sz w:val="18"/>
          <w:szCs w:val="18"/>
        </w:rPr>
        <w:t>Center</w:t>
      </w:r>
      <w:proofErr w:type="spellEnd"/>
      <w:r w:rsidR="00DA3586" w:rsidRPr="00DA3586">
        <w:rPr>
          <w:rFonts w:ascii="Times New Roman" w:hAnsi="Times New Roman" w:cs="Times New Roman"/>
          <w:sz w:val="18"/>
          <w:szCs w:val="18"/>
          <w:lang w:val="en-US"/>
        </w:rPr>
        <w:t xml:space="preserve"> for Reproductive Rights, </w:t>
      </w:r>
      <w:r w:rsidR="00DA3586" w:rsidRPr="00DA3586">
        <w:rPr>
          <w:rFonts w:ascii="Times New Roman" w:hAnsi="Times New Roman" w:cs="Times New Roman"/>
          <w:i/>
          <w:iCs/>
          <w:sz w:val="18"/>
          <w:szCs w:val="18"/>
          <w:lang w:val="en-US"/>
        </w:rPr>
        <w:t xml:space="preserve">op. cit. </w:t>
      </w:r>
      <w:r w:rsidR="00DA3586" w:rsidRPr="00DA3586">
        <w:rPr>
          <w:rFonts w:ascii="Times New Roman" w:hAnsi="Times New Roman" w:cs="Times New Roman"/>
          <w:sz w:val="18"/>
          <w:szCs w:val="18"/>
          <w:lang w:val="en-US"/>
        </w:rPr>
        <w:t>note 4.</w:t>
      </w:r>
      <w:r w:rsidR="00DA3586" w:rsidRPr="00DA3586">
        <w:rPr>
          <w:rFonts w:ascii="Times New Roman" w:hAnsi="Times New Roman" w:cs="Times New Roman"/>
          <w:sz w:val="18"/>
          <w:szCs w:val="18"/>
        </w:rPr>
        <w:t xml:space="preserve"> </w:t>
      </w:r>
    </w:p>
  </w:endnote>
  <w:endnote w:id="23">
    <w:p w14:paraId="7AA2F1F5" w14:textId="750CB334" w:rsidR="00016581" w:rsidRPr="003B5C16" w:rsidRDefault="00016581">
      <w:pPr>
        <w:pStyle w:val="EndnoteText"/>
        <w:rPr>
          <w:rFonts w:ascii="Times New Roman" w:hAnsi="Times New Roman" w:cs="Times New Roman"/>
          <w:sz w:val="18"/>
          <w:szCs w:val="18"/>
          <w:lang w:val="en-US"/>
        </w:rPr>
      </w:pPr>
      <w:r w:rsidRPr="00016581">
        <w:rPr>
          <w:rStyle w:val="EndnoteReference"/>
          <w:rFonts w:ascii="Times New Roman" w:hAnsi="Times New Roman" w:cs="Times New Roman"/>
          <w:sz w:val="18"/>
          <w:szCs w:val="18"/>
        </w:rPr>
        <w:endnoteRef/>
      </w:r>
      <w:r w:rsidRPr="00016581">
        <w:rPr>
          <w:rFonts w:ascii="Times New Roman" w:hAnsi="Times New Roman" w:cs="Times New Roman"/>
          <w:sz w:val="18"/>
          <w:szCs w:val="18"/>
        </w:rPr>
        <w:t xml:space="preserve"> See, e.g., CEDAW Committee, Concluding Observations: Thailand, paras. 42-43, U.N. Doc. CEDAW/C/THA/CO/6-7 (2017); Lesotho, paras. 32-33, U.N. Doc. CEDAW/C/LSO/CO/1-4 (2011)</w:t>
      </w:r>
      <w:r w:rsidR="003B5C16">
        <w:rPr>
          <w:rFonts w:ascii="Times New Roman" w:hAnsi="Times New Roman" w:cs="Times New Roman"/>
          <w:sz w:val="18"/>
          <w:szCs w:val="18"/>
          <w:lang w:val="en-US"/>
        </w:rPr>
        <w:t>.</w:t>
      </w:r>
    </w:p>
  </w:endnote>
  <w:endnote w:id="24">
    <w:p w14:paraId="19BD5454" w14:textId="5D5D4CA9" w:rsidR="008C20D8" w:rsidRPr="00387290" w:rsidRDefault="008C20D8" w:rsidP="008C20D8">
      <w:pPr>
        <w:pStyle w:val="EndnoteText"/>
        <w:rPr>
          <w:rFonts w:ascii="Times New Roman" w:hAnsi="Times New Roman" w:cs="Times New Roman"/>
          <w:sz w:val="18"/>
          <w:szCs w:val="18"/>
          <w:lang w:val="en-US"/>
        </w:rPr>
      </w:pPr>
      <w:r w:rsidRPr="00387290">
        <w:rPr>
          <w:rStyle w:val="EndnoteReference"/>
          <w:rFonts w:ascii="Times New Roman" w:hAnsi="Times New Roman" w:cs="Times New Roman"/>
          <w:sz w:val="18"/>
          <w:szCs w:val="18"/>
        </w:rPr>
        <w:endnoteRef/>
      </w:r>
      <w:r w:rsidRPr="00387290">
        <w:rPr>
          <w:rFonts w:ascii="Times New Roman" w:hAnsi="Times New Roman" w:cs="Times New Roman"/>
          <w:sz w:val="18"/>
          <w:szCs w:val="18"/>
        </w:rPr>
        <w:t xml:space="preserve"> Working Group of Experts on People of African Descent</w:t>
      </w:r>
      <w:r w:rsidRPr="00387290">
        <w:rPr>
          <w:rFonts w:ascii="Times New Roman" w:hAnsi="Times New Roman" w:cs="Times New Roman"/>
          <w:sz w:val="18"/>
          <w:szCs w:val="18"/>
          <w:lang w:val="en-US"/>
        </w:rPr>
        <w:t xml:space="preserve">, </w:t>
      </w:r>
      <w:r w:rsidRPr="00387290">
        <w:rPr>
          <w:rFonts w:ascii="Times New Roman" w:hAnsi="Times New Roman" w:cs="Times New Roman"/>
          <w:i/>
          <w:iCs/>
          <w:color w:val="000000"/>
          <w:sz w:val="18"/>
          <w:szCs w:val="18"/>
          <w:shd w:val="clear" w:color="auto" w:fill="FFFFFF"/>
        </w:rPr>
        <w:t>Statement on COVID-19: Racial equity and racial equality must guide State action</w:t>
      </w:r>
      <w:r w:rsidRPr="00387290">
        <w:rPr>
          <w:rFonts w:ascii="Times New Roman" w:hAnsi="Times New Roman" w:cs="Times New Roman"/>
          <w:color w:val="000000"/>
          <w:sz w:val="18"/>
          <w:szCs w:val="18"/>
          <w:shd w:val="clear" w:color="auto" w:fill="FFFFFF"/>
          <w:lang w:val="en-US"/>
        </w:rPr>
        <w:t>, 6 April 2020,</w:t>
      </w:r>
      <w:r w:rsidRPr="00387290">
        <w:rPr>
          <w:rFonts w:ascii="Times New Roman" w:hAnsi="Times New Roman" w:cs="Times New Roman"/>
          <w:sz w:val="18"/>
          <w:szCs w:val="18"/>
        </w:rPr>
        <w:t xml:space="preserve"> </w:t>
      </w:r>
      <w:hyperlink r:id="rId7" w:history="1">
        <w:r w:rsidR="00DA3586" w:rsidRPr="00F258DA">
          <w:rPr>
            <w:rStyle w:val="Hyperlink"/>
            <w:rFonts w:ascii="Times New Roman" w:hAnsi="Times New Roman" w:cs="Times New Roman"/>
            <w:sz w:val="18"/>
            <w:szCs w:val="18"/>
          </w:rPr>
          <w:t>https://www.ohchr.org/EN/NewsEvents/Pages/DisplayNews.aspx?NewsID=25768</w:t>
        </w:r>
      </w:hyperlink>
      <w:r w:rsidRPr="00387290">
        <w:rPr>
          <w:rFonts w:ascii="Times New Roman" w:hAnsi="Times New Roman" w:cs="Times New Roman"/>
          <w:sz w:val="18"/>
          <w:szCs w:val="18"/>
        </w:rPr>
        <w:t xml:space="preserve">; Special Rapporteur on </w:t>
      </w:r>
      <w:r w:rsidRPr="00387290">
        <w:rPr>
          <w:rFonts w:ascii="Times New Roman" w:hAnsi="Times New Roman" w:cs="Times New Roman"/>
          <w:sz w:val="18"/>
          <w:szCs w:val="18"/>
          <w:lang w:val="en-US"/>
        </w:rPr>
        <w:t xml:space="preserve">extreme poverty and human rights, </w:t>
      </w:r>
      <w:r w:rsidRPr="00387290">
        <w:rPr>
          <w:rFonts w:ascii="Times New Roman" w:hAnsi="Times New Roman" w:cs="Times New Roman"/>
          <w:i/>
          <w:iCs/>
          <w:color w:val="000000"/>
          <w:sz w:val="18"/>
          <w:szCs w:val="18"/>
          <w:shd w:val="clear" w:color="auto" w:fill="FFFFFF"/>
        </w:rPr>
        <w:t>US COVID-19 strategy failing the poor, says UN expert</w:t>
      </w:r>
      <w:r w:rsidRPr="00387290">
        <w:rPr>
          <w:rFonts w:ascii="Times New Roman" w:hAnsi="Times New Roman" w:cs="Times New Roman"/>
          <w:color w:val="000000"/>
          <w:sz w:val="18"/>
          <w:szCs w:val="18"/>
          <w:shd w:val="clear" w:color="auto" w:fill="FFFFFF"/>
          <w:lang w:val="en-US"/>
        </w:rPr>
        <w:t xml:space="preserve">, April 16, 2020, </w:t>
      </w:r>
      <w:hyperlink r:id="rId8" w:history="1">
        <w:r w:rsidRPr="00387290">
          <w:rPr>
            <w:rStyle w:val="Hyperlink"/>
            <w:rFonts w:ascii="Times New Roman" w:hAnsi="Times New Roman" w:cs="Times New Roman"/>
            <w:sz w:val="18"/>
            <w:szCs w:val="18"/>
          </w:rPr>
          <w:t>https://www.ohchr.org/EN/NewsEvents/Pages/DisplayNews.aspx?NewsID=25798&amp;LangID=E</w:t>
        </w:r>
      </w:hyperlink>
      <w:r w:rsidRPr="00387290">
        <w:rPr>
          <w:rFonts w:ascii="Times New Roman" w:hAnsi="Times New Roman" w:cs="Times New Roman"/>
          <w:sz w:val="18"/>
          <w:szCs w:val="18"/>
        </w:rPr>
        <w:t xml:space="preserve">; Treaty Monitoring Bodies Chairs’ </w:t>
      </w:r>
      <w:r w:rsidRPr="00387290">
        <w:rPr>
          <w:rFonts w:ascii="Times New Roman" w:hAnsi="Times New Roman" w:cs="Times New Roman"/>
          <w:sz w:val="18"/>
          <w:szCs w:val="18"/>
          <w:lang w:val="en-US"/>
        </w:rPr>
        <w:t xml:space="preserve">statement, </w:t>
      </w:r>
      <w:r w:rsidRPr="00387290">
        <w:rPr>
          <w:rFonts w:ascii="Times New Roman" w:hAnsi="Times New Roman" w:cs="Times New Roman"/>
          <w:i/>
          <w:iCs/>
          <w:color w:val="000000"/>
          <w:sz w:val="18"/>
          <w:szCs w:val="18"/>
          <w:shd w:val="clear" w:color="auto" w:fill="FFFFFF"/>
        </w:rPr>
        <w:t>UN Human Rights Treaty Bodies call for human rights approach in fighting COVID-19</w:t>
      </w:r>
      <w:r w:rsidRPr="00387290">
        <w:rPr>
          <w:rFonts w:ascii="Times New Roman" w:hAnsi="Times New Roman" w:cs="Times New Roman"/>
          <w:sz w:val="18"/>
          <w:szCs w:val="18"/>
          <w:lang w:val="en-US"/>
        </w:rPr>
        <w:t>,</w:t>
      </w:r>
      <w:r w:rsidRPr="00387290">
        <w:rPr>
          <w:rFonts w:ascii="Times New Roman" w:hAnsi="Times New Roman" w:cs="Times New Roman"/>
          <w:b/>
          <w:bCs/>
          <w:sz w:val="18"/>
          <w:szCs w:val="18"/>
          <w:lang w:val="en-US"/>
        </w:rPr>
        <w:t xml:space="preserve"> </w:t>
      </w:r>
      <w:hyperlink r:id="rId9" w:history="1">
        <w:r w:rsidRPr="00387290">
          <w:rPr>
            <w:rStyle w:val="Hyperlink"/>
            <w:rFonts w:ascii="Times New Roman" w:hAnsi="Times New Roman" w:cs="Times New Roman"/>
            <w:sz w:val="18"/>
            <w:szCs w:val="18"/>
          </w:rPr>
          <w:t>https://www.ohchr.org/EN/NewsEvents/Pages/DisplayNews.aspx?NewsID=25742&amp;LangID=E</w:t>
        </w:r>
      </w:hyperlink>
      <w:r w:rsidRPr="00387290">
        <w:rPr>
          <w:rFonts w:ascii="Times New Roman" w:hAnsi="Times New Roman" w:cs="Times New Roman"/>
          <w:sz w:val="18"/>
          <w:szCs w:val="18"/>
        </w:rPr>
        <w:t xml:space="preserve">; </w:t>
      </w:r>
      <w:r w:rsidR="003B5C16" w:rsidRPr="00387290">
        <w:rPr>
          <w:rFonts w:ascii="Times New Roman" w:hAnsi="Times New Roman" w:cs="Times New Roman"/>
          <w:sz w:val="18"/>
          <w:szCs w:val="18"/>
        </w:rPr>
        <w:t xml:space="preserve">OHCHR Factsheet, </w:t>
      </w:r>
      <w:r w:rsidR="003B5C16" w:rsidRPr="00387290">
        <w:rPr>
          <w:rFonts w:ascii="Times New Roman" w:hAnsi="Times New Roman" w:cs="Times New Roman"/>
          <w:i/>
          <w:iCs/>
          <w:sz w:val="18"/>
          <w:szCs w:val="18"/>
        </w:rPr>
        <w:t>COVID-19 and Women’s Human Rights</w:t>
      </w:r>
      <w:r w:rsidR="003B5C16" w:rsidRPr="00387290">
        <w:rPr>
          <w:rFonts w:ascii="Times New Roman" w:hAnsi="Times New Roman" w:cs="Times New Roman"/>
          <w:sz w:val="18"/>
          <w:szCs w:val="18"/>
        </w:rPr>
        <w:t>, 15 April 2020</w:t>
      </w:r>
      <w:r w:rsidR="003B5C16" w:rsidRPr="00387290">
        <w:rPr>
          <w:rFonts w:ascii="Times New Roman" w:hAnsi="Times New Roman" w:cs="Times New Roman"/>
          <w:sz w:val="18"/>
          <w:szCs w:val="18"/>
          <w:lang w:val="en-US"/>
        </w:rPr>
        <w:t xml:space="preserve">, </w:t>
      </w:r>
      <w:r w:rsidR="003B5C16" w:rsidRPr="00387290">
        <w:rPr>
          <w:rFonts w:ascii="Times New Roman" w:hAnsi="Times New Roman" w:cs="Times New Roman"/>
          <w:sz w:val="18"/>
          <w:szCs w:val="18"/>
        </w:rPr>
        <w:t xml:space="preserve"> </w:t>
      </w:r>
      <w:hyperlink r:id="rId10" w:history="1">
        <w:r w:rsidR="003B5C16" w:rsidRPr="00387290">
          <w:rPr>
            <w:rStyle w:val="Hyperlink"/>
            <w:rFonts w:ascii="Times New Roman" w:hAnsi="Times New Roman" w:cs="Times New Roman"/>
            <w:sz w:val="18"/>
            <w:szCs w:val="18"/>
          </w:rPr>
          <w:t>www.ohchr.org/</w:t>
        </w:r>
        <w:r w:rsidR="003B5C16" w:rsidRPr="00387290">
          <w:rPr>
            <w:rStyle w:val="Hyperlink"/>
            <w:rFonts w:ascii="Times New Roman" w:hAnsi="Times New Roman" w:cs="Times New Roman"/>
            <w:sz w:val="18"/>
            <w:szCs w:val="18"/>
            <w:lang w:val="en-US"/>
          </w:rPr>
          <w:t>D</w:t>
        </w:r>
        <w:r w:rsidR="003B5C16" w:rsidRPr="00387290">
          <w:rPr>
            <w:rStyle w:val="Hyperlink"/>
            <w:rFonts w:ascii="Times New Roman" w:hAnsi="Times New Roman" w:cs="Times New Roman"/>
            <w:sz w:val="18"/>
            <w:szCs w:val="18"/>
          </w:rPr>
          <w:t>ocuments/Issues/Women/COVID-19_and_Womens_Human_Rights.pdf</w:t>
        </w:r>
      </w:hyperlink>
      <w:r w:rsidRPr="00387290">
        <w:rPr>
          <w:rFonts w:ascii="Times New Roman" w:hAnsi="Times New Roman" w:cs="Times New Roman"/>
          <w:sz w:val="18"/>
          <w:szCs w:val="18"/>
        </w:rPr>
        <w:t>; Compilation of Special Procedures’ statements</w:t>
      </w:r>
      <w:r w:rsidRPr="00387290">
        <w:rPr>
          <w:rFonts w:ascii="Times New Roman" w:hAnsi="Times New Roman" w:cs="Times New Roman"/>
          <w:sz w:val="18"/>
          <w:szCs w:val="18"/>
          <w:lang w:val="en-US"/>
        </w:rPr>
        <w:t>,</w:t>
      </w:r>
      <w:r w:rsidRPr="00387290">
        <w:rPr>
          <w:rFonts w:ascii="Times New Roman" w:hAnsi="Times New Roman" w:cs="Times New Roman"/>
          <w:sz w:val="18"/>
          <w:szCs w:val="18"/>
        </w:rPr>
        <w:t xml:space="preserve"> </w:t>
      </w:r>
      <w:hyperlink r:id="rId11" w:history="1">
        <w:r w:rsidRPr="00387290">
          <w:rPr>
            <w:rStyle w:val="Hyperlink"/>
            <w:rFonts w:ascii="Times New Roman" w:hAnsi="Times New Roman" w:cs="Times New Roman"/>
            <w:sz w:val="18"/>
            <w:szCs w:val="18"/>
          </w:rPr>
          <w:t>https://www.ohchr.org/EN/HRBodies/SP/Pages/COVID-19-and-Special-Procedures.aspx</w:t>
        </w:r>
      </w:hyperlink>
      <w:r w:rsidRPr="00387290">
        <w:rPr>
          <w:rFonts w:ascii="Times New Roman" w:hAnsi="Times New Roman" w:cs="Times New Roman"/>
          <w:sz w:val="18"/>
          <w:szCs w:val="18"/>
          <w:lang w:val="en-US"/>
        </w:rPr>
        <w:t>.</w:t>
      </w:r>
    </w:p>
  </w:endnote>
  <w:endnote w:id="25">
    <w:p w14:paraId="37B95CB4" w14:textId="22F016D2" w:rsidR="003E393E" w:rsidRPr="002500BD" w:rsidRDefault="003E393E"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ECSR Committee, General Comment No. 14, para. 12.</w:t>
      </w:r>
    </w:p>
  </w:endnote>
  <w:endnote w:id="26">
    <w:p w14:paraId="4759F3BF" w14:textId="76EECF43" w:rsidR="00B743EA" w:rsidRPr="00896740" w:rsidRDefault="00B743EA">
      <w:pPr>
        <w:pStyle w:val="EndnoteText"/>
        <w:rPr>
          <w:rFonts w:ascii="Times New Roman" w:hAnsi="Times New Roman" w:cs="Times New Roman"/>
          <w:sz w:val="18"/>
          <w:szCs w:val="18"/>
        </w:rPr>
      </w:pPr>
      <w:r w:rsidRPr="00896740">
        <w:rPr>
          <w:rStyle w:val="EndnoteReference"/>
          <w:rFonts w:ascii="Times New Roman" w:hAnsi="Times New Roman" w:cs="Times New Roman"/>
          <w:sz w:val="18"/>
          <w:szCs w:val="18"/>
        </w:rPr>
        <w:endnoteRef/>
      </w:r>
      <w:r w:rsidRPr="00896740">
        <w:rPr>
          <w:rFonts w:ascii="Times New Roman" w:hAnsi="Times New Roman" w:cs="Times New Roman"/>
          <w:sz w:val="18"/>
          <w:szCs w:val="18"/>
        </w:rPr>
        <w:t xml:space="preserve"> </w:t>
      </w:r>
      <w:r w:rsidR="00896740" w:rsidRPr="00896740">
        <w:rPr>
          <w:rFonts w:ascii="Times New Roman" w:hAnsi="Times New Roman" w:cs="Times New Roman"/>
          <w:sz w:val="18"/>
          <w:szCs w:val="18"/>
          <w:lang w:val="en-US"/>
        </w:rPr>
        <w:t xml:space="preserve">UNFPA, The Danish Institute for Human Rights, OHCHR, </w:t>
      </w:r>
      <w:r w:rsidR="00896740" w:rsidRPr="00896740">
        <w:rPr>
          <w:rFonts w:ascii="Times New Roman" w:hAnsi="Times New Roman" w:cs="Times New Roman"/>
          <w:i/>
          <w:iCs/>
          <w:sz w:val="18"/>
          <w:szCs w:val="18"/>
          <w:lang w:val="en-US"/>
        </w:rPr>
        <w:t>Reproductive Rights are Human Rights: A Handbook for National Human Rights Institutions</w:t>
      </w:r>
      <w:r w:rsidR="00896740" w:rsidRPr="00896740">
        <w:rPr>
          <w:rFonts w:ascii="Times New Roman" w:hAnsi="Times New Roman" w:cs="Times New Roman"/>
          <w:sz w:val="18"/>
          <w:szCs w:val="18"/>
          <w:lang w:val="en-US"/>
        </w:rPr>
        <w:t>, 2014, p</w:t>
      </w:r>
      <w:r w:rsidR="00896740" w:rsidRPr="00896740">
        <w:rPr>
          <w:rFonts w:ascii="Times New Roman" w:hAnsi="Times New Roman" w:cs="Times New Roman"/>
          <w:sz w:val="18"/>
          <w:szCs w:val="18"/>
        </w:rPr>
        <w:t>. 84, available</w:t>
      </w:r>
      <w:r w:rsidR="00896740" w:rsidRPr="00896740">
        <w:rPr>
          <w:rFonts w:ascii="Times New Roman" w:hAnsi="Times New Roman" w:cs="Times New Roman"/>
          <w:sz w:val="18"/>
          <w:szCs w:val="18"/>
          <w:lang w:val="en-US"/>
        </w:rPr>
        <w:t xml:space="preserve"> at: </w:t>
      </w:r>
      <w:hyperlink r:id="rId12" w:history="1">
        <w:r w:rsidR="00DE0A68" w:rsidRPr="00F258DA">
          <w:rPr>
            <w:rStyle w:val="Hyperlink"/>
            <w:rFonts w:ascii="Times New Roman" w:hAnsi="Times New Roman" w:cs="Times New Roman"/>
            <w:sz w:val="18"/>
            <w:szCs w:val="18"/>
          </w:rPr>
          <w:t>www.ohchr.org/documents/publications/nhrihandbook.pdf</w:t>
        </w:r>
      </w:hyperlink>
    </w:p>
  </w:endnote>
  <w:endnote w:id="27">
    <w:p w14:paraId="23DB0E87" w14:textId="04F0190E" w:rsidR="002D6A0F" w:rsidRPr="002500BD" w:rsidRDefault="002D6A0F"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See CRC Committee, Gen. Comment No. 15; CEDAW Committee, Gen. Recommendation No. 24.</w:t>
      </w:r>
    </w:p>
  </w:endnote>
  <w:endnote w:id="28">
    <w:p w14:paraId="4A89D63C" w14:textId="1F9354BC" w:rsidR="002D6A0F" w:rsidRPr="002500BD" w:rsidRDefault="002D6A0F"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ESCR Committee, Gen. Comment No. 22, para. 45.</w:t>
      </w:r>
    </w:p>
  </w:endnote>
  <w:endnote w:id="29">
    <w:p w14:paraId="7060779B" w14:textId="771C403F" w:rsidR="00ED31AE" w:rsidRPr="002500BD" w:rsidRDefault="00ED31AE" w:rsidP="002500BD">
      <w:pPr>
        <w:pStyle w:val="EndnoteText"/>
        <w:rPr>
          <w:rFonts w:ascii="Times New Roman" w:hAnsi="Times New Roman" w:cs="Times New Roman"/>
          <w:sz w:val="18"/>
          <w:szCs w:val="18"/>
        </w:rPr>
      </w:pPr>
      <w:r w:rsidRPr="006F152A">
        <w:rPr>
          <w:rStyle w:val="EndnoteReference"/>
          <w:rFonts w:ascii="Times New Roman" w:hAnsi="Times New Roman" w:cs="Times New Roman"/>
          <w:sz w:val="18"/>
          <w:szCs w:val="18"/>
        </w:rPr>
        <w:endnoteRef/>
      </w:r>
      <w:r w:rsidRPr="006F152A">
        <w:rPr>
          <w:rFonts w:ascii="Times New Roman" w:hAnsi="Times New Roman" w:cs="Times New Roman"/>
          <w:sz w:val="18"/>
          <w:szCs w:val="18"/>
        </w:rPr>
        <w:t xml:space="preserve"> </w:t>
      </w:r>
      <w:r w:rsidR="006F152A" w:rsidRPr="006F152A">
        <w:rPr>
          <w:rFonts w:ascii="Times New Roman" w:hAnsi="Times New Roman" w:cs="Times New Roman"/>
          <w:i/>
          <w:iCs/>
          <w:sz w:val="18"/>
          <w:szCs w:val="18"/>
          <w:lang w:val="en-US"/>
        </w:rPr>
        <w:t>Ibid</w:t>
      </w:r>
      <w:r w:rsidRPr="006F152A">
        <w:rPr>
          <w:rFonts w:ascii="Times New Roman" w:hAnsi="Times New Roman" w:cs="Times New Roman"/>
          <w:sz w:val="18"/>
          <w:szCs w:val="18"/>
        </w:rPr>
        <w:t>. para. 43(a);</w:t>
      </w:r>
      <w:r w:rsidRPr="002500BD">
        <w:rPr>
          <w:rFonts w:ascii="Times New Roman" w:hAnsi="Times New Roman" w:cs="Times New Roman"/>
          <w:sz w:val="18"/>
          <w:szCs w:val="18"/>
        </w:rPr>
        <w:t xml:space="preserve"> CEDAW, art. 12; CEDAW Committee, Gen. Recommendation No. 24, para. 2; CRC Committee, Gen. Comment No. 15, para. 8.</w:t>
      </w:r>
    </w:p>
  </w:endnote>
  <w:endnote w:id="30">
    <w:p w14:paraId="416157F8" w14:textId="44704237" w:rsidR="00ED31AE" w:rsidRPr="002500BD" w:rsidRDefault="00ED31AE" w:rsidP="002500BD">
      <w:pPr>
        <w:pStyle w:val="EndnoteText"/>
        <w:rPr>
          <w:rFonts w:ascii="Times New Roman" w:hAnsi="Times New Roman" w:cs="Times New Roman"/>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Pr="002500BD">
        <w:rPr>
          <w:rFonts w:ascii="Times New Roman" w:hAnsi="Times New Roman" w:cs="Times New Roman"/>
          <w:sz w:val="18"/>
          <w:szCs w:val="18"/>
          <w:lang w:val="en-US"/>
        </w:rPr>
        <w:t>E</w:t>
      </w:r>
      <w:r w:rsidRPr="002500BD">
        <w:rPr>
          <w:rFonts w:ascii="Times New Roman" w:hAnsi="Times New Roman" w:cs="Times New Roman"/>
          <w:sz w:val="18"/>
          <w:szCs w:val="18"/>
        </w:rPr>
        <w:t>SCR Committee, Gen. Comment No. 22, para. 38.</w:t>
      </w:r>
    </w:p>
  </w:endnote>
  <w:endnote w:id="31">
    <w:p w14:paraId="0064D02B" w14:textId="45A5B068" w:rsidR="009A2C2D" w:rsidRPr="002500BD" w:rsidRDefault="009A2C2D"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ESCR Committee, Gen. Comment No. 22, paras. 34, 41.</w:t>
      </w:r>
    </w:p>
  </w:endnote>
  <w:endnote w:id="32">
    <w:p w14:paraId="0A594CD7" w14:textId="77777777" w:rsidR="00641976" w:rsidRPr="00387290" w:rsidRDefault="00641976" w:rsidP="00641976">
      <w:pPr>
        <w:pStyle w:val="EndnoteText"/>
        <w:rPr>
          <w:rFonts w:ascii="Times New Roman" w:hAnsi="Times New Roman" w:cs="Times New Roman"/>
          <w:sz w:val="18"/>
          <w:szCs w:val="18"/>
          <w:lang w:val="en-US"/>
        </w:rPr>
      </w:pPr>
      <w:r w:rsidRPr="00387290">
        <w:rPr>
          <w:rStyle w:val="EndnoteReference"/>
          <w:rFonts w:ascii="Times New Roman" w:hAnsi="Times New Roman" w:cs="Times New Roman"/>
          <w:sz w:val="18"/>
          <w:szCs w:val="18"/>
        </w:rPr>
        <w:endnoteRef/>
      </w:r>
      <w:r w:rsidRPr="00387290">
        <w:rPr>
          <w:rFonts w:ascii="Times New Roman" w:hAnsi="Times New Roman" w:cs="Times New Roman"/>
          <w:sz w:val="18"/>
          <w:szCs w:val="18"/>
        </w:rPr>
        <w:t xml:space="preserve"> </w:t>
      </w:r>
      <w:r w:rsidRPr="00387290">
        <w:rPr>
          <w:rFonts w:ascii="Times New Roman" w:hAnsi="Times New Roman" w:cs="Times New Roman"/>
          <w:sz w:val="18"/>
          <w:szCs w:val="18"/>
          <w:lang w:val="en-US"/>
        </w:rPr>
        <w:t xml:space="preserve">WHO, </w:t>
      </w:r>
      <w:hyperlink r:id="rId13" w:anchor="tab=tab_1" w:history="1">
        <w:r w:rsidRPr="00387290">
          <w:rPr>
            <w:rStyle w:val="Hyperlink"/>
            <w:rFonts w:ascii="Times New Roman" w:hAnsi="Times New Roman" w:cs="Times New Roman"/>
            <w:sz w:val="18"/>
            <w:szCs w:val="18"/>
          </w:rPr>
          <w:t>www.who.int/health-topics/abortion#tab=tab_1</w:t>
        </w:r>
      </w:hyperlink>
      <w:r w:rsidRPr="00387290">
        <w:rPr>
          <w:rFonts w:ascii="Times New Roman" w:hAnsi="Times New Roman" w:cs="Times New Roman"/>
          <w:sz w:val="18"/>
          <w:szCs w:val="18"/>
          <w:lang w:val="en-US"/>
        </w:rPr>
        <w:t>.</w:t>
      </w:r>
    </w:p>
  </w:endnote>
  <w:endnote w:id="33">
    <w:p w14:paraId="1EE59452" w14:textId="458E2783" w:rsidR="00641976" w:rsidRPr="00387290" w:rsidRDefault="00641976" w:rsidP="00641976">
      <w:pPr>
        <w:pStyle w:val="EndnoteText"/>
        <w:rPr>
          <w:rFonts w:ascii="Times New Roman" w:hAnsi="Times New Roman" w:cs="Times New Roman"/>
          <w:sz w:val="18"/>
          <w:szCs w:val="18"/>
          <w:lang w:val="en-US"/>
        </w:rPr>
      </w:pPr>
      <w:r w:rsidRPr="00387290">
        <w:rPr>
          <w:rStyle w:val="EndnoteReference"/>
          <w:rFonts w:ascii="Times New Roman" w:hAnsi="Times New Roman" w:cs="Times New Roman"/>
          <w:sz w:val="18"/>
          <w:szCs w:val="18"/>
        </w:rPr>
        <w:endnoteRef/>
      </w:r>
      <w:r w:rsidRPr="00387290">
        <w:rPr>
          <w:rFonts w:ascii="Times New Roman" w:hAnsi="Times New Roman" w:cs="Times New Roman"/>
          <w:sz w:val="18"/>
          <w:szCs w:val="18"/>
        </w:rPr>
        <w:t xml:space="preserve"> </w:t>
      </w:r>
      <w:r w:rsidRPr="00387290">
        <w:rPr>
          <w:rFonts w:ascii="Times New Roman" w:hAnsi="Times New Roman" w:cs="Times New Roman"/>
          <w:sz w:val="18"/>
          <w:szCs w:val="18"/>
          <w:lang w:val="en-US"/>
        </w:rPr>
        <w:t>Human Rights Committee</w:t>
      </w:r>
      <w:r w:rsidRPr="00387290">
        <w:rPr>
          <w:rFonts w:ascii="Times New Roman" w:hAnsi="Times New Roman" w:cs="Times New Roman"/>
          <w:sz w:val="18"/>
          <w:szCs w:val="18"/>
        </w:rPr>
        <w:t xml:space="preserve">, </w:t>
      </w:r>
      <w:proofErr w:type="spellStart"/>
      <w:r w:rsidRPr="00387290">
        <w:rPr>
          <w:rFonts w:ascii="Times New Roman" w:hAnsi="Times New Roman" w:cs="Times New Roman"/>
          <w:sz w:val="18"/>
          <w:szCs w:val="18"/>
        </w:rPr>
        <w:t>Mellet</w:t>
      </w:r>
      <w:proofErr w:type="spellEnd"/>
      <w:r w:rsidRPr="00387290">
        <w:rPr>
          <w:rFonts w:ascii="Times New Roman" w:hAnsi="Times New Roman" w:cs="Times New Roman"/>
          <w:sz w:val="18"/>
          <w:szCs w:val="18"/>
        </w:rPr>
        <w:t xml:space="preserve"> v. Ireland, Comm</w:t>
      </w:r>
      <w:proofErr w:type="spellStart"/>
      <w:r w:rsidRPr="00387290">
        <w:rPr>
          <w:rFonts w:ascii="Times New Roman" w:hAnsi="Times New Roman" w:cs="Times New Roman"/>
          <w:sz w:val="18"/>
          <w:szCs w:val="18"/>
          <w:lang w:val="en-US"/>
        </w:rPr>
        <w:t>unicatio</w:t>
      </w:r>
      <w:proofErr w:type="spellEnd"/>
      <w:r w:rsidRPr="00387290">
        <w:rPr>
          <w:rFonts w:ascii="Times New Roman" w:hAnsi="Times New Roman" w:cs="Times New Roman"/>
          <w:sz w:val="18"/>
          <w:szCs w:val="18"/>
        </w:rPr>
        <w:t xml:space="preserve">n No. 2324/2013, paras. 7.6, 7.7, 7.8, </w:t>
      </w:r>
      <w:r w:rsidRPr="00387290">
        <w:rPr>
          <w:rFonts w:ascii="Times New Roman" w:hAnsi="Times New Roman" w:cs="Times New Roman"/>
          <w:sz w:val="18"/>
          <w:szCs w:val="18"/>
          <w:lang w:val="en-US"/>
        </w:rPr>
        <w:t>UN</w:t>
      </w:r>
      <w:r w:rsidRPr="00387290">
        <w:rPr>
          <w:rFonts w:ascii="Times New Roman" w:hAnsi="Times New Roman" w:cs="Times New Roman"/>
          <w:sz w:val="18"/>
          <w:szCs w:val="18"/>
        </w:rPr>
        <w:t xml:space="preserve">. </w:t>
      </w:r>
      <w:r w:rsidR="00755478" w:rsidRPr="00387290">
        <w:rPr>
          <w:rFonts w:ascii="Times New Roman" w:hAnsi="Times New Roman" w:cs="Times New Roman"/>
          <w:sz w:val="18"/>
          <w:szCs w:val="18"/>
        </w:rPr>
        <w:t xml:space="preserve">Doc. </w:t>
      </w:r>
      <w:r w:rsidRPr="00387290">
        <w:rPr>
          <w:rFonts w:ascii="Times New Roman" w:hAnsi="Times New Roman" w:cs="Times New Roman"/>
          <w:sz w:val="18"/>
          <w:szCs w:val="18"/>
        </w:rPr>
        <w:t>CCPR/C/116/D/2324/2013, 2016</w:t>
      </w:r>
      <w:r w:rsidRPr="00387290">
        <w:rPr>
          <w:rFonts w:ascii="Times New Roman" w:hAnsi="Times New Roman" w:cs="Times New Roman"/>
          <w:sz w:val="18"/>
          <w:szCs w:val="18"/>
          <w:lang w:val="en-US"/>
        </w:rPr>
        <w:t>,</w:t>
      </w:r>
      <w:r w:rsidRPr="00387290">
        <w:rPr>
          <w:rFonts w:ascii="Times New Roman" w:hAnsi="Times New Roman" w:cs="Times New Roman"/>
          <w:sz w:val="18"/>
          <w:szCs w:val="18"/>
        </w:rPr>
        <w:t xml:space="preserve"> https://undocs.org/es/CCPR/C/116/D/2324/2013; </w:t>
      </w:r>
      <w:r w:rsidRPr="00387290">
        <w:rPr>
          <w:rFonts w:ascii="Times New Roman" w:hAnsi="Times New Roman" w:cs="Times New Roman"/>
          <w:sz w:val="18"/>
          <w:szCs w:val="18"/>
          <w:lang w:val="en-US"/>
        </w:rPr>
        <w:t>Human Rights Committee</w:t>
      </w:r>
      <w:r w:rsidRPr="00387290">
        <w:rPr>
          <w:rFonts w:ascii="Times New Roman" w:hAnsi="Times New Roman" w:cs="Times New Roman"/>
          <w:sz w:val="18"/>
          <w:szCs w:val="18"/>
        </w:rPr>
        <w:t xml:space="preserve">, Whelan v. Ireland, </w:t>
      </w:r>
      <w:proofErr w:type="spellStart"/>
      <w:r w:rsidRPr="00387290">
        <w:rPr>
          <w:rFonts w:ascii="Times New Roman" w:hAnsi="Times New Roman" w:cs="Times New Roman"/>
          <w:sz w:val="18"/>
          <w:szCs w:val="18"/>
        </w:rPr>
        <w:t>Commc</w:t>
      </w:r>
      <w:r w:rsidRPr="00387290">
        <w:rPr>
          <w:rFonts w:ascii="Times New Roman" w:hAnsi="Times New Roman" w:cs="Times New Roman"/>
          <w:sz w:val="18"/>
          <w:szCs w:val="18"/>
          <w:lang w:val="en-US"/>
        </w:rPr>
        <w:t>ation</w:t>
      </w:r>
      <w:proofErr w:type="spellEnd"/>
      <w:r w:rsidRPr="00387290">
        <w:rPr>
          <w:rFonts w:ascii="Times New Roman" w:hAnsi="Times New Roman" w:cs="Times New Roman"/>
          <w:sz w:val="18"/>
          <w:szCs w:val="18"/>
        </w:rPr>
        <w:t xml:space="preserve">n No. 2425/2014, paras. 7.7 - 7.9, 7.12, UN. </w:t>
      </w:r>
      <w:r w:rsidR="00755478" w:rsidRPr="00387290">
        <w:rPr>
          <w:rFonts w:ascii="Times New Roman" w:hAnsi="Times New Roman" w:cs="Times New Roman"/>
          <w:sz w:val="18"/>
          <w:szCs w:val="18"/>
        </w:rPr>
        <w:t xml:space="preserve">Doc. </w:t>
      </w:r>
      <w:r w:rsidRPr="00387290">
        <w:rPr>
          <w:rFonts w:ascii="Times New Roman" w:hAnsi="Times New Roman" w:cs="Times New Roman"/>
          <w:sz w:val="18"/>
          <w:szCs w:val="18"/>
        </w:rPr>
        <w:t>CCPR/C/119/D/2425/2014, 2017,</w:t>
      </w:r>
      <w:r w:rsidR="00755478">
        <w:rPr>
          <w:rFonts w:ascii="Times New Roman" w:hAnsi="Times New Roman" w:cs="Times New Roman"/>
          <w:sz w:val="18"/>
          <w:szCs w:val="18"/>
          <w:lang w:val="en-US"/>
        </w:rPr>
        <w:t xml:space="preserve"> </w:t>
      </w:r>
      <w:hyperlink r:id="rId14" w:history="1">
        <w:r w:rsidR="00755478" w:rsidRPr="00F258DA">
          <w:rPr>
            <w:rStyle w:val="Hyperlink"/>
            <w:rFonts w:ascii="Times New Roman" w:hAnsi="Times New Roman" w:cs="Times New Roman"/>
            <w:sz w:val="18"/>
            <w:szCs w:val="18"/>
          </w:rPr>
          <w:t>https://undocs.org/CCPR/C/119/D/2425/2014</w:t>
        </w:r>
      </w:hyperlink>
      <w:r w:rsidRPr="00387290">
        <w:rPr>
          <w:rFonts w:ascii="Times New Roman" w:hAnsi="Times New Roman" w:cs="Times New Roman"/>
          <w:sz w:val="18"/>
          <w:szCs w:val="18"/>
        </w:rPr>
        <w:t xml:space="preserve">; Human Rights </w:t>
      </w:r>
      <w:proofErr w:type="spellStart"/>
      <w:r w:rsidRPr="00387290">
        <w:rPr>
          <w:rFonts w:ascii="Times New Roman" w:hAnsi="Times New Roman" w:cs="Times New Roman"/>
          <w:sz w:val="18"/>
          <w:szCs w:val="18"/>
        </w:rPr>
        <w:t>Committ</w:t>
      </w:r>
      <w:r w:rsidRPr="00387290">
        <w:rPr>
          <w:rFonts w:ascii="Times New Roman" w:hAnsi="Times New Roman" w:cs="Times New Roman"/>
          <w:sz w:val="18"/>
          <w:szCs w:val="18"/>
          <w:lang w:val="en-US"/>
        </w:rPr>
        <w:t>ee</w:t>
      </w:r>
      <w:proofErr w:type="spellEnd"/>
      <w:r w:rsidRPr="00387290">
        <w:rPr>
          <w:rFonts w:ascii="Times New Roman" w:hAnsi="Times New Roman" w:cs="Times New Roman"/>
          <w:sz w:val="18"/>
          <w:szCs w:val="18"/>
        </w:rPr>
        <w:t>, K.L. v. Peru, Comm</w:t>
      </w:r>
      <w:proofErr w:type="spellStart"/>
      <w:r w:rsidRPr="00387290">
        <w:rPr>
          <w:rFonts w:ascii="Times New Roman" w:hAnsi="Times New Roman" w:cs="Times New Roman"/>
          <w:sz w:val="18"/>
          <w:szCs w:val="18"/>
          <w:lang w:val="en-US"/>
        </w:rPr>
        <w:t>unicatio</w:t>
      </w:r>
      <w:proofErr w:type="spellEnd"/>
      <w:r w:rsidRPr="00387290">
        <w:rPr>
          <w:rFonts w:ascii="Times New Roman" w:hAnsi="Times New Roman" w:cs="Times New Roman"/>
          <w:sz w:val="18"/>
          <w:szCs w:val="18"/>
        </w:rPr>
        <w:t xml:space="preserve">n No. 1153/2003, </w:t>
      </w:r>
      <w:r w:rsidRPr="00387290">
        <w:rPr>
          <w:rFonts w:ascii="Times New Roman" w:hAnsi="Times New Roman" w:cs="Times New Roman"/>
          <w:sz w:val="18"/>
          <w:szCs w:val="18"/>
          <w:lang w:val="en-US"/>
        </w:rPr>
        <w:t>UN</w:t>
      </w:r>
      <w:r w:rsidRPr="00387290">
        <w:rPr>
          <w:rFonts w:ascii="Times New Roman" w:hAnsi="Times New Roman" w:cs="Times New Roman"/>
          <w:sz w:val="18"/>
          <w:szCs w:val="18"/>
        </w:rPr>
        <w:t xml:space="preserve">. </w:t>
      </w:r>
      <w:r w:rsidR="00755478" w:rsidRPr="00387290">
        <w:rPr>
          <w:rFonts w:ascii="Times New Roman" w:hAnsi="Times New Roman" w:cs="Times New Roman"/>
          <w:sz w:val="18"/>
          <w:szCs w:val="18"/>
        </w:rPr>
        <w:t xml:space="preserve">Doc. </w:t>
      </w:r>
      <w:r w:rsidRPr="00387290">
        <w:rPr>
          <w:rFonts w:ascii="Times New Roman" w:hAnsi="Times New Roman" w:cs="Times New Roman"/>
          <w:sz w:val="18"/>
          <w:szCs w:val="18"/>
        </w:rPr>
        <w:t xml:space="preserve">CCPR/ C/85/- D/1153/2003, 2005, </w:t>
      </w:r>
      <w:hyperlink r:id="rId15" w:history="1">
        <w:r w:rsidRPr="00387290">
          <w:rPr>
            <w:rStyle w:val="Hyperlink"/>
            <w:rFonts w:ascii="Times New Roman" w:hAnsi="Times New Roman" w:cs="Times New Roman"/>
            <w:sz w:val="18"/>
            <w:szCs w:val="18"/>
          </w:rPr>
          <w:t>www.undocs.org/CCPR/C/85/D/1153/2003</w:t>
        </w:r>
      </w:hyperlink>
      <w:r w:rsidRPr="00387290">
        <w:rPr>
          <w:rFonts w:ascii="Times New Roman" w:hAnsi="Times New Roman" w:cs="Times New Roman"/>
          <w:sz w:val="18"/>
          <w:szCs w:val="18"/>
          <w:lang w:val="it-IT"/>
        </w:rPr>
        <w:t xml:space="preserve">; CEDAW Committee, </w:t>
      </w:r>
      <w:r w:rsidRPr="00387290">
        <w:rPr>
          <w:rFonts w:ascii="Times New Roman" w:hAnsi="Times New Roman" w:cs="Times New Roman"/>
          <w:sz w:val="18"/>
          <w:szCs w:val="18"/>
        </w:rPr>
        <w:t xml:space="preserve">L.C. v. Peru, Commc’n No. 22/2009, para. 8.15, </w:t>
      </w:r>
      <w:r w:rsidRPr="00387290">
        <w:rPr>
          <w:rFonts w:ascii="Times New Roman" w:hAnsi="Times New Roman" w:cs="Times New Roman"/>
          <w:sz w:val="18"/>
          <w:szCs w:val="18"/>
          <w:lang w:val="it-IT"/>
        </w:rPr>
        <w:t>UN</w:t>
      </w:r>
      <w:r w:rsidRPr="00387290">
        <w:rPr>
          <w:rFonts w:ascii="Times New Roman" w:hAnsi="Times New Roman" w:cs="Times New Roman"/>
          <w:sz w:val="18"/>
          <w:szCs w:val="18"/>
        </w:rPr>
        <w:t xml:space="preserve">. </w:t>
      </w:r>
      <w:r w:rsidR="00755478" w:rsidRPr="00387290">
        <w:rPr>
          <w:rFonts w:ascii="Times New Roman" w:hAnsi="Times New Roman" w:cs="Times New Roman"/>
          <w:sz w:val="18"/>
          <w:szCs w:val="18"/>
        </w:rPr>
        <w:t xml:space="preserve">Doc. </w:t>
      </w:r>
      <w:r w:rsidRPr="00387290">
        <w:rPr>
          <w:rFonts w:ascii="Times New Roman" w:hAnsi="Times New Roman" w:cs="Times New Roman"/>
          <w:sz w:val="18"/>
          <w:szCs w:val="18"/>
        </w:rPr>
        <w:t xml:space="preserve">CEDAW/C/50/D/22/2009, 2011, </w:t>
      </w:r>
      <w:hyperlink r:id="rId16" w:history="1">
        <w:r w:rsidRPr="00387290">
          <w:rPr>
            <w:rStyle w:val="Hyperlink"/>
            <w:rFonts w:ascii="Times New Roman" w:hAnsi="Times New Roman" w:cs="Times New Roman"/>
            <w:sz w:val="18"/>
            <w:szCs w:val="18"/>
          </w:rPr>
          <w:t>https://www2.ohchr.org/english/law/docs/CEDAW-C-50-D-22-2009_en.pdf</w:t>
        </w:r>
      </w:hyperlink>
      <w:r w:rsidRPr="00387290">
        <w:rPr>
          <w:rFonts w:ascii="Times New Roman" w:hAnsi="Times New Roman" w:cs="Times New Roman"/>
          <w:sz w:val="18"/>
          <w:szCs w:val="18"/>
        </w:rPr>
        <w:t>; CESCR Committee, General Comment No. 22, para. 10</w:t>
      </w:r>
      <w:r w:rsidRPr="00387290">
        <w:rPr>
          <w:rFonts w:ascii="Times New Roman" w:hAnsi="Times New Roman" w:cs="Times New Roman"/>
          <w:sz w:val="18"/>
          <w:szCs w:val="18"/>
          <w:lang w:val="it-IT"/>
        </w:rPr>
        <w:t>; CEDAW Committee</w:t>
      </w:r>
      <w:r w:rsidRPr="00387290">
        <w:rPr>
          <w:rFonts w:ascii="Times New Roman" w:hAnsi="Times New Roman" w:cs="Times New Roman"/>
          <w:sz w:val="18"/>
          <w:szCs w:val="18"/>
        </w:rPr>
        <w:t xml:space="preserve">, </w:t>
      </w:r>
      <w:proofErr w:type="spellStart"/>
      <w:r w:rsidRPr="00387290">
        <w:rPr>
          <w:rFonts w:ascii="Times New Roman" w:hAnsi="Times New Roman" w:cs="Times New Roman"/>
          <w:sz w:val="18"/>
          <w:szCs w:val="18"/>
        </w:rPr>
        <w:t>Alyne</w:t>
      </w:r>
      <w:proofErr w:type="spellEnd"/>
      <w:r w:rsidRPr="00387290">
        <w:rPr>
          <w:rFonts w:ascii="Times New Roman" w:hAnsi="Times New Roman" w:cs="Times New Roman"/>
          <w:sz w:val="18"/>
          <w:szCs w:val="18"/>
        </w:rPr>
        <w:t xml:space="preserve"> da Silva Pimentel Teixeira v. Brazil, Comm</w:t>
      </w:r>
      <w:proofErr w:type="spellStart"/>
      <w:r w:rsidRPr="00387290">
        <w:rPr>
          <w:rFonts w:ascii="Times New Roman" w:hAnsi="Times New Roman" w:cs="Times New Roman"/>
          <w:sz w:val="18"/>
          <w:szCs w:val="18"/>
          <w:lang w:val="it-IT"/>
        </w:rPr>
        <w:t>unicatio</w:t>
      </w:r>
      <w:proofErr w:type="spellEnd"/>
      <w:r w:rsidRPr="00387290">
        <w:rPr>
          <w:rFonts w:ascii="Times New Roman" w:hAnsi="Times New Roman" w:cs="Times New Roman"/>
          <w:sz w:val="18"/>
          <w:szCs w:val="18"/>
        </w:rPr>
        <w:t xml:space="preserve">n No. 17/2008, Doc. </w:t>
      </w:r>
      <w:r w:rsidRPr="00387290">
        <w:rPr>
          <w:rFonts w:ascii="Times New Roman" w:hAnsi="Times New Roman" w:cs="Times New Roman"/>
          <w:sz w:val="18"/>
          <w:szCs w:val="18"/>
          <w:lang w:val="it-IT"/>
        </w:rPr>
        <w:t>UN</w:t>
      </w:r>
      <w:r w:rsidRPr="00387290">
        <w:rPr>
          <w:rFonts w:ascii="Times New Roman" w:hAnsi="Times New Roman" w:cs="Times New Roman"/>
          <w:sz w:val="18"/>
          <w:szCs w:val="18"/>
        </w:rPr>
        <w:t xml:space="preserve">. CEDAW/C/49/D/17/2008, 2011, </w:t>
      </w:r>
      <w:hyperlink r:id="rId17" w:history="1">
        <w:r w:rsidRPr="00387290">
          <w:rPr>
            <w:rStyle w:val="Hyperlink"/>
            <w:rFonts w:ascii="Times New Roman" w:hAnsi="Times New Roman" w:cs="Times New Roman"/>
            <w:sz w:val="18"/>
            <w:szCs w:val="18"/>
          </w:rPr>
          <w:t>https://tbinternet.ohchr.org/_layouts/15/treatybodyexternal/Download.aspx?symbolno=CEDAW%2FC%2F49%2FD%2F17%2F2008&amp;Lang=en</w:t>
        </w:r>
      </w:hyperlink>
      <w:r w:rsidRPr="00387290">
        <w:rPr>
          <w:rFonts w:ascii="Times New Roman" w:hAnsi="Times New Roman" w:cs="Times New Roman"/>
          <w:sz w:val="18"/>
          <w:szCs w:val="18"/>
        </w:rPr>
        <w:t xml:space="preserve">; </w:t>
      </w:r>
      <w:r w:rsidRPr="00387290">
        <w:rPr>
          <w:rFonts w:ascii="Times New Roman" w:hAnsi="Times New Roman" w:cs="Times New Roman"/>
          <w:sz w:val="18"/>
          <w:szCs w:val="18"/>
          <w:lang w:val="en-US"/>
        </w:rPr>
        <w:t>CAT Committee</w:t>
      </w:r>
      <w:r w:rsidRPr="00387290">
        <w:rPr>
          <w:rFonts w:ascii="Times New Roman" w:hAnsi="Times New Roman" w:cs="Times New Roman"/>
          <w:sz w:val="18"/>
          <w:szCs w:val="18"/>
        </w:rPr>
        <w:t xml:space="preserve">, </w:t>
      </w:r>
      <w:r w:rsidRPr="00387290">
        <w:rPr>
          <w:rFonts w:ascii="Times New Roman" w:hAnsi="Times New Roman" w:cs="Times New Roman"/>
          <w:sz w:val="18"/>
          <w:szCs w:val="18"/>
          <w:lang w:val="en-US"/>
        </w:rPr>
        <w:t>Concluding</w:t>
      </w:r>
      <w:r w:rsidRPr="00387290">
        <w:rPr>
          <w:rFonts w:ascii="Times New Roman" w:hAnsi="Times New Roman" w:cs="Times New Roman"/>
          <w:sz w:val="18"/>
          <w:szCs w:val="18"/>
        </w:rPr>
        <w:t xml:space="preserve"> Observations : El Salvador, para. 23, Doc. UN, CAT/C/SLV/- CO/2, 2009, </w:t>
      </w:r>
      <w:hyperlink r:id="rId18" w:history="1">
        <w:r w:rsidRPr="00387290">
          <w:rPr>
            <w:rStyle w:val="Hyperlink"/>
            <w:rFonts w:ascii="Times New Roman" w:hAnsi="Times New Roman" w:cs="Times New Roman"/>
            <w:sz w:val="18"/>
            <w:szCs w:val="18"/>
          </w:rPr>
          <w:t>https://undocs.org/CAT/C/SLV/CO/2</w:t>
        </w:r>
      </w:hyperlink>
      <w:r w:rsidRPr="00387290">
        <w:rPr>
          <w:rFonts w:ascii="Times New Roman" w:hAnsi="Times New Roman" w:cs="Times New Roman"/>
          <w:sz w:val="18"/>
          <w:szCs w:val="18"/>
        </w:rPr>
        <w:t xml:space="preserve">; </w:t>
      </w:r>
      <w:r w:rsidRPr="00387290">
        <w:rPr>
          <w:rFonts w:ascii="Times New Roman" w:hAnsi="Times New Roman" w:cs="Times New Roman"/>
          <w:sz w:val="18"/>
          <w:szCs w:val="18"/>
          <w:lang w:val="en-US"/>
        </w:rPr>
        <w:t xml:space="preserve">CAT Committee, Concluding Observations: Nicaragua, para. 16, Doc. UN, </w:t>
      </w:r>
      <w:r w:rsidRPr="00387290">
        <w:rPr>
          <w:rFonts w:ascii="Times New Roman" w:hAnsi="Times New Roman" w:cs="Times New Roman"/>
          <w:sz w:val="18"/>
          <w:szCs w:val="18"/>
        </w:rPr>
        <w:t>CAT/C/NIC/CO/1, 2009</w:t>
      </w:r>
      <w:r w:rsidRPr="00387290">
        <w:rPr>
          <w:rFonts w:ascii="Times New Roman" w:hAnsi="Times New Roman" w:cs="Times New Roman"/>
          <w:sz w:val="18"/>
          <w:szCs w:val="18"/>
          <w:lang w:val="en-US"/>
        </w:rPr>
        <w:t xml:space="preserve">, </w:t>
      </w:r>
      <w:hyperlink r:id="rId19" w:history="1">
        <w:r w:rsidRPr="00387290">
          <w:rPr>
            <w:rStyle w:val="Hyperlink"/>
            <w:rFonts w:ascii="Times New Roman" w:hAnsi="Times New Roman" w:cs="Times New Roman"/>
            <w:sz w:val="18"/>
            <w:szCs w:val="18"/>
          </w:rPr>
          <w:t>https://undocs.org/CAT/C/NIC/CO/1</w:t>
        </w:r>
      </w:hyperlink>
      <w:r w:rsidRPr="00387290">
        <w:rPr>
          <w:rFonts w:ascii="Times New Roman" w:hAnsi="Times New Roman" w:cs="Times New Roman"/>
          <w:sz w:val="18"/>
          <w:szCs w:val="18"/>
        </w:rPr>
        <w:t>.</w:t>
      </w:r>
    </w:p>
  </w:endnote>
  <w:endnote w:id="34">
    <w:p w14:paraId="6877DAD0" w14:textId="2AEB5602" w:rsidR="00641976" w:rsidRPr="00387290" w:rsidRDefault="00641976" w:rsidP="00641976">
      <w:pPr>
        <w:pStyle w:val="EndnoteText"/>
        <w:rPr>
          <w:rFonts w:ascii="Times New Roman" w:hAnsi="Times New Roman" w:cs="Times New Roman"/>
          <w:sz w:val="18"/>
          <w:szCs w:val="18"/>
          <w:lang w:val="en-US"/>
        </w:rPr>
      </w:pPr>
      <w:r w:rsidRPr="00387290">
        <w:rPr>
          <w:rStyle w:val="EndnoteReference"/>
          <w:rFonts w:ascii="Times New Roman" w:hAnsi="Times New Roman" w:cs="Times New Roman"/>
          <w:sz w:val="18"/>
          <w:szCs w:val="18"/>
        </w:rPr>
        <w:endnoteRef/>
      </w:r>
      <w:r w:rsidRPr="00387290">
        <w:rPr>
          <w:rFonts w:ascii="Times New Roman" w:hAnsi="Times New Roman" w:cs="Times New Roman"/>
          <w:sz w:val="18"/>
          <w:szCs w:val="18"/>
        </w:rPr>
        <w:t xml:space="preserve"> </w:t>
      </w:r>
      <w:r w:rsidRPr="00387290">
        <w:rPr>
          <w:rFonts w:ascii="Times New Roman" w:hAnsi="Times New Roman" w:cs="Times New Roman"/>
          <w:sz w:val="18"/>
          <w:szCs w:val="18"/>
          <w:lang w:val="en-US"/>
        </w:rPr>
        <w:t>CEDAW Committee</w:t>
      </w:r>
      <w:r w:rsidRPr="00387290">
        <w:rPr>
          <w:rFonts w:ascii="Times New Roman" w:hAnsi="Times New Roman" w:cs="Times New Roman"/>
          <w:sz w:val="18"/>
          <w:szCs w:val="18"/>
        </w:rPr>
        <w:t>, General Recommendation No. 30</w:t>
      </w:r>
      <w:r w:rsidR="0079522D">
        <w:rPr>
          <w:rFonts w:ascii="Times New Roman" w:hAnsi="Times New Roman" w:cs="Times New Roman"/>
          <w:sz w:val="18"/>
          <w:szCs w:val="18"/>
          <w:lang w:val="en-US"/>
        </w:rPr>
        <w:t>;</w:t>
      </w:r>
      <w:r w:rsidRPr="00387290">
        <w:rPr>
          <w:rFonts w:ascii="Times New Roman" w:hAnsi="Times New Roman" w:cs="Times New Roman"/>
          <w:sz w:val="18"/>
          <w:szCs w:val="18"/>
        </w:rPr>
        <w:t xml:space="preserve"> CEDAW Committee, Gen</w:t>
      </w:r>
      <w:proofErr w:type="spellStart"/>
      <w:r w:rsidRPr="00387290">
        <w:rPr>
          <w:rFonts w:ascii="Times New Roman" w:hAnsi="Times New Roman" w:cs="Times New Roman"/>
          <w:sz w:val="18"/>
          <w:szCs w:val="18"/>
          <w:lang w:val="en-US"/>
        </w:rPr>
        <w:t>eral</w:t>
      </w:r>
      <w:proofErr w:type="spellEnd"/>
      <w:r w:rsidRPr="00387290">
        <w:rPr>
          <w:rFonts w:ascii="Times New Roman" w:hAnsi="Times New Roman" w:cs="Times New Roman"/>
          <w:sz w:val="18"/>
          <w:szCs w:val="18"/>
          <w:lang w:val="en-US"/>
        </w:rPr>
        <w:t xml:space="preserve"> </w:t>
      </w:r>
      <w:r w:rsidRPr="00387290">
        <w:rPr>
          <w:rFonts w:ascii="Times New Roman" w:hAnsi="Times New Roman" w:cs="Times New Roman"/>
          <w:sz w:val="18"/>
          <w:szCs w:val="18"/>
        </w:rPr>
        <w:t>Recommendation No. 24, paras. 11, 14</w:t>
      </w:r>
      <w:r w:rsidRPr="00387290">
        <w:rPr>
          <w:rFonts w:ascii="Times New Roman" w:hAnsi="Times New Roman" w:cs="Times New Roman"/>
          <w:sz w:val="18"/>
          <w:szCs w:val="18"/>
          <w:lang w:val="en-US"/>
        </w:rPr>
        <w:t>.</w:t>
      </w:r>
    </w:p>
  </w:endnote>
  <w:endnote w:id="35">
    <w:p w14:paraId="59125346" w14:textId="72506273" w:rsidR="00641976" w:rsidRPr="00C44C56" w:rsidRDefault="00641976" w:rsidP="00641976">
      <w:pPr>
        <w:pStyle w:val="EndnoteText"/>
        <w:rPr>
          <w:rFonts w:ascii="Times New Roman" w:hAnsi="Times New Roman" w:cs="Times New Roman"/>
          <w:sz w:val="18"/>
          <w:szCs w:val="18"/>
          <w:lang w:val="en-US"/>
        </w:rPr>
      </w:pPr>
      <w:r w:rsidRPr="00387290">
        <w:rPr>
          <w:rStyle w:val="EndnoteReference"/>
          <w:rFonts w:ascii="Times New Roman" w:hAnsi="Times New Roman" w:cs="Times New Roman"/>
          <w:sz w:val="18"/>
          <w:szCs w:val="18"/>
        </w:rPr>
        <w:endnoteRef/>
      </w:r>
      <w:r w:rsidRPr="00387290">
        <w:rPr>
          <w:rFonts w:ascii="Times New Roman" w:hAnsi="Times New Roman" w:cs="Times New Roman"/>
          <w:sz w:val="18"/>
          <w:szCs w:val="18"/>
        </w:rPr>
        <w:t xml:space="preserve"> CESCR Committee, Gen. Comment No. 22, paras. 10, 28; Human Rights Committee, Gen. Comment No. 36, para. 8</w:t>
      </w:r>
      <w:r w:rsidR="00C44C56">
        <w:rPr>
          <w:rFonts w:ascii="Times New Roman" w:hAnsi="Times New Roman" w:cs="Times New Roman"/>
          <w:sz w:val="18"/>
          <w:szCs w:val="18"/>
          <w:lang w:val="en-US"/>
        </w:rPr>
        <w:t xml:space="preserve"> and </w:t>
      </w:r>
      <w:r w:rsidR="00C44C56" w:rsidRPr="00387290">
        <w:rPr>
          <w:rFonts w:ascii="Times New Roman" w:hAnsi="Times New Roman" w:cs="Times New Roman"/>
          <w:sz w:val="18"/>
          <w:szCs w:val="18"/>
        </w:rPr>
        <w:t>Human Rights Committee, Gen. Comment No. 36, para. 8.</w:t>
      </w:r>
    </w:p>
  </w:endnote>
  <w:endnote w:id="36">
    <w:p w14:paraId="2F118BFB" w14:textId="10DDD90E" w:rsidR="00641976" w:rsidRPr="0079522D" w:rsidRDefault="00641976" w:rsidP="00641976">
      <w:pPr>
        <w:pStyle w:val="EndnoteText"/>
        <w:rPr>
          <w:rFonts w:ascii="Times New Roman" w:hAnsi="Times New Roman" w:cs="Times New Roman"/>
          <w:sz w:val="18"/>
          <w:szCs w:val="18"/>
          <w:lang w:val="en-US"/>
        </w:rPr>
      </w:pPr>
      <w:r w:rsidRPr="00387290">
        <w:rPr>
          <w:rStyle w:val="EndnoteReference"/>
          <w:rFonts w:ascii="Times New Roman" w:hAnsi="Times New Roman" w:cs="Times New Roman"/>
          <w:sz w:val="18"/>
          <w:szCs w:val="18"/>
        </w:rPr>
        <w:endnoteRef/>
      </w:r>
      <w:r w:rsidRPr="00387290">
        <w:rPr>
          <w:rFonts w:ascii="Times New Roman" w:hAnsi="Times New Roman" w:cs="Times New Roman"/>
          <w:sz w:val="18"/>
          <w:szCs w:val="18"/>
        </w:rPr>
        <w:t xml:space="preserve"> Human Rights Committee, Gen. Comment No. 36, para. 8</w:t>
      </w:r>
      <w:r w:rsidR="0079522D">
        <w:rPr>
          <w:rFonts w:ascii="Times New Roman" w:hAnsi="Times New Roman" w:cs="Times New Roman"/>
          <w:sz w:val="18"/>
          <w:szCs w:val="18"/>
          <w:lang w:val="en-US"/>
        </w:rPr>
        <w:t>.</w:t>
      </w:r>
    </w:p>
  </w:endnote>
  <w:endnote w:id="37">
    <w:p w14:paraId="59A9FB7E" w14:textId="1187D378" w:rsidR="00376F0A" w:rsidRPr="00387290" w:rsidRDefault="00376F0A" w:rsidP="00376F0A">
      <w:pPr>
        <w:pStyle w:val="EndnoteText"/>
        <w:rPr>
          <w:rFonts w:ascii="Times New Roman" w:hAnsi="Times New Roman" w:cs="Times New Roman"/>
          <w:sz w:val="18"/>
          <w:szCs w:val="18"/>
        </w:rPr>
      </w:pPr>
      <w:r w:rsidRPr="00387290">
        <w:rPr>
          <w:rStyle w:val="EndnoteReference"/>
          <w:rFonts w:ascii="Times New Roman" w:hAnsi="Times New Roman" w:cs="Times New Roman"/>
          <w:sz w:val="18"/>
          <w:szCs w:val="18"/>
        </w:rPr>
        <w:endnoteRef/>
      </w:r>
      <w:r w:rsidRPr="00387290">
        <w:rPr>
          <w:rFonts w:ascii="Times New Roman" w:hAnsi="Times New Roman" w:cs="Times New Roman"/>
          <w:sz w:val="18"/>
          <w:szCs w:val="18"/>
        </w:rPr>
        <w:t xml:space="preserve"> CESCR Committee, Gen. Comment No. 22, paras. 11- 21.</w:t>
      </w:r>
    </w:p>
  </w:endnote>
  <w:endnote w:id="38">
    <w:p w14:paraId="6921FA92" w14:textId="08ACB17B" w:rsidR="00376F0A" w:rsidRPr="00387290" w:rsidRDefault="00376F0A" w:rsidP="00376F0A">
      <w:pPr>
        <w:pStyle w:val="EndnoteText"/>
        <w:rPr>
          <w:rFonts w:ascii="Times New Roman" w:hAnsi="Times New Roman" w:cs="Times New Roman"/>
          <w:sz w:val="18"/>
          <w:szCs w:val="18"/>
        </w:rPr>
      </w:pPr>
      <w:r w:rsidRPr="00387290">
        <w:rPr>
          <w:rStyle w:val="EndnoteReference"/>
          <w:rFonts w:ascii="Times New Roman" w:hAnsi="Times New Roman" w:cs="Times New Roman"/>
          <w:sz w:val="18"/>
          <w:szCs w:val="18"/>
        </w:rPr>
        <w:endnoteRef/>
      </w:r>
      <w:r w:rsidRPr="00387290">
        <w:rPr>
          <w:rFonts w:ascii="Times New Roman" w:hAnsi="Times New Roman" w:cs="Times New Roman"/>
          <w:sz w:val="18"/>
          <w:szCs w:val="18"/>
        </w:rPr>
        <w:t xml:space="preserve"> Human Rights Committee, Gen. Comment No. 36, para. 8.</w:t>
      </w:r>
    </w:p>
  </w:endnote>
  <w:endnote w:id="39">
    <w:p w14:paraId="57969F29" w14:textId="0CC918FF" w:rsidR="00376F0A" w:rsidRPr="00387290" w:rsidRDefault="00376F0A" w:rsidP="00376F0A">
      <w:pPr>
        <w:pStyle w:val="EndnoteText"/>
        <w:rPr>
          <w:rFonts w:ascii="Times New Roman" w:hAnsi="Times New Roman" w:cs="Times New Roman"/>
          <w:sz w:val="18"/>
          <w:szCs w:val="18"/>
        </w:rPr>
      </w:pPr>
      <w:r w:rsidRPr="00387290">
        <w:rPr>
          <w:rStyle w:val="EndnoteReference"/>
          <w:rFonts w:ascii="Times New Roman" w:hAnsi="Times New Roman" w:cs="Times New Roman"/>
          <w:sz w:val="18"/>
          <w:szCs w:val="18"/>
        </w:rPr>
        <w:endnoteRef/>
      </w:r>
      <w:r w:rsidR="0079522D">
        <w:rPr>
          <w:rFonts w:ascii="Times New Roman" w:hAnsi="Times New Roman" w:cs="Times New Roman"/>
          <w:sz w:val="18"/>
          <w:szCs w:val="18"/>
          <w:lang w:val="en-US"/>
        </w:rPr>
        <w:t xml:space="preserve"> </w:t>
      </w:r>
      <w:r w:rsidR="0079522D">
        <w:rPr>
          <w:rFonts w:ascii="Times New Roman" w:hAnsi="Times New Roman" w:cs="Times New Roman"/>
          <w:i/>
          <w:iCs/>
          <w:sz w:val="18"/>
          <w:szCs w:val="18"/>
          <w:lang w:val="en-US"/>
        </w:rPr>
        <w:t xml:space="preserve">Ibid. </w:t>
      </w:r>
      <w:r w:rsidR="0079522D">
        <w:rPr>
          <w:rFonts w:ascii="Times New Roman" w:hAnsi="Times New Roman" w:cs="Times New Roman"/>
          <w:sz w:val="18"/>
          <w:szCs w:val="18"/>
          <w:lang w:val="en-US"/>
        </w:rPr>
        <w:t xml:space="preserve">See also: </w:t>
      </w:r>
      <w:r w:rsidRPr="00387290">
        <w:rPr>
          <w:rFonts w:ascii="Times New Roman" w:hAnsi="Times New Roman" w:cs="Times New Roman"/>
          <w:sz w:val="18"/>
          <w:szCs w:val="18"/>
        </w:rPr>
        <w:t>Human Rights Committee, Gen. Comment No. 28</w:t>
      </w:r>
      <w:r w:rsidR="0079522D">
        <w:rPr>
          <w:rFonts w:ascii="Times New Roman" w:hAnsi="Times New Roman" w:cs="Times New Roman"/>
          <w:sz w:val="18"/>
          <w:szCs w:val="18"/>
          <w:lang w:val="en-US"/>
        </w:rPr>
        <w:t>,</w:t>
      </w:r>
      <w:r w:rsidRPr="00387290">
        <w:rPr>
          <w:rFonts w:ascii="Times New Roman" w:hAnsi="Times New Roman" w:cs="Times New Roman"/>
          <w:sz w:val="18"/>
          <w:szCs w:val="18"/>
        </w:rPr>
        <w:t xml:space="preserve"> paras. 10-11; CESCR Committee, Gen. Comment No. 22</w:t>
      </w:r>
      <w:r w:rsidR="0079522D">
        <w:rPr>
          <w:rFonts w:ascii="Times New Roman" w:hAnsi="Times New Roman" w:cs="Times New Roman"/>
          <w:sz w:val="18"/>
          <w:szCs w:val="18"/>
          <w:lang w:val="en-US"/>
        </w:rPr>
        <w:t xml:space="preserve">, </w:t>
      </w:r>
      <w:r w:rsidRPr="00387290">
        <w:rPr>
          <w:rFonts w:ascii="Times New Roman" w:hAnsi="Times New Roman" w:cs="Times New Roman"/>
          <w:sz w:val="18"/>
          <w:szCs w:val="18"/>
        </w:rPr>
        <w:t>paras. 28, 34, 40, 41, 45, 49(a), 49(e), 57; CEDAW Committee, Gen. Recommendation No. 24, para. 14; CEDAW Committee, Gen. Recommendation No. 35, para. 29(c)(</w:t>
      </w:r>
      <w:proofErr w:type="spellStart"/>
      <w:r w:rsidRPr="00387290">
        <w:rPr>
          <w:rFonts w:ascii="Times New Roman" w:hAnsi="Times New Roman" w:cs="Times New Roman"/>
          <w:sz w:val="18"/>
          <w:szCs w:val="18"/>
        </w:rPr>
        <w:t>i</w:t>
      </w:r>
      <w:proofErr w:type="spellEnd"/>
      <w:r w:rsidRPr="00387290">
        <w:rPr>
          <w:rFonts w:ascii="Times New Roman" w:hAnsi="Times New Roman" w:cs="Times New Roman"/>
          <w:sz w:val="18"/>
          <w:szCs w:val="18"/>
        </w:rPr>
        <w:t>); CEDAW Committee, Gen. Recommendation No. 34, para. 39(c); CRC Committee, Gen. Comment No. 20, para. 60 U.N. Doc. CRC/C/GC/20 (2016); CRC Committee, Gen. Comment No. 15, paras. 31, 70, U.N. Doc. CRC/C/GC/15 (2013); Human Rights Committee, Concluding Observations: Angola, paras. 21-22, U.N. Doc. CCPR/C/AGO/CO/2 (2019); CESCR Committee, Concluding Observations: Cameroon, para. 59, U.N. Doc. E/C.12/CMR/CO/4 (2019); CEDAW Committee, Concluding Observations: Colombia, paras. 37-38, U.N. Doc. CEDAW/C/COL/CO/R.9 (2019); CRC Committee, Concluding Observations: Bahrain, para. 38, U.N. Doc. CRC/C/BHR/CO/4-6 (2019).</w:t>
      </w:r>
    </w:p>
  </w:endnote>
  <w:endnote w:id="40">
    <w:p w14:paraId="78C564DB" w14:textId="2473C90C" w:rsidR="00FC6734" w:rsidRPr="00FC6734" w:rsidRDefault="00FC6734">
      <w:pPr>
        <w:pStyle w:val="EndnoteText"/>
        <w:rPr>
          <w:rFonts w:ascii="Times New Roman" w:hAnsi="Times New Roman" w:cs="Times New Roman"/>
          <w:sz w:val="18"/>
          <w:szCs w:val="18"/>
        </w:rPr>
      </w:pPr>
      <w:r w:rsidRPr="00FC6734">
        <w:rPr>
          <w:rStyle w:val="EndnoteReference"/>
          <w:rFonts w:ascii="Times New Roman" w:hAnsi="Times New Roman" w:cs="Times New Roman"/>
          <w:sz w:val="18"/>
          <w:szCs w:val="18"/>
        </w:rPr>
        <w:endnoteRef/>
      </w:r>
      <w:r w:rsidRPr="00FC6734">
        <w:rPr>
          <w:rFonts w:ascii="Times New Roman" w:hAnsi="Times New Roman" w:cs="Times New Roman"/>
          <w:sz w:val="18"/>
          <w:szCs w:val="18"/>
        </w:rPr>
        <w:t xml:space="preserve"> </w:t>
      </w:r>
      <w:r w:rsidRPr="00FC6734">
        <w:rPr>
          <w:rFonts w:ascii="Times New Roman" w:hAnsi="Times New Roman" w:cs="Times New Roman"/>
          <w:sz w:val="18"/>
          <w:szCs w:val="18"/>
        </w:rPr>
        <w:t>CESCR Committee, Gen. Comment. No. 22, para 34; CESCR, Concluding Observations, Ecuador, para 52(f), U.N. Doc. E/C.12/ECU/CO/4 (2019).</w:t>
      </w:r>
    </w:p>
  </w:endnote>
  <w:endnote w:id="41">
    <w:p w14:paraId="58C51901" w14:textId="4B5BB044" w:rsidR="00637BCD" w:rsidRPr="002174D1" w:rsidRDefault="00637BCD" w:rsidP="00132237">
      <w:pPr>
        <w:pStyle w:val="EndnoteText"/>
        <w:jc w:val="both"/>
        <w:rPr>
          <w:rFonts w:ascii="Times New Roman" w:hAnsi="Times New Roman" w:cs="Times New Roman"/>
          <w:sz w:val="18"/>
          <w:szCs w:val="18"/>
          <w:lang w:val="en-US"/>
        </w:rPr>
      </w:pPr>
      <w:r w:rsidRPr="002174D1">
        <w:rPr>
          <w:rStyle w:val="EndnoteReference"/>
          <w:rFonts w:ascii="Times New Roman" w:hAnsi="Times New Roman" w:cs="Times New Roman"/>
          <w:sz w:val="18"/>
          <w:szCs w:val="18"/>
        </w:rPr>
        <w:endnoteRef/>
      </w:r>
      <w:r w:rsidRPr="002174D1">
        <w:rPr>
          <w:rFonts w:ascii="Times New Roman" w:hAnsi="Times New Roman" w:cs="Times New Roman"/>
          <w:sz w:val="18"/>
          <w:szCs w:val="18"/>
        </w:rPr>
        <w:t xml:space="preserve"> World Health Organization (WHO) statement, “The prevention and elimination of disrespect and abuse during facility-based childbirth”, WHO/RHR/14.23 (2015).</w:t>
      </w:r>
      <w:r w:rsidR="002174D1" w:rsidRPr="002174D1">
        <w:rPr>
          <w:rFonts w:ascii="Times New Roman" w:hAnsi="Times New Roman" w:cs="Times New Roman"/>
          <w:sz w:val="18"/>
          <w:szCs w:val="18"/>
          <w:lang w:val="en-US"/>
        </w:rPr>
        <w:t xml:space="preserve"> See also: </w:t>
      </w:r>
      <w:r w:rsidR="00132237">
        <w:rPr>
          <w:rFonts w:ascii="Times New Roman" w:hAnsi="Times New Roman" w:cs="Times New Roman"/>
          <w:sz w:val="18"/>
          <w:szCs w:val="18"/>
          <w:lang w:val="en-US"/>
        </w:rPr>
        <w:t xml:space="preserve">Special Rapporteur on violence against women, its causes and consequences, </w:t>
      </w:r>
      <w:r w:rsidR="00132237">
        <w:rPr>
          <w:rFonts w:ascii="Times New Roman" w:hAnsi="Times New Roman" w:cs="Times New Roman"/>
          <w:i/>
          <w:iCs/>
          <w:sz w:val="18"/>
          <w:szCs w:val="18"/>
          <w:lang w:val="en-US"/>
        </w:rPr>
        <w:t>A human rights-based approach to mistreatment and violence against women in reproductive health services with a focus on childbirth and obstetric violence</w:t>
      </w:r>
      <w:r w:rsidR="00132237">
        <w:rPr>
          <w:rFonts w:ascii="Times New Roman" w:hAnsi="Times New Roman" w:cs="Times New Roman"/>
          <w:sz w:val="18"/>
          <w:szCs w:val="18"/>
          <w:lang w:val="en-US"/>
        </w:rPr>
        <w:t>, 11 July 2019, UN. Doc. A/74/137.</w:t>
      </w:r>
    </w:p>
  </w:endnote>
  <w:endnote w:id="42">
    <w:p w14:paraId="235E1B59" w14:textId="1BF2B658" w:rsidR="0014669E" w:rsidRPr="0014669E" w:rsidRDefault="0014669E">
      <w:pPr>
        <w:pStyle w:val="EndnoteText"/>
        <w:rPr>
          <w:rFonts w:ascii="Times New Roman" w:hAnsi="Times New Roman" w:cs="Times New Roman"/>
          <w:sz w:val="18"/>
          <w:szCs w:val="18"/>
        </w:rPr>
      </w:pPr>
      <w:r w:rsidRPr="0014669E">
        <w:rPr>
          <w:rStyle w:val="EndnoteReference"/>
          <w:rFonts w:ascii="Times New Roman" w:hAnsi="Times New Roman" w:cs="Times New Roman"/>
          <w:sz w:val="18"/>
          <w:szCs w:val="18"/>
        </w:rPr>
        <w:endnoteRef/>
      </w:r>
      <w:r w:rsidRPr="0014669E">
        <w:rPr>
          <w:rFonts w:ascii="Times New Roman" w:hAnsi="Times New Roman" w:cs="Times New Roman"/>
          <w:sz w:val="18"/>
          <w:szCs w:val="18"/>
        </w:rPr>
        <w:t xml:space="preserve"> </w:t>
      </w:r>
      <w:r w:rsidR="00132237">
        <w:rPr>
          <w:rFonts w:ascii="Times New Roman" w:hAnsi="Times New Roman" w:cs="Times New Roman"/>
          <w:sz w:val="18"/>
          <w:szCs w:val="18"/>
          <w:lang w:val="en-US"/>
        </w:rPr>
        <w:t xml:space="preserve">Center for Reproductive Rights, </w:t>
      </w:r>
      <w:r w:rsidR="00132237">
        <w:rPr>
          <w:rFonts w:ascii="Times New Roman" w:hAnsi="Times New Roman" w:cs="Times New Roman"/>
          <w:i/>
          <w:iCs/>
          <w:sz w:val="18"/>
          <w:szCs w:val="18"/>
          <w:lang w:val="en-US"/>
        </w:rPr>
        <w:t xml:space="preserve">op. cit. </w:t>
      </w:r>
      <w:r w:rsidR="00132237">
        <w:rPr>
          <w:rFonts w:ascii="Times New Roman" w:hAnsi="Times New Roman" w:cs="Times New Roman"/>
          <w:sz w:val="18"/>
          <w:szCs w:val="18"/>
          <w:lang w:val="en-US"/>
        </w:rPr>
        <w:t>note 4</w:t>
      </w:r>
      <w:r w:rsidR="00132237">
        <w:rPr>
          <w:lang w:val="en-US"/>
        </w:rPr>
        <w:t>.</w:t>
      </w:r>
      <w:r w:rsidR="00132237" w:rsidRPr="0014669E">
        <w:rPr>
          <w:rFonts w:ascii="Times New Roman" w:hAnsi="Times New Roman" w:cs="Times New Roman"/>
          <w:sz w:val="18"/>
          <w:szCs w:val="18"/>
        </w:rPr>
        <w:t xml:space="preserve"> </w:t>
      </w:r>
    </w:p>
  </w:endnote>
  <w:endnote w:id="43">
    <w:p w14:paraId="7172C4FD" w14:textId="77BBBB49" w:rsidR="00C43947" w:rsidRPr="00132237" w:rsidRDefault="00C43947" w:rsidP="00C43947">
      <w:pPr>
        <w:pStyle w:val="EndnoteText"/>
        <w:rPr>
          <w:lang w:val="en-US"/>
        </w:rPr>
      </w:pPr>
      <w:r>
        <w:rPr>
          <w:rStyle w:val="EndnoteReference"/>
        </w:rPr>
        <w:endnoteRef/>
      </w:r>
      <w:r>
        <w:t xml:space="preserve"> </w:t>
      </w:r>
      <w:r w:rsidR="00132237" w:rsidRPr="00132237">
        <w:rPr>
          <w:rFonts w:ascii="Times New Roman" w:hAnsi="Times New Roman" w:cs="Times New Roman"/>
          <w:sz w:val="18"/>
          <w:szCs w:val="18"/>
          <w:lang w:val="en-US"/>
        </w:rPr>
        <w:t>Special Rapporteur on violence against women</w:t>
      </w:r>
      <w:r w:rsidR="00132237">
        <w:rPr>
          <w:rFonts w:ascii="Times New Roman" w:hAnsi="Times New Roman" w:cs="Times New Roman"/>
          <w:sz w:val="18"/>
          <w:szCs w:val="18"/>
          <w:lang w:val="en-US"/>
        </w:rPr>
        <w:t xml:space="preserve">, its causes and consequences, </w:t>
      </w:r>
      <w:r w:rsidR="00132237">
        <w:rPr>
          <w:rFonts w:ascii="Times New Roman" w:hAnsi="Times New Roman" w:cs="Times New Roman"/>
          <w:i/>
          <w:iCs/>
          <w:sz w:val="18"/>
          <w:szCs w:val="18"/>
          <w:lang w:val="en-US"/>
        </w:rPr>
        <w:t xml:space="preserve">op. cit. </w:t>
      </w:r>
      <w:r w:rsidR="00132237">
        <w:rPr>
          <w:rFonts w:ascii="Times New Roman" w:hAnsi="Times New Roman" w:cs="Times New Roman"/>
          <w:sz w:val="18"/>
          <w:szCs w:val="18"/>
          <w:lang w:val="en-US"/>
        </w:rPr>
        <w:t>note 41.</w:t>
      </w:r>
    </w:p>
  </w:endnote>
  <w:endnote w:id="44">
    <w:p w14:paraId="374855FD" w14:textId="197CBD2A" w:rsidR="00744D09" w:rsidRPr="00132237" w:rsidRDefault="00744D09">
      <w:pPr>
        <w:pStyle w:val="EndnoteText"/>
        <w:rPr>
          <w:rFonts w:ascii="Times New Roman" w:hAnsi="Times New Roman" w:cs="Times New Roman"/>
          <w:sz w:val="18"/>
          <w:szCs w:val="18"/>
          <w:lang w:val="en-US"/>
        </w:rPr>
      </w:pPr>
      <w:r w:rsidRPr="00744D09">
        <w:rPr>
          <w:rStyle w:val="EndnoteReference"/>
          <w:rFonts w:ascii="Times New Roman" w:hAnsi="Times New Roman" w:cs="Times New Roman"/>
          <w:sz w:val="18"/>
          <w:szCs w:val="18"/>
        </w:rPr>
        <w:endnoteRef/>
      </w:r>
      <w:r w:rsidRPr="00744D09">
        <w:rPr>
          <w:rFonts w:ascii="Times New Roman" w:hAnsi="Times New Roman" w:cs="Times New Roman"/>
          <w:sz w:val="18"/>
          <w:szCs w:val="18"/>
        </w:rPr>
        <w:t xml:space="preserve"> Joint statement by United Nations experts in the field of human rights on the 2030 Agenda for Sustainable Development</w:t>
      </w:r>
      <w:r w:rsidR="00132237">
        <w:rPr>
          <w:rFonts w:ascii="Times New Roman" w:hAnsi="Times New Roman" w:cs="Times New Roman"/>
          <w:sz w:val="18"/>
          <w:szCs w:val="18"/>
          <w:lang w:val="en-US"/>
        </w:rPr>
        <w:t xml:space="preserve"> </w:t>
      </w:r>
      <w:r w:rsidRPr="00744D09">
        <w:rPr>
          <w:rFonts w:ascii="Times New Roman" w:hAnsi="Times New Roman" w:cs="Times New Roman"/>
          <w:sz w:val="18"/>
          <w:szCs w:val="18"/>
        </w:rPr>
        <w:t>(Special Rapporteur on the right of everyone to the enjoyment of the highest attainable standard of physical and mental health; Special Rapporteur on the situation of human rights defenders; Special Rapporteur on violence against women, its causes and consequences, and Chair of the Working Group on discrimination against women in law and in practice), experts of the African Commission on Human and Peoples’ Rights (Special Rapporteur on Human Rights Defenders and Focal Point on Reprisals in Africa and Special Rapporteur on Rights of Women in Africa) and expert of the Inter-American Commission on Human Rights (Rapporteur on the Rights of Women)</w:t>
      </w:r>
      <w:r w:rsidR="00132237">
        <w:rPr>
          <w:rFonts w:ascii="Times New Roman" w:hAnsi="Times New Roman" w:cs="Times New Roman"/>
          <w:sz w:val="18"/>
          <w:szCs w:val="18"/>
          <w:lang w:val="en-US"/>
        </w:rPr>
        <w:t xml:space="preserve">, available at: </w:t>
      </w:r>
      <w:hyperlink r:id="rId20" w:history="1">
        <w:r w:rsidR="00132237" w:rsidRPr="00F258DA">
          <w:rPr>
            <w:rStyle w:val="Hyperlink"/>
            <w:rFonts w:ascii="Times New Roman" w:hAnsi="Times New Roman" w:cs="Times New Roman"/>
            <w:sz w:val="18"/>
            <w:szCs w:val="18"/>
          </w:rPr>
          <w:t>https://www.ohchr.org/EN/NewsEvents/Pages/DisplayNews.aspx?NewsID=16490&amp;LangID=E</w:t>
        </w:r>
      </w:hyperlink>
      <w:r w:rsidR="00132237">
        <w:rPr>
          <w:rFonts w:ascii="Times New Roman" w:hAnsi="Times New Roman" w:cs="Times New Roman"/>
          <w:sz w:val="18"/>
          <w:szCs w:val="18"/>
          <w:lang w:val="en-US"/>
        </w:rPr>
        <w:t>.</w:t>
      </w:r>
    </w:p>
  </w:endnote>
  <w:endnote w:id="45">
    <w:p w14:paraId="021F3312" w14:textId="7CD735DC" w:rsidR="0063133F" w:rsidRPr="007308C4" w:rsidRDefault="0063133F">
      <w:pPr>
        <w:pStyle w:val="EndnoteText"/>
        <w:rPr>
          <w:rFonts w:ascii="Times New Roman" w:hAnsi="Times New Roman" w:cs="Times New Roman"/>
          <w:sz w:val="18"/>
          <w:szCs w:val="18"/>
          <w:lang w:val="en-US"/>
        </w:rPr>
      </w:pPr>
      <w:r w:rsidRPr="0063133F">
        <w:rPr>
          <w:rStyle w:val="EndnoteReference"/>
          <w:rFonts w:ascii="Times New Roman" w:hAnsi="Times New Roman" w:cs="Times New Roman"/>
          <w:sz w:val="18"/>
          <w:szCs w:val="18"/>
        </w:rPr>
        <w:endnoteRef/>
      </w:r>
      <w:r w:rsidR="00AB148F">
        <w:rPr>
          <w:rFonts w:ascii="Times New Roman" w:hAnsi="Times New Roman" w:cs="Times New Roman"/>
          <w:sz w:val="18"/>
          <w:szCs w:val="18"/>
          <w:lang w:val="en-US"/>
        </w:rPr>
        <w:t xml:space="preserve"> Follow-up Mechanism to the Inter-American Convention on the Prevention, Punishment and Eradication of Violence against Women</w:t>
      </w:r>
      <w:r w:rsidR="007308C4">
        <w:rPr>
          <w:rFonts w:ascii="Times New Roman" w:hAnsi="Times New Roman" w:cs="Times New Roman"/>
          <w:sz w:val="18"/>
          <w:szCs w:val="18"/>
          <w:lang w:val="en-US"/>
        </w:rPr>
        <w:t xml:space="preserve"> (MESECVI), </w:t>
      </w:r>
      <w:r w:rsidR="00AB148F">
        <w:rPr>
          <w:rFonts w:ascii="Times New Roman" w:hAnsi="Times New Roman" w:cs="Times New Roman"/>
          <w:sz w:val="18"/>
          <w:szCs w:val="18"/>
          <w:lang w:val="en-US"/>
        </w:rPr>
        <w:t xml:space="preserve">Declaration on Violence against Women, Girls and Adolescents and their Sexual and Reproductive Rights, </w:t>
      </w:r>
      <w:r w:rsidR="007308C4">
        <w:rPr>
          <w:rFonts w:ascii="Times New Roman" w:hAnsi="Times New Roman" w:cs="Times New Roman"/>
          <w:sz w:val="18"/>
          <w:szCs w:val="18"/>
          <w:lang w:val="en-US"/>
        </w:rPr>
        <w:t>19 September 2014, OEA/</w:t>
      </w:r>
      <w:proofErr w:type="spellStart"/>
      <w:r w:rsidR="007308C4">
        <w:rPr>
          <w:rFonts w:ascii="Times New Roman" w:hAnsi="Times New Roman" w:cs="Times New Roman"/>
          <w:sz w:val="18"/>
          <w:szCs w:val="18"/>
          <w:lang w:val="en-US"/>
        </w:rPr>
        <w:t>Ser.L</w:t>
      </w:r>
      <w:proofErr w:type="spellEnd"/>
      <w:r w:rsidR="007308C4">
        <w:rPr>
          <w:rFonts w:ascii="Times New Roman" w:hAnsi="Times New Roman" w:cs="Times New Roman"/>
          <w:sz w:val="18"/>
          <w:szCs w:val="18"/>
          <w:lang w:val="en-US"/>
        </w:rPr>
        <w:t>/II.7.10, MESECVI/CEVI/DEC.4/14, available at:</w:t>
      </w:r>
      <w:r w:rsidRPr="0063133F">
        <w:rPr>
          <w:rFonts w:ascii="Times New Roman" w:hAnsi="Times New Roman" w:cs="Times New Roman"/>
          <w:sz w:val="18"/>
          <w:szCs w:val="18"/>
        </w:rPr>
        <w:t xml:space="preserve"> </w:t>
      </w:r>
      <w:hyperlink r:id="rId21" w:history="1">
        <w:r w:rsidR="00132237" w:rsidRPr="00F258DA">
          <w:rPr>
            <w:rStyle w:val="Hyperlink"/>
            <w:rFonts w:ascii="Times New Roman" w:hAnsi="Times New Roman" w:cs="Times New Roman"/>
            <w:sz w:val="18"/>
            <w:szCs w:val="18"/>
          </w:rPr>
          <w:t>http://www.oas.org/es/mesecvi/docs/cevi11-declaration-en.pdf</w:t>
        </w:r>
      </w:hyperlink>
    </w:p>
  </w:endnote>
  <w:endnote w:id="46">
    <w:p w14:paraId="38769C51" w14:textId="62B8C3C5" w:rsidR="00596923" w:rsidRPr="002500BD" w:rsidRDefault="00596923"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United Nations, General Assembly, Human Rights Council</w:t>
      </w:r>
      <w:r w:rsidR="007308C4">
        <w:rPr>
          <w:rFonts w:ascii="Times New Roman" w:hAnsi="Times New Roman" w:cs="Times New Roman"/>
          <w:sz w:val="18"/>
          <w:szCs w:val="18"/>
          <w:lang w:val="en-US"/>
        </w:rPr>
        <w:t>,</w:t>
      </w:r>
      <w:r w:rsidRPr="002500BD">
        <w:rPr>
          <w:rFonts w:ascii="Times New Roman" w:hAnsi="Times New Roman" w:cs="Times New Roman"/>
          <w:sz w:val="18"/>
          <w:szCs w:val="18"/>
        </w:rPr>
        <w:t xml:space="preserve"> </w:t>
      </w:r>
      <w:r w:rsidRPr="002500BD">
        <w:rPr>
          <w:rFonts w:ascii="Times New Roman" w:hAnsi="Times New Roman" w:cs="Times New Roman"/>
          <w:i/>
          <w:iCs/>
          <w:sz w:val="18"/>
          <w:szCs w:val="18"/>
        </w:rPr>
        <w:t>Report of the Special Rapporteur on the rights of indigenous peoples on her visit to Honduras</w:t>
      </w:r>
      <w:r w:rsidRPr="002500BD">
        <w:rPr>
          <w:rFonts w:ascii="Times New Roman" w:hAnsi="Times New Roman" w:cs="Times New Roman"/>
          <w:i/>
          <w:sz w:val="18"/>
          <w:szCs w:val="18"/>
        </w:rPr>
        <w:t xml:space="preserve">. </w:t>
      </w:r>
      <w:r w:rsidRPr="002500BD">
        <w:rPr>
          <w:rFonts w:ascii="Times New Roman" w:hAnsi="Times New Roman" w:cs="Times New Roman"/>
          <w:iCs/>
          <w:sz w:val="18"/>
          <w:szCs w:val="18"/>
        </w:rPr>
        <w:t>UN Doc.</w:t>
      </w:r>
      <w:r w:rsidRPr="002500BD">
        <w:rPr>
          <w:rFonts w:ascii="Times New Roman" w:hAnsi="Times New Roman" w:cs="Times New Roman"/>
          <w:i/>
          <w:sz w:val="18"/>
          <w:szCs w:val="18"/>
        </w:rPr>
        <w:t xml:space="preserve"> </w:t>
      </w:r>
      <w:r w:rsidRPr="002500BD">
        <w:rPr>
          <w:rFonts w:ascii="Times New Roman" w:hAnsi="Times New Roman" w:cs="Times New Roman"/>
          <w:sz w:val="18"/>
          <w:szCs w:val="18"/>
        </w:rPr>
        <w:t>A/HRC/33/42/Add.2. July 21, 2016, par. 19 and 20.</w:t>
      </w:r>
    </w:p>
  </w:endnote>
  <w:endnote w:id="47">
    <w:p w14:paraId="1DB8D51A" w14:textId="77777777" w:rsidR="00596923" w:rsidRPr="002500BD" w:rsidRDefault="00596923"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t>
      </w:r>
      <w:r w:rsidRPr="002500BD">
        <w:rPr>
          <w:rFonts w:ascii="Times New Roman" w:hAnsi="Times New Roman" w:cs="Times New Roman"/>
          <w:i/>
          <w:iCs/>
          <w:sz w:val="18"/>
          <w:szCs w:val="18"/>
        </w:rPr>
        <w:t>Ibid.</w:t>
      </w:r>
      <w:r w:rsidRPr="002500BD">
        <w:rPr>
          <w:rFonts w:ascii="Times New Roman" w:hAnsi="Times New Roman" w:cs="Times New Roman"/>
          <w:sz w:val="18"/>
          <w:szCs w:val="18"/>
        </w:rPr>
        <w:t>, para 20 and 21.</w:t>
      </w:r>
    </w:p>
  </w:endnote>
  <w:endnote w:id="48">
    <w:p w14:paraId="3B71DF0E" w14:textId="13D02CE6" w:rsidR="00596923" w:rsidRPr="00332A9D" w:rsidRDefault="00596923" w:rsidP="002500BD">
      <w:pPr>
        <w:pStyle w:val="EndnoteText"/>
        <w:rPr>
          <w:rFonts w:ascii="Times New Roman" w:hAnsi="Times New Roman" w:cs="Times New Roman"/>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ECLAC. </w:t>
      </w:r>
      <w:proofErr w:type="spellStart"/>
      <w:r w:rsidRPr="002500BD">
        <w:rPr>
          <w:rFonts w:ascii="Times New Roman" w:hAnsi="Times New Roman" w:cs="Times New Roman"/>
          <w:i/>
          <w:iCs/>
          <w:sz w:val="18"/>
          <w:szCs w:val="18"/>
        </w:rPr>
        <w:t>Mujeres</w:t>
      </w:r>
      <w:proofErr w:type="spellEnd"/>
      <w:r w:rsidRPr="002500BD">
        <w:rPr>
          <w:rFonts w:ascii="Times New Roman" w:hAnsi="Times New Roman" w:cs="Times New Roman"/>
          <w:i/>
          <w:iCs/>
          <w:sz w:val="18"/>
          <w:szCs w:val="18"/>
        </w:rPr>
        <w:t xml:space="preserve"> </w:t>
      </w:r>
      <w:proofErr w:type="spellStart"/>
      <w:r w:rsidRPr="002500BD">
        <w:rPr>
          <w:rFonts w:ascii="Times New Roman" w:hAnsi="Times New Roman" w:cs="Times New Roman"/>
          <w:i/>
          <w:iCs/>
          <w:sz w:val="18"/>
          <w:szCs w:val="18"/>
        </w:rPr>
        <w:t>indígenas</w:t>
      </w:r>
      <w:proofErr w:type="spellEnd"/>
      <w:r w:rsidRPr="002500BD">
        <w:rPr>
          <w:rFonts w:ascii="Times New Roman" w:hAnsi="Times New Roman" w:cs="Times New Roman"/>
          <w:i/>
          <w:iCs/>
          <w:sz w:val="18"/>
          <w:szCs w:val="18"/>
        </w:rPr>
        <w:t xml:space="preserve">: </w:t>
      </w:r>
      <w:proofErr w:type="spellStart"/>
      <w:r w:rsidRPr="002500BD">
        <w:rPr>
          <w:rFonts w:ascii="Times New Roman" w:hAnsi="Times New Roman" w:cs="Times New Roman"/>
          <w:i/>
          <w:iCs/>
          <w:sz w:val="18"/>
          <w:szCs w:val="18"/>
        </w:rPr>
        <w:t>nuevas</w:t>
      </w:r>
      <w:proofErr w:type="spellEnd"/>
      <w:r w:rsidRPr="002500BD">
        <w:rPr>
          <w:rFonts w:ascii="Times New Roman" w:hAnsi="Times New Roman" w:cs="Times New Roman"/>
          <w:i/>
          <w:iCs/>
          <w:sz w:val="18"/>
          <w:szCs w:val="18"/>
        </w:rPr>
        <w:t xml:space="preserve"> </w:t>
      </w:r>
      <w:proofErr w:type="spellStart"/>
      <w:r w:rsidRPr="002500BD">
        <w:rPr>
          <w:rFonts w:ascii="Times New Roman" w:hAnsi="Times New Roman" w:cs="Times New Roman"/>
          <w:i/>
          <w:iCs/>
          <w:sz w:val="18"/>
          <w:szCs w:val="18"/>
        </w:rPr>
        <w:t>protagonistas</w:t>
      </w:r>
      <w:proofErr w:type="spellEnd"/>
      <w:r w:rsidRPr="002500BD">
        <w:rPr>
          <w:rFonts w:ascii="Times New Roman" w:hAnsi="Times New Roman" w:cs="Times New Roman"/>
          <w:i/>
          <w:iCs/>
          <w:sz w:val="18"/>
          <w:szCs w:val="18"/>
        </w:rPr>
        <w:t xml:space="preserve"> para </w:t>
      </w:r>
      <w:proofErr w:type="spellStart"/>
      <w:r w:rsidRPr="002500BD">
        <w:rPr>
          <w:rFonts w:ascii="Times New Roman" w:hAnsi="Times New Roman" w:cs="Times New Roman"/>
          <w:i/>
          <w:iCs/>
          <w:sz w:val="18"/>
          <w:szCs w:val="18"/>
        </w:rPr>
        <w:t>nuevas</w:t>
      </w:r>
      <w:proofErr w:type="spellEnd"/>
      <w:r w:rsidRPr="002500BD">
        <w:rPr>
          <w:rFonts w:ascii="Times New Roman" w:hAnsi="Times New Roman" w:cs="Times New Roman"/>
          <w:i/>
          <w:iCs/>
          <w:sz w:val="18"/>
          <w:szCs w:val="18"/>
        </w:rPr>
        <w:t xml:space="preserve"> </w:t>
      </w:r>
      <w:proofErr w:type="spellStart"/>
      <w:r w:rsidRPr="002500BD">
        <w:rPr>
          <w:rFonts w:ascii="Times New Roman" w:hAnsi="Times New Roman" w:cs="Times New Roman"/>
          <w:i/>
          <w:iCs/>
          <w:sz w:val="18"/>
          <w:szCs w:val="18"/>
        </w:rPr>
        <w:t>políticas</w:t>
      </w:r>
      <w:proofErr w:type="spellEnd"/>
      <w:r w:rsidRPr="002500BD">
        <w:rPr>
          <w:rFonts w:ascii="Times New Roman" w:hAnsi="Times New Roman" w:cs="Times New Roman"/>
          <w:sz w:val="18"/>
          <w:szCs w:val="18"/>
        </w:rPr>
        <w:t>. 2014</w:t>
      </w:r>
      <w:r w:rsidR="00661374">
        <w:rPr>
          <w:rFonts w:ascii="Times New Roman" w:hAnsi="Times New Roman" w:cs="Times New Roman"/>
          <w:sz w:val="18"/>
          <w:szCs w:val="18"/>
          <w:lang w:val="en-US"/>
        </w:rPr>
        <w:t>,</w:t>
      </w:r>
      <w:r w:rsidRPr="002500BD">
        <w:rPr>
          <w:rFonts w:ascii="Times New Roman" w:hAnsi="Times New Roman" w:cs="Times New Roman"/>
          <w:sz w:val="18"/>
          <w:szCs w:val="18"/>
        </w:rPr>
        <w:t xml:space="preserve"> </w:t>
      </w:r>
      <w:r w:rsidR="00661374">
        <w:rPr>
          <w:rFonts w:ascii="Times New Roman" w:hAnsi="Times New Roman" w:cs="Times New Roman"/>
          <w:sz w:val="18"/>
          <w:szCs w:val="18"/>
          <w:lang w:val="en-US"/>
        </w:rPr>
        <w:t>p</w:t>
      </w:r>
      <w:r w:rsidRPr="002500BD">
        <w:rPr>
          <w:rFonts w:ascii="Times New Roman" w:hAnsi="Times New Roman" w:cs="Times New Roman"/>
          <w:sz w:val="18"/>
          <w:szCs w:val="18"/>
        </w:rPr>
        <w:t>. 18</w:t>
      </w:r>
      <w:r w:rsidR="00C63457">
        <w:rPr>
          <w:rFonts w:ascii="Times New Roman" w:hAnsi="Times New Roman" w:cs="Times New Roman"/>
          <w:sz w:val="18"/>
          <w:szCs w:val="18"/>
          <w:lang w:val="en-US"/>
        </w:rPr>
        <w:t>, 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22" w:history="1">
        <w:r w:rsidRPr="002500BD">
          <w:rPr>
            <w:rStyle w:val="Hyperlink"/>
            <w:rFonts w:ascii="Times New Roman" w:hAnsi="Times New Roman" w:cs="Times New Roman"/>
            <w:sz w:val="18"/>
            <w:szCs w:val="18"/>
          </w:rPr>
          <w:t>https://www.cepal.org/fr/node/21228</w:t>
        </w:r>
      </w:hyperlink>
      <w:r w:rsidR="00332A9D">
        <w:rPr>
          <w:rFonts w:ascii="Times New Roman" w:hAnsi="Times New Roman" w:cs="Times New Roman"/>
          <w:sz w:val="18"/>
          <w:szCs w:val="18"/>
          <w:lang w:val="en-US"/>
        </w:rPr>
        <w:t>.</w:t>
      </w:r>
    </w:p>
  </w:endnote>
  <w:endnote w:id="49">
    <w:p w14:paraId="61DA7846" w14:textId="54CC9B2E" w:rsidR="00596923" w:rsidRPr="002500BD" w:rsidRDefault="00596923"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Instituto Nacional de </w:t>
      </w:r>
      <w:proofErr w:type="spellStart"/>
      <w:r w:rsidRPr="002500BD">
        <w:rPr>
          <w:rFonts w:ascii="Times New Roman" w:hAnsi="Times New Roman" w:cs="Times New Roman"/>
          <w:sz w:val="18"/>
          <w:szCs w:val="18"/>
        </w:rPr>
        <w:t>Mujeres</w:t>
      </w:r>
      <w:proofErr w:type="spellEnd"/>
      <w:r w:rsidRPr="002500BD">
        <w:rPr>
          <w:rFonts w:ascii="Times New Roman" w:hAnsi="Times New Roman" w:cs="Times New Roman"/>
          <w:sz w:val="18"/>
          <w:szCs w:val="18"/>
        </w:rPr>
        <w:t xml:space="preserve">. </w:t>
      </w:r>
      <w:proofErr w:type="spellStart"/>
      <w:r w:rsidRPr="002500BD">
        <w:rPr>
          <w:rFonts w:ascii="Times New Roman" w:hAnsi="Times New Roman" w:cs="Times New Roman"/>
          <w:i/>
          <w:iCs/>
          <w:sz w:val="18"/>
          <w:szCs w:val="18"/>
        </w:rPr>
        <w:t>Violencia</w:t>
      </w:r>
      <w:proofErr w:type="spellEnd"/>
      <w:r w:rsidRPr="002500BD">
        <w:rPr>
          <w:rFonts w:ascii="Times New Roman" w:hAnsi="Times New Roman" w:cs="Times New Roman"/>
          <w:i/>
          <w:iCs/>
          <w:sz w:val="18"/>
          <w:szCs w:val="18"/>
        </w:rPr>
        <w:t xml:space="preserve"> </w:t>
      </w:r>
      <w:proofErr w:type="spellStart"/>
      <w:r w:rsidRPr="002500BD">
        <w:rPr>
          <w:rFonts w:ascii="Times New Roman" w:hAnsi="Times New Roman" w:cs="Times New Roman"/>
          <w:i/>
          <w:iCs/>
          <w:sz w:val="18"/>
          <w:szCs w:val="18"/>
        </w:rPr>
        <w:t>en</w:t>
      </w:r>
      <w:proofErr w:type="spellEnd"/>
      <w:r w:rsidRPr="002500BD">
        <w:rPr>
          <w:rFonts w:ascii="Times New Roman" w:hAnsi="Times New Roman" w:cs="Times New Roman"/>
          <w:i/>
          <w:iCs/>
          <w:sz w:val="18"/>
          <w:szCs w:val="18"/>
        </w:rPr>
        <w:t xml:space="preserve"> </w:t>
      </w:r>
      <w:proofErr w:type="spellStart"/>
      <w:r w:rsidRPr="002500BD">
        <w:rPr>
          <w:rFonts w:ascii="Times New Roman" w:hAnsi="Times New Roman" w:cs="Times New Roman"/>
          <w:i/>
          <w:iCs/>
          <w:sz w:val="18"/>
          <w:szCs w:val="18"/>
        </w:rPr>
        <w:t>mujeres</w:t>
      </w:r>
      <w:proofErr w:type="spellEnd"/>
      <w:r w:rsidRPr="002500BD">
        <w:rPr>
          <w:rFonts w:ascii="Times New Roman" w:hAnsi="Times New Roman" w:cs="Times New Roman"/>
          <w:sz w:val="18"/>
          <w:szCs w:val="18"/>
        </w:rPr>
        <w:t>. 2020</w:t>
      </w:r>
      <w:r w:rsidR="00332A9D">
        <w:rPr>
          <w:rFonts w:ascii="Times New Roman" w:hAnsi="Times New Roman" w:cs="Times New Roman"/>
          <w:sz w:val="18"/>
          <w:szCs w:val="18"/>
          <w:lang w:val="en-US"/>
        </w:rPr>
        <w:t>,</w:t>
      </w:r>
      <w:r w:rsidRPr="002500BD">
        <w:rPr>
          <w:rFonts w:ascii="Times New Roman" w:hAnsi="Times New Roman" w:cs="Times New Roman"/>
          <w:sz w:val="18"/>
          <w:szCs w:val="18"/>
        </w:rPr>
        <w:t xml:space="preserve"> </w:t>
      </w:r>
      <w:r w:rsidR="00332A9D">
        <w:rPr>
          <w:rFonts w:ascii="Times New Roman" w:hAnsi="Times New Roman" w:cs="Times New Roman"/>
          <w:sz w:val="18"/>
          <w:szCs w:val="18"/>
          <w:lang w:val="en-US"/>
        </w:rPr>
        <w:t>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23" w:history="1">
        <w:r w:rsidRPr="002500BD">
          <w:rPr>
            <w:rStyle w:val="Hyperlink"/>
            <w:rFonts w:ascii="Times New Roman" w:hAnsi="Times New Roman" w:cs="Times New Roman"/>
            <w:sz w:val="18"/>
            <w:szCs w:val="18"/>
          </w:rPr>
          <w:t>http://estadistica.inmujeres.gob.mx/formas/tarjetas/Violencia_indigenas.pdf</w:t>
        </w:r>
      </w:hyperlink>
      <w:r w:rsidRPr="002500BD">
        <w:rPr>
          <w:rFonts w:ascii="Times New Roman" w:hAnsi="Times New Roman" w:cs="Times New Roman"/>
          <w:sz w:val="18"/>
          <w:szCs w:val="18"/>
        </w:rPr>
        <w:t xml:space="preserve"> </w:t>
      </w:r>
    </w:p>
  </w:endnote>
  <w:endnote w:id="50">
    <w:p w14:paraId="1017C7E8" w14:textId="29349946" w:rsidR="00596923" w:rsidRPr="00332A9D" w:rsidRDefault="00596923" w:rsidP="002500BD">
      <w:pPr>
        <w:pStyle w:val="EndnoteText"/>
        <w:rPr>
          <w:rFonts w:ascii="Times New Roman" w:hAnsi="Times New Roman" w:cs="Times New Roman"/>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Inter-American Commission on Human Rights. </w:t>
      </w:r>
      <w:r w:rsidRPr="002500BD">
        <w:rPr>
          <w:rFonts w:ascii="Times New Roman" w:hAnsi="Times New Roman" w:cs="Times New Roman"/>
          <w:i/>
          <w:iCs/>
          <w:sz w:val="18"/>
          <w:szCs w:val="18"/>
        </w:rPr>
        <w:t>Access to justice for Women Victims of Sexual Violence in Mesoamerica</w:t>
      </w:r>
      <w:r w:rsidRPr="002500BD">
        <w:rPr>
          <w:rFonts w:ascii="Times New Roman" w:hAnsi="Times New Roman" w:cs="Times New Roman"/>
          <w:sz w:val="18"/>
          <w:szCs w:val="18"/>
        </w:rPr>
        <w:t>.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/V/II. Doc. 63. 2011. para. 24, 53, 85, 97</w:t>
      </w:r>
      <w:r w:rsidR="00661374">
        <w:rPr>
          <w:rFonts w:ascii="Times New Roman" w:hAnsi="Times New Roman" w:cs="Times New Roman"/>
          <w:sz w:val="18"/>
          <w:szCs w:val="18"/>
          <w:lang w:val="en-US"/>
        </w:rPr>
        <w:t>, 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24" w:history="1">
        <w:r w:rsidRPr="002500BD">
          <w:rPr>
            <w:rStyle w:val="Hyperlink"/>
            <w:rFonts w:ascii="Times New Roman" w:hAnsi="Times New Roman" w:cs="Times New Roman"/>
            <w:sz w:val="18"/>
            <w:szCs w:val="18"/>
          </w:rPr>
          <w:t>https://www.oas.org/en/iachr/women/docs/pdf/women%20mesoamerica%20eng.pdf</w:t>
        </w:r>
      </w:hyperlink>
      <w:r w:rsidR="00332A9D">
        <w:rPr>
          <w:rFonts w:ascii="Times New Roman" w:hAnsi="Times New Roman" w:cs="Times New Roman"/>
          <w:sz w:val="18"/>
          <w:szCs w:val="18"/>
          <w:lang w:val="en-US"/>
        </w:rPr>
        <w:t>.</w:t>
      </w:r>
    </w:p>
  </w:endnote>
  <w:endnote w:id="51">
    <w:p w14:paraId="2E032DB4" w14:textId="1E99C1B5" w:rsidR="00596923" w:rsidRPr="002500BD" w:rsidRDefault="00596923" w:rsidP="002500BD">
      <w:pPr>
        <w:pStyle w:val="EndnoteText"/>
        <w:rPr>
          <w:rFonts w:ascii="Times New Roman" w:hAnsi="Times New Roman" w:cs="Times New Roman"/>
          <w:sz w:val="18"/>
          <w:szCs w:val="18"/>
          <w:lang w:val="es-CO"/>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Inter-American Commission on Human Rights. </w:t>
      </w:r>
      <w:r w:rsidRPr="002500BD">
        <w:rPr>
          <w:rFonts w:ascii="Times New Roman" w:hAnsi="Times New Roman" w:cs="Times New Roman"/>
          <w:i/>
          <w:iCs/>
          <w:sz w:val="18"/>
          <w:szCs w:val="18"/>
        </w:rPr>
        <w:t>Indigenous Women</w:t>
      </w:r>
      <w:r w:rsidRPr="002500BD">
        <w:rPr>
          <w:rFonts w:ascii="Times New Roman" w:hAnsi="Times New Roman" w:cs="Times New Roman"/>
          <w:sz w:val="18"/>
          <w:szCs w:val="18"/>
        </w:rPr>
        <w:t>.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/V/II. Doc. 44/17. 2017. paras 25, 27</w:t>
      </w:r>
      <w:r w:rsidR="00332A9D">
        <w:rPr>
          <w:rFonts w:ascii="Times New Roman" w:hAnsi="Times New Roman" w:cs="Times New Roman"/>
          <w:sz w:val="18"/>
          <w:szCs w:val="18"/>
          <w:lang w:val="en-US"/>
        </w:rPr>
        <w:t>, 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25" w:history="1">
        <w:r w:rsidRPr="002500BD">
          <w:rPr>
            <w:rStyle w:val="Hyperlink"/>
            <w:rFonts w:ascii="Times New Roman" w:hAnsi="Times New Roman" w:cs="Times New Roman"/>
            <w:sz w:val="18"/>
            <w:szCs w:val="18"/>
          </w:rPr>
          <w:t>http://www.oas.org/en/iachr/reports/pdfs/IndigenousWomen.pdf</w:t>
        </w:r>
      </w:hyperlink>
      <w:r w:rsidR="00332A9D">
        <w:rPr>
          <w:rFonts w:ascii="Times New Roman" w:hAnsi="Times New Roman" w:cs="Times New Roman"/>
          <w:sz w:val="18"/>
          <w:szCs w:val="18"/>
          <w:lang w:val="en-US"/>
        </w:rPr>
        <w:t>.</w:t>
      </w:r>
    </w:p>
  </w:endnote>
  <w:endnote w:id="52">
    <w:p w14:paraId="4A779361" w14:textId="724E36CB" w:rsidR="00881636" w:rsidRPr="002500BD" w:rsidRDefault="00881636"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Castro A, Savage V, Kaufman H. </w:t>
      </w:r>
      <w:r w:rsidRPr="002500BD">
        <w:rPr>
          <w:rFonts w:ascii="Times New Roman" w:hAnsi="Times New Roman" w:cs="Times New Roman"/>
          <w:i/>
          <w:iCs/>
          <w:sz w:val="18"/>
          <w:szCs w:val="18"/>
        </w:rPr>
        <w:t xml:space="preserve">Assessing equitable care for Indigenous and </w:t>
      </w:r>
      <w:proofErr w:type="spellStart"/>
      <w:r w:rsidRPr="002500BD">
        <w:rPr>
          <w:rFonts w:ascii="Times New Roman" w:hAnsi="Times New Roman" w:cs="Times New Roman"/>
          <w:i/>
          <w:iCs/>
          <w:sz w:val="18"/>
          <w:szCs w:val="18"/>
        </w:rPr>
        <w:t>Afrodescendant</w:t>
      </w:r>
      <w:proofErr w:type="spellEnd"/>
      <w:r w:rsidRPr="002500BD">
        <w:rPr>
          <w:rFonts w:ascii="Times New Roman" w:hAnsi="Times New Roman" w:cs="Times New Roman"/>
          <w:i/>
          <w:iCs/>
          <w:sz w:val="18"/>
          <w:szCs w:val="18"/>
        </w:rPr>
        <w:t xml:space="preserve"> women in Latin America.</w:t>
      </w:r>
      <w:r w:rsidRPr="002500BD">
        <w:rPr>
          <w:rFonts w:ascii="Times New Roman" w:hAnsi="Times New Roman" w:cs="Times New Roman"/>
          <w:sz w:val="18"/>
          <w:szCs w:val="18"/>
        </w:rPr>
        <w:t xml:space="preserve"> Rev. </w:t>
      </w:r>
      <w:proofErr w:type="spellStart"/>
      <w:r w:rsidRPr="002500BD">
        <w:rPr>
          <w:rFonts w:ascii="Times New Roman" w:hAnsi="Times New Roman" w:cs="Times New Roman"/>
          <w:sz w:val="18"/>
          <w:szCs w:val="18"/>
        </w:rPr>
        <w:t>Panam</w:t>
      </w:r>
      <w:proofErr w:type="spellEnd"/>
      <w:r w:rsidRPr="002500BD">
        <w:rPr>
          <w:rFonts w:ascii="Times New Roman" w:hAnsi="Times New Roman" w:cs="Times New Roman"/>
          <w:sz w:val="18"/>
          <w:szCs w:val="18"/>
        </w:rPr>
        <w:t xml:space="preserve"> </w:t>
      </w:r>
      <w:proofErr w:type="spellStart"/>
      <w:r w:rsidRPr="002500BD">
        <w:rPr>
          <w:rFonts w:ascii="Times New Roman" w:hAnsi="Times New Roman" w:cs="Times New Roman"/>
          <w:sz w:val="18"/>
          <w:szCs w:val="18"/>
        </w:rPr>
        <w:t>Salud</w:t>
      </w:r>
      <w:proofErr w:type="spellEnd"/>
      <w:r w:rsidRPr="002500BD">
        <w:rPr>
          <w:rFonts w:ascii="Times New Roman" w:hAnsi="Times New Roman" w:cs="Times New Roman"/>
          <w:sz w:val="18"/>
          <w:szCs w:val="18"/>
        </w:rPr>
        <w:t xml:space="preserve"> Publica (</w:t>
      </w:r>
      <w:r w:rsidRPr="002500BD">
        <w:rPr>
          <w:rFonts w:ascii="Times New Roman" w:hAnsi="Times New Roman" w:cs="Times New Roman"/>
          <w:sz w:val="18"/>
          <w:szCs w:val="18"/>
          <w:u w:val="single"/>
        </w:rPr>
        <w:t>Literature review</w:t>
      </w:r>
      <w:r w:rsidRPr="002500BD">
        <w:rPr>
          <w:rFonts w:ascii="Times New Roman" w:hAnsi="Times New Roman" w:cs="Times New Roman"/>
          <w:sz w:val="18"/>
          <w:szCs w:val="18"/>
        </w:rPr>
        <w:t>). 2015</w:t>
      </w:r>
      <w:r w:rsidR="00A84475">
        <w:rPr>
          <w:rFonts w:ascii="Times New Roman" w:hAnsi="Times New Roman" w:cs="Times New Roman"/>
          <w:sz w:val="18"/>
          <w:szCs w:val="18"/>
          <w:lang w:val="en-US"/>
        </w:rPr>
        <w:t>, p</w:t>
      </w:r>
      <w:r w:rsidRPr="002500BD">
        <w:rPr>
          <w:rFonts w:ascii="Times New Roman" w:hAnsi="Times New Roman" w:cs="Times New Roman"/>
          <w:sz w:val="18"/>
          <w:szCs w:val="18"/>
        </w:rPr>
        <w:t>. 101</w:t>
      </w:r>
      <w:r w:rsidR="00A84475">
        <w:rPr>
          <w:rFonts w:ascii="Times New Roman" w:hAnsi="Times New Roman" w:cs="Times New Roman"/>
          <w:sz w:val="18"/>
          <w:szCs w:val="18"/>
          <w:lang w:val="en-US"/>
        </w:rPr>
        <w:t>,</w:t>
      </w:r>
      <w:r w:rsidRPr="002500BD">
        <w:rPr>
          <w:rFonts w:ascii="Times New Roman" w:hAnsi="Times New Roman" w:cs="Times New Roman"/>
          <w:sz w:val="18"/>
          <w:szCs w:val="18"/>
        </w:rPr>
        <w:t xml:space="preserve"> </w:t>
      </w:r>
      <w:r w:rsidR="00A84475">
        <w:rPr>
          <w:rFonts w:ascii="Times New Roman" w:hAnsi="Times New Roman" w:cs="Times New Roman"/>
          <w:sz w:val="18"/>
          <w:szCs w:val="18"/>
          <w:lang w:val="en-US"/>
        </w:rPr>
        <w:t>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26" w:history="1">
        <w:r w:rsidRPr="002500BD">
          <w:rPr>
            <w:rStyle w:val="Hyperlink"/>
            <w:rFonts w:ascii="Times New Roman" w:hAnsi="Times New Roman" w:cs="Times New Roman"/>
            <w:sz w:val="18"/>
            <w:szCs w:val="18"/>
          </w:rPr>
          <w:t>https://iris.paho.org/bitstream/handle/10665.2/10044/v38n2a02.pdf?sequence=1&amp;isAllowed=y</w:t>
        </w:r>
      </w:hyperlink>
      <w:r w:rsidR="00A84475">
        <w:rPr>
          <w:rFonts w:ascii="Times New Roman" w:hAnsi="Times New Roman" w:cs="Times New Roman"/>
          <w:sz w:val="18"/>
          <w:szCs w:val="18"/>
          <w:lang w:val="en-US"/>
        </w:rPr>
        <w:t>.</w:t>
      </w:r>
    </w:p>
  </w:endnote>
  <w:endnote w:id="53">
    <w:p w14:paraId="4C4248CD" w14:textId="44BE5D5C" w:rsidR="00881636" w:rsidRPr="00661374" w:rsidRDefault="00881636" w:rsidP="002500BD">
      <w:pPr>
        <w:pStyle w:val="EndnoteText"/>
        <w:rPr>
          <w:rFonts w:ascii="Times New Roman" w:hAnsi="Times New Roman" w:cs="Times New Roman"/>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ECLAC</w:t>
      </w:r>
      <w:r w:rsidR="00661374">
        <w:rPr>
          <w:rFonts w:ascii="Times New Roman" w:hAnsi="Times New Roman" w:cs="Times New Roman"/>
          <w:sz w:val="18"/>
          <w:szCs w:val="18"/>
          <w:lang w:val="en-US"/>
        </w:rPr>
        <w:t>,</w:t>
      </w:r>
      <w:r w:rsidRPr="002500BD">
        <w:rPr>
          <w:rFonts w:ascii="Times New Roman" w:hAnsi="Times New Roman" w:cs="Times New Roman"/>
          <w:sz w:val="18"/>
          <w:szCs w:val="18"/>
        </w:rPr>
        <w:t xml:space="preserve"> </w:t>
      </w:r>
      <w:r w:rsidRPr="002500BD">
        <w:rPr>
          <w:rFonts w:ascii="Times New Roman" w:hAnsi="Times New Roman" w:cs="Times New Roman"/>
          <w:i/>
          <w:iCs/>
          <w:sz w:val="18"/>
          <w:szCs w:val="18"/>
        </w:rPr>
        <w:t>The Impact of COVID-19 on indigenous peoples in Latin America (</w:t>
      </w:r>
      <w:proofErr w:type="spellStart"/>
      <w:r w:rsidRPr="002500BD">
        <w:rPr>
          <w:rFonts w:ascii="Times New Roman" w:hAnsi="Times New Roman" w:cs="Times New Roman"/>
          <w:i/>
          <w:iCs/>
          <w:sz w:val="18"/>
          <w:szCs w:val="18"/>
        </w:rPr>
        <w:t>Abya-Yala</w:t>
      </w:r>
      <w:proofErr w:type="spellEnd"/>
      <w:r w:rsidRPr="002500BD">
        <w:rPr>
          <w:rFonts w:ascii="Times New Roman" w:hAnsi="Times New Roman" w:cs="Times New Roman"/>
          <w:i/>
          <w:iCs/>
          <w:sz w:val="18"/>
          <w:szCs w:val="18"/>
        </w:rPr>
        <w:t xml:space="preserve">): Between invisibility and collective resistance, </w:t>
      </w:r>
      <w:r w:rsidRPr="002500BD">
        <w:rPr>
          <w:rFonts w:ascii="Times New Roman" w:hAnsi="Times New Roman" w:cs="Times New Roman"/>
          <w:sz w:val="18"/>
          <w:szCs w:val="18"/>
        </w:rPr>
        <w:t>p. 33</w:t>
      </w:r>
      <w:r w:rsidR="00661374">
        <w:rPr>
          <w:rFonts w:ascii="Times New Roman" w:hAnsi="Times New Roman" w:cs="Times New Roman"/>
          <w:sz w:val="18"/>
          <w:szCs w:val="18"/>
          <w:lang w:val="en-US"/>
        </w:rPr>
        <w:t>.</w:t>
      </w:r>
    </w:p>
  </w:endnote>
  <w:endnote w:id="54">
    <w:p w14:paraId="0F9C6DDA" w14:textId="24996CC1" w:rsidR="00881636" w:rsidRPr="002500BD" w:rsidRDefault="00881636"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ECLAC; Gender Equality Observatory for Latin America and the Caribbean; UNFPA. </w:t>
      </w:r>
      <w:r w:rsidRPr="002500BD">
        <w:rPr>
          <w:rFonts w:ascii="Times New Roman" w:hAnsi="Times New Roman" w:cs="Times New Roman"/>
          <w:i/>
          <w:iCs/>
          <w:sz w:val="18"/>
          <w:szCs w:val="18"/>
        </w:rPr>
        <w:t>Risk of the COVID-19 pandemic for the exercise of women’s sexual and reproductive rights</w:t>
      </w:r>
      <w:r w:rsidRPr="002500BD">
        <w:rPr>
          <w:rFonts w:ascii="Times New Roman" w:hAnsi="Times New Roman" w:cs="Times New Roman"/>
          <w:sz w:val="18"/>
          <w:szCs w:val="18"/>
        </w:rPr>
        <w:t>. 2020</w:t>
      </w:r>
      <w:r w:rsidR="00661374">
        <w:rPr>
          <w:rFonts w:ascii="Times New Roman" w:hAnsi="Times New Roman" w:cs="Times New Roman"/>
          <w:sz w:val="18"/>
          <w:szCs w:val="18"/>
          <w:lang w:val="en-US"/>
        </w:rPr>
        <w:t>, p</w:t>
      </w:r>
      <w:r w:rsidRPr="002500BD">
        <w:rPr>
          <w:rFonts w:ascii="Times New Roman" w:hAnsi="Times New Roman" w:cs="Times New Roman"/>
          <w:sz w:val="18"/>
          <w:szCs w:val="18"/>
        </w:rPr>
        <w:t>.2</w:t>
      </w:r>
      <w:r w:rsidR="00661374">
        <w:rPr>
          <w:rFonts w:ascii="Times New Roman" w:hAnsi="Times New Roman" w:cs="Times New Roman"/>
          <w:sz w:val="18"/>
          <w:szCs w:val="18"/>
          <w:lang w:val="en-US"/>
        </w:rPr>
        <w:t>,</w:t>
      </w:r>
      <w:r w:rsidRPr="002500BD">
        <w:rPr>
          <w:rFonts w:ascii="Times New Roman" w:hAnsi="Times New Roman" w:cs="Times New Roman"/>
          <w:sz w:val="18"/>
          <w:szCs w:val="18"/>
        </w:rPr>
        <w:t xml:space="preserve"> </w:t>
      </w:r>
      <w:r w:rsidR="00661374">
        <w:rPr>
          <w:rFonts w:ascii="Times New Roman" w:hAnsi="Times New Roman" w:cs="Times New Roman"/>
          <w:sz w:val="18"/>
          <w:szCs w:val="18"/>
          <w:lang w:val="en-US"/>
        </w:rPr>
        <w:t>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27" w:history="1">
        <w:r w:rsidRPr="002500BD">
          <w:rPr>
            <w:rStyle w:val="Hyperlink"/>
            <w:rFonts w:ascii="Times New Roman" w:hAnsi="Times New Roman" w:cs="Times New Roman"/>
            <w:sz w:val="18"/>
            <w:szCs w:val="18"/>
          </w:rPr>
          <w:t>https://oig.cepal.org/sites/default/files/c2000905_web.pdf</w:t>
        </w:r>
      </w:hyperlink>
      <w:r w:rsidRPr="002500BD">
        <w:rPr>
          <w:rFonts w:ascii="Times New Roman" w:hAnsi="Times New Roman" w:cs="Times New Roman"/>
          <w:sz w:val="18"/>
          <w:szCs w:val="18"/>
        </w:rPr>
        <w:t xml:space="preserve"> </w:t>
      </w:r>
    </w:p>
  </w:endnote>
  <w:endnote w:id="55">
    <w:p w14:paraId="75A5D0A5" w14:textId="77777777" w:rsidR="00725099" w:rsidRPr="002500BD" w:rsidRDefault="00725099"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UNICEF; Tulane University School of Public Health and Tropical Medicine. </w:t>
      </w:r>
      <w:r w:rsidRPr="002500BD">
        <w:rPr>
          <w:rFonts w:ascii="Times New Roman" w:hAnsi="Times New Roman" w:cs="Times New Roman"/>
          <w:i/>
          <w:iCs/>
          <w:sz w:val="18"/>
          <w:szCs w:val="18"/>
        </w:rPr>
        <w:t>Health Equity Report 2016. Analysis of reproductive, maternal, newborn, child and adolescent health inequities in Latin America and the Caribbean to inform policymaking</w:t>
      </w:r>
      <w:r w:rsidRPr="002500BD">
        <w:rPr>
          <w:rFonts w:ascii="Times New Roman" w:hAnsi="Times New Roman" w:cs="Times New Roman"/>
          <w:sz w:val="18"/>
          <w:szCs w:val="18"/>
        </w:rPr>
        <w:t xml:space="preserve">. 2016. Pg. 14. Available at: </w:t>
      </w:r>
      <w:hyperlink r:id="rId28" w:history="1">
        <w:r w:rsidRPr="002500BD">
          <w:rPr>
            <w:rStyle w:val="Hyperlink"/>
            <w:rFonts w:ascii="Times New Roman" w:hAnsi="Times New Roman" w:cs="Times New Roman"/>
            <w:sz w:val="18"/>
            <w:szCs w:val="18"/>
          </w:rPr>
          <w:t>https://www.unicef.org/lac/media/386/file/Publication.pdf</w:t>
        </w:r>
      </w:hyperlink>
    </w:p>
  </w:endnote>
  <w:endnote w:id="56">
    <w:p w14:paraId="75423263" w14:textId="2353C492" w:rsidR="00725099" w:rsidRPr="007002AF" w:rsidRDefault="00725099" w:rsidP="002500BD">
      <w:pPr>
        <w:pStyle w:val="EndnoteText"/>
        <w:rPr>
          <w:rFonts w:ascii="Times New Roman" w:hAnsi="Times New Roman" w:cs="Times New Roman"/>
          <w:sz w:val="18"/>
          <w:szCs w:val="18"/>
          <w:lang w:val="en-US"/>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Economic Commission for Latin America and the Caribbean (ECLAC). </w:t>
      </w:r>
      <w:r w:rsidRPr="002500BD">
        <w:rPr>
          <w:rFonts w:ascii="Times New Roman" w:hAnsi="Times New Roman" w:cs="Times New Roman"/>
          <w:i/>
          <w:iCs/>
          <w:sz w:val="18"/>
          <w:szCs w:val="18"/>
        </w:rPr>
        <w:t>The Impact of COVID-19 on indigenous peoples in Latin America (</w:t>
      </w:r>
      <w:proofErr w:type="spellStart"/>
      <w:r w:rsidRPr="002500BD">
        <w:rPr>
          <w:rFonts w:ascii="Times New Roman" w:hAnsi="Times New Roman" w:cs="Times New Roman"/>
          <w:i/>
          <w:iCs/>
          <w:sz w:val="18"/>
          <w:szCs w:val="18"/>
        </w:rPr>
        <w:t>Abya-Yala</w:t>
      </w:r>
      <w:proofErr w:type="spellEnd"/>
      <w:r w:rsidRPr="002500BD">
        <w:rPr>
          <w:rFonts w:ascii="Times New Roman" w:hAnsi="Times New Roman" w:cs="Times New Roman"/>
          <w:i/>
          <w:iCs/>
          <w:sz w:val="18"/>
          <w:szCs w:val="18"/>
        </w:rPr>
        <w:t>): Between invisibility and collective resistance</w:t>
      </w:r>
      <w:r w:rsidRPr="002500BD">
        <w:rPr>
          <w:rFonts w:ascii="Times New Roman" w:hAnsi="Times New Roman" w:cs="Times New Roman"/>
          <w:sz w:val="18"/>
          <w:szCs w:val="18"/>
        </w:rPr>
        <w:t>. 2021</w:t>
      </w:r>
      <w:r w:rsidR="007002AF">
        <w:rPr>
          <w:rFonts w:ascii="Times New Roman" w:hAnsi="Times New Roman" w:cs="Times New Roman"/>
          <w:sz w:val="18"/>
          <w:szCs w:val="18"/>
          <w:lang w:val="en-US"/>
        </w:rPr>
        <w:t>, p</w:t>
      </w:r>
      <w:r w:rsidRPr="002500BD">
        <w:rPr>
          <w:rFonts w:ascii="Times New Roman" w:hAnsi="Times New Roman" w:cs="Times New Roman"/>
          <w:sz w:val="18"/>
          <w:szCs w:val="18"/>
        </w:rPr>
        <w:t>. 20</w:t>
      </w:r>
      <w:r w:rsidR="007002AF">
        <w:rPr>
          <w:rFonts w:ascii="Times New Roman" w:hAnsi="Times New Roman" w:cs="Times New Roman"/>
          <w:sz w:val="18"/>
          <w:szCs w:val="18"/>
          <w:lang w:val="en-US"/>
        </w:rPr>
        <w:t>, 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29" w:history="1">
        <w:r w:rsidRPr="002500BD">
          <w:rPr>
            <w:rStyle w:val="Hyperlink"/>
            <w:rFonts w:ascii="Times New Roman" w:hAnsi="Times New Roman" w:cs="Times New Roman"/>
            <w:sz w:val="18"/>
            <w:szCs w:val="18"/>
          </w:rPr>
          <w:t>https://www.cepal.org/en/publications/46698-impact-covid-19-indigenous-peoples-latin-america-abya-yala-between-invisibility</w:t>
        </w:r>
      </w:hyperlink>
      <w:r w:rsidR="007002AF">
        <w:rPr>
          <w:rFonts w:ascii="Times New Roman" w:hAnsi="Times New Roman" w:cs="Times New Roman"/>
          <w:sz w:val="18"/>
          <w:szCs w:val="18"/>
          <w:lang w:val="en-US"/>
        </w:rPr>
        <w:t>.</w:t>
      </w:r>
    </w:p>
  </w:endnote>
  <w:endnote w:id="57">
    <w:p w14:paraId="07940843" w14:textId="600C4C1A" w:rsidR="00725099" w:rsidRPr="002500BD" w:rsidRDefault="00725099"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Working Group on Discrimination against women and girls</w:t>
      </w:r>
      <w:r w:rsidR="001B7894">
        <w:rPr>
          <w:rFonts w:ascii="Times New Roman" w:hAnsi="Times New Roman" w:cs="Times New Roman"/>
          <w:sz w:val="18"/>
          <w:szCs w:val="18"/>
          <w:lang w:val="en-US"/>
        </w:rPr>
        <w:t>,</w:t>
      </w:r>
      <w:r w:rsidRPr="002500BD">
        <w:rPr>
          <w:rFonts w:ascii="Times New Roman" w:hAnsi="Times New Roman" w:cs="Times New Roman"/>
          <w:i/>
          <w:iCs/>
          <w:sz w:val="18"/>
          <w:szCs w:val="18"/>
        </w:rPr>
        <w:t xml:space="preserve"> Women’s and girls’ sexual and reproductive health rights in crisis.</w:t>
      </w:r>
      <w:r w:rsidRPr="002500BD">
        <w:rPr>
          <w:rFonts w:ascii="Times New Roman" w:hAnsi="Times New Roman" w:cs="Times New Roman"/>
          <w:sz w:val="18"/>
          <w:szCs w:val="18"/>
        </w:rPr>
        <w:t xml:space="preserve"> UN Doc. A/HRC/47/38, para 65.</w:t>
      </w:r>
    </w:p>
  </w:endnote>
  <w:endnote w:id="58">
    <w:p w14:paraId="550DB566" w14:textId="6412603A" w:rsidR="00725099" w:rsidRPr="002500BD" w:rsidRDefault="00725099"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Working Group on Discrimination against women and girls</w:t>
      </w:r>
      <w:r w:rsidRPr="002500BD">
        <w:rPr>
          <w:rFonts w:ascii="Times New Roman" w:hAnsi="Times New Roman" w:cs="Times New Roman"/>
          <w:i/>
          <w:iCs/>
          <w:sz w:val="18"/>
          <w:szCs w:val="18"/>
        </w:rPr>
        <w:t>. Women’s and girls’ sexual and reproductive health rights in crisis.</w:t>
      </w:r>
      <w:r w:rsidRPr="002500BD">
        <w:rPr>
          <w:rFonts w:ascii="Times New Roman" w:hAnsi="Times New Roman" w:cs="Times New Roman"/>
          <w:sz w:val="18"/>
          <w:szCs w:val="18"/>
        </w:rPr>
        <w:t xml:space="preserve"> A/HRC/47/38. Pr.64. Available at: </w:t>
      </w:r>
      <w:hyperlink r:id="rId30" w:history="1">
        <w:r w:rsidRPr="002500BD">
          <w:rPr>
            <w:rStyle w:val="Hyperlink"/>
            <w:rFonts w:ascii="Times New Roman" w:hAnsi="Times New Roman" w:cs="Times New Roman"/>
            <w:sz w:val="18"/>
            <w:szCs w:val="18"/>
          </w:rPr>
          <w:t>https://undocs.org/en/A/HRC/47/38</w:t>
        </w:r>
      </w:hyperlink>
      <w:r w:rsidRPr="002500BD">
        <w:rPr>
          <w:rFonts w:ascii="Times New Roman" w:hAnsi="Times New Roman" w:cs="Times New Roman"/>
          <w:sz w:val="18"/>
          <w:szCs w:val="18"/>
        </w:rPr>
        <w:t xml:space="preserve">; see also: Inter-agency support group on indigenous peoples’ issues. </w:t>
      </w:r>
      <w:r w:rsidRPr="002500BD">
        <w:rPr>
          <w:rFonts w:ascii="Times New Roman" w:hAnsi="Times New Roman" w:cs="Times New Roman"/>
          <w:i/>
          <w:iCs/>
          <w:sz w:val="18"/>
          <w:szCs w:val="18"/>
        </w:rPr>
        <w:t>Thematic paper towards the preparation of the 2014 World Conference on Indigenous Peoples. Elimination and responses to violence, exploitation and abuse of indigenous girls, adolescents and young women. 2014</w:t>
      </w:r>
      <w:r w:rsidR="001B7894">
        <w:rPr>
          <w:rFonts w:ascii="Times New Roman" w:hAnsi="Times New Roman" w:cs="Times New Roman"/>
          <w:sz w:val="18"/>
          <w:szCs w:val="18"/>
          <w:lang w:val="en-US"/>
        </w:rPr>
        <w:t>, p.</w:t>
      </w:r>
      <w:r w:rsidRPr="002500BD">
        <w:rPr>
          <w:rFonts w:ascii="Times New Roman" w:hAnsi="Times New Roman" w:cs="Times New Roman"/>
          <w:sz w:val="18"/>
          <w:szCs w:val="18"/>
        </w:rPr>
        <w:t xml:space="preserve"> 6</w:t>
      </w:r>
      <w:r w:rsidR="001B7894">
        <w:rPr>
          <w:rFonts w:ascii="Times New Roman" w:hAnsi="Times New Roman" w:cs="Times New Roman"/>
          <w:sz w:val="18"/>
          <w:szCs w:val="18"/>
          <w:lang w:val="en-US"/>
        </w:rPr>
        <w:t>,</w:t>
      </w:r>
      <w:r w:rsidRPr="002500BD">
        <w:rPr>
          <w:rFonts w:ascii="Times New Roman" w:hAnsi="Times New Roman" w:cs="Times New Roman"/>
          <w:sz w:val="18"/>
          <w:szCs w:val="18"/>
        </w:rPr>
        <w:t xml:space="preserve"> </w:t>
      </w:r>
      <w:r w:rsidR="001B7894">
        <w:rPr>
          <w:rFonts w:ascii="Times New Roman" w:hAnsi="Times New Roman" w:cs="Times New Roman"/>
          <w:sz w:val="18"/>
          <w:szCs w:val="18"/>
          <w:lang w:val="en-US"/>
        </w:rPr>
        <w:t>a</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31" w:history="1">
        <w:r w:rsidRPr="002500BD">
          <w:rPr>
            <w:rStyle w:val="Hyperlink"/>
            <w:rFonts w:ascii="Times New Roman" w:hAnsi="Times New Roman" w:cs="Times New Roman"/>
            <w:sz w:val="18"/>
            <w:szCs w:val="18"/>
          </w:rPr>
          <w:t>https://www.un.org/en/ga/69/meetings/indigenous/pdf/IASG%20Thematic%20Paper_%20Violence%20against%20Girls%20and%20Women%20-%20rev1.pdf</w:t>
        </w:r>
      </w:hyperlink>
    </w:p>
  </w:endnote>
  <w:endnote w:id="59">
    <w:p w14:paraId="09F4F9B4" w14:textId="77777777" w:rsidR="00725099" w:rsidRPr="002500BD" w:rsidRDefault="00725099" w:rsidP="002500BD">
      <w:pPr>
        <w:pStyle w:val="EndnoteText"/>
        <w:rPr>
          <w:rFonts w:ascii="Times New Roman" w:hAnsi="Times New Roman" w:cs="Times New Roman"/>
          <w:sz w:val="18"/>
          <w:szCs w:val="18"/>
          <w:lang w:val="es-CO"/>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Inter-American Commission on Human Rights. </w:t>
      </w:r>
      <w:r w:rsidRPr="002500BD">
        <w:rPr>
          <w:rFonts w:ascii="Times New Roman" w:hAnsi="Times New Roman" w:cs="Times New Roman"/>
          <w:i/>
          <w:iCs/>
          <w:sz w:val="18"/>
          <w:szCs w:val="18"/>
        </w:rPr>
        <w:t>Indigenous Women</w:t>
      </w:r>
      <w:r w:rsidRPr="002500BD">
        <w:rPr>
          <w:rFonts w:ascii="Times New Roman" w:hAnsi="Times New Roman" w:cs="Times New Roman"/>
          <w:sz w:val="18"/>
          <w:szCs w:val="18"/>
        </w:rPr>
        <w:t>.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 xml:space="preserve">/V/II. Doc. 44/17. 2017. paras 109. Available at: </w:t>
      </w:r>
      <w:hyperlink r:id="rId32" w:history="1">
        <w:r w:rsidRPr="002500BD">
          <w:rPr>
            <w:rStyle w:val="Hyperlink"/>
            <w:rFonts w:ascii="Times New Roman" w:hAnsi="Times New Roman" w:cs="Times New Roman"/>
            <w:sz w:val="18"/>
            <w:szCs w:val="18"/>
          </w:rPr>
          <w:t>http://www.oas.org/en/iachr/reports/pdfs/IndigenousWomen.pdf</w:t>
        </w:r>
      </w:hyperlink>
    </w:p>
  </w:endnote>
  <w:endnote w:id="60">
    <w:p w14:paraId="161C143B" w14:textId="77777777" w:rsidR="00725099" w:rsidRPr="002500BD" w:rsidRDefault="00725099" w:rsidP="002500BD">
      <w:pPr>
        <w:pStyle w:val="EndnoteText"/>
        <w:rPr>
          <w:rFonts w:ascii="Times New Roman" w:hAnsi="Times New Roman" w:cs="Times New Roman"/>
          <w:sz w:val="18"/>
          <w:szCs w:val="18"/>
          <w:lang w:val="es-CO"/>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See for example, </w:t>
      </w:r>
      <w:r w:rsidRPr="002500BD">
        <w:rPr>
          <w:rFonts w:ascii="Times New Roman" w:hAnsi="Times New Roman" w:cs="Times New Roman"/>
          <w:sz w:val="18"/>
          <w:szCs w:val="18"/>
          <w:lang w:val="es-CO"/>
        </w:rPr>
        <w:t xml:space="preserve">IACHR, </w:t>
      </w:r>
      <w:proofErr w:type="spellStart"/>
      <w:r w:rsidRPr="002500BD">
        <w:rPr>
          <w:rFonts w:ascii="Times New Roman" w:hAnsi="Times New Roman" w:cs="Times New Roman"/>
          <w:sz w:val="18"/>
          <w:szCs w:val="18"/>
          <w:lang w:val="es-CO"/>
        </w:rPr>
        <w:t>Report</w:t>
      </w:r>
      <w:proofErr w:type="spellEnd"/>
      <w:r w:rsidRPr="002500BD">
        <w:rPr>
          <w:rFonts w:ascii="Times New Roman" w:hAnsi="Times New Roman" w:cs="Times New Roman"/>
          <w:sz w:val="18"/>
          <w:szCs w:val="18"/>
          <w:lang w:val="es-CO"/>
        </w:rPr>
        <w:t xml:space="preserve"> No. 71.03. </w:t>
      </w:r>
      <w:proofErr w:type="spellStart"/>
      <w:r w:rsidRPr="002500BD">
        <w:rPr>
          <w:rFonts w:ascii="Times New Roman" w:hAnsi="Times New Roman" w:cs="Times New Roman"/>
          <w:sz w:val="18"/>
          <w:szCs w:val="18"/>
          <w:lang w:val="es-CO"/>
        </w:rPr>
        <w:t>Petition</w:t>
      </w:r>
      <w:proofErr w:type="spellEnd"/>
      <w:r w:rsidRPr="002500BD">
        <w:rPr>
          <w:rFonts w:ascii="Times New Roman" w:hAnsi="Times New Roman" w:cs="Times New Roman"/>
          <w:sz w:val="18"/>
          <w:szCs w:val="18"/>
          <w:lang w:val="es-CO"/>
        </w:rPr>
        <w:t xml:space="preserve"> 12.191. </w:t>
      </w:r>
      <w:proofErr w:type="spellStart"/>
      <w:r w:rsidRPr="002500BD">
        <w:rPr>
          <w:rFonts w:ascii="Times New Roman" w:hAnsi="Times New Roman" w:cs="Times New Roman"/>
          <w:sz w:val="18"/>
          <w:szCs w:val="18"/>
          <w:lang w:val="es-CO"/>
        </w:rPr>
        <w:t>Friendly</w:t>
      </w:r>
      <w:proofErr w:type="spellEnd"/>
      <w:r w:rsidRPr="002500BD">
        <w:rPr>
          <w:rFonts w:ascii="Times New Roman" w:hAnsi="Times New Roman" w:cs="Times New Roman"/>
          <w:sz w:val="18"/>
          <w:szCs w:val="18"/>
          <w:lang w:val="es-CO"/>
        </w:rPr>
        <w:t xml:space="preserve"> </w:t>
      </w:r>
      <w:proofErr w:type="spellStart"/>
      <w:r w:rsidRPr="002500BD">
        <w:rPr>
          <w:rFonts w:ascii="Times New Roman" w:hAnsi="Times New Roman" w:cs="Times New Roman"/>
          <w:sz w:val="18"/>
          <w:szCs w:val="18"/>
          <w:lang w:val="es-CO"/>
        </w:rPr>
        <w:t>Settlement</w:t>
      </w:r>
      <w:proofErr w:type="spellEnd"/>
      <w:r w:rsidRPr="002500BD">
        <w:rPr>
          <w:rFonts w:ascii="Times New Roman" w:hAnsi="Times New Roman" w:cs="Times New Roman"/>
          <w:sz w:val="18"/>
          <w:szCs w:val="18"/>
          <w:lang w:val="es-CO"/>
        </w:rPr>
        <w:t xml:space="preserve">. María </w:t>
      </w:r>
      <w:proofErr w:type="spellStart"/>
      <w:r w:rsidRPr="002500BD">
        <w:rPr>
          <w:rFonts w:ascii="Times New Roman" w:hAnsi="Times New Roman" w:cs="Times New Roman"/>
          <w:sz w:val="18"/>
          <w:szCs w:val="18"/>
          <w:lang w:val="es-CO"/>
        </w:rPr>
        <w:t>Mamérita</w:t>
      </w:r>
      <w:proofErr w:type="spellEnd"/>
      <w:r w:rsidRPr="002500BD">
        <w:rPr>
          <w:rFonts w:ascii="Times New Roman" w:hAnsi="Times New Roman" w:cs="Times New Roman"/>
          <w:sz w:val="18"/>
          <w:szCs w:val="18"/>
          <w:lang w:val="es-CO"/>
        </w:rPr>
        <w:t xml:space="preserve"> Mestanza (</w:t>
      </w:r>
      <w:proofErr w:type="spellStart"/>
      <w:r w:rsidRPr="002500BD">
        <w:rPr>
          <w:rFonts w:ascii="Times New Roman" w:hAnsi="Times New Roman" w:cs="Times New Roman"/>
          <w:sz w:val="18"/>
          <w:szCs w:val="18"/>
          <w:lang w:val="es-CO"/>
        </w:rPr>
        <w:t>Peru</w:t>
      </w:r>
      <w:proofErr w:type="spellEnd"/>
      <w:r w:rsidRPr="002500BD">
        <w:rPr>
          <w:rFonts w:ascii="Times New Roman" w:hAnsi="Times New Roman" w:cs="Times New Roman"/>
          <w:sz w:val="18"/>
          <w:szCs w:val="18"/>
          <w:lang w:val="es-CO"/>
        </w:rPr>
        <w:t xml:space="preserve">), </w:t>
      </w:r>
      <w:proofErr w:type="spellStart"/>
      <w:r w:rsidRPr="002500BD">
        <w:rPr>
          <w:rFonts w:ascii="Times New Roman" w:hAnsi="Times New Roman" w:cs="Times New Roman"/>
          <w:sz w:val="18"/>
          <w:szCs w:val="18"/>
          <w:lang w:val="es-CO"/>
        </w:rPr>
        <w:t>October</w:t>
      </w:r>
      <w:proofErr w:type="spellEnd"/>
      <w:r w:rsidRPr="002500BD">
        <w:rPr>
          <w:rFonts w:ascii="Times New Roman" w:hAnsi="Times New Roman" w:cs="Times New Roman"/>
          <w:sz w:val="18"/>
          <w:szCs w:val="18"/>
          <w:lang w:val="es-CO"/>
        </w:rPr>
        <w:t xml:space="preserve"> 22, 2003.</w:t>
      </w:r>
    </w:p>
  </w:endnote>
  <w:endnote w:id="61">
    <w:p w14:paraId="4E40EADB" w14:textId="79E90506" w:rsidR="00725099" w:rsidRPr="002500BD" w:rsidRDefault="00725099" w:rsidP="002500BD">
      <w:pPr>
        <w:pStyle w:val="EndnoteText"/>
        <w:rPr>
          <w:rFonts w:ascii="Times New Roman" w:hAnsi="Times New Roman" w:cs="Times New Roman"/>
          <w:sz w:val="18"/>
          <w:szCs w:val="18"/>
          <w:lang w:val="es-CO"/>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Inter-American Commission on Human Rights. </w:t>
      </w:r>
      <w:r w:rsidRPr="002500BD">
        <w:rPr>
          <w:rFonts w:ascii="Times New Roman" w:hAnsi="Times New Roman" w:cs="Times New Roman"/>
          <w:i/>
          <w:iCs/>
          <w:sz w:val="18"/>
          <w:szCs w:val="18"/>
        </w:rPr>
        <w:t>Indigenous Women</w:t>
      </w:r>
      <w:r w:rsidRPr="002500BD">
        <w:rPr>
          <w:rFonts w:ascii="Times New Roman" w:hAnsi="Times New Roman" w:cs="Times New Roman"/>
          <w:sz w:val="18"/>
          <w:szCs w:val="18"/>
        </w:rPr>
        <w:t>.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 xml:space="preserve">/V/II. Doc. 44/17. 2017. paras 20 (referring </w:t>
      </w:r>
      <w:r w:rsidRPr="002500BD">
        <w:rPr>
          <w:rFonts w:ascii="Times New Roman" w:hAnsi="Times New Roman" w:cs="Times New Roman"/>
          <w:sz w:val="18"/>
          <w:szCs w:val="18"/>
          <w:lang w:val="en-CA"/>
        </w:rPr>
        <w:t xml:space="preserve">that in “its judgment in the case of </w:t>
      </w:r>
      <w:r w:rsidRPr="002500BD">
        <w:rPr>
          <w:rFonts w:ascii="Times New Roman" w:hAnsi="Times New Roman" w:cs="Times New Roman"/>
          <w:i/>
          <w:iCs/>
          <w:sz w:val="18"/>
          <w:szCs w:val="18"/>
          <w:lang w:val="en-CA"/>
        </w:rPr>
        <w:t>Massacre of Río Negro</w:t>
      </w:r>
      <w:r w:rsidRPr="002500BD">
        <w:rPr>
          <w:rFonts w:ascii="Times New Roman" w:hAnsi="Times New Roman" w:cs="Times New Roman"/>
          <w:sz w:val="18"/>
          <w:szCs w:val="18"/>
          <w:lang w:val="en-CA"/>
        </w:rPr>
        <w:t>, the Inter-American Court also took into consideration the specific effects that the practices of rape, the killings of pregnant women, and the induction of abortions had on indigenous women in the context of the massacres perpetrated during the internal armed conflict in Guatemala”</w:t>
      </w:r>
      <w:r w:rsidR="001B7894">
        <w:rPr>
          <w:rFonts w:ascii="Times New Roman" w:hAnsi="Times New Roman" w:cs="Times New Roman"/>
          <w:sz w:val="18"/>
          <w:szCs w:val="18"/>
          <w:lang w:val="en-CA"/>
        </w:rPr>
        <w:t>, a</w:t>
      </w:r>
      <w:r w:rsidRPr="002500BD">
        <w:rPr>
          <w:rFonts w:ascii="Times New Roman" w:hAnsi="Times New Roman" w:cs="Times New Roman"/>
          <w:sz w:val="18"/>
          <w:szCs w:val="18"/>
          <w:lang w:val="en-CA"/>
        </w:rPr>
        <w:t xml:space="preserve">vailable at: </w:t>
      </w:r>
      <w:hyperlink r:id="rId33" w:history="1">
        <w:r w:rsidRPr="002500BD">
          <w:rPr>
            <w:rStyle w:val="Hyperlink"/>
            <w:rFonts w:ascii="Times New Roman" w:hAnsi="Times New Roman" w:cs="Times New Roman"/>
            <w:sz w:val="18"/>
            <w:szCs w:val="18"/>
            <w:lang w:val="en-CA"/>
          </w:rPr>
          <w:t>http://www.oas.org/en/iachr/reports/pdfs/IndigenousWomen.pdf</w:t>
        </w:r>
      </w:hyperlink>
    </w:p>
  </w:endnote>
  <w:endnote w:id="62">
    <w:p w14:paraId="2B7EC214" w14:textId="73F71BDD" w:rsidR="00725099" w:rsidRPr="002500BD" w:rsidRDefault="00725099" w:rsidP="002500BD">
      <w:pPr>
        <w:pStyle w:val="EndnoteText"/>
        <w:rPr>
          <w:rFonts w:ascii="Times New Roman" w:hAnsi="Times New Roman" w:cs="Times New Roman"/>
          <w:sz w:val="18"/>
          <w:szCs w:val="18"/>
          <w:lang w:val="es-CO"/>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Inter-American Commission on Human Rights. </w:t>
      </w:r>
      <w:r w:rsidRPr="002500BD">
        <w:rPr>
          <w:rFonts w:ascii="Times New Roman" w:hAnsi="Times New Roman" w:cs="Times New Roman"/>
          <w:i/>
          <w:iCs/>
          <w:sz w:val="18"/>
          <w:szCs w:val="18"/>
        </w:rPr>
        <w:t>Indigenous Women</w:t>
      </w:r>
      <w:r w:rsidRPr="002500BD">
        <w:rPr>
          <w:rFonts w:ascii="Times New Roman" w:hAnsi="Times New Roman" w:cs="Times New Roman"/>
          <w:sz w:val="18"/>
          <w:szCs w:val="18"/>
        </w:rPr>
        <w:t>.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/V/II. Doc. 44/17. 2017. paras 80, 119, 120</w:t>
      </w:r>
      <w:r w:rsidR="001B7894">
        <w:rPr>
          <w:rFonts w:ascii="Times New Roman" w:hAnsi="Times New Roman" w:cs="Times New Roman"/>
          <w:sz w:val="18"/>
          <w:szCs w:val="18"/>
          <w:lang w:val="en-US"/>
        </w:rPr>
        <w:t xml:space="preserve">, </w:t>
      </w:r>
      <w:proofErr w:type="spellStart"/>
      <w:r w:rsidRPr="002500BD">
        <w:rPr>
          <w:rFonts w:ascii="Times New Roman" w:hAnsi="Times New Roman" w:cs="Times New Roman"/>
          <w:sz w:val="18"/>
          <w:szCs w:val="18"/>
        </w:rPr>
        <w:t>vailable</w:t>
      </w:r>
      <w:proofErr w:type="spellEnd"/>
      <w:r w:rsidRPr="002500BD">
        <w:rPr>
          <w:rFonts w:ascii="Times New Roman" w:hAnsi="Times New Roman" w:cs="Times New Roman"/>
          <w:sz w:val="18"/>
          <w:szCs w:val="18"/>
        </w:rPr>
        <w:t xml:space="preserve"> at: </w:t>
      </w:r>
      <w:hyperlink r:id="rId34" w:history="1">
        <w:r w:rsidRPr="002500BD">
          <w:rPr>
            <w:rStyle w:val="Hyperlink"/>
            <w:rFonts w:ascii="Times New Roman" w:hAnsi="Times New Roman" w:cs="Times New Roman"/>
            <w:sz w:val="18"/>
            <w:szCs w:val="18"/>
          </w:rPr>
          <w:t>http://www.oas.org/en/iachr/reports/pdfs/IndigenousWomen.pdf</w:t>
        </w:r>
      </w:hyperlink>
      <w:r w:rsidRPr="002500BD">
        <w:rPr>
          <w:rFonts w:ascii="Times New Roman" w:hAnsi="Times New Roman" w:cs="Times New Roman"/>
          <w:sz w:val="18"/>
          <w:szCs w:val="18"/>
        </w:rPr>
        <w:t xml:space="preserve">. For example, there have been reports of shackling of indigenous women deprived of liberty during </w:t>
      </w:r>
      <w:proofErr w:type="spellStart"/>
      <w:r w:rsidRPr="002500BD">
        <w:rPr>
          <w:rFonts w:ascii="Times New Roman" w:hAnsi="Times New Roman" w:cs="Times New Roman"/>
          <w:sz w:val="18"/>
          <w:szCs w:val="18"/>
        </w:rPr>
        <w:t>labor</w:t>
      </w:r>
      <w:proofErr w:type="spellEnd"/>
      <w:r w:rsidRPr="002500BD">
        <w:rPr>
          <w:rFonts w:ascii="Times New Roman" w:hAnsi="Times New Roman" w:cs="Times New Roman"/>
          <w:sz w:val="18"/>
          <w:szCs w:val="18"/>
        </w:rPr>
        <w:t>, and indigenous women in Mexico being denied medical attention when they arrive at hospitals while pregnant, incidents of medical malpractice, and violations of their right to access to information, among others</w:t>
      </w:r>
      <w:r w:rsidRPr="002500BD">
        <w:rPr>
          <w:rFonts w:ascii="Times New Roman" w:hAnsi="Times New Roman" w:cs="Times New Roman"/>
          <w:sz w:val="18"/>
          <w:szCs w:val="18"/>
          <w:lang w:val="es-CO"/>
        </w:rPr>
        <w:t>.</w:t>
      </w:r>
    </w:p>
  </w:endnote>
  <w:endnote w:id="63">
    <w:p w14:paraId="2BCCF2E5" w14:textId="77777777" w:rsidR="00C62376" w:rsidRPr="00DB31D2" w:rsidRDefault="00C62376" w:rsidP="00725099">
      <w:pPr>
        <w:pStyle w:val="EndnoteText"/>
        <w:jc w:val="both"/>
        <w:rPr>
          <w:rFonts w:ascii="Times New Roman" w:hAnsi="Times New Roman" w:cs="Times New Roman"/>
          <w:sz w:val="18"/>
          <w:szCs w:val="18"/>
          <w:lang w:val="en-CA"/>
        </w:rPr>
      </w:pPr>
      <w:r w:rsidRPr="00DB31D2">
        <w:rPr>
          <w:rStyle w:val="EndnoteReference"/>
          <w:rFonts w:ascii="Times New Roman" w:hAnsi="Times New Roman" w:cs="Times New Roman"/>
          <w:sz w:val="18"/>
          <w:szCs w:val="18"/>
          <w:lang w:val="en-CA"/>
        </w:rPr>
        <w:endnoteRef/>
      </w:r>
      <w:r w:rsidRPr="00DB31D2">
        <w:rPr>
          <w:rFonts w:ascii="Times New Roman" w:hAnsi="Times New Roman" w:cs="Times New Roman"/>
          <w:sz w:val="18"/>
          <w:szCs w:val="18"/>
          <w:lang w:val="en-CA"/>
        </w:rPr>
        <w:t xml:space="preserve"> </w:t>
      </w:r>
      <w:proofErr w:type="spellStart"/>
      <w:r w:rsidRPr="00DB31D2">
        <w:rPr>
          <w:rFonts w:ascii="Times New Roman" w:hAnsi="Times New Roman" w:cs="Times New Roman"/>
          <w:sz w:val="18"/>
          <w:szCs w:val="18"/>
          <w:lang w:val="en-CA"/>
        </w:rPr>
        <w:t>Fausia</w:t>
      </w:r>
      <w:proofErr w:type="spellEnd"/>
      <w:r w:rsidRPr="00DB31D2">
        <w:rPr>
          <w:rFonts w:ascii="Times New Roman" w:hAnsi="Times New Roman" w:cs="Times New Roman"/>
          <w:sz w:val="18"/>
          <w:szCs w:val="18"/>
          <w:lang w:val="en-CA"/>
        </w:rPr>
        <w:t xml:space="preserve"> is the pseudonym chosen by the victim. At the express request of the represented party and in order to preserve the victim's right to confidentiality and her need for protection and security, the pseudonym is and should always be used to when referring to the victim in any communications related to the case. No reference shall be made either to the real names of the members of her family and details regarding her city of origin and the indigenous peoples to which she belongs, as well as other specific information about her case, will be omitted to avoid her identification.</w:t>
      </w:r>
    </w:p>
    <w:p w14:paraId="708EFE2D" w14:textId="77777777" w:rsidR="00C62376" w:rsidRPr="00DB31D2" w:rsidRDefault="00C62376" w:rsidP="00725099">
      <w:pPr>
        <w:pStyle w:val="EndnoteText"/>
        <w:jc w:val="both"/>
        <w:rPr>
          <w:rFonts w:ascii="Times New Roman" w:hAnsi="Times New Roman" w:cs="Times New Roman"/>
          <w:sz w:val="18"/>
          <w:szCs w:val="18"/>
          <w:lang w:val="es-ES"/>
        </w:rPr>
      </w:pPr>
    </w:p>
  </w:endnote>
  <w:endnote w:id="64">
    <w:p w14:paraId="38E85009" w14:textId="77777777" w:rsidR="00725099" w:rsidRPr="002500BD" w:rsidRDefault="00725099" w:rsidP="002500BD">
      <w:pPr>
        <w:pStyle w:val="EndnoteText"/>
        <w:rPr>
          <w:rFonts w:ascii="Times New Roman" w:hAnsi="Times New Roman" w:cs="Times New Roman"/>
          <w:sz w:val="18"/>
          <w:szCs w:val="18"/>
          <w:lang w:val="es-CO"/>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Since 2009 Honduras institute a total prohibition on the promotion, use, purchase, and sale of the emergency contraception pill. See, Honduras </w:t>
      </w:r>
      <w:r w:rsidRPr="002500BD">
        <w:rPr>
          <w:rFonts w:ascii="Times New Roman" w:hAnsi="Times New Roman" w:cs="Times New Roman"/>
          <w:i/>
          <w:iCs/>
          <w:sz w:val="18"/>
          <w:szCs w:val="18"/>
        </w:rPr>
        <w:t>Health Secretariat</w:t>
      </w:r>
      <w:r w:rsidRPr="002500BD">
        <w:rPr>
          <w:rFonts w:ascii="Times New Roman" w:hAnsi="Times New Roman" w:cs="Times New Roman"/>
          <w:sz w:val="18"/>
          <w:szCs w:val="18"/>
        </w:rPr>
        <w:t xml:space="preserve">, Ministerial Accord No. 2744-2009. See too, </w:t>
      </w:r>
      <w:r w:rsidRPr="002500BD">
        <w:rPr>
          <w:rFonts w:ascii="Times New Roman" w:hAnsi="Times New Roman" w:cs="Times New Roman"/>
          <w:sz w:val="18"/>
          <w:szCs w:val="18"/>
          <w:lang w:val="es-HN"/>
        </w:rPr>
        <w:t xml:space="preserve">Center </w:t>
      </w:r>
      <w:proofErr w:type="spellStart"/>
      <w:r w:rsidRPr="002500BD">
        <w:rPr>
          <w:rFonts w:ascii="Times New Roman" w:hAnsi="Times New Roman" w:cs="Times New Roman"/>
          <w:sz w:val="18"/>
          <w:szCs w:val="18"/>
          <w:lang w:val="es-HN"/>
        </w:rPr>
        <w:t>for</w:t>
      </w:r>
      <w:proofErr w:type="spellEnd"/>
      <w:r w:rsidRPr="002500BD">
        <w:rPr>
          <w:rFonts w:ascii="Times New Roman" w:hAnsi="Times New Roman" w:cs="Times New Roman"/>
          <w:sz w:val="18"/>
          <w:szCs w:val="18"/>
          <w:lang w:val="es-HN"/>
        </w:rPr>
        <w:t xml:space="preserve"> </w:t>
      </w:r>
      <w:proofErr w:type="spellStart"/>
      <w:r w:rsidRPr="002500BD">
        <w:rPr>
          <w:rFonts w:ascii="Times New Roman" w:hAnsi="Times New Roman" w:cs="Times New Roman"/>
          <w:sz w:val="18"/>
          <w:szCs w:val="18"/>
          <w:lang w:val="es-HN"/>
        </w:rPr>
        <w:t>Reproductive</w:t>
      </w:r>
      <w:proofErr w:type="spellEnd"/>
      <w:r w:rsidRPr="002500BD">
        <w:rPr>
          <w:rFonts w:ascii="Times New Roman" w:hAnsi="Times New Roman" w:cs="Times New Roman"/>
          <w:sz w:val="18"/>
          <w:szCs w:val="18"/>
          <w:lang w:val="es-HN"/>
        </w:rPr>
        <w:t xml:space="preserve"> </w:t>
      </w:r>
      <w:proofErr w:type="spellStart"/>
      <w:r w:rsidRPr="002500BD">
        <w:rPr>
          <w:rFonts w:ascii="Times New Roman" w:hAnsi="Times New Roman" w:cs="Times New Roman"/>
          <w:sz w:val="18"/>
          <w:szCs w:val="18"/>
          <w:lang w:val="es-HN"/>
        </w:rPr>
        <w:t>Rights</w:t>
      </w:r>
      <w:proofErr w:type="spellEnd"/>
      <w:r w:rsidRPr="002500BD">
        <w:rPr>
          <w:rFonts w:ascii="Times New Roman" w:hAnsi="Times New Roman" w:cs="Times New Roman"/>
          <w:sz w:val="18"/>
          <w:szCs w:val="18"/>
          <w:lang w:val="es-HN"/>
        </w:rPr>
        <w:t xml:space="preserve">. </w:t>
      </w:r>
      <w:r w:rsidRPr="002500BD">
        <w:rPr>
          <w:rFonts w:ascii="Times New Roman" w:hAnsi="Times New Roman" w:cs="Times New Roman"/>
          <w:i/>
          <w:sz w:val="18"/>
          <w:szCs w:val="18"/>
          <w:lang w:val="es-HN"/>
        </w:rPr>
        <w:t xml:space="preserve">Corte Suprema de Honduras reafirma prohibición de venta, distribución y uso de PAE, </w:t>
      </w:r>
      <w:r w:rsidRPr="002500BD">
        <w:rPr>
          <w:rFonts w:ascii="Times New Roman" w:hAnsi="Times New Roman" w:cs="Times New Roman"/>
          <w:sz w:val="18"/>
          <w:szCs w:val="18"/>
          <w:lang w:val="es-HN"/>
        </w:rPr>
        <w:t xml:space="preserve">Feb. 29, 2012, </w:t>
      </w:r>
      <w:hyperlink r:id="rId35" w:history="1">
        <w:r w:rsidRPr="002500BD">
          <w:rPr>
            <w:rStyle w:val="Hyperlink"/>
            <w:rFonts w:ascii="Times New Roman" w:hAnsi="Times New Roman" w:cs="Times New Roman"/>
            <w:sz w:val="18"/>
            <w:szCs w:val="18"/>
            <w:lang w:val="es-HN"/>
          </w:rPr>
          <w:t>https://www.reproductiverights.org/es/centro-de-prensa/corte-suprema-de-honduras-reafirma-prohibici%C3%B3n-de-venta-distribuci%C3%B3n-y-uso-de-pae</w:t>
        </w:r>
      </w:hyperlink>
    </w:p>
  </w:endnote>
  <w:endnote w:id="65">
    <w:p w14:paraId="435329C8" w14:textId="77777777" w:rsidR="00725099" w:rsidRPr="002500BD" w:rsidRDefault="00725099" w:rsidP="002500BD">
      <w:pPr>
        <w:pStyle w:val="EndnoteText"/>
        <w:rPr>
          <w:rFonts w:ascii="Times New Roman" w:hAnsi="Times New Roman" w:cs="Times New Roman"/>
          <w:b/>
          <w:bCs/>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Honduras is one of the six countries in Latin America the criminalizes abortion under all circumstances, not even providing, as a minimum, an exceptions-based framework. Honduras Criminal Code. Decree 130-2017, article 196. Available at: </w:t>
      </w:r>
      <w:hyperlink r:id="rId36" w:history="1">
        <w:r w:rsidRPr="002500BD">
          <w:rPr>
            <w:rStyle w:val="Hyperlink"/>
            <w:rFonts w:ascii="Times New Roman" w:hAnsi="Times New Roman" w:cs="Times New Roman"/>
            <w:sz w:val="18"/>
            <w:szCs w:val="18"/>
          </w:rPr>
          <w:t>https://www.tsc.gob.hn/web/leyes/Decreto_130-2017.pdf</w:t>
        </w:r>
      </w:hyperlink>
      <w:r w:rsidRPr="002500BD">
        <w:rPr>
          <w:rFonts w:ascii="Times New Roman" w:hAnsi="Times New Roman" w:cs="Times New Roman"/>
          <w:sz w:val="18"/>
          <w:szCs w:val="18"/>
        </w:rPr>
        <w:t xml:space="preserve"> </w:t>
      </w:r>
    </w:p>
  </w:endnote>
  <w:endnote w:id="66">
    <w:p w14:paraId="6876C68E" w14:textId="77777777" w:rsidR="00725099" w:rsidRPr="002500BD" w:rsidRDefault="00725099"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Eulogia and her son Sergio’s case are currently before the Inter-American Commission on Human Rights’ merits stage. The Admissibility Report was issued on April 4, 2014. See, Admissibility Report, No. 35/14, Petition No. 1334-09, April 4, 2014. OEA/</w:t>
      </w:r>
      <w:proofErr w:type="spellStart"/>
      <w:r w:rsidRPr="002500BD">
        <w:rPr>
          <w:rFonts w:ascii="Times New Roman" w:hAnsi="Times New Roman" w:cs="Times New Roman"/>
          <w:sz w:val="18"/>
          <w:szCs w:val="18"/>
        </w:rPr>
        <w:t>Ser.L</w:t>
      </w:r>
      <w:proofErr w:type="spellEnd"/>
      <w:r w:rsidRPr="002500BD">
        <w:rPr>
          <w:rFonts w:ascii="Times New Roman" w:hAnsi="Times New Roman" w:cs="Times New Roman"/>
          <w:sz w:val="18"/>
          <w:szCs w:val="18"/>
        </w:rPr>
        <w:t xml:space="preserve">/V/II.150.  Available at: </w:t>
      </w:r>
      <w:hyperlink r:id="rId37" w:history="1">
        <w:r w:rsidRPr="002500BD">
          <w:rPr>
            <w:rStyle w:val="Hyperlink"/>
            <w:rFonts w:ascii="Times New Roman" w:hAnsi="Times New Roman" w:cs="Times New Roman"/>
            <w:sz w:val="18"/>
            <w:szCs w:val="18"/>
          </w:rPr>
          <w:t>http://www.oas.org/es/cidh/decisiones/2014/PEAD1334-09ES.pdf</w:t>
        </w:r>
      </w:hyperlink>
      <w:r w:rsidRPr="002500BD">
        <w:rPr>
          <w:rFonts w:ascii="Times New Roman" w:hAnsi="Times New Roman" w:cs="Times New Roman"/>
          <w:sz w:val="18"/>
          <w:szCs w:val="18"/>
        </w:rPr>
        <w:t xml:space="preserve">   </w:t>
      </w:r>
    </w:p>
  </w:endnote>
  <w:endnote w:id="67">
    <w:p w14:paraId="2FAC1AD1" w14:textId="77777777" w:rsidR="00725099" w:rsidRPr="002500BD" w:rsidRDefault="00725099" w:rsidP="002500BD">
      <w:pPr>
        <w:pStyle w:val="EndnoteText"/>
        <w:rPr>
          <w:rFonts w:ascii="Times New Roman" w:hAnsi="Times New Roman" w:cs="Times New Roman"/>
          <w:sz w:val="18"/>
          <w:szCs w:val="18"/>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PROMSEX. </w:t>
      </w:r>
      <w:r w:rsidRPr="002500BD">
        <w:rPr>
          <w:rFonts w:ascii="Times New Roman" w:hAnsi="Times New Roman" w:cs="Times New Roman"/>
          <w:i/>
          <w:iCs/>
          <w:sz w:val="18"/>
          <w:szCs w:val="18"/>
          <w:lang w:val="es-AR"/>
        </w:rPr>
        <w:t>Eulogia, Hechos del Caso</w:t>
      </w:r>
      <w:r w:rsidRPr="002500BD">
        <w:rPr>
          <w:rFonts w:ascii="Times New Roman" w:hAnsi="Times New Roman" w:cs="Times New Roman"/>
          <w:sz w:val="18"/>
          <w:szCs w:val="18"/>
          <w:lang w:val="es-AR"/>
        </w:rPr>
        <w:t xml:space="preserve">. </w:t>
      </w:r>
      <w:r w:rsidRPr="002500BD">
        <w:rPr>
          <w:rFonts w:ascii="Times New Roman" w:hAnsi="Times New Roman" w:cs="Times New Roman"/>
          <w:sz w:val="18"/>
          <w:szCs w:val="18"/>
        </w:rPr>
        <w:t xml:space="preserve">Available at: </w:t>
      </w:r>
      <w:hyperlink r:id="rId38" w:history="1">
        <w:r w:rsidRPr="002500BD">
          <w:rPr>
            <w:rStyle w:val="Hyperlink"/>
            <w:rFonts w:ascii="Times New Roman" w:hAnsi="Times New Roman" w:cs="Times New Roman"/>
            <w:sz w:val="18"/>
            <w:szCs w:val="18"/>
          </w:rPr>
          <w:t>https://incidenciainternacional.promsex.org/2020/06/23/eulogia/</w:t>
        </w:r>
      </w:hyperlink>
      <w:r w:rsidRPr="002500BD">
        <w:rPr>
          <w:rFonts w:ascii="Times New Roman" w:hAnsi="Times New Roman" w:cs="Times New Roman"/>
          <w:sz w:val="18"/>
          <w:szCs w:val="18"/>
        </w:rPr>
        <w:t xml:space="preserve"> </w:t>
      </w:r>
    </w:p>
  </w:endnote>
  <w:endnote w:id="68">
    <w:p w14:paraId="0DF7F8D9" w14:textId="77777777" w:rsidR="00051958" w:rsidRPr="002500BD" w:rsidRDefault="00051958" w:rsidP="00051958">
      <w:pPr>
        <w:pStyle w:val="EndnoteText"/>
        <w:rPr>
          <w:rFonts w:ascii="Times New Roman" w:hAnsi="Times New Roman" w:cs="Times New Roman"/>
          <w:sz w:val="18"/>
          <w:szCs w:val="18"/>
          <w:lang w:val="es-CO"/>
        </w:rPr>
      </w:pPr>
      <w:r w:rsidRPr="002500BD">
        <w:rPr>
          <w:rStyle w:val="EndnoteReference"/>
          <w:rFonts w:ascii="Times New Roman" w:hAnsi="Times New Roman" w:cs="Times New Roman"/>
          <w:sz w:val="18"/>
          <w:szCs w:val="18"/>
        </w:rPr>
        <w:endnoteRef/>
      </w:r>
      <w:r w:rsidRPr="002500BD">
        <w:rPr>
          <w:rFonts w:ascii="Times New Roman" w:hAnsi="Times New Roman" w:cs="Times New Roman"/>
          <w:sz w:val="18"/>
          <w:szCs w:val="18"/>
        </w:rPr>
        <w:t xml:space="preserve"> Working Group on Discrimination against women and girls</w:t>
      </w:r>
      <w:r w:rsidRPr="002500BD">
        <w:rPr>
          <w:rFonts w:ascii="Times New Roman" w:hAnsi="Times New Roman" w:cs="Times New Roman"/>
          <w:i/>
          <w:iCs/>
          <w:sz w:val="18"/>
          <w:szCs w:val="18"/>
        </w:rPr>
        <w:t>. Women’s and girls’ sexual and reproductive health rights in crisis.</w:t>
      </w:r>
      <w:r w:rsidRPr="002500BD">
        <w:rPr>
          <w:rFonts w:ascii="Times New Roman" w:hAnsi="Times New Roman" w:cs="Times New Roman"/>
          <w:sz w:val="18"/>
          <w:szCs w:val="18"/>
        </w:rPr>
        <w:t xml:space="preserve"> A/HRC/47/38, par. 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42890281"/>
      <w:docPartObj>
        <w:docPartGallery w:val="Page Numbers (Bottom of Page)"/>
        <w:docPartUnique/>
      </w:docPartObj>
    </w:sdtPr>
    <w:sdtEndPr>
      <w:rPr>
        <w:noProof/>
      </w:rPr>
    </w:sdtEndPr>
    <w:sdtContent>
      <w:p w14:paraId="6587B5B3" w14:textId="534A2169" w:rsidR="00294C99" w:rsidRPr="00294C99" w:rsidRDefault="00294C99">
        <w:pPr>
          <w:pStyle w:val="Footer"/>
          <w:jc w:val="right"/>
          <w:rPr>
            <w:rFonts w:ascii="Times New Roman" w:hAnsi="Times New Roman" w:cs="Times New Roman"/>
          </w:rPr>
        </w:pPr>
        <w:r w:rsidRPr="00294C99">
          <w:rPr>
            <w:rFonts w:ascii="Times New Roman" w:hAnsi="Times New Roman" w:cs="Times New Roman"/>
          </w:rPr>
          <w:fldChar w:fldCharType="begin"/>
        </w:r>
        <w:r w:rsidRPr="00294C99">
          <w:rPr>
            <w:rFonts w:ascii="Times New Roman" w:hAnsi="Times New Roman" w:cs="Times New Roman"/>
          </w:rPr>
          <w:instrText xml:space="preserve"> PAGE   \* MERGEFORMAT </w:instrText>
        </w:r>
        <w:r w:rsidRPr="00294C99">
          <w:rPr>
            <w:rFonts w:ascii="Times New Roman" w:hAnsi="Times New Roman" w:cs="Times New Roman"/>
          </w:rPr>
          <w:fldChar w:fldCharType="separate"/>
        </w:r>
        <w:r w:rsidRPr="00294C99">
          <w:rPr>
            <w:rFonts w:ascii="Times New Roman" w:hAnsi="Times New Roman" w:cs="Times New Roman"/>
            <w:noProof/>
          </w:rPr>
          <w:t>2</w:t>
        </w:r>
        <w:r w:rsidRPr="00294C99">
          <w:rPr>
            <w:rFonts w:ascii="Times New Roman" w:hAnsi="Times New Roman" w:cs="Times New Roman"/>
            <w:noProof/>
          </w:rPr>
          <w:fldChar w:fldCharType="end"/>
        </w:r>
      </w:p>
    </w:sdtContent>
  </w:sdt>
  <w:p w14:paraId="7B8D35C8" w14:textId="77777777" w:rsidR="00294C99" w:rsidRPr="00294C99" w:rsidRDefault="00294C9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FD78" w14:textId="77777777" w:rsidR="00405F46" w:rsidRDefault="00405F46" w:rsidP="00A515E7">
      <w:pPr>
        <w:spacing w:after="0" w:line="240" w:lineRule="auto"/>
      </w:pPr>
      <w:r>
        <w:separator/>
      </w:r>
    </w:p>
  </w:footnote>
  <w:footnote w:type="continuationSeparator" w:id="0">
    <w:p w14:paraId="468E2826" w14:textId="77777777" w:rsidR="00405F46" w:rsidRDefault="00405F46" w:rsidP="00A5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3559" w14:textId="1AEFD7E7" w:rsidR="0058268C" w:rsidRDefault="0058268C">
    <w:pPr>
      <w:pStyle w:val="Header"/>
    </w:pPr>
    <w:r w:rsidRPr="00573ACA">
      <w:rPr>
        <w:noProof/>
      </w:rPr>
      <w:drawing>
        <wp:anchor distT="0" distB="0" distL="114300" distR="114300" simplePos="0" relativeHeight="251659264" behindDoc="1" locked="0" layoutInCell="1" allowOverlap="1" wp14:anchorId="7E3A7023" wp14:editId="68EB2832">
          <wp:simplePos x="0" y="0"/>
          <wp:positionH relativeFrom="margin">
            <wp:posOffset>-25400</wp:posOffset>
          </wp:positionH>
          <wp:positionV relativeFrom="paragraph">
            <wp:posOffset>-233680</wp:posOffset>
          </wp:positionV>
          <wp:extent cx="1183118" cy="603250"/>
          <wp:effectExtent l="0" t="0" r="0" b="63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118" cy="603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C2A"/>
    <w:multiLevelType w:val="hybridMultilevel"/>
    <w:tmpl w:val="BFD27742"/>
    <w:lvl w:ilvl="0" w:tplc="D7B6F84A">
      <w:start w:val="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F93F40"/>
    <w:multiLevelType w:val="hybridMultilevel"/>
    <w:tmpl w:val="95D0CF7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FF6270"/>
    <w:multiLevelType w:val="multilevel"/>
    <w:tmpl w:val="7632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6741F"/>
    <w:multiLevelType w:val="hybridMultilevel"/>
    <w:tmpl w:val="16E495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950A24"/>
    <w:multiLevelType w:val="hybridMultilevel"/>
    <w:tmpl w:val="A510EC68"/>
    <w:lvl w:ilvl="0" w:tplc="3C387F50">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74285D"/>
    <w:multiLevelType w:val="multilevel"/>
    <w:tmpl w:val="700E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84AAD"/>
    <w:multiLevelType w:val="multilevel"/>
    <w:tmpl w:val="1704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4195C"/>
    <w:multiLevelType w:val="hybridMultilevel"/>
    <w:tmpl w:val="326259FC"/>
    <w:lvl w:ilvl="0" w:tplc="2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8A21363"/>
    <w:multiLevelType w:val="hybridMultilevel"/>
    <w:tmpl w:val="56883A72"/>
    <w:lvl w:ilvl="0" w:tplc="9E0E1F90">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6A4F4E"/>
    <w:multiLevelType w:val="hybridMultilevel"/>
    <w:tmpl w:val="AB52F0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161BC6"/>
    <w:multiLevelType w:val="hybridMultilevel"/>
    <w:tmpl w:val="EA6491EC"/>
    <w:lvl w:ilvl="0" w:tplc="1009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B613871"/>
    <w:multiLevelType w:val="hybridMultilevel"/>
    <w:tmpl w:val="10AE58A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732B29"/>
    <w:multiLevelType w:val="hybridMultilevel"/>
    <w:tmpl w:val="FD3A677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1AE030C"/>
    <w:multiLevelType w:val="hybridMultilevel"/>
    <w:tmpl w:val="C2AA8E9A"/>
    <w:lvl w:ilvl="0" w:tplc="9378D82C">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621F02"/>
    <w:multiLevelType w:val="hybridMultilevel"/>
    <w:tmpl w:val="4F029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A056CD5"/>
    <w:multiLevelType w:val="hybridMultilevel"/>
    <w:tmpl w:val="A146751A"/>
    <w:lvl w:ilvl="0" w:tplc="2000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530247D9"/>
    <w:multiLevelType w:val="hybridMultilevel"/>
    <w:tmpl w:val="A1581606"/>
    <w:lvl w:ilvl="0" w:tplc="232A883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A6B9D"/>
    <w:multiLevelType w:val="hybridMultilevel"/>
    <w:tmpl w:val="71D6A29C"/>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5676282F"/>
    <w:multiLevelType w:val="hybridMultilevel"/>
    <w:tmpl w:val="CCB84DD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2006D6"/>
    <w:multiLevelType w:val="multilevel"/>
    <w:tmpl w:val="D4B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2F1D4D"/>
    <w:multiLevelType w:val="hybridMultilevel"/>
    <w:tmpl w:val="E4565420"/>
    <w:lvl w:ilvl="0" w:tplc="907A0D7E">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169452F"/>
    <w:multiLevelType w:val="hybridMultilevel"/>
    <w:tmpl w:val="C930AE80"/>
    <w:lvl w:ilvl="0" w:tplc="2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6052C63"/>
    <w:multiLevelType w:val="hybridMultilevel"/>
    <w:tmpl w:val="046602F0"/>
    <w:lvl w:ilvl="0" w:tplc="2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C4321CF"/>
    <w:multiLevelType w:val="hybridMultilevel"/>
    <w:tmpl w:val="239A3A6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22D0724"/>
    <w:multiLevelType w:val="multilevel"/>
    <w:tmpl w:val="532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625920"/>
    <w:multiLevelType w:val="hybridMultilevel"/>
    <w:tmpl w:val="3E3A98EE"/>
    <w:lvl w:ilvl="0" w:tplc="2000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5883EE6"/>
    <w:multiLevelType w:val="hybridMultilevel"/>
    <w:tmpl w:val="15640642"/>
    <w:lvl w:ilvl="0" w:tplc="7700C600">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E820F3A"/>
    <w:multiLevelType w:val="hybridMultilevel"/>
    <w:tmpl w:val="1110F490"/>
    <w:lvl w:ilvl="0" w:tplc="1009000B">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10"/>
  </w:num>
  <w:num w:numId="9">
    <w:abstractNumId w:val="15"/>
  </w:num>
  <w:num w:numId="10">
    <w:abstractNumId w:val="21"/>
  </w:num>
  <w:num w:numId="11">
    <w:abstractNumId w:val="7"/>
  </w:num>
  <w:num w:numId="12">
    <w:abstractNumId w:val="27"/>
  </w:num>
  <w:num w:numId="13">
    <w:abstractNumId w:val="25"/>
  </w:num>
  <w:num w:numId="14">
    <w:abstractNumId w:val="12"/>
  </w:num>
  <w:num w:numId="15">
    <w:abstractNumId w:val="11"/>
  </w:num>
  <w:num w:numId="16">
    <w:abstractNumId w:val="13"/>
  </w:num>
  <w:num w:numId="17">
    <w:abstractNumId w:val="20"/>
  </w:num>
  <w:num w:numId="18">
    <w:abstractNumId w:val="23"/>
  </w:num>
  <w:num w:numId="19">
    <w:abstractNumId w:val="26"/>
  </w:num>
  <w:num w:numId="20">
    <w:abstractNumId w:val="17"/>
  </w:num>
  <w:num w:numId="21">
    <w:abstractNumId w:val="9"/>
  </w:num>
  <w:num w:numId="22">
    <w:abstractNumId w:val="16"/>
  </w:num>
  <w:num w:numId="23">
    <w:abstractNumId w:val="0"/>
  </w:num>
  <w:num w:numId="24">
    <w:abstractNumId w:val="5"/>
  </w:num>
  <w:num w:numId="25">
    <w:abstractNumId w:val="24"/>
  </w:num>
  <w:num w:numId="26">
    <w:abstractNumId w:val="2"/>
  </w:num>
  <w:num w:numId="27">
    <w:abstractNumId w:val="6"/>
  </w:num>
  <w:num w:numId="28">
    <w:abstractNumId w:val="1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59"/>
    <w:rsid w:val="000038F2"/>
    <w:rsid w:val="00014513"/>
    <w:rsid w:val="00016581"/>
    <w:rsid w:val="00020E06"/>
    <w:rsid w:val="000224C6"/>
    <w:rsid w:val="000235F9"/>
    <w:rsid w:val="0002594D"/>
    <w:rsid w:val="00026A52"/>
    <w:rsid w:val="0002747D"/>
    <w:rsid w:val="00027D7C"/>
    <w:rsid w:val="00030399"/>
    <w:rsid w:val="00030D80"/>
    <w:rsid w:val="00031EE2"/>
    <w:rsid w:val="00041A1C"/>
    <w:rsid w:val="0004541A"/>
    <w:rsid w:val="0004584F"/>
    <w:rsid w:val="00051958"/>
    <w:rsid w:val="0005285E"/>
    <w:rsid w:val="00061AE6"/>
    <w:rsid w:val="00062709"/>
    <w:rsid w:val="00073534"/>
    <w:rsid w:val="000746B2"/>
    <w:rsid w:val="00081124"/>
    <w:rsid w:val="00084643"/>
    <w:rsid w:val="00085C44"/>
    <w:rsid w:val="00090668"/>
    <w:rsid w:val="000A0B61"/>
    <w:rsid w:val="000A1489"/>
    <w:rsid w:val="000B2313"/>
    <w:rsid w:val="000C361E"/>
    <w:rsid w:val="000C500B"/>
    <w:rsid w:val="000E2124"/>
    <w:rsid w:val="000E5CA3"/>
    <w:rsid w:val="000F197F"/>
    <w:rsid w:val="000F26F9"/>
    <w:rsid w:val="000F40F3"/>
    <w:rsid w:val="001010EA"/>
    <w:rsid w:val="00104E2A"/>
    <w:rsid w:val="00112AF6"/>
    <w:rsid w:val="00112F35"/>
    <w:rsid w:val="00121AA1"/>
    <w:rsid w:val="00126389"/>
    <w:rsid w:val="0012756B"/>
    <w:rsid w:val="00132237"/>
    <w:rsid w:val="0014397F"/>
    <w:rsid w:val="0014669E"/>
    <w:rsid w:val="001467B2"/>
    <w:rsid w:val="00147E85"/>
    <w:rsid w:val="00150CBA"/>
    <w:rsid w:val="00156E56"/>
    <w:rsid w:val="00166ECE"/>
    <w:rsid w:val="00172ABE"/>
    <w:rsid w:val="00180C85"/>
    <w:rsid w:val="001844A3"/>
    <w:rsid w:val="001921BA"/>
    <w:rsid w:val="00195940"/>
    <w:rsid w:val="001B0AA9"/>
    <w:rsid w:val="001B1C7C"/>
    <w:rsid w:val="001B6DA6"/>
    <w:rsid w:val="001B7894"/>
    <w:rsid w:val="001C1875"/>
    <w:rsid w:val="001C2C00"/>
    <w:rsid w:val="001C42DE"/>
    <w:rsid w:val="001C43C2"/>
    <w:rsid w:val="001D1F54"/>
    <w:rsid w:val="001D743D"/>
    <w:rsid w:val="001E1443"/>
    <w:rsid w:val="001E6F3A"/>
    <w:rsid w:val="001E7374"/>
    <w:rsid w:val="001F15AF"/>
    <w:rsid w:val="001F4E7F"/>
    <w:rsid w:val="001F5BBE"/>
    <w:rsid w:val="001F6480"/>
    <w:rsid w:val="001F6B7E"/>
    <w:rsid w:val="001F7205"/>
    <w:rsid w:val="002138CA"/>
    <w:rsid w:val="002174D1"/>
    <w:rsid w:val="00223531"/>
    <w:rsid w:val="0022546A"/>
    <w:rsid w:val="00231849"/>
    <w:rsid w:val="00232531"/>
    <w:rsid w:val="00234245"/>
    <w:rsid w:val="00236C5E"/>
    <w:rsid w:val="00240D92"/>
    <w:rsid w:val="00241EE8"/>
    <w:rsid w:val="002439AE"/>
    <w:rsid w:val="002500BD"/>
    <w:rsid w:val="00251F62"/>
    <w:rsid w:val="00260C59"/>
    <w:rsid w:val="00260ECB"/>
    <w:rsid w:val="002622C2"/>
    <w:rsid w:val="00270BFE"/>
    <w:rsid w:val="002753CD"/>
    <w:rsid w:val="00290A75"/>
    <w:rsid w:val="00293FD9"/>
    <w:rsid w:val="00294C99"/>
    <w:rsid w:val="00295D4A"/>
    <w:rsid w:val="00295E0A"/>
    <w:rsid w:val="002A1AF9"/>
    <w:rsid w:val="002A1B7F"/>
    <w:rsid w:val="002A1F7E"/>
    <w:rsid w:val="002A2794"/>
    <w:rsid w:val="002B1145"/>
    <w:rsid w:val="002B16CC"/>
    <w:rsid w:val="002B4276"/>
    <w:rsid w:val="002B7280"/>
    <w:rsid w:val="002C4BA7"/>
    <w:rsid w:val="002C5F1C"/>
    <w:rsid w:val="002C71D9"/>
    <w:rsid w:val="002D0B62"/>
    <w:rsid w:val="002D6A0F"/>
    <w:rsid w:val="002E10E2"/>
    <w:rsid w:val="002E5B53"/>
    <w:rsid w:val="002E5F24"/>
    <w:rsid w:val="002F5AAE"/>
    <w:rsid w:val="003000DB"/>
    <w:rsid w:val="00304239"/>
    <w:rsid w:val="00306B29"/>
    <w:rsid w:val="0030756A"/>
    <w:rsid w:val="00313F6B"/>
    <w:rsid w:val="00325DA3"/>
    <w:rsid w:val="003262AD"/>
    <w:rsid w:val="00332A9D"/>
    <w:rsid w:val="00333AA3"/>
    <w:rsid w:val="00334AAC"/>
    <w:rsid w:val="00340329"/>
    <w:rsid w:val="00340AB2"/>
    <w:rsid w:val="0034657F"/>
    <w:rsid w:val="00350204"/>
    <w:rsid w:val="00353F77"/>
    <w:rsid w:val="003551D3"/>
    <w:rsid w:val="00355D98"/>
    <w:rsid w:val="00357CB5"/>
    <w:rsid w:val="00357F3A"/>
    <w:rsid w:val="00361104"/>
    <w:rsid w:val="0036216E"/>
    <w:rsid w:val="0037068F"/>
    <w:rsid w:val="0037222E"/>
    <w:rsid w:val="00376378"/>
    <w:rsid w:val="00376F0A"/>
    <w:rsid w:val="00386B81"/>
    <w:rsid w:val="00387290"/>
    <w:rsid w:val="00392F57"/>
    <w:rsid w:val="0039728F"/>
    <w:rsid w:val="003A51A2"/>
    <w:rsid w:val="003A5C27"/>
    <w:rsid w:val="003A6414"/>
    <w:rsid w:val="003A6481"/>
    <w:rsid w:val="003B2051"/>
    <w:rsid w:val="003B561A"/>
    <w:rsid w:val="003B5853"/>
    <w:rsid w:val="003B5C16"/>
    <w:rsid w:val="003C1229"/>
    <w:rsid w:val="003C7C7B"/>
    <w:rsid w:val="003D1CAF"/>
    <w:rsid w:val="003D55F7"/>
    <w:rsid w:val="003E102B"/>
    <w:rsid w:val="003E2A4A"/>
    <w:rsid w:val="003E393E"/>
    <w:rsid w:val="003E4F36"/>
    <w:rsid w:val="003E5DE8"/>
    <w:rsid w:val="003E6044"/>
    <w:rsid w:val="003F0580"/>
    <w:rsid w:val="003F4FD3"/>
    <w:rsid w:val="003F548B"/>
    <w:rsid w:val="003F629E"/>
    <w:rsid w:val="0040118D"/>
    <w:rsid w:val="0040173C"/>
    <w:rsid w:val="0040282B"/>
    <w:rsid w:val="00405F46"/>
    <w:rsid w:val="00414124"/>
    <w:rsid w:val="004143DC"/>
    <w:rsid w:val="00423025"/>
    <w:rsid w:val="00423A47"/>
    <w:rsid w:val="00425F68"/>
    <w:rsid w:val="00435200"/>
    <w:rsid w:val="004357F6"/>
    <w:rsid w:val="004458F6"/>
    <w:rsid w:val="0045122C"/>
    <w:rsid w:val="00452D89"/>
    <w:rsid w:val="004538B1"/>
    <w:rsid w:val="0046116D"/>
    <w:rsid w:val="004656B7"/>
    <w:rsid w:val="004721CF"/>
    <w:rsid w:val="00476A56"/>
    <w:rsid w:val="004832EE"/>
    <w:rsid w:val="0049007D"/>
    <w:rsid w:val="0049041C"/>
    <w:rsid w:val="00497BF1"/>
    <w:rsid w:val="004A15F0"/>
    <w:rsid w:val="004A3B55"/>
    <w:rsid w:val="004A5CA5"/>
    <w:rsid w:val="004B0B47"/>
    <w:rsid w:val="004B1938"/>
    <w:rsid w:val="004B29C9"/>
    <w:rsid w:val="004B33E8"/>
    <w:rsid w:val="004B35E3"/>
    <w:rsid w:val="004B56A0"/>
    <w:rsid w:val="004C2266"/>
    <w:rsid w:val="004C5D69"/>
    <w:rsid w:val="004E1797"/>
    <w:rsid w:val="004E4652"/>
    <w:rsid w:val="00512A82"/>
    <w:rsid w:val="00513666"/>
    <w:rsid w:val="00515720"/>
    <w:rsid w:val="00516AA6"/>
    <w:rsid w:val="00522B37"/>
    <w:rsid w:val="0053368E"/>
    <w:rsid w:val="00533DC0"/>
    <w:rsid w:val="00534AEC"/>
    <w:rsid w:val="00534E6D"/>
    <w:rsid w:val="0054510D"/>
    <w:rsid w:val="00546F6C"/>
    <w:rsid w:val="00552854"/>
    <w:rsid w:val="005546C5"/>
    <w:rsid w:val="00557738"/>
    <w:rsid w:val="005623E3"/>
    <w:rsid w:val="005657B4"/>
    <w:rsid w:val="00565EF9"/>
    <w:rsid w:val="00566D2C"/>
    <w:rsid w:val="00571095"/>
    <w:rsid w:val="00571E84"/>
    <w:rsid w:val="00573694"/>
    <w:rsid w:val="005801D3"/>
    <w:rsid w:val="00580634"/>
    <w:rsid w:val="0058268C"/>
    <w:rsid w:val="00583D38"/>
    <w:rsid w:val="00584CCA"/>
    <w:rsid w:val="00585CA5"/>
    <w:rsid w:val="00596923"/>
    <w:rsid w:val="005A6E52"/>
    <w:rsid w:val="005B10AE"/>
    <w:rsid w:val="005B5A28"/>
    <w:rsid w:val="005C5D0B"/>
    <w:rsid w:val="005D033B"/>
    <w:rsid w:val="005D1440"/>
    <w:rsid w:val="005D3733"/>
    <w:rsid w:val="005D5460"/>
    <w:rsid w:val="005E1ADC"/>
    <w:rsid w:val="00603EBA"/>
    <w:rsid w:val="006057E9"/>
    <w:rsid w:val="00605B52"/>
    <w:rsid w:val="00626708"/>
    <w:rsid w:val="0062715D"/>
    <w:rsid w:val="0063133F"/>
    <w:rsid w:val="006316AA"/>
    <w:rsid w:val="00633A89"/>
    <w:rsid w:val="00636622"/>
    <w:rsid w:val="00637BC0"/>
    <w:rsid w:val="00637BCD"/>
    <w:rsid w:val="00641976"/>
    <w:rsid w:val="00645822"/>
    <w:rsid w:val="00645E9B"/>
    <w:rsid w:val="00657346"/>
    <w:rsid w:val="00661374"/>
    <w:rsid w:val="00666F80"/>
    <w:rsid w:val="0066700A"/>
    <w:rsid w:val="00667FCF"/>
    <w:rsid w:val="00672CA7"/>
    <w:rsid w:val="006767A5"/>
    <w:rsid w:val="00677B6F"/>
    <w:rsid w:val="00681771"/>
    <w:rsid w:val="006925ED"/>
    <w:rsid w:val="006B5452"/>
    <w:rsid w:val="006C6F4F"/>
    <w:rsid w:val="006D14B6"/>
    <w:rsid w:val="006D251D"/>
    <w:rsid w:val="006D2F10"/>
    <w:rsid w:val="006D5BD3"/>
    <w:rsid w:val="006E5309"/>
    <w:rsid w:val="006E6FF3"/>
    <w:rsid w:val="006F152A"/>
    <w:rsid w:val="006F2DB8"/>
    <w:rsid w:val="006F745B"/>
    <w:rsid w:val="006F7634"/>
    <w:rsid w:val="007002AF"/>
    <w:rsid w:val="00702F2F"/>
    <w:rsid w:val="007034B2"/>
    <w:rsid w:val="0071187B"/>
    <w:rsid w:val="00725099"/>
    <w:rsid w:val="0073039D"/>
    <w:rsid w:val="007308C4"/>
    <w:rsid w:val="0073531F"/>
    <w:rsid w:val="00736C9A"/>
    <w:rsid w:val="0073727C"/>
    <w:rsid w:val="007375B5"/>
    <w:rsid w:val="007422D9"/>
    <w:rsid w:val="00742329"/>
    <w:rsid w:val="00744D09"/>
    <w:rsid w:val="00755478"/>
    <w:rsid w:val="007607F2"/>
    <w:rsid w:val="007717FC"/>
    <w:rsid w:val="00772304"/>
    <w:rsid w:val="00782709"/>
    <w:rsid w:val="00782749"/>
    <w:rsid w:val="00783D04"/>
    <w:rsid w:val="0078413F"/>
    <w:rsid w:val="00786533"/>
    <w:rsid w:val="0079522D"/>
    <w:rsid w:val="007965F4"/>
    <w:rsid w:val="00797528"/>
    <w:rsid w:val="007B3B82"/>
    <w:rsid w:val="007B4FFC"/>
    <w:rsid w:val="007B6EDD"/>
    <w:rsid w:val="007C5874"/>
    <w:rsid w:val="007C5E11"/>
    <w:rsid w:val="007D0CB1"/>
    <w:rsid w:val="007D3338"/>
    <w:rsid w:val="007D4A2C"/>
    <w:rsid w:val="007E0384"/>
    <w:rsid w:val="007E1CD2"/>
    <w:rsid w:val="007E2D9C"/>
    <w:rsid w:val="007E6F6F"/>
    <w:rsid w:val="007F2D1D"/>
    <w:rsid w:val="00802330"/>
    <w:rsid w:val="0080239C"/>
    <w:rsid w:val="008047A7"/>
    <w:rsid w:val="00804C43"/>
    <w:rsid w:val="00812722"/>
    <w:rsid w:val="008213C5"/>
    <w:rsid w:val="00821E32"/>
    <w:rsid w:val="008229DA"/>
    <w:rsid w:val="008235F2"/>
    <w:rsid w:val="00842359"/>
    <w:rsid w:val="00844211"/>
    <w:rsid w:val="00845DBE"/>
    <w:rsid w:val="00846852"/>
    <w:rsid w:val="008470C4"/>
    <w:rsid w:val="0085673C"/>
    <w:rsid w:val="00856932"/>
    <w:rsid w:val="0086406D"/>
    <w:rsid w:val="00870E0E"/>
    <w:rsid w:val="00881636"/>
    <w:rsid w:val="00881F77"/>
    <w:rsid w:val="008828C1"/>
    <w:rsid w:val="00883532"/>
    <w:rsid w:val="00884138"/>
    <w:rsid w:val="00891BE4"/>
    <w:rsid w:val="0089406A"/>
    <w:rsid w:val="00896740"/>
    <w:rsid w:val="008967CA"/>
    <w:rsid w:val="00897883"/>
    <w:rsid w:val="008A1CF0"/>
    <w:rsid w:val="008A20A6"/>
    <w:rsid w:val="008A4959"/>
    <w:rsid w:val="008A5B56"/>
    <w:rsid w:val="008B58EF"/>
    <w:rsid w:val="008C20D8"/>
    <w:rsid w:val="008C2151"/>
    <w:rsid w:val="008C3C2E"/>
    <w:rsid w:val="008C5A1B"/>
    <w:rsid w:val="008D5548"/>
    <w:rsid w:val="008D5923"/>
    <w:rsid w:val="008F13FA"/>
    <w:rsid w:val="009020B0"/>
    <w:rsid w:val="009025F9"/>
    <w:rsid w:val="00903CC4"/>
    <w:rsid w:val="00906E45"/>
    <w:rsid w:val="0091070B"/>
    <w:rsid w:val="009202D5"/>
    <w:rsid w:val="00922BF9"/>
    <w:rsid w:val="00923336"/>
    <w:rsid w:val="00923CF6"/>
    <w:rsid w:val="0093610B"/>
    <w:rsid w:val="00942308"/>
    <w:rsid w:val="00955534"/>
    <w:rsid w:val="00956934"/>
    <w:rsid w:val="00957BE2"/>
    <w:rsid w:val="00960244"/>
    <w:rsid w:val="00961795"/>
    <w:rsid w:val="00962C96"/>
    <w:rsid w:val="00962D48"/>
    <w:rsid w:val="00964DC0"/>
    <w:rsid w:val="00964F43"/>
    <w:rsid w:val="00973257"/>
    <w:rsid w:val="00974B4E"/>
    <w:rsid w:val="00980277"/>
    <w:rsid w:val="00994C3F"/>
    <w:rsid w:val="00994DB2"/>
    <w:rsid w:val="009A1912"/>
    <w:rsid w:val="009A2C2D"/>
    <w:rsid w:val="009B1C88"/>
    <w:rsid w:val="009B4C4A"/>
    <w:rsid w:val="009B5E29"/>
    <w:rsid w:val="009B7CF2"/>
    <w:rsid w:val="009C21E3"/>
    <w:rsid w:val="009C2743"/>
    <w:rsid w:val="009D005A"/>
    <w:rsid w:val="009D0730"/>
    <w:rsid w:val="009D106C"/>
    <w:rsid w:val="009D52F5"/>
    <w:rsid w:val="009D7BFF"/>
    <w:rsid w:val="009E187B"/>
    <w:rsid w:val="009E69B2"/>
    <w:rsid w:val="009F6255"/>
    <w:rsid w:val="009F6EA9"/>
    <w:rsid w:val="00A0102E"/>
    <w:rsid w:val="00A02900"/>
    <w:rsid w:val="00A06759"/>
    <w:rsid w:val="00A115C2"/>
    <w:rsid w:val="00A12C69"/>
    <w:rsid w:val="00A13068"/>
    <w:rsid w:val="00A14B61"/>
    <w:rsid w:val="00A150BA"/>
    <w:rsid w:val="00A15E46"/>
    <w:rsid w:val="00A17ADC"/>
    <w:rsid w:val="00A17C5D"/>
    <w:rsid w:val="00A2093F"/>
    <w:rsid w:val="00A2393A"/>
    <w:rsid w:val="00A40A69"/>
    <w:rsid w:val="00A41B5B"/>
    <w:rsid w:val="00A46261"/>
    <w:rsid w:val="00A515E7"/>
    <w:rsid w:val="00A524A1"/>
    <w:rsid w:val="00A52B5F"/>
    <w:rsid w:val="00A5479D"/>
    <w:rsid w:val="00A54CF8"/>
    <w:rsid w:val="00A64BC8"/>
    <w:rsid w:val="00A80F12"/>
    <w:rsid w:val="00A84475"/>
    <w:rsid w:val="00A87F37"/>
    <w:rsid w:val="00A90D18"/>
    <w:rsid w:val="00A96A49"/>
    <w:rsid w:val="00A9740D"/>
    <w:rsid w:val="00AA4643"/>
    <w:rsid w:val="00AA48B8"/>
    <w:rsid w:val="00AB087A"/>
    <w:rsid w:val="00AB148F"/>
    <w:rsid w:val="00AB1E78"/>
    <w:rsid w:val="00AB208C"/>
    <w:rsid w:val="00AB24C2"/>
    <w:rsid w:val="00AB2BA8"/>
    <w:rsid w:val="00AC5740"/>
    <w:rsid w:val="00AC6492"/>
    <w:rsid w:val="00AC770A"/>
    <w:rsid w:val="00AD5945"/>
    <w:rsid w:val="00AD7483"/>
    <w:rsid w:val="00AE72F6"/>
    <w:rsid w:val="00AF59AC"/>
    <w:rsid w:val="00AF5CD7"/>
    <w:rsid w:val="00AF6D9A"/>
    <w:rsid w:val="00B00005"/>
    <w:rsid w:val="00B05A32"/>
    <w:rsid w:val="00B122A0"/>
    <w:rsid w:val="00B12332"/>
    <w:rsid w:val="00B13639"/>
    <w:rsid w:val="00B13F83"/>
    <w:rsid w:val="00B17C46"/>
    <w:rsid w:val="00B22C5D"/>
    <w:rsid w:val="00B23A82"/>
    <w:rsid w:val="00B26187"/>
    <w:rsid w:val="00B30AB1"/>
    <w:rsid w:val="00B33047"/>
    <w:rsid w:val="00B3554F"/>
    <w:rsid w:val="00B362AD"/>
    <w:rsid w:val="00B41223"/>
    <w:rsid w:val="00B4352E"/>
    <w:rsid w:val="00B45C6B"/>
    <w:rsid w:val="00B4759F"/>
    <w:rsid w:val="00B50600"/>
    <w:rsid w:val="00B5132A"/>
    <w:rsid w:val="00B52368"/>
    <w:rsid w:val="00B56182"/>
    <w:rsid w:val="00B57155"/>
    <w:rsid w:val="00B648D4"/>
    <w:rsid w:val="00B65CDA"/>
    <w:rsid w:val="00B713B6"/>
    <w:rsid w:val="00B71639"/>
    <w:rsid w:val="00B73CB2"/>
    <w:rsid w:val="00B743EA"/>
    <w:rsid w:val="00B774A0"/>
    <w:rsid w:val="00B86D2B"/>
    <w:rsid w:val="00B90A2F"/>
    <w:rsid w:val="00B90C3C"/>
    <w:rsid w:val="00B916DE"/>
    <w:rsid w:val="00B94345"/>
    <w:rsid w:val="00B96EB2"/>
    <w:rsid w:val="00B979B0"/>
    <w:rsid w:val="00BA14E1"/>
    <w:rsid w:val="00BA38AE"/>
    <w:rsid w:val="00BB605C"/>
    <w:rsid w:val="00BB72DD"/>
    <w:rsid w:val="00BC071E"/>
    <w:rsid w:val="00BC09EF"/>
    <w:rsid w:val="00BC2CF3"/>
    <w:rsid w:val="00BC7CEF"/>
    <w:rsid w:val="00BE08EF"/>
    <w:rsid w:val="00BE0B55"/>
    <w:rsid w:val="00BF2525"/>
    <w:rsid w:val="00C04460"/>
    <w:rsid w:val="00C10FD5"/>
    <w:rsid w:val="00C16551"/>
    <w:rsid w:val="00C31557"/>
    <w:rsid w:val="00C343C8"/>
    <w:rsid w:val="00C34A7D"/>
    <w:rsid w:val="00C40355"/>
    <w:rsid w:val="00C43947"/>
    <w:rsid w:val="00C44C56"/>
    <w:rsid w:val="00C4510F"/>
    <w:rsid w:val="00C507B6"/>
    <w:rsid w:val="00C62376"/>
    <w:rsid w:val="00C6312E"/>
    <w:rsid w:val="00C63457"/>
    <w:rsid w:val="00C6608A"/>
    <w:rsid w:val="00C66430"/>
    <w:rsid w:val="00C67D2A"/>
    <w:rsid w:val="00C76A07"/>
    <w:rsid w:val="00C85DD0"/>
    <w:rsid w:val="00C92646"/>
    <w:rsid w:val="00C92E17"/>
    <w:rsid w:val="00C93901"/>
    <w:rsid w:val="00C943E1"/>
    <w:rsid w:val="00C9575C"/>
    <w:rsid w:val="00CA00C6"/>
    <w:rsid w:val="00CA4E95"/>
    <w:rsid w:val="00CA63E7"/>
    <w:rsid w:val="00CA73ED"/>
    <w:rsid w:val="00CB484B"/>
    <w:rsid w:val="00CC4252"/>
    <w:rsid w:val="00CC68EF"/>
    <w:rsid w:val="00CC6D1F"/>
    <w:rsid w:val="00CD092E"/>
    <w:rsid w:val="00CD1289"/>
    <w:rsid w:val="00CD4E47"/>
    <w:rsid w:val="00CD521E"/>
    <w:rsid w:val="00CF65AF"/>
    <w:rsid w:val="00D040F8"/>
    <w:rsid w:val="00D066E5"/>
    <w:rsid w:val="00D17892"/>
    <w:rsid w:val="00D2061F"/>
    <w:rsid w:val="00D24C93"/>
    <w:rsid w:val="00D25CC4"/>
    <w:rsid w:val="00D27A51"/>
    <w:rsid w:val="00D319C3"/>
    <w:rsid w:val="00D43906"/>
    <w:rsid w:val="00D51190"/>
    <w:rsid w:val="00D524A3"/>
    <w:rsid w:val="00D60B5A"/>
    <w:rsid w:val="00D70269"/>
    <w:rsid w:val="00D71D60"/>
    <w:rsid w:val="00D80A3E"/>
    <w:rsid w:val="00D866BC"/>
    <w:rsid w:val="00D957B9"/>
    <w:rsid w:val="00D96CA6"/>
    <w:rsid w:val="00DA3586"/>
    <w:rsid w:val="00DA7446"/>
    <w:rsid w:val="00DB31D2"/>
    <w:rsid w:val="00DB54BF"/>
    <w:rsid w:val="00DB7230"/>
    <w:rsid w:val="00DC0214"/>
    <w:rsid w:val="00DC07A9"/>
    <w:rsid w:val="00DC113F"/>
    <w:rsid w:val="00DC3F76"/>
    <w:rsid w:val="00DC51E4"/>
    <w:rsid w:val="00DC6076"/>
    <w:rsid w:val="00DD2F5C"/>
    <w:rsid w:val="00DD49FE"/>
    <w:rsid w:val="00DD4E23"/>
    <w:rsid w:val="00DE0A68"/>
    <w:rsid w:val="00DF734E"/>
    <w:rsid w:val="00E00D4C"/>
    <w:rsid w:val="00E016B2"/>
    <w:rsid w:val="00E0350D"/>
    <w:rsid w:val="00E146D2"/>
    <w:rsid w:val="00E14DBB"/>
    <w:rsid w:val="00E14F42"/>
    <w:rsid w:val="00E17EF4"/>
    <w:rsid w:val="00E37C94"/>
    <w:rsid w:val="00E42CFD"/>
    <w:rsid w:val="00E43129"/>
    <w:rsid w:val="00E45D59"/>
    <w:rsid w:val="00E46BE2"/>
    <w:rsid w:val="00E555EB"/>
    <w:rsid w:val="00E73BAE"/>
    <w:rsid w:val="00E74DF1"/>
    <w:rsid w:val="00E9293B"/>
    <w:rsid w:val="00E96642"/>
    <w:rsid w:val="00EA554D"/>
    <w:rsid w:val="00EA574C"/>
    <w:rsid w:val="00EB249D"/>
    <w:rsid w:val="00EC0FA7"/>
    <w:rsid w:val="00EC26D9"/>
    <w:rsid w:val="00ED158F"/>
    <w:rsid w:val="00ED31AE"/>
    <w:rsid w:val="00ED63A8"/>
    <w:rsid w:val="00EE19BB"/>
    <w:rsid w:val="00EE525A"/>
    <w:rsid w:val="00EE66F2"/>
    <w:rsid w:val="00EE6B09"/>
    <w:rsid w:val="00EE7908"/>
    <w:rsid w:val="00EF6F1C"/>
    <w:rsid w:val="00EF7618"/>
    <w:rsid w:val="00F006D1"/>
    <w:rsid w:val="00F02D93"/>
    <w:rsid w:val="00F1507E"/>
    <w:rsid w:val="00F20ABF"/>
    <w:rsid w:val="00F26469"/>
    <w:rsid w:val="00F26C5C"/>
    <w:rsid w:val="00F27BF1"/>
    <w:rsid w:val="00F31A5A"/>
    <w:rsid w:val="00F355BE"/>
    <w:rsid w:val="00F36BA8"/>
    <w:rsid w:val="00F46F5B"/>
    <w:rsid w:val="00F47A8B"/>
    <w:rsid w:val="00F50610"/>
    <w:rsid w:val="00F51CAE"/>
    <w:rsid w:val="00F64A7A"/>
    <w:rsid w:val="00F65288"/>
    <w:rsid w:val="00F669C9"/>
    <w:rsid w:val="00F73AAD"/>
    <w:rsid w:val="00F8135D"/>
    <w:rsid w:val="00F84FDA"/>
    <w:rsid w:val="00F90C24"/>
    <w:rsid w:val="00F90FFE"/>
    <w:rsid w:val="00F931D7"/>
    <w:rsid w:val="00FA2E19"/>
    <w:rsid w:val="00FB0549"/>
    <w:rsid w:val="00FB2890"/>
    <w:rsid w:val="00FB5445"/>
    <w:rsid w:val="00FC499F"/>
    <w:rsid w:val="00FC6734"/>
    <w:rsid w:val="00FD17F6"/>
    <w:rsid w:val="00FD20EA"/>
    <w:rsid w:val="00FD265B"/>
    <w:rsid w:val="00FD2FDC"/>
    <w:rsid w:val="00FD5CC4"/>
    <w:rsid w:val="00FE17A5"/>
    <w:rsid w:val="00FF0B9C"/>
    <w:rsid w:val="00FF0BBA"/>
    <w:rsid w:val="00FF34C9"/>
    <w:rsid w:val="00FF5537"/>
    <w:rsid w:val="00FF593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A178D"/>
  <w15:chartTrackingRefBased/>
  <w15:docId w15:val="{EA11B4D0-2223-483F-9872-E5717AD1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F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010EA"/>
    <w:pPr>
      <w:spacing w:before="100" w:beforeAutospacing="1" w:after="100" w:afterAutospacing="1" w:line="240" w:lineRule="auto"/>
      <w:outlineLvl w:val="2"/>
    </w:pPr>
    <w:rPr>
      <w:rFonts w:ascii="Times New Roman" w:eastAsia="Times New Roman" w:hAnsi="Times New Roman" w:cs="Times New Roman"/>
      <w:b/>
      <w:bCs/>
      <w:sz w:val="27"/>
      <w:szCs w:val="27"/>
      <w:lang w:eastAsia="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0C59"/>
    <w:pPr>
      <w:ind w:left="720"/>
      <w:contextualSpacing/>
    </w:pPr>
  </w:style>
  <w:style w:type="paragraph" w:styleId="NormalWeb">
    <w:name w:val="Normal (Web)"/>
    <w:basedOn w:val="Normal"/>
    <w:uiPriority w:val="99"/>
    <w:unhideWhenUsed/>
    <w:rsid w:val="00260C59"/>
    <w:pPr>
      <w:spacing w:before="100" w:beforeAutospacing="1" w:after="100" w:afterAutospacing="1" w:line="240" w:lineRule="auto"/>
    </w:pPr>
    <w:rPr>
      <w:rFonts w:ascii="Times New Roman" w:eastAsia="Times New Roman" w:hAnsi="Times New Roman" w:cs="Times New Roman"/>
      <w:sz w:val="24"/>
      <w:szCs w:val="24"/>
      <w:lang w:eastAsia="en-CH"/>
    </w:rPr>
  </w:style>
  <w:style w:type="character" w:customStyle="1" w:styleId="Heading3Char">
    <w:name w:val="Heading 3 Char"/>
    <w:basedOn w:val="DefaultParagraphFont"/>
    <w:link w:val="Heading3"/>
    <w:uiPriority w:val="9"/>
    <w:rsid w:val="001010EA"/>
    <w:rPr>
      <w:rFonts w:ascii="Times New Roman" w:eastAsia="Times New Roman" w:hAnsi="Times New Roman" w:cs="Times New Roman"/>
      <w:b/>
      <w:bCs/>
      <w:sz w:val="27"/>
      <w:szCs w:val="27"/>
      <w:lang w:val="en-CH" w:eastAsia="en-CH"/>
    </w:rPr>
  </w:style>
  <w:style w:type="character" w:styleId="CommentReference">
    <w:name w:val="annotation reference"/>
    <w:basedOn w:val="DefaultParagraphFont"/>
    <w:uiPriority w:val="99"/>
    <w:semiHidden/>
    <w:unhideWhenUsed/>
    <w:rsid w:val="004C2266"/>
    <w:rPr>
      <w:sz w:val="16"/>
      <w:szCs w:val="16"/>
    </w:rPr>
  </w:style>
  <w:style w:type="paragraph" w:styleId="CommentText">
    <w:name w:val="annotation text"/>
    <w:basedOn w:val="Normal"/>
    <w:link w:val="CommentTextChar"/>
    <w:uiPriority w:val="99"/>
    <w:unhideWhenUsed/>
    <w:rsid w:val="004C2266"/>
    <w:pPr>
      <w:spacing w:line="240" w:lineRule="auto"/>
    </w:pPr>
    <w:rPr>
      <w:sz w:val="20"/>
      <w:szCs w:val="20"/>
    </w:rPr>
  </w:style>
  <w:style w:type="character" w:customStyle="1" w:styleId="CommentTextChar">
    <w:name w:val="Comment Text Char"/>
    <w:basedOn w:val="DefaultParagraphFont"/>
    <w:link w:val="CommentText"/>
    <w:uiPriority w:val="99"/>
    <w:rsid w:val="004C2266"/>
    <w:rPr>
      <w:sz w:val="20"/>
      <w:szCs w:val="20"/>
    </w:rPr>
  </w:style>
  <w:style w:type="paragraph" w:styleId="CommentSubject">
    <w:name w:val="annotation subject"/>
    <w:basedOn w:val="CommentText"/>
    <w:next w:val="CommentText"/>
    <w:link w:val="CommentSubjectChar"/>
    <w:uiPriority w:val="99"/>
    <w:semiHidden/>
    <w:unhideWhenUsed/>
    <w:rsid w:val="004C2266"/>
    <w:rPr>
      <w:b/>
      <w:bCs/>
    </w:rPr>
  </w:style>
  <w:style w:type="character" w:customStyle="1" w:styleId="CommentSubjectChar">
    <w:name w:val="Comment Subject Char"/>
    <w:basedOn w:val="CommentTextChar"/>
    <w:link w:val="CommentSubject"/>
    <w:uiPriority w:val="99"/>
    <w:semiHidden/>
    <w:rsid w:val="004C2266"/>
    <w:rPr>
      <w:b/>
      <w:bCs/>
      <w:sz w:val="20"/>
      <w:szCs w:val="20"/>
    </w:rPr>
  </w:style>
  <w:style w:type="paragraph" w:customStyle="1" w:styleId="Default">
    <w:name w:val="Default"/>
    <w:rsid w:val="00B1363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ja-JP"/>
      <w14:textOutline w14:w="0" w14:cap="flat" w14:cmpd="sng" w14:algn="ctr">
        <w14:noFill/>
        <w14:prstDash w14:val="solid"/>
        <w14:bevel/>
      </w14:textOutline>
    </w:rPr>
  </w:style>
  <w:style w:type="character" w:styleId="Hyperlink">
    <w:name w:val="Hyperlink"/>
    <w:basedOn w:val="DefaultParagraphFont"/>
    <w:uiPriority w:val="99"/>
    <w:unhideWhenUsed/>
    <w:rsid w:val="00ED63A8"/>
    <w:rPr>
      <w:color w:val="0000FF"/>
      <w:u w:val="single"/>
    </w:rPr>
  </w:style>
  <w:style w:type="character" w:styleId="Emphasis">
    <w:name w:val="Emphasis"/>
    <w:basedOn w:val="DefaultParagraphFont"/>
    <w:uiPriority w:val="20"/>
    <w:qFormat/>
    <w:rsid w:val="005B10AE"/>
    <w:rPr>
      <w:i/>
      <w:iCs/>
    </w:rPr>
  </w:style>
  <w:style w:type="character" w:styleId="FollowedHyperlink">
    <w:name w:val="FollowedHyperlink"/>
    <w:basedOn w:val="DefaultParagraphFont"/>
    <w:uiPriority w:val="99"/>
    <w:semiHidden/>
    <w:unhideWhenUsed/>
    <w:rsid w:val="00295D4A"/>
    <w:rPr>
      <w:color w:val="954F72" w:themeColor="followedHyperlink"/>
      <w:u w:val="single"/>
    </w:rPr>
  </w:style>
  <w:style w:type="character" w:styleId="UnresolvedMention">
    <w:name w:val="Unresolved Mention"/>
    <w:basedOn w:val="DefaultParagraphFont"/>
    <w:uiPriority w:val="99"/>
    <w:unhideWhenUsed/>
    <w:rsid w:val="00295D4A"/>
    <w:rPr>
      <w:color w:val="605E5C"/>
      <w:shd w:val="clear" w:color="auto" w:fill="E1DFDD"/>
    </w:rPr>
  </w:style>
  <w:style w:type="paragraph" w:styleId="EndnoteText">
    <w:name w:val="endnote text"/>
    <w:aliases w:val="en,2_G"/>
    <w:basedOn w:val="Normal"/>
    <w:link w:val="EndnoteTextChar"/>
    <w:uiPriority w:val="99"/>
    <w:unhideWhenUsed/>
    <w:qFormat/>
    <w:rsid w:val="00A515E7"/>
    <w:pPr>
      <w:spacing w:after="0" w:line="240" w:lineRule="auto"/>
    </w:pPr>
    <w:rPr>
      <w:sz w:val="20"/>
      <w:szCs w:val="20"/>
    </w:rPr>
  </w:style>
  <w:style w:type="character" w:customStyle="1" w:styleId="EndnoteTextChar">
    <w:name w:val="Endnote Text Char"/>
    <w:aliases w:val="en Char,2_G Char"/>
    <w:basedOn w:val="DefaultParagraphFont"/>
    <w:link w:val="EndnoteText"/>
    <w:uiPriority w:val="99"/>
    <w:rsid w:val="00A515E7"/>
    <w:rPr>
      <w:sz w:val="20"/>
      <w:szCs w:val="20"/>
    </w:rPr>
  </w:style>
  <w:style w:type="character" w:styleId="EndnoteReference">
    <w:name w:val="endnote reference"/>
    <w:basedOn w:val="DefaultParagraphFont"/>
    <w:uiPriority w:val="99"/>
    <w:unhideWhenUsed/>
    <w:rsid w:val="00A515E7"/>
    <w:rPr>
      <w:vertAlign w:val="superscript"/>
    </w:rPr>
  </w:style>
  <w:style w:type="paragraph" w:styleId="FootnoteText">
    <w:name w:val="footnote text"/>
    <w:basedOn w:val="Normal"/>
    <w:link w:val="FootnoteTextChar"/>
    <w:uiPriority w:val="99"/>
    <w:semiHidden/>
    <w:unhideWhenUsed/>
    <w:rsid w:val="00BB6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05C"/>
    <w:rPr>
      <w:sz w:val="20"/>
      <w:szCs w:val="20"/>
    </w:rPr>
  </w:style>
  <w:style w:type="character" w:styleId="FootnoteReference">
    <w:name w:val="footnote reference"/>
    <w:basedOn w:val="DefaultParagraphFont"/>
    <w:uiPriority w:val="99"/>
    <w:semiHidden/>
    <w:unhideWhenUsed/>
    <w:rsid w:val="00BB605C"/>
    <w:rPr>
      <w:vertAlign w:val="superscript"/>
    </w:rPr>
  </w:style>
  <w:style w:type="character" w:customStyle="1" w:styleId="Heading2Char">
    <w:name w:val="Heading 2 Char"/>
    <w:basedOn w:val="DefaultParagraphFont"/>
    <w:link w:val="Heading2"/>
    <w:uiPriority w:val="9"/>
    <w:rsid w:val="00881F77"/>
    <w:rPr>
      <w:rFonts w:asciiTheme="majorHAnsi" w:eastAsiaTheme="majorEastAsia" w:hAnsiTheme="majorHAnsi" w:cstheme="majorBidi"/>
      <w:color w:val="2F5496" w:themeColor="accent1" w:themeShade="BF"/>
      <w:sz w:val="26"/>
      <w:szCs w:val="26"/>
    </w:rPr>
  </w:style>
  <w:style w:type="character" w:styleId="SmartLink">
    <w:name w:val="Smart Link"/>
    <w:basedOn w:val="DefaultParagraphFont"/>
    <w:uiPriority w:val="99"/>
    <w:semiHidden/>
    <w:unhideWhenUsed/>
    <w:rsid w:val="009F6EA9"/>
    <w:rPr>
      <w:color w:val="0000FF"/>
      <w:u w:val="single"/>
      <w:shd w:val="clear" w:color="auto" w:fill="F3F2F1"/>
    </w:rPr>
  </w:style>
  <w:style w:type="paragraph" w:styleId="Header">
    <w:name w:val="header"/>
    <w:basedOn w:val="Normal"/>
    <w:link w:val="HeaderChar"/>
    <w:uiPriority w:val="99"/>
    <w:unhideWhenUsed/>
    <w:rsid w:val="00294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C99"/>
  </w:style>
  <w:style w:type="paragraph" w:styleId="Footer">
    <w:name w:val="footer"/>
    <w:basedOn w:val="Normal"/>
    <w:link w:val="FooterChar"/>
    <w:uiPriority w:val="99"/>
    <w:unhideWhenUsed/>
    <w:rsid w:val="00294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C99"/>
  </w:style>
  <w:style w:type="character" w:styleId="Mention">
    <w:name w:val="Mention"/>
    <w:basedOn w:val="DefaultParagraphFont"/>
    <w:uiPriority w:val="99"/>
    <w:unhideWhenUsed/>
    <w:rsid w:val="00C6608A"/>
    <w:rPr>
      <w:color w:val="2B579A"/>
      <w:shd w:val="clear" w:color="auto" w:fill="E1DFDD"/>
    </w:rPr>
  </w:style>
  <w:style w:type="character" w:customStyle="1" w:styleId="ListParagraphChar">
    <w:name w:val="List Paragraph Char"/>
    <w:basedOn w:val="DefaultParagraphFont"/>
    <w:link w:val="ListParagraph"/>
    <w:uiPriority w:val="34"/>
    <w:locked/>
    <w:rsid w:val="001E6F3A"/>
  </w:style>
  <w:style w:type="paragraph" w:customStyle="1" w:styleId="paragraph">
    <w:name w:val="paragraph"/>
    <w:basedOn w:val="Normal"/>
    <w:rsid w:val="004656B7"/>
    <w:pPr>
      <w:spacing w:before="100" w:beforeAutospacing="1" w:after="100" w:afterAutospacing="1" w:line="240" w:lineRule="auto"/>
    </w:pPr>
    <w:rPr>
      <w:rFonts w:ascii="Times New Roman" w:eastAsia="Times New Roman" w:hAnsi="Times New Roman" w:cs="Times New Roman"/>
      <w:sz w:val="24"/>
      <w:szCs w:val="24"/>
      <w:lang w:eastAsia="en-CH"/>
    </w:rPr>
  </w:style>
  <w:style w:type="character" w:customStyle="1" w:styleId="normaltextrun">
    <w:name w:val="normaltextrun"/>
    <w:basedOn w:val="DefaultParagraphFont"/>
    <w:rsid w:val="004656B7"/>
  </w:style>
  <w:style w:type="character" w:customStyle="1" w:styleId="superscript">
    <w:name w:val="superscript"/>
    <w:basedOn w:val="DefaultParagraphFont"/>
    <w:rsid w:val="004656B7"/>
  </w:style>
  <w:style w:type="character" w:customStyle="1" w:styleId="eop">
    <w:name w:val="eop"/>
    <w:basedOn w:val="DefaultParagraphFont"/>
    <w:rsid w:val="004656B7"/>
  </w:style>
  <w:style w:type="character" w:customStyle="1" w:styleId="Heading1Char">
    <w:name w:val="Heading 1 Char"/>
    <w:basedOn w:val="DefaultParagraphFont"/>
    <w:link w:val="Heading1"/>
    <w:uiPriority w:val="9"/>
    <w:rsid w:val="007841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3102">
      <w:bodyDiv w:val="1"/>
      <w:marLeft w:val="0"/>
      <w:marRight w:val="0"/>
      <w:marTop w:val="0"/>
      <w:marBottom w:val="0"/>
      <w:divBdr>
        <w:top w:val="none" w:sz="0" w:space="0" w:color="auto"/>
        <w:left w:val="none" w:sz="0" w:space="0" w:color="auto"/>
        <w:bottom w:val="none" w:sz="0" w:space="0" w:color="auto"/>
        <w:right w:val="none" w:sz="0" w:space="0" w:color="auto"/>
      </w:divBdr>
    </w:div>
    <w:div w:id="320502319">
      <w:bodyDiv w:val="1"/>
      <w:marLeft w:val="0"/>
      <w:marRight w:val="0"/>
      <w:marTop w:val="0"/>
      <w:marBottom w:val="0"/>
      <w:divBdr>
        <w:top w:val="none" w:sz="0" w:space="0" w:color="auto"/>
        <w:left w:val="none" w:sz="0" w:space="0" w:color="auto"/>
        <w:bottom w:val="none" w:sz="0" w:space="0" w:color="auto"/>
        <w:right w:val="none" w:sz="0" w:space="0" w:color="auto"/>
      </w:divBdr>
    </w:div>
    <w:div w:id="323242300">
      <w:bodyDiv w:val="1"/>
      <w:marLeft w:val="0"/>
      <w:marRight w:val="0"/>
      <w:marTop w:val="0"/>
      <w:marBottom w:val="0"/>
      <w:divBdr>
        <w:top w:val="none" w:sz="0" w:space="0" w:color="auto"/>
        <w:left w:val="none" w:sz="0" w:space="0" w:color="auto"/>
        <w:bottom w:val="none" w:sz="0" w:space="0" w:color="auto"/>
        <w:right w:val="none" w:sz="0" w:space="0" w:color="auto"/>
      </w:divBdr>
    </w:div>
    <w:div w:id="346685772">
      <w:bodyDiv w:val="1"/>
      <w:marLeft w:val="0"/>
      <w:marRight w:val="0"/>
      <w:marTop w:val="0"/>
      <w:marBottom w:val="0"/>
      <w:divBdr>
        <w:top w:val="none" w:sz="0" w:space="0" w:color="auto"/>
        <w:left w:val="none" w:sz="0" w:space="0" w:color="auto"/>
        <w:bottom w:val="none" w:sz="0" w:space="0" w:color="auto"/>
        <w:right w:val="none" w:sz="0" w:space="0" w:color="auto"/>
      </w:divBdr>
    </w:div>
    <w:div w:id="420176793">
      <w:bodyDiv w:val="1"/>
      <w:marLeft w:val="0"/>
      <w:marRight w:val="0"/>
      <w:marTop w:val="0"/>
      <w:marBottom w:val="0"/>
      <w:divBdr>
        <w:top w:val="none" w:sz="0" w:space="0" w:color="auto"/>
        <w:left w:val="none" w:sz="0" w:space="0" w:color="auto"/>
        <w:bottom w:val="none" w:sz="0" w:space="0" w:color="auto"/>
        <w:right w:val="none" w:sz="0" w:space="0" w:color="auto"/>
      </w:divBdr>
    </w:div>
    <w:div w:id="709644085">
      <w:bodyDiv w:val="1"/>
      <w:marLeft w:val="0"/>
      <w:marRight w:val="0"/>
      <w:marTop w:val="0"/>
      <w:marBottom w:val="0"/>
      <w:divBdr>
        <w:top w:val="none" w:sz="0" w:space="0" w:color="auto"/>
        <w:left w:val="none" w:sz="0" w:space="0" w:color="auto"/>
        <w:bottom w:val="none" w:sz="0" w:space="0" w:color="auto"/>
        <w:right w:val="none" w:sz="0" w:space="0" w:color="auto"/>
      </w:divBdr>
    </w:div>
    <w:div w:id="1053774901">
      <w:bodyDiv w:val="1"/>
      <w:marLeft w:val="0"/>
      <w:marRight w:val="0"/>
      <w:marTop w:val="0"/>
      <w:marBottom w:val="0"/>
      <w:divBdr>
        <w:top w:val="none" w:sz="0" w:space="0" w:color="auto"/>
        <w:left w:val="none" w:sz="0" w:space="0" w:color="auto"/>
        <w:bottom w:val="none" w:sz="0" w:space="0" w:color="auto"/>
        <w:right w:val="none" w:sz="0" w:space="0" w:color="auto"/>
      </w:divBdr>
    </w:div>
    <w:div w:id="1278760734">
      <w:bodyDiv w:val="1"/>
      <w:marLeft w:val="0"/>
      <w:marRight w:val="0"/>
      <w:marTop w:val="0"/>
      <w:marBottom w:val="0"/>
      <w:divBdr>
        <w:top w:val="none" w:sz="0" w:space="0" w:color="auto"/>
        <w:left w:val="none" w:sz="0" w:space="0" w:color="auto"/>
        <w:bottom w:val="none" w:sz="0" w:space="0" w:color="auto"/>
        <w:right w:val="none" w:sz="0" w:space="0" w:color="auto"/>
      </w:divBdr>
      <w:divsChild>
        <w:div w:id="518935206">
          <w:marLeft w:val="0"/>
          <w:marRight w:val="0"/>
          <w:marTop w:val="0"/>
          <w:marBottom w:val="0"/>
          <w:divBdr>
            <w:top w:val="none" w:sz="0" w:space="0" w:color="auto"/>
            <w:left w:val="none" w:sz="0" w:space="0" w:color="auto"/>
            <w:bottom w:val="none" w:sz="0" w:space="0" w:color="auto"/>
            <w:right w:val="none" w:sz="0" w:space="0" w:color="auto"/>
          </w:divBdr>
          <w:divsChild>
            <w:div w:id="1542278016">
              <w:marLeft w:val="0"/>
              <w:marRight w:val="0"/>
              <w:marTop w:val="0"/>
              <w:marBottom w:val="0"/>
              <w:divBdr>
                <w:top w:val="none" w:sz="0" w:space="0" w:color="auto"/>
                <w:left w:val="none" w:sz="0" w:space="0" w:color="auto"/>
                <w:bottom w:val="none" w:sz="0" w:space="0" w:color="auto"/>
                <w:right w:val="none" w:sz="0" w:space="0" w:color="auto"/>
              </w:divBdr>
              <w:divsChild>
                <w:div w:id="816917793">
                  <w:marLeft w:val="0"/>
                  <w:marRight w:val="0"/>
                  <w:marTop w:val="0"/>
                  <w:marBottom w:val="0"/>
                  <w:divBdr>
                    <w:top w:val="none" w:sz="0" w:space="0" w:color="auto"/>
                    <w:left w:val="none" w:sz="0" w:space="0" w:color="auto"/>
                    <w:bottom w:val="none" w:sz="0" w:space="0" w:color="auto"/>
                    <w:right w:val="none" w:sz="0" w:space="0" w:color="auto"/>
                  </w:divBdr>
                  <w:divsChild>
                    <w:div w:id="1149715682">
                      <w:marLeft w:val="0"/>
                      <w:marRight w:val="0"/>
                      <w:marTop w:val="0"/>
                      <w:marBottom w:val="0"/>
                      <w:divBdr>
                        <w:top w:val="none" w:sz="0" w:space="0" w:color="auto"/>
                        <w:left w:val="none" w:sz="0" w:space="0" w:color="auto"/>
                        <w:bottom w:val="none" w:sz="0" w:space="0" w:color="auto"/>
                        <w:right w:val="none" w:sz="0" w:space="0" w:color="auto"/>
                      </w:divBdr>
                      <w:divsChild>
                        <w:div w:id="8176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09521">
              <w:marLeft w:val="0"/>
              <w:marRight w:val="0"/>
              <w:marTop w:val="0"/>
              <w:marBottom w:val="0"/>
              <w:divBdr>
                <w:top w:val="none" w:sz="0" w:space="0" w:color="auto"/>
                <w:left w:val="none" w:sz="0" w:space="0" w:color="auto"/>
                <w:bottom w:val="none" w:sz="0" w:space="0" w:color="auto"/>
                <w:right w:val="none" w:sz="0" w:space="0" w:color="auto"/>
              </w:divBdr>
            </w:div>
            <w:div w:id="2026666851">
              <w:marLeft w:val="0"/>
              <w:marRight w:val="0"/>
              <w:marTop w:val="0"/>
              <w:marBottom w:val="0"/>
              <w:divBdr>
                <w:top w:val="none" w:sz="0" w:space="0" w:color="auto"/>
                <w:left w:val="none" w:sz="0" w:space="0" w:color="auto"/>
                <w:bottom w:val="none" w:sz="0" w:space="0" w:color="auto"/>
                <w:right w:val="none" w:sz="0" w:space="0" w:color="auto"/>
              </w:divBdr>
              <w:divsChild>
                <w:div w:id="2089572171">
                  <w:marLeft w:val="0"/>
                  <w:marRight w:val="0"/>
                  <w:marTop w:val="0"/>
                  <w:marBottom w:val="0"/>
                  <w:divBdr>
                    <w:top w:val="none" w:sz="0" w:space="0" w:color="auto"/>
                    <w:left w:val="none" w:sz="0" w:space="0" w:color="auto"/>
                    <w:bottom w:val="none" w:sz="0" w:space="0" w:color="auto"/>
                    <w:right w:val="none" w:sz="0" w:space="0" w:color="auto"/>
                  </w:divBdr>
                  <w:divsChild>
                    <w:div w:id="398360331">
                      <w:marLeft w:val="0"/>
                      <w:marRight w:val="0"/>
                      <w:marTop w:val="0"/>
                      <w:marBottom w:val="0"/>
                      <w:divBdr>
                        <w:top w:val="none" w:sz="0" w:space="0" w:color="auto"/>
                        <w:left w:val="none" w:sz="0" w:space="0" w:color="auto"/>
                        <w:bottom w:val="none" w:sz="0" w:space="0" w:color="auto"/>
                        <w:right w:val="none" w:sz="0" w:space="0" w:color="auto"/>
                      </w:divBdr>
                      <w:divsChild>
                        <w:div w:id="1386445153">
                          <w:marLeft w:val="0"/>
                          <w:marRight w:val="0"/>
                          <w:marTop w:val="0"/>
                          <w:marBottom w:val="0"/>
                          <w:divBdr>
                            <w:top w:val="none" w:sz="0" w:space="0" w:color="auto"/>
                            <w:left w:val="none" w:sz="0" w:space="0" w:color="auto"/>
                            <w:bottom w:val="none" w:sz="0" w:space="0" w:color="auto"/>
                            <w:right w:val="none" w:sz="0" w:space="0" w:color="auto"/>
                          </w:divBdr>
                          <w:divsChild>
                            <w:div w:id="2122063743">
                              <w:marLeft w:val="0"/>
                              <w:marRight w:val="0"/>
                              <w:marTop w:val="0"/>
                              <w:marBottom w:val="0"/>
                              <w:divBdr>
                                <w:top w:val="none" w:sz="0" w:space="0" w:color="auto"/>
                                <w:left w:val="none" w:sz="0" w:space="0" w:color="auto"/>
                                <w:bottom w:val="none" w:sz="0" w:space="0" w:color="auto"/>
                                <w:right w:val="none" w:sz="0" w:space="0" w:color="auto"/>
                              </w:divBdr>
                              <w:divsChild>
                                <w:div w:id="542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89152">
      <w:bodyDiv w:val="1"/>
      <w:marLeft w:val="0"/>
      <w:marRight w:val="0"/>
      <w:marTop w:val="0"/>
      <w:marBottom w:val="0"/>
      <w:divBdr>
        <w:top w:val="none" w:sz="0" w:space="0" w:color="auto"/>
        <w:left w:val="none" w:sz="0" w:space="0" w:color="auto"/>
        <w:bottom w:val="none" w:sz="0" w:space="0" w:color="auto"/>
        <w:right w:val="none" w:sz="0" w:space="0" w:color="auto"/>
      </w:divBdr>
    </w:div>
    <w:div w:id="1584756816">
      <w:bodyDiv w:val="1"/>
      <w:marLeft w:val="0"/>
      <w:marRight w:val="0"/>
      <w:marTop w:val="0"/>
      <w:marBottom w:val="0"/>
      <w:divBdr>
        <w:top w:val="none" w:sz="0" w:space="0" w:color="auto"/>
        <w:left w:val="none" w:sz="0" w:space="0" w:color="auto"/>
        <w:bottom w:val="none" w:sz="0" w:space="0" w:color="auto"/>
        <w:right w:val="none" w:sz="0" w:space="0" w:color="auto"/>
      </w:divBdr>
    </w:div>
    <w:div w:id="1599144682">
      <w:bodyDiv w:val="1"/>
      <w:marLeft w:val="0"/>
      <w:marRight w:val="0"/>
      <w:marTop w:val="0"/>
      <w:marBottom w:val="0"/>
      <w:divBdr>
        <w:top w:val="none" w:sz="0" w:space="0" w:color="auto"/>
        <w:left w:val="none" w:sz="0" w:space="0" w:color="auto"/>
        <w:bottom w:val="none" w:sz="0" w:space="0" w:color="auto"/>
        <w:right w:val="none" w:sz="0" w:space="0" w:color="auto"/>
      </w:divBdr>
      <w:divsChild>
        <w:div w:id="1348825953">
          <w:marLeft w:val="0"/>
          <w:marRight w:val="0"/>
          <w:marTop w:val="0"/>
          <w:marBottom w:val="0"/>
          <w:divBdr>
            <w:top w:val="none" w:sz="0" w:space="0" w:color="auto"/>
            <w:left w:val="none" w:sz="0" w:space="0" w:color="auto"/>
            <w:bottom w:val="none" w:sz="0" w:space="0" w:color="auto"/>
            <w:right w:val="none" w:sz="0" w:space="0" w:color="auto"/>
          </w:divBdr>
        </w:div>
        <w:div w:id="2082016547">
          <w:marLeft w:val="0"/>
          <w:marRight w:val="0"/>
          <w:marTop w:val="0"/>
          <w:marBottom w:val="0"/>
          <w:divBdr>
            <w:top w:val="none" w:sz="0" w:space="0" w:color="auto"/>
            <w:left w:val="none" w:sz="0" w:space="0" w:color="auto"/>
            <w:bottom w:val="none" w:sz="0" w:space="0" w:color="auto"/>
            <w:right w:val="none" w:sz="0" w:space="0" w:color="auto"/>
          </w:divBdr>
        </w:div>
        <w:div w:id="710694006">
          <w:marLeft w:val="0"/>
          <w:marRight w:val="0"/>
          <w:marTop w:val="0"/>
          <w:marBottom w:val="0"/>
          <w:divBdr>
            <w:top w:val="none" w:sz="0" w:space="0" w:color="auto"/>
            <w:left w:val="none" w:sz="0" w:space="0" w:color="auto"/>
            <w:bottom w:val="none" w:sz="0" w:space="0" w:color="auto"/>
            <w:right w:val="none" w:sz="0" w:space="0" w:color="auto"/>
          </w:divBdr>
        </w:div>
        <w:div w:id="1552227877">
          <w:marLeft w:val="0"/>
          <w:marRight w:val="0"/>
          <w:marTop w:val="0"/>
          <w:marBottom w:val="0"/>
          <w:divBdr>
            <w:top w:val="none" w:sz="0" w:space="0" w:color="auto"/>
            <w:left w:val="none" w:sz="0" w:space="0" w:color="auto"/>
            <w:bottom w:val="none" w:sz="0" w:space="0" w:color="auto"/>
            <w:right w:val="none" w:sz="0" w:space="0" w:color="auto"/>
          </w:divBdr>
        </w:div>
        <w:div w:id="1141651514">
          <w:marLeft w:val="0"/>
          <w:marRight w:val="0"/>
          <w:marTop w:val="0"/>
          <w:marBottom w:val="0"/>
          <w:divBdr>
            <w:top w:val="none" w:sz="0" w:space="0" w:color="auto"/>
            <w:left w:val="none" w:sz="0" w:space="0" w:color="auto"/>
            <w:bottom w:val="none" w:sz="0" w:space="0" w:color="auto"/>
            <w:right w:val="none" w:sz="0" w:space="0" w:color="auto"/>
          </w:divBdr>
        </w:div>
        <w:div w:id="608587899">
          <w:marLeft w:val="0"/>
          <w:marRight w:val="0"/>
          <w:marTop w:val="0"/>
          <w:marBottom w:val="0"/>
          <w:divBdr>
            <w:top w:val="none" w:sz="0" w:space="0" w:color="auto"/>
            <w:left w:val="none" w:sz="0" w:space="0" w:color="auto"/>
            <w:bottom w:val="none" w:sz="0" w:space="0" w:color="auto"/>
            <w:right w:val="none" w:sz="0" w:space="0" w:color="auto"/>
          </w:divBdr>
        </w:div>
        <w:div w:id="324555714">
          <w:marLeft w:val="0"/>
          <w:marRight w:val="0"/>
          <w:marTop w:val="0"/>
          <w:marBottom w:val="0"/>
          <w:divBdr>
            <w:top w:val="none" w:sz="0" w:space="0" w:color="auto"/>
            <w:left w:val="none" w:sz="0" w:space="0" w:color="auto"/>
            <w:bottom w:val="none" w:sz="0" w:space="0" w:color="auto"/>
            <w:right w:val="none" w:sz="0" w:space="0" w:color="auto"/>
          </w:divBdr>
        </w:div>
      </w:divsChild>
    </w:div>
    <w:div w:id="1763716444">
      <w:bodyDiv w:val="1"/>
      <w:marLeft w:val="0"/>
      <w:marRight w:val="0"/>
      <w:marTop w:val="0"/>
      <w:marBottom w:val="0"/>
      <w:divBdr>
        <w:top w:val="none" w:sz="0" w:space="0" w:color="auto"/>
        <w:left w:val="none" w:sz="0" w:space="0" w:color="auto"/>
        <w:bottom w:val="none" w:sz="0" w:space="0" w:color="auto"/>
        <w:right w:val="none" w:sz="0" w:space="0" w:color="auto"/>
      </w:divBdr>
    </w:div>
    <w:div w:id="2076321215">
      <w:bodyDiv w:val="1"/>
      <w:marLeft w:val="0"/>
      <w:marRight w:val="0"/>
      <w:marTop w:val="0"/>
      <w:marBottom w:val="0"/>
      <w:divBdr>
        <w:top w:val="none" w:sz="0" w:space="0" w:color="auto"/>
        <w:left w:val="none" w:sz="0" w:space="0" w:color="auto"/>
        <w:bottom w:val="none" w:sz="0" w:space="0" w:color="auto"/>
        <w:right w:val="none" w:sz="0" w:space="0" w:color="auto"/>
      </w:divBdr>
    </w:div>
    <w:div w:id="21034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who.int/health-topics/abortion" TargetMode="External"/><Relationship Id="rId18" Type="http://schemas.openxmlformats.org/officeDocument/2006/relationships/hyperlink" Target="https://undocs.org/CAT/C/SLV/CO/2" TargetMode="External"/><Relationship Id="rId26" Type="http://schemas.openxmlformats.org/officeDocument/2006/relationships/hyperlink" Target="https://iris.paho.org/bitstream/handle/10665.2/10044/v38n2a02.pdf?sequence=1&amp;isAllowed=y" TargetMode="External"/><Relationship Id="rId21" Type="http://schemas.openxmlformats.org/officeDocument/2006/relationships/hyperlink" Target="http://www.oas.org/es/mesecvi/docs/cevi11-declaration-en.pdf" TargetMode="External"/><Relationship Id="rId34" Type="http://schemas.openxmlformats.org/officeDocument/2006/relationships/hyperlink" Target="http://www.oas.org/en/iachr/reports/pdfs/IndigenousWomen.pdf" TargetMode="External"/><Relationship Id="rId7" Type="http://schemas.openxmlformats.org/officeDocument/2006/relationships/hyperlink" Target="https://www.ohchr.org/EN/NewsEvents/Pages/DisplayNews.aspx?NewsID=25768" TargetMode="External"/><Relationship Id="rId12" Type="http://schemas.openxmlformats.org/officeDocument/2006/relationships/hyperlink" Target="http://www.ohchr.org/documents/publications/nhrihandbook.pdf" TargetMode="External"/><Relationship Id="rId17" Type="http://schemas.openxmlformats.org/officeDocument/2006/relationships/hyperlink" Target="https://tbinternet.ohchr.org/_layouts/15/treatybodyexternal/Download.aspx?symbolno=CEDAW%2FC%2F49%2FD%2F17%2F2008&amp;Lang=en" TargetMode="External"/><Relationship Id="rId25" Type="http://schemas.openxmlformats.org/officeDocument/2006/relationships/hyperlink" Target="http://www.oas.org/en/iachr/reports/pdfs/IndigenousWomen.pdf" TargetMode="External"/><Relationship Id="rId33" Type="http://schemas.openxmlformats.org/officeDocument/2006/relationships/hyperlink" Target="http://www.oas.org/en/iachr/reports/pdfs/IndigenousWomen.pdf" TargetMode="External"/><Relationship Id="rId38" Type="http://schemas.openxmlformats.org/officeDocument/2006/relationships/hyperlink" Target="https://incidenciainternacional.promsex.org/2020/06/23/eulogia/" TargetMode="External"/><Relationship Id="rId2" Type="http://schemas.openxmlformats.org/officeDocument/2006/relationships/hyperlink" Target="https://www.oas.org/es/cidh/indigenas/docs/pdf/Brochure-MujeresIndigenas.pdf" TargetMode="External"/><Relationship Id="rId16" Type="http://schemas.openxmlformats.org/officeDocument/2006/relationships/hyperlink" Target="https://www2.ohchr.org/english/law/docs/CEDAW-C-50-D-22-2009_en.pdf" TargetMode="External"/><Relationship Id="rId20" Type="http://schemas.openxmlformats.org/officeDocument/2006/relationships/hyperlink" Target="https://www.ohchr.org/EN/NewsEvents/Pages/DisplayNews.aspx?NewsID=16490&amp;LangID=E" TargetMode="External"/><Relationship Id="rId29" Type="http://schemas.openxmlformats.org/officeDocument/2006/relationships/hyperlink" Target="https://www.cepal.org/en/publications/46698-impact-covid-19-indigenous-peoples-latin-america-abya-yala-between-invisibility" TargetMode="External"/><Relationship Id="rId1" Type="http://schemas.openxmlformats.org/officeDocument/2006/relationships/hyperlink" Target="http://www.oas.org/en/iachr/reports/pdfs/IndigenousWomen.pdf" TargetMode="External"/><Relationship Id="rId6" Type="http://schemas.openxmlformats.org/officeDocument/2006/relationships/hyperlink" Target="http://www.who.int/social_determinants/sdh_definition/en/" TargetMode="External"/><Relationship Id="rId11" Type="http://schemas.openxmlformats.org/officeDocument/2006/relationships/hyperlink" Target="https://www.ohchr.org/EN/HRBodies/SP/Pages/COVID-19-and-Special-Procedures.aspx" TargetMode="External"/><Relationship Id="rId24" Type="http://schemas.openxmlformats.org/officeDocument/2006/relationships/hyperlink" Target="https://www.oas.org/en/iachr/women/docs/pdf/women%20mesoamerica%20eng.pdf" TargetMode="External"/><Relationship Id="rId32" Type="http://schemas.openxmlformats.org/officeDocument/2006/relationships/hyperlink" Target="http://www.oas.org/en/iachr/reports/pdfs/IndigenousWomen.pdf" TargetMode="External"/><Relationship Id="rId37" Type="http://schemas.openxmlformats.org/officeDocument/2006/relationships/hyperlink" Target="http://www.oas.org/es/cidh/decisiones/2014/PEAD1334-09ES.pdf" TargetMode="External"/><Relationship Id="rId5" Type="http://schemas.openxmlformats.org/officeDocument/2006/relationships/hyperlink" Target="https://reproductiverights.org/breaking-ground-2018-treaty-monitoring-bodies-on-reproductive-rights/" TargetMode="External"/><Relationship Id="rId15" Type="http://schemas.openxmlformats.org/officeDocument/2006/relationships/hyperlink" Target="http://www.undocs.org/CCPR/C/85/D/1153/2003" TargetMode="External"/><Relationship Id="rId23" Type="http://schemas.openxmlformats.org/officeDocument/2006/relationships/hyperlink" Target="http://estadistica.inmujeres.gob.mx/formas/tarjetas/Violencia_indigenas.pdf" TargetMode="External"/><Relationship Id="rId28" Type="http://schemas.openxmlformats.org/officeDocument/2006/relationships/hyperlink" Target="https://www.unicef.org/lac/media/386/file/Publication.pdf" TargetMode="External"/><Relationship Id="rId36" Type="http://schemas.openxmlformats.org/officeDocument/2006/relationships/hyperlink" Target="https://www.tsc.gob.hn/web/leyes/Decreto_130-2017.pdf" TargetMode="External"/><Relationship Id="rId10" Type="http://schemas.openxmlformats.org/officeDocument/2006/relationships/hyperlink" Target="http://www.ohchr.org/Documents/Issues/Women/COVID-19_and_Womens_Human_Rights.pdf" TargetMode="External"/><Relationship Id="rId19" Type="http://schemas.openxmlformats.org/officeDocument/2006/relationships/hyperlink" Target="https://undocs.org/CAT/C/NIC/CO/1" TargetMode="External"/><Relationship Id="rId31" Type="http://schemas.openxmlformats.org/officeDocument/2006/relationships/hyperlink" Target="https://www.un.org/en/ga/69/meetings/indigenous/pdf/IASG%20Thematic%20Paper_%20Violence%20against%20Girls%20and%20Women%20-%20rev1.pdf" TargetMode="External"/><Relationship Id="rId4" Type="http://schemas.openxmlformats.org/officeDocument/2006/relationships/hyperlink" Target="http://www.oas.org/en/iachr/reports/pdfs/IndigenousWomen.pdf" TargetMode="External"/><Relationship Id="rId9" Type="http://schemas.openxmlformats.org/officeDocument/2006/relationships/hyperlink" Target="https://www.ohchr.org/EN/NewsEvents/Pages/DisplayNews.aspx?NewsID=25742&amp;LangID=E" TargetMode="External"/><Relationship Id="rId14" Type="http://schemas.openxmlformats.org/officeDocument/2006/relationships/hyperlink" Target="https://undocs.org/CCPR/C/119/D/2425/2014" TargetMode="External"/><Relationship Id="rId22" Type="http://schemas.openxmlformats.org/officeDocument/2006/relationships/hyperlink" Target="https://www.cepal.org/fr/node/21228" TargetMode="External"/><Relationship Id="rId27" Type="http://schemas.openxmlformats.org/officeDocument/2006/relationships/hyperlink" Target="https://oig.cepal.org/sites/default/files/c2000905_web.pdf" TargetMode="External"/><Relationship Id="rId30" Type="http://schemas.openxmlformats.org/officeDocument/2006/relationships/hyperlink" Target="https://undocs.org/en/A/HRC/47/38" TargetMode="External"/><Relationship Id="rId35" Type="http://schemas.openxmlformats.org/officeDocument/2006/relationships/hyperlink" Target="https://www.reproductiverights.org/es/centro-de-prensa/corte-suprema-de-honduras-reafirma-prohibici%C3%B3n-de-venta-distribuci%C3%B3n-y-uso-de-pae" TargetMode="External"/><Relationship Id="rId8" Type="http://schemas.openxmlformats.org/officeDocument/2006/relationships/hyperlink" Target="https://www.ohchr.org/EN/NewsEvents/Pages/DisplayNews.aspx?NewsID=25798&amp;LangID=E" TargetMode="External"/><Relationship Id="rId3" Type="http://schemas.openxmlformats.org/officeDocument/2006/relationships/hyperlink" Target="http://www.oas.org/en/iachr/reports/pdfs/IndigenousWom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713A9-127A-48CF-A2CF-47E30A289B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ADF9E-2693-4783-AC1F-B359BCC1EC36}">
  <ds:schemaRefs>
    <ds:schemaRef ds:uri="http://schemas.openxmlformats.org/officeDocument/2006/bibliography"/>
  </ds:schemaRefs>
</ds:datastoreItem>
</file>

<file path=customXml/itemProps3.xml><?xml version="1.0" encoding="utf-8"?>
<ds:datastoreItem xmlns:ds="http://schemas.openxmlformats.org/officeDocument/2006/customXml" ds:itemID="{FEF91D37-279F-474D-9D7A-01981F110D5E}"/>
</file>

<file path=customXml/itemProps4.xml><?xml version="1.0" encoding="utf-8"?>
<ds:datastoreItem xmlns:ds="http://schemas.openxmlformats.org/officeDocument/2006/customXml" ds:itemID="{22BBA6F4-28FF-4D81-AD1A-F36759CD8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Hechenleitner</dc:creator>
  <cp:keywords/>
  <dc:description/>
  <cp:lastModifiedBy>Karin Hechenleitner</cp:lastModifiedBy>
  <cp:revision>2</cp:revision>
  <dcterms:created xsi:type="dcterms:W3CDTF">2021-06-17T16:16:00Z</dcterms:created>
  <dcterms:modified xsi:type="dcterms:W3CDTF">2021-06-17T16:16:00Z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af9053-90a7-4041-95ac-0b224a54275a_Enabled">
    <vt:lpwstr>true</vt:lpwstr>
  </property>
  <property fmtid="{D5CDD505-2E9C-101B-9397-08002B2CF9AE}" pid="3" name="MSIP_Label_c3af9053-90a7-4041-95ac-0b224a54275a_SetDate">
    <vt:lpwstr>2021-06-09T13:36:14Z</vt:lpwstr>
  </property>
  <property fmtid="{D5CDD505-2E9C-101B-9397-08002B2CF9AE}" pid="4" name="MSIP_Label_c3af9053-90a7-4041-95ac-0b224a54275a_Method">
    <vt:lpwstr>Standard</vt:lpwstr>
  </property>
  <property fmtid="{D5CDD505-2E9C-101B-9397-08002B2CF9AE}" pid="5" name="MSIP_Label_c3af9053-90a7-4041-95ac-0b224a54275a_Name">
    <vt:lpwstr>General</vt:lpwstr>
  </property>
  <property fmtid="{D5CDD505-2E9C-101B-9397-08002B2CF9AE}" pid="6" name="MSIP_Label_c3af9053-90a7-4041-95ac-0b224a54275a_SiteId">
    <vt:lpwstr>e5451579-057a-4682-9656-b9548f94b665</vt:lpwstr>
  </property>
  <property fmtid="{D5CDD505-2E9C-101B-9397-08002B2CF9AE}" pid="7" name="MSIP_Label_c3af9053-90a7-4041-95ac-0b224a54275a_ActionId">
    <vt:lpwstr>1a4c2d10-6833-4347-bdc0-4150d770d93a</vt:lpwstr>
  </property>
  <property fmtid="{D5CDD505-2E9C-101B-9397-08002B2CF9AE}" pid="8" name="MSIP_Label_c3af9053-90a7-4041-95ac-0b224a54275a_ContentBits">
    <vt:lpwstr>0</vt:lpwstr>
  </property>
  <property fmtid="{D5CDD505-2E9C-101B-9397-08002B2CF9AE}" pid="9" name="ContentTypeId">
    <vt:lpwstr>0x0101008822B9E06671B54FA89F14538B9B0FEA</vt:lpwstr>
  </property>
</Properties>
</file>