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8071" w14:textId="525948DB" w:rsidR="00F343F2" w:rsidRPr="00F343F2" w:rsidRDefault="00F343F2" w:rsidP="00F343F2">
      <w:pPr>
        <w:spacing w:line="240" w:lineRule="auto"/>
        <w:jc w:val="center"/>
        <w:rPr>
          <w:rFonts w:ascii="Times New Roman" w:eastAsia="Times New Roman" w:hAnsi="Times New Roman" w:cs="Times New Roman"/>
          <w:sz w:val="24"/>
          <w:szCs w:val="24"/>
          <w:lang w:val="en-US"/>
        </w:rPr>
      </w:pPr>
      <w:r w:rsidRPr="00F343F2">
        <w:rPr>
          <w:rFonts w:ascii="Times New Roman" w:eastAsia="Times New Roman" w:hAnsi="Times New Roman" w:cs="Times New Roman"/>
          <w:b/>
          <w:bCs/>
          <w:color w:val="000000"/>
          <w:bdr w:val="none" w:sz="0" w:space="0" w:color="auto" w:frame="1"/>
          <w:lang w:val="en-US"/>
        </w:rPr>
        <w:fldChar w:fldCharType="begin"/>
      </w:r>
      <w:r w:rsidRPr="00F343F2">
        <w:rPr>
          <w:rFonts w:ascii="Times New Roman" w:eastAsia="Times New Roman" w:hAnsi="Times New Roman" w:cs="Times New Roman"/>
          <w:b/>
          <w:bCs/>
          <w:color w:val="000000"/>
          <w:bdr w:val="none" w:sz="0" w:space="0" w:color="auto" w:frame="1"/>
          <w:lang w:val="en-US"/>
        </w:rPr>
        <w:instrText xml:space="preserve"> INCLUDEPICTURE "https://lh6.googleusercontent.com/_06Nb6lIy49YguZgS6Rl41bDKIDhEyLSGYPEEJnbvompcyD4yyCBWnbHdw4KskvAV8-YD6bc4BXs4iLWTBEFVodZlm-ys0Civ5-c6Gy-Wza4_B6fbR6ofM9w2E1kLS_jYA5yhXfF" \* MERGEFORMATINET </w:instrText>
      </w:r>
      <w:r w:rsidRPr="00F343F2">
        <w:rPr>
          <w:rFonts w:ascii="Times New Roman" w:eastAsia="Times New Roman" w:hAnsi="Times New Roman" w:cs="Times New Roman"/>
          <w:b/>
          <w:bCs/>
          <w:color w:val="000000"/>
          <w:bdr w:val="none" w:sz="0" w:space="0" w:color="auto" w:frame="1"/>
          <w:lang w:val="en-US"/>
        </w:rPr>
        <w:fldChar w:fldCharType="separate"/>
      </w:r>
      <w:r w:rsidRPr="00F343F2">
        <w:rPr>
          <w:rFonts w:ascii="Times New Roman" w:eastAsia="Times New Roman" w:hAnsi="Times New Roman" w:cs="Times New Roman"/>
          <w:b/>
          <w:bCs/>
          <w:noProof/>
          <w:color w:val="000000"/>
          <w:bdr w:val="none" w:sz="0" w:space="0" w:color="auto" w:frame="1"/>
          <w:lang w:val="en-US"/>
        </w:rPr>
        <w:drawing>
          <wp:inline distT="0" distB="0" distL="0" distR="0" wp14:anchorId="25D2646D" wp14:editId="1AD7580A">
            <wp:extent cx="4218305" cy="94043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8305" cy="940435"/>
                    </a:xfrm>
                    <a:prstGeom prst="rect">
                      <a:avLst/>
                    </a:prstGeom>
                    <a:noFill/>
                    <a:ln>
                      <a:noFill/>
                    </a:ln>
                  </pic:spPr>
                </pic:pic>
              </a:graphicData>
            </a:graphic>
          </wp:inline>
        </w:drawing>
      </w:r>
      <w:r w:rsidRPr="00F343F2">
        <w:rPr>
          <w:rFonts w:ascii="Times New Roman" w:eastAsia="Times New Roman" w:hAnsi="Times New Roman" w:cs="Times New Roman"/>
          <w:b/>
          <w:bCs/>
          <w:color w:val="000000"/>
          <w:bdr w:val="none" w:sz="0" w:space="0" w:color="auto" w:frame="1"/>
          <w:lang w:val="en-US"/>
        </w:rPr>
        <w:fldChar w:fldCharType="end"/>
      </w:r>
    </w:p>
    <w:p w14:paraId="0DCC9903" w14:textId="77777777" w:rsidR="000F2B0A" w:rsidRPr="00F343F2" w:rsidRDefault="000F2B0A" w:rsidP="00F343F2">
      <w:pPr>
        <w:spacing w:line="480" w:lineRule="auto"/>
        <w:jc w:val="center"/>
        <w:rPr>
          <w:rFonts w:ascii="Times New Roman" w:hAnsi="Times New Roman" w:cs="Times New Roman"/>
          <w:color w:val="000000" w:themeColor="text1"/>
          <w:sz w:val="24"/>
          <w:szCs w:val="24"/>
        </w:rPr>
      </w:pPr>
    </w:p>
    <w:p w14:paraId="7D16CB13" w14:textId="77777777" w:rsidR="000F2B0A" w:rsidRPr="00F343F2" w:rsidRDefault="000F2B0A" w:rsidP="00F343F2">
      <w:pPr>
        <w:spacing w:line="480" w:lineRule="auto"/>
        <w:jc w:val="both"/>
        <w:rPr>
          <w:rFonts w:ascii="Times New Roman" w:hAnsi="Times New Roman" w:cs="Times New Roman"/>
          <w:color w:val="000000" w:themeColor="text1"/>
          <w:sz w:val="24"/>
          <w:szCs w:val="24"/>
        </w:rPr>
      </w:pPr>
    </w:p>
    <w:p w14:paraId="6E798093" w14:textId="4B1D85BD" w:rsidR="000F2B0A" w:rsidRPr="00F343F2" w:rsidRDefault="000F2B0A" w:rsidP="00F343F2">
      <w:pP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b/>
          <w:bCs/>
          <w:color w:val="000000" w:themeColor="text1"/>
          <w:sz w:val="24"/>
          <w:szCs w:val="24"/>
        </w:rPr>
        <w:t>To:</w:t>
      </w:r>
      <w:r w:rsidRPr="00F343F2">
        <w:rPr>
          <w:rFonts w:ascii="Times New Roman" w:hAnsi="Times New Roman" w:cs="Times New Roman"/>
          <w:color w:val="000000" w:themeColor="text1"/>
          <w:sz w:val="24"/>
          <w:szCs w:val="24"/>
        </w:rPr>
        <w:t xml:space="preserve"> </w:t>
      </w:r>
      <w:r w:rsidR="00F343F2">
        <w:rPr>
          <w:rFonts w:ascii="Times New Roman" w:hAnsi="Times New Roman" w:cs="Times New Roman"/>
          <w:color w:val="000000" w:themeColor="text1"/>
          <w:sz w:val="24"/>
          <w:szCs w:val="24"/>
        </w:rPr>
        <w:tab/>
      </w:r>
      <w:r w:rsidRPr="00F343F2">
        <w:rPr>
          <w:rFonts w:ascii="Times New Roman" w:hAnsi="Times New Roman" w:cs="Times New Roman"/>
          <w:color w:val="000000" w:themeColor="text1"/>
          <w:sz w:val="24"/>
          <w:szCs w:val="24"/>
        </w:rPr>
        <w:t>CEDAW Committee</w:t>
      </w:r>
    </w:p>
    <w:p w14:paraId="46467E2A" w14:textId="46A06F56" w:rsidR="000F2B0A" w:rsidRPr="00F343F2" w:rsidRDefault="000F2B0A" w:rsidP="00F343F2">
      <w:pP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b/>
          <w:bCs/>
          <w:color w:val="000000" w:themeColor="text1"/>
          <w:sz w:val="24"/>
          <w:szCs w:val="24"/>
        </w:rPr>
        <w:t>From:</w:t>
      </w:r>
      <w:r w:rsidRPr="00F343F2">
        <w:rPr>
          <w:rFonts w:ascii="Times New Roman" w:hAnsi="Times New Roman" w:cs="Times New Roman"/>
          <w:color w:val="000000" w:themeColor="text1"/>
          <w:sz w:val="24"/>
          <w:szCs w:val="24"/>
        </w:rPr>
        <w:t xml:space="preserve"> </w:t>
      </w:r>
      <w:r w:rsidR="00F343F2">
        <w:rPr>
          <w:rFonts w:ascii="Times New Roman" w:hAnsi="Times New Roman" w:cs="Times New Roman"/>
          <w:color w:val="000000" w:themeColor="text1"/>
          <w:sz w:val="24"/>
          <w:szCs w:val="24"/>
        </w:rPr>
        <w:tab/>
      </w:r>
      <w:r w:rsidRPr="00F343F2">
        <w:rPr>
          <w:rFonts w:ascii="Times New Roman" w:hAnsi="Times New Roman" w:cs="Times New Roman"/>
          <w:color w:val="000000" w:themeColor="text1"/>
          <w:sz w:val="24"/>
          <w:szCs w:val="24"/>
        </w:rPr>
        <w:t>Santa Clara University</w:t>
      </w:r>
      <w:r w:rsidR="00F343F2">
        <w:rPr>
          <w:rFonts w:ascii="Times New Roman" w:hAnsi="Times New Roman" w:cs="Times New Roman"/>
          <w:color w:val="000000" w:themeColor="text1"/>
          <w:sz w:val="24"/>
          <w:szCs w:val="24"/>
        </w:rPr>
        <w:t xml:space="preserve"> – International Human Rights Clinic</w:t>
      </w:r>
    </w:p>
    <w:p w14:paraId="1962E75A" w14:textId="13DC219E" w:rsidR="000F2B0A" w:rsidRPr="00F343F2" w:rsidRDefault="000F2B0A" w:rsidP="00F343F2">
      <w:pP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b/>
          <w:bCs/>
          <w:color w:val="000000" w:themeColor="text1"/>
          <w:sz w:val="24"/>
          <w:szCs w:val="24"/>
        </w:rPr>
        <w:t>Date:</w:t>
      </w:r>
      <w:r w:rsidRPr="00F343F2">
        <w:rPr>
          <w:rFonts w:ascii="Times New Roman" w:hAnsi="Times New Roman" w:cs="Times New Roman"/>
          <w:color w:val="000000" w:themeColor="text1"/>
          <w:sz w:val="24"/>
          <w:szCs w:val="24"/>
        </w:rPr>
        <w:t xml:space="preserve"> </w:t>
      </w:r>
      <w:r w:rsidR="00F343F2">
        <w:rPr>
          <w:rFonts w:ascii="Times New Roman" w:hAnsi="Times New Roman" w:cs="Times New Roman"/>
          <w:color w:val="000000" w:themeColor="text1"/>
          <w:sz w:val="24"/>
          <w:szCs w:val="24"/>
        </w:rPr>
        <w:tab/>
      </w:r>
      <w:r w:rsidRPr="00F343F2">
        <w:rPr>
          <w:rFonts w:ascii="Times New Roman" w:hAnsi="Times New Roman" w:cs="Times New Roman"/>
          <w:color w:val="000000" w:themeColor="text1"/>
          <w:sz w:val="24"/>
          <w:szCs w:val="24"/>
        </w:rPr>
        <w:t>June 18, 2021</w:t>
      </w:r>
    </w:p>
    <w:p w14:paraId="02523639" w14:textId="491D0466" w:rsidR="000F2B0A" w:rsidRPr="00F343F2" w:rsidRDefault="00F343F2" w:rsidP="00F343F2">
      <w:pPr>
        <w:pBdr>
          <w:bottom w:val="double" w:sz="6" w:space="1" w:color="auto"/>
        </w:pBd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b/>
          <w:bCs/>
          <w:color w:val="000000" w:themeColor="text1"/>
          <w:sz w:val="24"/>
          <w:szCs w:val="24"/>
        </w:rPr>
        <w:t>Re</w:t>
      </w:r>
      <w:r w:rsidR="000F2B0A" w:rsidRPr="00F343F2">
        <w:rPr>
          <w:rFonts w:ascii="Times New Roman" w:hAnsi="Times New Roman" w:cs="Times New Roman"/>
          <w:b/>
          <w:bCs/>
          <w:color w:val="000000" w:themeColor="text1"/>
          <w:sz w:val="24"/>
          <w:szCs w:val="24"/>
        </w:rPr>
        <w:t>:</w:t>
      </w:r>
      <w:r w:rsidR="000F2B0A" w:rsidRPr="00F343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7A2F8C">
        <w:rPr>
          <w:rFonts w:ascii="Times New Roman" w:hAnsi="Times New Roman" w:cs="Times New Roman"/>
          <w:color w:val="000000" w:themeColor="text1"/>
          <w:sz w:val="24"/>
          <w:szCs w:val="24"/>
        </w:rPr>
        <w:t xml:space="preserve">Written Submission for the </w:t>
      </w:r>
      <w:r>
        <w:rPr>
          <w:rFonts w:ascii="Times New Roman" w:hAnsi="Times New Roman" w:cs="Times New Roman"/>
          <w:color w:val="000000" w:themeColor="text1"/>
          <w:sz w:val="24"/>
          <w:szCs w:val="24"/>
        </w:rPr>
        <w:t>79</w:t>
      </w:r>
      <w:r w:rsidRPr="00F343F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Session </w:t>
      </w:r>
      <w:r w:rsidR="000F2B0A" w:rsidRPr="00F343F2">
        <w:rPr>
          <w:rFonts w:ascii="Times New Roman" w:hAnsi="Times New Roman" w:cs="Times New Roman"/>
          <w:color w:val="000000" w:themeColor="text1"/>
          <w:sz w:val="24"/>
          <w:szCs w:val="24"/>
        </w:rPr>
        <w:t>Day of General Discussion on “The Rights of Indigenous Women and Girls”</w:t>
      </w:r>
    </w:p>
    <w:p w14:paraId="27B4A866" w14:textId="77777777" w:rsidR="000F2B0A" w:rsidRPr="00F343F2" w:rsidRDefault="000F2B0A" w:rsidP="00F343F2">
      <w:pPr>
        <w:spacing w:line="480" w:lineRule="auto"/>
        <w:jc w:val="both"/>
        <w:rPr>
          <w:rFonts w:ascii="Times New Roman" w:hAnsi="Times New Roman" w:cs="Times New Roman"/>
          <w:color w:val="000000" w:themeColor="text1"/>
          <w:sz w:val="24"/>
          <w:szCs w:val="24"/>
          <w:highlight w:val="white"/>
        </w:rPr>
      </w:pPr>
    </w:p>
    <w:p w14:paraId="58AD1996" w14:textId="4156C4E6" w:rsidR="000F2B0A" w:rsidRDefault="000F2B0A" w:rsidP="006067E7">
      <w:pPr>
        <w:pStyle w:val="ListParagraph"/>
        <w:numPr>
          <w:ilvl w:val="0"/>
          <w:numId w:val="3"/>
        </w:numPr>
        <w:jc w:val="both"/>
        <w:rPr>
          <w:rFonts w:ascii="Times New Roman" w:hAnsi="Times New Roman" w:cs="Times New Roman"/>
          <w:b/>
          <w:color w:val="000000" w:themeColor="text1"/>
          <w:sz w:val="24"/>
          <w:szCs w:val="24"/>
        </w:rPr>
      </w:pPr>
      <w:r w:rsidRPr="006067E7">
        <w:rPr>
          <w:rFonts w:ascii="Times New Roman" w:hAnsi="Times New Roman" w:cs="Times New Roman"/>
          <w:b/>
          <w:color w:val="000000" w:themeColor="text1"/>
          <w:sz w:val="24"/>
          <w:szCs w:val="24"/>
        </w:rPr>
        <w:t>INTRODUCTION</w:t>
      </w:r>
    </w:p>
    <w:p w14:paraId="38CC762F" w14:textId="77777777" w:rsidR="006067E7" w:rsidRPr="006067E7" w:rsidRDefault="006067E7" w:rsidP="006067E7">
      <w:pPr>
        <w:pStyle w:val="ListParagraph"/>
        <w:ind w:left="1080"/>
        <w:jc w:val="both"/>
        <w:rPr>
          <w:rFonts w:ascii="Times New Roman" w:hAnsi="Times New Roman" w:cs="Times New Roman"/>
          <w:b/>
          <w:color w:val="000000" w:themeColor="text1"/>
          <w:sz w:val="24"/>
          <w:szCs w:val="24"/>
        </w:rPr>
      </w:pPr>
    </w:p>
    <w:p w14:paraId="46C7BEEE" w14:textId="22794092" w:rsidR="000F2B0A" w:rsidRPr="00F343F2" w:rsidRDefault="000F2B0A" w:rsidP="00F343F2">
      <w:pPr>
        <w:spacing w:line="480" w:lineRule="auto"/>
        <w:jc w:val="both"/>
        <w:rPr>
          <w:rFonts w:ascii="Times New Roman" w:hAnsi="Times New Roman" w:cs="Times New Roman"/>
          <w:color w:val="FF0000"/>
          <w:sz w:val="24"/>
          <w:szCs w:val="24"/>
          <w:highlight w:val="yellow"/>
        </w:rPr>
      </w:pPr>
      <w:r w:rsidRPr="00F343F2">
        <w:rPr>
          <w:rFonts w:ascii="Times New Roman" w:hAnsi="Times New Roman" w:cs="Times New Roman"/>
          <w:color w:val="000000" w:themeColor="text1"/>
          <w:sz w:val="24"/>
          <w:szCs w:val="24"/>
          <w:highlight w:val="white"/>
        </w:rPr>
        <w:tab/>
      </w:r>
      <w:r w:rsidR="00C10323">
        <w:rPr>
          <w:rFonts w:ascii="Times New Roman" w:hAnsi="Times New Roman" w:cs="Times New Roman"/>
          <w:color w:val="000000" w:themeColor="text1"/>
          <w:sz w:val="24"/>
          <w:szCs w:val="24"/>
          <w:highlight w:val="white"/>
        </w:rPr>
        <w:t>T</w:t>
      </w:r>
      <w:r w:rsidR="00F343F2">
        <w:rPr>
          <w:rFonts w:ascii="Times New Roman" w:hAnsi="Times New Roman" w:cs="Times New Roman"/>
          <w:color w:val="000000" w:themeColor="text1"/>
          <w:sz w:val="24"/>
          <w:szCs w:val="24"/>
          <w:highlight w:val="white"/>
        </w:rPr>
        <w:t>he International Human Rights Clinic at Santa Clara University invite</w:t>
      </w:r>
      <w:r w:rsidR="00943FC6">
        <w:rPr>
          <w:rFonts w:ascii="Times New Roman" w:hAnsi="Times New Roman" w:cs="Times New Roman"/>
          <w:color w:val="000000" w:themeColor="text1"/>
          <w:sz w:val="24"/>
          <w:szCs w:val="24"/>
          <w:highlight w:val="white"/>
        </w:rPr>
        <w:t>s</w:t>
      </w:r>
      <w:r w:rsidR="00F343F2">
        <w:rPr>
          <w:rFonts w:ascii="Times New Roman" w:hAnsi="Times New Roman" w:cs="Times New Roman"/>
          <w:color w:val="000000" w:themeColor="text1"/>
          <w:sz w:val="24"/>
          <w:szCs w:val="24"/>
          <w:highlight w:val="white"/>
        </w:rPr>
        <w:t xml:space="preserve"> the</w:t>
      </w:r>
      <w:r w:rsidR="00C10323">
        <w:rPr>
          <w:rFonts w:ascii="Times New Roman" w:hAnsi="Times New Roman" w:cs="Times New Roman"/>
          <w:color w:val="000000" w:themeColor="text1"/>
          <w:sz w:val="24"/>
          <w:szCs w:val="24"/>
          <w:highlight w:val="white"/>
        </w:rPr>
        <w:t xml:space="preserve"> CEDAW</w:t>
      </w:r>
      <w:r w:rsidR="00F343F2">
        <w:rPr>
          <w:rFonts w:ascii="Times New Roman" w:hAnsi="Times New Roman" w:cs="Times New Roman"/>
          <w:color w:val="000000" w:themeColor="text1"/>
          <w:sz w:val="24"/>
          <w:szCs w:val="24"/>
          <w:highlight w:val="white"/>
        </w:rPr>
        <w:t xml:space="preserve"> Committee to consider the contributions </w:t>
      </w:r>
      <w:r w:rsidR="007A2F8C">
        <w:rPr>
          <w:rFonts w:ascii="Times New Roman" w:hAnsi="Times New Roman" w:cs="Times New Roman"/>
          <w:color w:val="000000" w:themeColor="text1"/>
          <w:sz w:val="24"/>
          <w:szCs w:val="24"/>
          <w:highlight w:val="white"/>
        </w:rPr>
        <w:t xml:space="preserve">and developments </w:t>
      </w:r>
      <w:r w:rsidR="00F343F2">
        <w:rPr>
          <w:rFonts w:ascii="Times New Roman" w:hAnsi="Times New Roman" w:cs="Times New Roman"/>
          <w:color w:val="000000" w:themeColor="text1"/>
          <w:sz w:val="24"/>
          <w:szCs w:val="24"/>
          <w:highlight w:val="white"/>
        </w:rPr>
        <w:t>from the Inter-American Human Rights System</w:t>
      </w:r>
      <w:r w:rsidR="007A2F8C">
        <w:rPr>
          <w:rFonts w:ascii="Times New Roman" w:hAnsi="Times New Roman" w:cs="Times New Roman"/>
          <w:color w:val="000000" w:themeColor="text1"/>
          <w:sz w:val="24"/>
          <w:szCs w:val="24"/>
          <w:highlight w:val="white"/>
        </w:rPr>
        <w:t xml:space="preserve"> regarding the rights of indigenous women and girls</w:t>
      </w:r>
      <w:r w:rsidR="00C10323">
        <w:rPr>
          <w:rFonts w:ascii="Times New Roman" w:hAnsi="Times New Roman" w:cs="Times New Roman"/>
          <w:color w:val="000000" w:themeColor="text1"/>
          <w:sz w:val="24"/>
          <w:szCs w:val="24"/>
          <w:highlight w:val="white"/>
        </w:rPr>
        <w:t xml:space="preserve">, as this Committee considers interpreting CEDAW and drafting a General Recommendation </w:t>
      </w:r>
      <w:r w:rsidR="007A2F8C">
        <w:rPr>
          <w:rFonts w:ascii="Times New Roman" w:hAnsi="Times New Roman" w:cs="Times New Roman"/>
          <w:color w:val="000000" w:themeColor="text1"/>
          <w:sz w:val="24"/>
          <w:szCs w:val="24"/>
          <w:highlight w:val="white"/>
        </w:rPr>
        <w:t>addressing this vulnerable population</w:t>
      </w:r>
      <w:r w:rsidR="00F343F2">
        <w:rPr>
          <w:rFonts w:ascii="Times New Roman" w:hAnsi="Times New Roman" w:cs="Times New Roman"/>
          <w:color w:val="000000" w:themeColor="text1"/>
          <w:sz w:val="24"/>
          <w:szCs w:val="24"/>
          <w:highlight w:val="white"/>
        </w:rPr>
        <w:t xml:space="preserve">. </w:t>
      </w:r>
      <w:r w:rsidR="00F343F2" w:rsidRPr="00BB34A9">
        <w:rPr>
          <w:rFonts w:ascii="Times New Roman" w:hAnsi="Times New Roman" w:cs="Times New Roman"/>
          <w:color w:val="000000" w:themeColor="text1"/>
          <w:sz w:val="24"/>
          <w:szCs w:val="24"/>
        </w:rPr>
        <w:t>The Inter-American Commission on Human Rights (IACHR) has identified several key contexts</w:t>
      </w:r>
      <w:r w:rsidRPr="00BB34A9">
        <w:rPr>
          <w:rFonts w:ascii="Times New Roman" w:hAnsi="Times New Roman" w:cs="Times New Roman"/>
          <w:color w:val="000000" w:themeColor="text1"/>
          <w:sz w:val="24"/>
          <w:szCs w:val="24"/>
        </w:rPr>
        <w:t xml:space="preserve"> of discrimination </w:t>
      </w:r>
      <w:r w:rsidR="00F343F2" w:rsidRPr="00BB34A9">
        <w:rPr>
          <w:rFonts w:ascii="Times New Roman" w:hAnsi="Times New Roman" w:cs="Times New Roman"/>
          <w:color w:val="000000" w:themeColor="text1"/>
          <w:sz w:val="24"/>
          <w:szCs w:val="24"/>
        </w:rPr>
        <w:t xml:space="preserve">and violence where </w:t>
      </w:r>
      <w:r w:rsidRPr="00BB34A9">
        <w:rPr>
          <w:rFonts w:ascii="Times New Roman" w:hAnsi="Times New Roman" w:cs="Times New Roman"/>
          <w:color w:val="000000" w:themeColor="text1"/>
          <w:sz w:val="24"/>
          <w:szCs w:val="24"/>
        </w:rPr>
        <w:t>indigenous women and girls are especially vulnerable</w:t>
      </w:r>
      <w:r w:rsidR="00F343F2" w:rsidRPr="00BB34A9">
        <w:rPr>
          <w:rFonts w:ascii="Times New Roman" w:hAnsi="Times New Roman" w:cs="Times New Roman"/>
          <w:color w:val="000000" w:themeColor="text1"/>
          <w:sz w:val="24"/>
          <w:szCs w:val="24"/>
        </w:rPr>
        <w:t>.</w:t>
      </w:r>
      <w:r w:rsidR="00F343F2" w:rsidRPr="00BB34A9">
        <w:rPr>
          <w:rFonts w:ascii="Times New Roman" w:hAnsi="Times New Roman" w:cs="Times New Roman"/>
          <w:color w:val="000000" w:themeColor="text1"/>
          <w:sz w:val="24"/>
          <w:szCs w:val="24"/>
          <w:vertAlign w:val="superscript"/>
        </w:rPr>
        <w:footnoteReference w:id="1"/>
      </w:r>
      <w:r w:rsidRPr="00BB34A9">
        <w:rPr>
          <w:rFonts w:ascii="Times New Roman" w:hAnsi="Times New Roman" w:cs="Times New Roman"/>
          <w:color w:val="000000" w:themeColor="text1"/>
          <w:sz w:val="24"/>
          <w:szCs w:val="24"/>
        </w:rPr>
        <w:t xml:space="preserve"> </w:t>
      </w:r>
      <w:r w:rsidR="00F343F2" w:rsidRPr="00BB34A9">
        <w:rPr>
          <w:rFonts w:ascii="Times New Roman" w:hAnsi="Times New Roman" w:cs="Times New Roman"/>
          <w:color w:val="000000" w:themeColor="text1"/>
          <w:sz w:val="24"/>
          <w:szCs w:val="24"/>
        </w:rPr>
        <w:t>T</w:t>
      </w:r>
      <w:r w:rsidRPr="00BB34A9">
        <w:rPr>
          <w:rFonts w:ascii="Times New Roman" w:hAnsi="Times New Roman" w:cs="Times New Roman"/>
          <w:color w:val="000000" w:themeColor="text1"/>
          <w:sz w:val="24"/>
          <w:szCs w:val="24"/>
        </w:rPr>
        <w:t xml:space="preserve">his submission will focus on </w:t>
      </w:r>
      <w:r w:rsidR="00F343F2" w:rsidRPr="00BB34A9">
        <w:rPr>
          <w:rFonts w:ascii="Times New Roman" w:hAnsi="Times New Roman" w:cs="Times New Roman"/>
          <w:color w:val="000000" w:themeColor="text1"/>
          <w:sz w:val="24"/>
          <w:szCs w:val="24"/>
        </w:rPr>
        <w:t xml:space="preserve">the following </w:t>
      </w:r>
      <w:r w:rsidRPr="00BB34A9">
        <w:rPr>
          <w:rFonts w:ascii="Times New Roman" w:hAnsi="Times New Roman" w:cs="Times New Roman"/>
          <w:color w:val="000000" w:themeColor="text1"/>
          <w:sz w:val="24"/>
          <w:szCs w:val="24"/>
        </w:rPr>
        <w:t>three</w:t>
      </w:r>
      <w:r w:rsidR="00F343F2" w:rsidRPr="00BB34A9">
        <w:rPr>
          <w:rFonts w:ascii="Times New Roman" w:hAnsi="Times New Roman" w:cs="Times New Roman"/>
          <w:color w:val="000000" w:themeColor="text1"/>
          <w:sz w:val="24"/>
          <w:szCs w:val="24"/>
        </w:rPr>
        <w:t xml:space="preserve"> contexts</w:t>
      </w:r>
      <w:r w:rsidRPr="00BB34A9">
        <w:rPr>
          <w:rFonts w:ascii="Times New Roman" w:hAnsi="Times New Roman" w:cs="Times New Roman"/>
          <w:color w:val="000000" w:themeColor="text1"/>
          <w:sz w:val="24"/>
          <w:szCs w:val="24"/>
        </w:rPr>
        <w:t xml:space="preserve">: </w:t>
      </w:r>
      <w:r w:rsidR="00F343F2" w:rsidRPr="00BB34A9">
        <w:rPr>
          <w:rFonts w:ascii="Times New Roman" w:hAnsi="Times New Roman" w:cs="Times New Roman"/>
          <w:color w:val="000000" w:themeColor="text1"/>
          <w:sz w:val="24"/>
          <w:szCs w:val="24"/>
        </w:rPr>
        <w:t xml:space="preserve">1) targeted violence against indigenous women and girls, including violence in armed conflicts and in extractive </w:t>
      </w:r>
      <w:r w:rsidR="00F343F2" w:rsidRPr="00BB34A9">
        <w:rPr>
          <w:rFonts w:ascii="Times New Roman" w:hAnsi="Times New Roman" w:cs="Times New Roman"/>
          <w:color w:val="000000" w:themeColor="text1"/>
          <w:sz w:val="24"/>
          <w:szCs w:val="24"/>
        </w:rPr>
        <w:lastRenderedPageBreak/>
        <w:t>projects,</w:t>
      </w:r>
      <w:r w:rsidRPr="00BB34A9">
        <w:rPr>
          <w:rFonts w:ascii="Times New Roman" w:hAnsi="Times New Roman" w:cs="Times New Roman"/>
          <w:color w:val="000000" w:themeColor="text1"/>
          <w:sz w:val="24"/>
          <w:szCs w:val="24"/>
          <w:vertAlign w:val="superscript"/>
        </w:rPr>
        <w:footnoteReference w:id="2"/>
      </w:r>
      <w:r w:rsidR="00F343F2" w:rsidRPr="00BB34A9">
        <w:rPr>
          <w:rFonts w:ascii="Times New Roman" w:hAnsi="Times New Roman" w:cs="Times New Roman"/>
          <w:color w:val="000000" w:themeColor="text1"/>
          <w:sz w:val="24"/>
          <w:szCs w:val="24"/>
        </w:rPr>
        <w:t xml:space="preserve"> 2)</w:t>
      </w:r>
      <w:r w:rsidRPr="00BB34A9">
        <w:rPr>
          <w:rFonts w:ascii="Times New Roman" w:hAnsi="Times New Roman" w:cs="Times New Roman"/>
          <w:color w:val="000000" w:themeColor="text1"/>
          <w:sz w:val="24"/>
          <w:szCs w:val="24"/>
        </w:rPr>
        <w:t xml:space="preserve"> </w:t>
      </w:r>
      <w:r w:rsidR="00F343F2" w:rsidRPr="00BB34A9">
        <w:rPr>
          <w:rFonts w:ascii="Times New Roman" w:hAnsi="Times New Roman" w:cs="Times New Roman"/>
          <w:color w:val="000000" w:themeColor="text1"/>
          <w:sz w:val="24"/>
          <w:szCs w:val="24"/>
        </w:rPr>
        <w:t>lack of access to justice,</w:t>
      </w:r>
      <w:r w:rsidR="00F343F2" w:rsidRPr="00BB34A9">
        <w:rPr>
          <w:rFonts w:ascii="Times New Roman" w:hAnsi="Times New Roman" w:cs="Times New Roman"/>
          <w:color w:val="000000" w:themeColor="text1"/>
          <w:sz w:val="24"/>
          <w:szCs w:val="24"/>
          <w:vertAlign w:val="superscript"/>
        </w:rPr>
        <w:footnoteReference w:id="3"/>
      </w:r>
      <w:r w:rsidR="00F343F2" w:rsidRPr="00BB34A9">
        <w:rPr>
          <w:rFonts w:ascii="Times New Roman" w:hAnsi="Times New Roman" w:cs="Times New Roman"/>
          <w:color w:val="000000" w:themeColor="text1"/>
          <w:sz w:val="24"/>
          <w:szCs w:val="24"/>
        </w:rPr>
        <w:t xml:space="preserve"> and 3) lack of access to education, labor, healthcare, and basic necessities</w:t>
      </w:r>
      <w:r w:rsidR="00F343F2" w:rsidRPr="00BB34A9">
        <w:rPr>
          <w:rFonts w:ascii="Times New Roman" w:hAnsi="Times New Roman" w:cs="Times New Roman"/>
          <w:color w:val="000000" w:themeColor="text1"/>
          <w:sz w:val="24"/>
          <w:szCs w:val="24"/>
          <w:vertAlign w:val="superscript"/>
        </w:rPr>
        <w:footnoteReference w:id="4"/>
      </w:r>
      <w:r w:rsidR="00F343F2" w:rsidRPr="00BB34A9">
        <w:rPr>
          <w:rFonts w:ascii="Times New Roman" w:hAnsi="Times New Roman" w:cs="Times New Roman"/>
          <w:color w:val="000000" w:themeColor="text1"/>
          <w:sz w:val="24"/>
          <w:szCs w:val="24"/>
        </w:rPr>
        <w:t>. Finally</w:t>
      </w:r>
      <w:r w:rsidR="00F343F2">
        <w:rPr>
          <w:rFonts w:ascii="Times New Roman" w:hAnsi="Times New Roman" w:cs="Times New Roman"/>
          <w:color w:val="000000" w:themeColor="text1"/>
          <w:sz w:val="24"/>
          <w:szCs w:val="24"/>
        </w:rPr>
        <w:t xml:space="preserve">, we ask the Committee to declare that </w:t>
      </w:r>
      <w:r w:rsidRPr="00F343F2">
        <w:rPr>
          <w:rFonts w:ascii="Times New Roman" w:hAnsi="Times New Roman" w:cs="Times New Roman"/>
          <w:color w:val="000000" w:themeColor="text1"/>
          <w:sz w:val="24"/>
          <w:szCs w:val="24"/>
          <w:highlight w:val="white"/>
        </w:rPr>
        <w:t>the political, social</w:t>
      </w:r>
      <w:r w:rsidR="00F343F2">
        <w:rPr>
          <w:rFonts w:ascii="Times New Roman" w:hAnsi="Times New Roman" w:cs="Times New Roman"/>
          <w:color w:val="000000" w:themeColor="text1"/>
          <w:sz w:val="24"/>
          <w:szCs w:val="24"/>
          <w:highlight w:val="white"/>
        </w:rPr>
        <w:t>,</w:t>
      </w:r>
      <w:r w:rsidRPr="00F343F2">
        <w:rPr>
          <w:rFonts w:ascii="Times New Roman" w:hAnsi="Times New Roman" w:cs="Times New Roman"/>
          <w:color w:val="000000" w:themeColor="text1"/>
          <w:sz w:val="24"/>
          <w:szCs w:val="24"/>
          <w:highlight w:val="white"/>
        </w:rPr>
        <w:t xml:space="preserve"> and economic marginalization of indigenous women </w:t>
      </w:r>
      <w:r w:rsidR="00F343F2">
        <w:rPr>
          <w:rFonts w:ascii="Times New Roman" w:hAnsi="Times New Roman" w:cs="Times New Roman"/>
          <w:color w:val="000000" w:themeColor="text1"/>
          <w:sz w:val="24"/>
          <w:szCs w:val="24"/>
          <w:highlight w:val="white"/>
        </w:rPr>
        <w:t>and girls is the result of intersecting and</w:t>
      </w:r>
      <w:r w:rsidRPr="00F343F2">
        <w:rPr>
          <w:rFonts w:ascii="Times New Roman" w:hAnsi="Times New Roman" w:cs="Times New Roman"/>
          <w:color w:val="000000" w:themeColor="text1"/>
          <w:sz w:val="24"/>
          <w:szCs w:val="24"/>
          <w:highlight w:val="white"/>
        </w:rPr>
        <w:t xml:space="preserve"> interdependent </w:t>
      </w:r>
      <w:r w:rsidR="00F343F2">
        <w:rPr>
          <w:rFonts w:ascii="Times New Roman" w:hAnsi="Times New Roman" w:cs="Times New Roman"/>
          <w:color w:val="000000" w:themeColor="text1"/>
          <w:sz w:val="24"/>
          <w:szCs w:val="24"/>
          <w:highlight w:val="white"/>
        </w:rPr>
        <w:t>forms of discrimination and violence that must be addressed</w:t>
      </w:r>
      <w:r w:rsidRPr="00F343F2">
        <w:rPr>
          <w:rFonts w:ascii="Times New Roman" w:hAnsi="Times New Roman" w:cs="Times New Roman"/>
          <w:color w:val="000000" w:themeColor="text1"/>
          <w:sz w:val="24"/>
          <w:szCs w:val="24"/>
          <w:highlight w:val="white"/>
        </w:rPr>
        <w:t xml:space="preserve"> </w:t>
      </w:r>
      <w:r w:rsidR="00F343F2">
        <w:rPr>
          <w:rFonts w:ascii="Times New Roman" w:hAnsi="Times New Roman" w:cs="Times New Roman"/>
          <w:color w:val="000000" w:themeColor="text1"/>
          <w:sz w:val="24"/>
          <w:szCs w:val="24"/>
          <w:highlight w:val="white"/>
        </w:rPr>
        <w:t>in</w:t>
      </w:r>
      <w:r w:rsidRPr="00F343F2">
        <w:rPr>
          <w:rFonts w:ascii="Times New Roman" w:hAnsi="Times New Roman" w:cs="Times New Roman"/>
          <w:color w:val="000000" w:themeColor="text1"/>
          <w:sz w:val="24"/>
          <w:szCs w:val="24"/>
          <w:highlight w:val="white"/>
        </w:rPr>
        <w:t xml:space="preserve"> an equally intersectional </w:t>
      </w:r>
      <w:r w:rsidR="00F343F2">
        <w:rPr>
          <w:rFonts w:ascii="Times New Roman" w:hAnsi="Times New Roman" w:cs="Times New Roman"/>
          <w:color w:val="000000" w:themeColor="text1"/>
          <w:sz w:val="24"/>
          <w:szCs w:val="24"/>
          <w:highlight w:val="white"/>
        </w:rPr>
        <w:t>manner</w:t>
      </w:r>
      <w:r w:rsidRPr="00F343F2">
        <w:rPr>
          <w:rFonts w:ascii="Times New Roman" w:hAnsi="Times New Roman" w:cs="Times New Roman"/>
          <w:color w:val="000000" w:themeColor="text1"/>
          <w:sz w:val="24"/>
          <w:szCs w:val="24"/>
          <w:highlight w:val="white"/>
        </w:rPr>
        <w:t xml:space="preserve">. </w:t>
      </w:r>
    </w:p>
    <w:p w14:paraId="77F49B3B" w14:textId="77777777" w:rsidR="000F2B0A" w:rsidRPr="00F343F2" w:rsidRDefault="000F2B0A" w:rsidP="00F343F2">
      <w:pPr>
        <w:ind w:firstLine="720"/>
        <w:jc w:val="both"/>
        <w:rPr>
          <w:rFonts w:ascii="Times New Roman" w:hAnsi="Times New Roman" w:cs="Times New Roman"/>
          <w:color w:val="000000" w:themeColor="text1"/>
          <w:sz w:val="24"/>
          <w:szCs w:val="24"/>
        </w:rPr>
      </w:pPr>
    </w:p>
    <w:p w14:paraId="7DF4206A" w14:textId="69640122" w:rsidR="000F2B0A" w:rsidRPr="00F343F2" w:rsidRDefault="000F2B0A" w:rsidP="00F343F2">
      <w:pPr>
        <w:pStyle w:val="ListParagraph"/>
        <w:numPr>
          <w:ilvl w:val="0"/>
          <w:numId w:val="3"/>
        </w:numPr>
        <w:jc w:val="both"/>
        <w:rPr>
          <w:rFonts w:ascii="Times New Roman" w:hAnsi="Times New Roman" w:cs="Times New Roman"/>
          <w:b/>
          <w:color w:val="000000" w:themeColor="text1"/>
          <w:sz w:val="24"/>
          <w:szCs w:val="24"/>
        </w:rPr>
      </w:pPr>
      <w:r w:rsidRPr="00F343F2">
        <w:rPr>
          <w:rFonts w:ascii="Times New Roman" w:hAnsi="Times New Roman" w:cs="Times New Roman"/>
          <w:b/>
          <w:color w:val="000000" w:themeColor="text1"/>
          <w:sz w:val="24"/>
          <w:szCs w:val="24"/>
        </w:rPr>
        <w:t>TARGETED VIOLENCE AGAINST INDIGENOUS WOMEN &amp; GIRLS</w:t>
      </w:r>
    </w:p>
    <w:p w14:paraId="198C77A0" w14:textId="77777777" w:rsidR="000F2B0A" w:rsidRPr="00F343F2" w:rsidRDefault="000F2B0A" w:rsidP="00F343F2">
      <w:pPr>
        <w:jc w:val="both"/>
        <w:rPr>
          <w:rFonts w:ascii="Times New Roman" w:hAnsi="Times New Roman" w:cs="Times New Roman"/>
          <w:b/>
          <w:color w:val="000000" w:themeColor="text1"/>
          <w:sz w:val="24"/>
          <w:szCs w:val="24"/>
        </w:rPr>
      </w:pPr>
    </w:p>
    <w:p w14:paraId="3CD5E501" w14:textId="75096B15" w:rsidR="000F2B0A" w:rsidRPr="00F343F2" w:rsidRDefault="00F343F2" w:rsidP="00F343F2">
      <w:pPr>
        <w:spacing w:line="480" w:lineRule="auto"/>
        <w:ind w:firstLine="720"/>
        <w:jc w:val="both"/>
        <w:rPr>
          <w:rFonts w:ascii="Times New Roman" w:hAnsi="Times New Roman" w:cs="Times New Roman"/>
          <w:color w:val="000000" w:themeColor="text1"/>
          <w:sz w:val="24"/>
          <w:szCs w:val="24"/>
        </w:rPr>
      </w:pPr>
      <w:r w:rsidRPr="00F343F2">
        <w:rPr>
          <w:rFonts w:ascii="Times New Roman" w:hAnsi="Times New Roman" w:cs="Times New Roman"/>
          <w:b/>
          <w:color w:val="000000" w:themeColor="text1"/>
          <w:sz w:val="24"/>
          <w:szCs w:val="24"/>
        </w:rPr>
        <w:t>According to the IACHR, v</w:t>
      </w:r>
      <w:r w:rsidR="000F2B0A" w:rsidRPr="00F343F2">
        <w:rPr>
          <w:rFonts w:ascii="Times New Roman" w:hAnsi="Times New Roman" w:cs="Times New Roman"/>
          <w:b/>
          <w:color w:val="000000" w:themeColor="text1"/>
          <w:sz w:val="24"/>
          <w:szCs w:val="24"/>
        </w:rPr>
        <w:t>iolence remains one of the “most alarming problems faced by indigenous women in this hemisphere.”</w:t>
      </w:r>
      <w:r w:rsidR="000F2B0A" w:rsidRPr="00F343F2">
        <w:rPr>
          <w:rFonts w:ascii="Times New Roman" w:hAnsi="Times New Roman" w:cs="Times New Roman"/>
          <w:b/>
          <w:color w:val="000000" w:themeColor="text1"/>
          <w:sz w:val="24"/>
          <w:szCs w:val="24"/>
          <w:vertAlign w:val="superscript"/>
        </w:rPr>
        <w:footnoteReference w:id="5"/>
      </w:r>
      <w:r w:rsidR="000F2B0A" w:rsidRPr="00F343F2">
        <w:rPr>
          <w:rFonts w:ascii="Times New Roman" w:hAnsi="Times New Roman" w:cs="Times New Roman"/>
          <w:b/>
          <w:color w:val="000000" w:themeColor="text1"/>
          <w:sz w:val="24"/>
          <w:szCs w:val="24"/>
        </w:rPr>
        <w:t xml:space="preserve"> </w:t>
      </w:r>
      <w:r w:rsidR="000F2B0A" w:rsidRPr="00F343F2">
        <w:rPr>
          <w:rFonts w:ascii="Times New Roman" w:hAnsi="Times New Roman" w:cs="Times New Roman"/>
          <w:color w:val="000000" w:themeColor="text1"/>
          <w:sz w:val="24"/>
          <w:szCs w:val="24"/>
        </w:rPr>
        <w:t xml:space="preserve">The IACHR has defined “violence against women” according to Article 1 of </w:t>
      </w:r>
      <w:r w:rsidRPr="00F343F2">
        <w:rPr>
          <w:rFonts w:ascii="Times New Roman" w:hAnsi="Times New Roman" w:cs="Times New Roman"/>
          <w:color w:val="000000" w:themeColor="text1"/>
          <w:sz w:val="24"/>
          <w:szCs w:val="24"/>
        </w:rPr>
        <w:t xml:space="preserve">the </w:t>
      </w:r>
      <w:r w:rsidR="000F2B0A" w:rsidRPr="00F343F2">
        <w:rPr>
          <w:rFonts w:ascii="Times New Roman" w:hAnsi="Times New Roman" w:cs="Times New Roman"/>
          <w:color w:val="000000" w:themeColor="text1"/>
          <w:sz w:val="24"/>
          <w:szCs w:val="24"/>
        </w:rPr>
        <w:t xml:space="preserve">Convention of </w:t>
      </w:r>
      <w:proofErr w:type="spellStart"/>
      <w:r w:rsidR="000F2B0A" w:rsidRPr="00F343F2">
        <w:rPr>
          <w:rFonts w:ascii="Times New Roman" w:hAnsi="Times New Roman" w:cs="Times New Roman"/>
          <w:color w:val="000000" w:themeColor="text1"/>
          <w:sz w:val="24"/>
          <w:szCs w:val="24"/>
        </w:rPr>
        <w:t>Belém</w:t>
      </w:r>
      <w:proofErr w:type="spellEnd"/>
      <w:r w:rsidR="000F2B0A" w:rsidRPr="00F343F2">
        <w:rPr>
          <w:rFonts w:ascii="Times New Roman" w:hAnsi="Times New Roman" w:cs="Times New Roman"/>
          <w:color w:val="000000" w:themeColor="text1"/>
          <w:sz w:val="24"/>
          <w:szCs w:val="24"/>
        </w:rPr>
        <w:t xml:space="preserve"> do </w:t>
      </w:r>
      <w:proofErr w:type="spellStart"/>
      <w:r w:rsidR="000F2B0A" w:rsidRPr="00F343F2">
        <w:rPr>
          <w:rFonts w:ascii="Times New Roman" w:hAnsi="Times New Roman" w:cs="Times New Roman"/>
          <w:color w:val="000000" w:themeColor="text1"/>
          <w:sz w:val="24"/>
          <w:szCs w:val="24"/>
        </w:rPr>
        <w:t>Parà</w:t>
      </w:r>
      <w:proofErr w:type="spellEnd"/>
      <w:r w:rsidR="000F2B0A" w:rsidRPr="00F343F2">
        <w:rPr>
          <w:rFonts w:ascii="Times New Roman" w:hAnsi="Times New Roman" w:cs="Times New Roman"/>
          <w:color w:val="000000" w:themeColor="text1"/>
          <w:sz w:val="24"/>
          <w:szCs w:val="24"/>
        </w:rPr>
        <w:t>: “any act or conduct, based on gender, which causes death or physical, sexual or psychological harm or suffering to women, whether in the public or the private sphere.”</w:t>
      </w:r>
      <w:r w:rsidR="000F2B0A" w:rsidRPr="00F343F2">
        <w:rPr>
          <w:rFonts w:ascii="Times New Roman" w:hAnsi="Times New Roman" w:cs="Times New Roman"/>
          <w:color w:val="000000" w:themeColor="text1"/>
          <w:sz w:val="24"/>
          <w:szCs w:val="24"/>
          <w:vertAlign w:val="superscript"/>
        </w:rPr>
        <w:footnoteReference w:id="6"/>
      </w:r>
      <w:r w:rsidR="000F2B0A" w:rsidRPr="00F343F2">
        <w:rPr>
          <w:rFonts w:ascii="Times New Roman" w:hAnsi="Times New Roman" w:cs="Times New Roman"/>
          <w:color w:val="000000" w:themeColor="text1"/>
          <w:sz w:val="24"/>
          <w:szCs w:val="24"/>
        </w:rPr>
        <w:t xml:space="preserve"> While the Convention uses very broad language, the IACHR has interpreted this provision to also include obstetric and spiritual violence because of their widespread occurrence in the Americas.</w:t>
      </w:r>
      <w:r w:rsidR="000F2B0A" w:rsidRPr="00F343F2">
        <w:rPr>
          <w:rFonts w:ascii="Times New Roman" w:hAnsi="Times New Roman" w:cs="Times New Roman"/>
          <w:color w:val="000000" w:themeColor="text1"/>
          <w:sz w:val="24"/>
          <w:szCs w:val="24"/>
          <w:vertAlign w:val="superscript"/>
        </w:rPr>
        <w:footnoteReference w:id="7"/>
      </w:r>
    </w:p>
    <w:p w14:paraId="74BF33D2" w14:textId="1260DEEA" w:rsidR="000F2B0A" w:rsidRPr="00F343F2" w:rsidRDefault="000F2B0A" w:rsidP="00F343F2">
      <w:pPr>
        <w:spacing w:line="480" w:lineRule="auto"/>
        <w:ind w:firstLine="720"/>
        <w:jc w:val="both"/>
        <w:rPr>
          <w:rFonts w:ascii="Times New Roman" w:hAnsi="Times New Roman" w:cs="Times New Roman"/>
          <w:color w:val="000000" w:themeColor="text1"/>
          <w:sz w:val="24"/>
          <w:szCs w:val="24"/>
          <w:highlight w:val="yellow"/>
        </w:rPr>
      </w:pPr>
      <w:r w:rsidRPr="00F343F2">
        <w:rPr>
          <w:rFonts w:ascii="Times New Roman" w:hAnsi="Times New Roman" w:cs="Times New Roman"/>
          <w:b/>
          <w:color w:val="000000" w:themeColor="text1"/>
          <w:sz w:val="24"/>
          <w:szCs w:val="24"/>
        </w:rPr>
        <w:t xml:space="preserve">The </w:t>
      </w:r>
      <w:r w:rsidR="00F343F2" w:rsidRPr="00F343F2">
        <w:rPr>
          <w:rFonts w:ascii="Times New Roman" w:hAnsi="Times New Roman" w:cs="Times New Roman"/>
          <w:b/>
          <w:color w:val="000000" w:themeColor="text1"/>
          <w:sz w:val="24"/>
          <w:szCs w:val="24"/>
        </w:rPr>
        <w:t>two</w:t>
      </w:r>
      <w:r w:rsidRPr="00F343F2">
        <w:rPr>
          <w:rFonts w:ascii="Times New Roman" w:hAnsi="Times New Roman" w:cs="Times New Roman"/>
          <w:b/>
          <w:color w:val="000000" w:themeColor="text1"/>
          <w:sz w:val="24"/>
          <w:szCs w:val="24"/>
        </w:rPr>
        <w:t xml:space="preserve"> contexts of targeted violence outlined here highlight how non-indigenous forces effectively buoy the historical colonization of indigenous lands. </w:t>
      </w:r>
      <w:r w:rsidRPr="00F343F2">
        <w:rPr>
          <w:rFonts w:ascii="Times New Roman" w:hAnsi="Times New Roman" w:cs="Times New Roman"/>
          <w:color w:val="000000" w:themeColor="text1"/>
          <w:sz w:val="24"/>
          <w:szCs w:val="24"/>
        </w:rPr>
        <w:t xml:space="preserve">Whether it is </w:t>
      </w:r>
      <w:r w:rsidR="00F343F2" w:rsidRPr="00F343F2">
        <w:rPr>
          <w:rFonts w:ascii="Times New Roman" w:hAnsi="Times New Roman" w:cs="Times New Roman"/>
          <w:color w:val="000000" w:themeColor="text1"/>
          <w:sz w:val="24"/>
          <w:szCs w:val="24"/>
        </w:rPr>
        <w:t>in the context of</w:t>
      </w:r>
      <w:r w:rsidRPr="00F343F2">
        <w:rPr>
          <w:rFonts w:ascii="Times New Roman" w:hAnsi="Times New Roman" w:cs="Times New Roman"/>
          <w:color w:val="000000" w:themeColor="text1"/>
          <w:sz w:val="24"/>
          <w:szCs w:val="24"/>
        </w:rPr>
        <w:t xml:space="preserve"> </w:t>
      </w:r>
      <w:r w:rsidR="00F343F2" w:rsidRPr="00F343F2">
        <w:rPr>
          <w:rFonts w:ascii="Times New Roman" w:hAnsi="Times New Roman" w:cs="Times New Roman"/>
          <w:color w:val="000000" w:themeColor="text1"/>
          <w:sz w:val="24"/>
          <w:szCs w:val="24"/>
        </w:rPr>
        <w:t xml:space="preserve">an </w:t>
      </w:r>
      <w:r w:rsidRPr="00F343F2">
        <w:rPr>
          <w:rFonts w:ascii="Times New Roman" w:hAnsi="Times New Roman" w:cs="Times New Roman"/>
          <w:color w:val="000000" w:themeColor="text1"/>
          <w:sz w:val="24"/>
          <w:szCs w:val="24"/>
        </w:rPr>
        <w:t>armed conflict</w:t>
      </w:r>
      <w:r w:rsidR="00F343F2" w:rsidRPr="00F343F2">
        <w:rPr>
          <w:rFonts w:ascii="Times New Roman" w:hAnsi="Times New Roman" w:cs="Times New Roman"/>
          <w:color w:val="000000" w:themeColor="text1"/>
          <w:sz w:val="24"/>
          <w:szCs w:val="24"/>
        </w:rPr>
        <w:t xml:space="preserve"> or in the context of</w:t>
      </w:r>
      <w:r w:rsidRPr="00F343F2">
        <w:rPr>
          <w:rFonts w:ascii="Times New Roman" w:hAnsi="Times New Roman" w:cs="Times New Roman"/>
          <w:color w:val="000000" w:themeColor="text1"/>
          <w:sz w:val="24"/>
          <w:szCs w:val="24"/>
        </w:rPr>
        <w:t xml:space="preserve"> development projects</w:t>
      </w:r>
      <w:r w:rsidR="00F343F2" w:rsidRPr="00F343F2">
        <w:rPr>
          <w:rFonts w:ascii="Times New Roman" w:hAnsi="Times New Roman" w:cs="Times New Roman"/>
          <w:color w:val="000000" w:themeColor="text1"/>
          <w:sz w:val="24"/>
          <w:szCs w:val="24"/>
        </w:rPr>
        <w:t xml:space="preserve"> in indigenous territories</w:t>
      </w:r>
      <w:r w:rsidRPr="00F343F2">
        <w:rPr>
          <w:rFonts w:ascii="Times New Roman" w:hAnsi="Times New Roman" w:cs="Times New Roman"/>
          <w:color w:val="000000" w:themeColor="text1"/>
          <w:sz w:val="24"/>
          <w:szCs w:val="24"/>
        </w:rPr>
        <w:t xml:space="preserve">, </w:t>
      </w:r>
      <w:r w:rsidR="00F343F2" w:rsidRPr="00F343F2">
        <w:rPr>
          <w:rFonts w:ascii="Times New Roman" w:hAnsi="Times New Roman" w:cs="Times New Roman"/>
          <w:color w:val="000000" w:themeColor="text1"/>
          <w:sz w:val="24"/>
          <w:szCs w:val="24"/>
        </w:rPr>
        <w:t xml:space="preserve">state and non-state </w:t>
      </w:r>
      <w:r w:rsidRPr="00F343F2">
        <w:rPr>
          <w:rFonts w:ascii="Times New Roman" w:hAnsi="Times New Roman" w:cs="Times New Roman"/>
          <w:color w:val="000000" w:themeColor="text1"/>
          <w:sz w:val="24"/>
          <w:szCs w:val="24"/>
        </w:rPr>
        <w:t xml:space="preserve">actors continue to </w:t>
      </w:r>
      <w:r w:rsidR="00F343F2" w:rsidRPr="00F343F2">
        <w:rPr>
          <w:rFonts w:ascii="Times New Roman" w:hAnsi="Times New Roman" w:cs="Times New Roman"/>
          <w:color w:val="000000" w:themeColor="text1"/>
          <w:sz w:val="24"/>
          <w:szCs w:val="24"/>
        </w:rPr>
        <w:t>seek</w:t>
      </w:r>
      <w:r w:rsidRPr="00F343F2">
        <w:rPr>
          <w:rFonts w:ascii="Times New Roman" w:hAnsi="Times New Roman" w:cs="Times New Roman"/>
          <w:color w:val="000000" w:themeColor="text1"/>
          <w:sz w:val="24"/>
          <w:szCs w:val="24"/>
        </w:rPr>
        <w:t xml:space="preserve"> control over indigenous </w:t>
      </w:r>
      <w:r w:rsidR="00F343F2" w:rsidRPr="00F343F2">
        <w:rPr>
          <w:rFonts w:ascii="Times New Roman" w:hAnsi="Times New Roman" w:cs="Times New Roman"/>
          <w:color w:val="000000" w:themeColor="text1"/>
          <w:sz w:val="24"/>
          <w:szCs w:val="24"/>
        </w:rPr>
        <w:t>lands</w:t>
      </w:r>
      <w:r w:rsidRPr="00F343F2">
        <w:rPr>
          <w:rFonts w:ascii="Times New Roman" w:hAnsi="Times New Roman" w:cs="Times New Roman"/>
          <w:color w:val="000000" w:themeColor="text1"/>
          <w:sz w:val="24"/>
          <w:szCs w:val="24"/>
        </w:rPr>
        <w:t xml:space="preserve">, which inflames the vulnerability to human rights violations already suffered by indigenous </w:t>
      </w:r>
      <w:r w:rsidR="00F343F2" w:rsidRPr="00F343F2">
        <w:rPr>
          <w:rFonts w:ascii="Times New Roman" w:hAnsi="Times New Roman" w:cs="Times New Roman"/>
          <w:color w:val="000000" w:themeColor="text1"/>
          <w:sz w:val="24"/>
          <w:szCs w:val="24"/>
        </w:rPr>
        <w:t>women and girls</w:t>
      </w:r>
      <w:r w:rsidRPr="00F343F2">
        <w:rPr>
          <w:rFonts w:ascii="Times New Roman" w:hAnsi="Times New Roman" w:cs="Times New Roman"/>
          <w:color w:val="000000" w:themeColor="text1"/>
          <w:sz w:val="24"/>
          <w:szCs w:val="24"/>
        </w:rPr>
        <w:t>.</w:t>
      </w:r>
      <w:r w:rsidRPr="00F343F2">
        <w:rPr>
          <w:rFonts w:ascii="Times New Roman" w:hAnsi="Times New Roman" w:cs="Times New Roman"/>
          <w:color w:val="000000" w:themeColor="text1"/>
          <w:sz w:val="24"/>
          <w:szCs w:val="24"/>
          <w:vertAlign w:val="superscript"/>
        </w:rPr>
        <w:footnoteReference w:id="8"/>
      </w:r>
      <w:r w:rsidRPr="00F343F2">
        <w:rPr>
          <w:rFonts w:ascii="Times New Roman" w:hAnsi="Times New Roman" w:cs="Times New Roman"/>
          <w:color w:val="000000" w:themeColor="text1"/>
          <w:sz w:val="24"/>
          <w:szCs w:val="24"/>
        </w:rPr>
        <w:t xml:space="preserve"> </w:t>
      </w:r>
      <w:r w:rsidRPr="00F343F2">
        <w:rPr>
          <w:rFonts w:ascii="Times New Roman" w:hAnsi="Times New Roman" w:cs="Times New Roman"/>
          <w:b/>
          <w:color w:val="000000" w:themeColor="text1"/>
          <w:sz w:val="24"/>
          <w:szCs w:val="24"/>
          <w:highlight w:val="yellow"/>
        </w:rPr>
        <w:t xml:space="preserve"> </w:t>
      </w:r>
    </w:p>
    <w:p w14:paraId="25D9707B" w14:textId="0BC30919" w:rsidR="00F343F2" w:rsidRDefault="000F2B0A" w:rsidP="00F343F2">
      <w:pPr>
        <w:spacing w:line="480" w:lineRule="auto"/>
        <w:ind w:firstLine="720"/>
        <w:jc w:val="both"/>
        <w:rPr>
          <w:rFonts w:ascii="Times New Roman" w:hAnsi="Times New Roman" w:cs="Times New Roman"/>
          <w:b/>
          <w:color w:val="000000" w:themeColor="text1"/>
          <w:sz w:val="24"/>
          <w:szCs w:val="24"/>
        </w:rPr>
      </w:pPr>
      <w:r w:rsidRPr="00F343F2">
        <w:rPr>
          <w:rFonts w:ascii="Times New Roman" w:hAnsi="Times New Roman" w:cs="Times New Roman"/>
          <w:b/>
          <w:i/>
          <w:color w:val="000000" w:themeColor="text1"/>
          <w:sz w:val="24"/>
          <w:szCs w:val="24"/>
        </w:rPr>
        <w:t>Violence in Armed Conflict</w:t>
      </w:r>
      <w:r w:rsidR="007A2F8C">
        <w:rPr>
          <w:rFonts w:ascii="Times New Roman" w:hAnsi="Times New Roman" w:cs="Times New Roman"/>
          <w:b/>
          <w:i/>
          <w:color w:val="000000" w:themeColor="text1"/>
          <w:sz w:val="24"/>
          <w:szCs w:val="24"/>
        </w:rPr>
        <w:t>s</w:t>
      </w:r>
    </w:p>
    <w:p w14:paraId="74381E5D" w14:textId="77777777" w:rsidR="007A2F8C" w:rsidRDefault="00F343F2" w:rsidP="00F343F2">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Indigenous women and girls are often the target of violence in armed conflicts that seek to </w:t>
      </w:r>
      <w:r w:rsidR="000F2B0A" w:rsidRPr="00F343F2">
        <w:rPr>
          <w:rFonts w:ascii="Times New Roman" w:hAnsi="Times New Roman" w:cs="Times New Roman"/>
          <w:b/>
          <w:color w:val="000000" w:themeColor="text1"/>
          <w:sz w:val="24"/>
          <w:szCs w:val="24"/>
        </w:rPr>
        <w:t>establish control over indigenous territories and economic resources therein.</w:t>
      </w:r>
      <w:r w:rsidR="000F2B0A" w:rsidRPr="00F343F2">
        <w:rPr>
          <w:rFonts w:ascii="Times New Roman" w:hAnsi="Times New Roman" w:cs="Times New Roman"/>
          <w:color w:val="000000" w:themeColor="text1"/>
          <w:sz w:val="24"/>
          <w:szCs w:val="24"/>
          <w:vertAlign w:val="superscript"/>
        </w:rPr>
        <w:footnoteReference w:id="9"/>
      </w:r>
      <w:r w:rsidR="000F2B0A" w:rsidRPr="00F343F2">
        <w:rPr>
          <w:rFonts w:ascii="Times New Roman" w:hAnsi="Times New Roman" w:cs="Times New Roman"/>
          <w:color w:val="000000" w:themeColor="text1"/>
          <w:sz w:val="24"/>
          <w:szCs w:val="24"/>
          <w:vertAlign w:val="superscript"/>
        </w:rPr>
        <w:t xml:space="preserve"> </w:t>
      </w:r>
      <w:r w:rsidR="000F2B0A" w:rsidRPr="00F343F2">
        <w:rPr>
          <w:rFonts w:ascii="Times New Roman" w:hAnsi="Times New Roman" w:cs="Times New Roman"/>
          <w:color w:val="000000" w:themeColor="text1"/>
          <w:sz w:val="24"/>
          <w:szCs w:val="24"/>
        </w:rPr>
        <w:t>For example, in Guatemala, indigenous Mayan women and girls comprised about 25 percent of the direct victims of brutal human rights violations</w:t>
      </w:r>
      <w:r>
        <w:rPr>
          <w:rFonts w:ascii="Times New Roman" w:hAnsi="Times New Roman" w:cs="Times New Roman"/>
          <w:color w:val="000000" w:themeColor="text1"/>
          <w:sz w:val="24"/>
          <w:szCs w:val="24"/>
        </w:rPr>
        <w:t xml:space="preserve"> during the armed conflict</w:t>
      </w:r>
      <w:r w:rsidR="000F2B0A" w:rsidRPr="00F343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including</w:t>
      </w:r>
      <w:r w:rsidR="000F2B0A" w:rsidRPr="00F343F2">
        <w:rPr>
          <w:rFonts w:ascii="Times New Roman" w:hAnsi="Times New Roman" w:cs="Times New Roman"/>
          <w:color w:val="000000" w:themeColor="text1"/>
          <w:sz w:val="24"/>
          <w:szCs w:val="24"/>
        </w:rPr>
        <w:t xml:space="preserve"> rape, torture, amputations, </w:t>
      </w:r>
      <w:r>
        <w:rPr>
          <w:rFonts w:ascii="Times New Roman" w:hAnsi="Times New Roman" w:cs="Times New Roman"/>
          <w:color w:val="000000" w:themeColor="text1"/>
          <w:sz w:val="24"/>
          <w:szCs w:val="24"/>
        </w:rPr>
        <w:t xml:space="preserve">and </w:t>
      </w:r>
      <w:r w:rsidR="000F2B0A" w:rsidRPr="00F343F2">
        <w:rPr>
          <w:rFonts w:ascii="Times New Roman" w:hAnsi="Times New Roman" w:cs="Times New Roman"/>
          <w:color w:val="000000" w:themeColor="text1"/>
          <w:sz w:val="24"/>
          <w:szCs w:val="24"/>
        </w:rPr>
        <w:t>massacres.</w:t>
      </w:r>
      <w:r w:rsidR="000F2B0A" w:rsidRPr="00F343F2">
        <w:rPr>
          <w:rFonts w:ascii="Times New Roman" w:hAnsi="Times New Roman" w:cs="Times New Roman"/>
          <w:color w:val="000000" w:themeColor="text1"/>
          <w:sz w:val="24"/>
          <w:szCs w:val="24"/>
          <w:vertAlign w:val="superscript"/>
        </w:rPr>
        <w:footnoteReference w:id="10"/>
      </w:r>
      <w:r w:rsidR="000F2B0A" w:rsidRPr="00F343F2">
        <w:rPr>
          <w:rFonts w:ascii="Times New Roman" w:hAnsi="Times New Roman" w:cs="Times New Roman"/>
          <w:color w:val="000000" w:themeColor="text1"/>
          <w:sz w:val="24"/>
          <w:szCs w:val="24"/>
        </w:rPr>
        <w:t xml:space="preserve"> In fact, the </w:t>
      </w:r>
      <w:r w:rsidR="007A2F8C">
        <w:rPr>
          <w:rFonts w:ascii="Times New Roman" w:hAnsi="Times New Roman" w:cs="Times New Roman"/>
          <w:color w:val="000000" w:themeColor="text1"/>
          <w:sz w:val="24"/>
          <w:szCs w:val="24"/>
        </w:rPr>
        <w:t xml:space="preserve">Guatemalan </w:t>
      </w:r>
      <w:r w:rsidR="000F2B0A" w:rsidRPr="00F343F2">
        <w:rPr>
          <w:rFonts w:ascii="Times New Roman" w:hAnsi="Times New Roman" w:cs="Times New Roman"/>
          <w:color w:val="000000" w:themeColor="text1"/>
          <w:sz w:val="24"/>
          <w:szCs w:val="24"/>
        </w:rPr>
        <w:t xml:space="preserve">Commission for Historical Clarification noted that “the loathing and debasement of indigenous women in military parlance during the armed confrontation reached such extremes that women came to be regarded as </w:t>
      </w:r>
      <w:r w:rsidR="000F2B0A" w:rsidRPr="00F343F2">
        <w:rPr>
          <w:rFonts w:ascii="Times New Roman" w:hAnsi="Times New Roman" w:cs="Times New Roman"/>
          <w:i/>
          <w:color w:val="000000" w:themeColor="text1"/>
          <w:sz w:val="24"/>
          <w:szCs w:val="24"/>
        </w:rPr>
        <w:t>meat.</w:t>
      </w:r>
      <w:r w:rsidR="000F2B0A" w:rsidRPr="00F343F2">
        <w:rPr>
          <w:rFonts w:ascii="Times New Roman" w:hAnsi="Times New Roman" w:cs="Times New Roman"/>
          <w:color w:val="000000" w:themeColor="text1"/>
          <w:sz w:val="24"/>
          <w:szCs w:val="24"/>
        </w:rPr>
        <w:t>”</w:t>
      </w:r>
      <w:r w:rsidR="000F2B0A" w:rsidRPr="00F343F2">
        <w:rPr>
          <w:rFonts w:ascii="Times New Roman" w:hAnsi="Times New Roman" w:cs="Times New Roman"/>
          <w:color w:val="000000" w:themeColor="text1"/>
          <w:sz w:val="24"/>
          <w:szCs w:val="24"/>
          <w:vertAlign w:val="superscript"/>
        </w:rPr>
        <w:footnoteReference w:id="11"/>
      </w:r>
      <w:r w:rsidR="000F2B0A" w:rsidRPr="00F343F2">
        <w:rPr>
          <w:rFonts w:ascii="Times New Roman" w:hAnsi="Times New Roman" w:cs="Times New Roman"/>
          <w:color w:val="000000" w:themeColor="text1"/>
          <w:sz w:val="24"/>
          <w:szCs w:val="24"/>
        </w:rPr>
        <w:t xml:space="preserve"> These brutalities were inflicted by military members upon indigenous Mayan women as part of a broader campaign to destroy this community’s social order and cultural identity.</w:t>
      </w:r>
      <w:r w:rsidR="000F2B0A" w:rsidRPr="00F343F2">
        <w:rPr>
          <w:rFonts w:ascii="Times New Roman" w:hAnsi="Times New Roman" w:cs="Times New Roman"/>
          <w:color w:val="000000" w:themeColor="text1"/>
          <w:sz w:val="24"/>
          <w:szCs w:val="24"/>
          <w:vertAlign w:val="superscript"/>
        </w:rPr>
        <w:footnoteReference w:id="12"/>
      </w:r>
      <w:r w:rsidR="000F2B0A" w:rsidRPr="00F343F2">
        <w:rPr>
          <w:rFonts w:ascii="Times New Roman" w:hAnsi="Times New Roman" w:cs="Times New Roman"/>
          <w:color w:val="000000" w:themeColor="text1"/>
          <w:sz w:val="24"/>
          <w:szCs w:val="24"/>
        </w:rPr>
        <w:t xml:space="preserve"> </w:t>
      </w:r>
    </w:p>
    <w:p w14:paraId="66340509" w14:textId="0A6F8B1A" w:rsidR="000F2B0A" w:rsidRPr="00F343F2" w:rsidRDefault="000F2B0A" w:rsidP="00F343F2">
      <w:pPr>
        <w:spacing w:line="480" w:lineRule="auto"/>
        <w:ind w:firstLine="720"/>
        <w:jc w:val="both"/>
        <w:rPr>
          <w:rFonts w:ascii="Times New Roman" w:hAnsi="Times New Roman" w:cs="Times New Roman"/>
          <w:color w:val="000000" w:themeColor="text1"/>
          <w:sz w:val="24"/>
          <w:szCs w:val="24"/>
        </w:rPr>
      </w:pPr>
      <w:r w:rsidRPr="00F343F2">
        <w:rPr>
          <w:rFonts w:ascii="Times New Roman" w:hAnsi="Times New Roman" w:cs="Times New Roman"/>
          <w:color w:val="000000" w:themeColor="text1"/>
          <w:sz w:val="24"/>
          <w:szCs w:val="24"/>
        </w:rPr>
        <w:t>The IACHR has documented similar violent acts, induced by armed conflict, against indigenous women and girls in Colombia, Peru</w:t>
      </w:r>
      <w:r w:rsidR="007A2F8C">
        <w:rPr>
          <w:rFonts w:ascii="Times New Roman" w:hAnsi="Times New Roman" w:cs="Times New Roman"/>
          <w:color w:val="000000" w:themeColor="text1"/>
          <w:sz w:val="24"/>
          <w:szCs w:val="24"/>
        </w:rPr>
        <w:t xml:space="preserve">, </w:t>
      </w:r>
      <w:r w:rsidRPr="00F343F2">
        <w:rPr>
          <w:rFonts w:ascii="Times New Roman" w:hAnsi="Times New Roman" w:cs="Times New Roman"/>
          <w:color w:val="000000" w:themeColor="text1"/>
          <w:sz w:val="24"/>
          <w:szCs w:val="24"/>
        </w:rPr>
        <w:t>and El Salvador.</w:t>
      </w:r>
      <w:r w:rsidRPr="00F343F2">
        <w:rPr>
          <w:rFonts w:ascii="Times New Roman" w:hAnsi="Times New Roman" w:cs="Times New Roman"/>
          <w:color w:val="000000" w:themeColor="text1"/>
          <w:sz w:val="24"/>
          <w:szCs w:val="24"/>
          <w:vertAlign w:val="superscript"/>
        </w:rPr>
        <w:footnoteReference w:id="13"/>
      </w:r>
      <w:r w:rsidRPr="00F343F2">
        <w:rPr>
          <w:rFonts w:ascii="Times New Roman" w:hAnsi="Times New Roman" w:cs="Times New Roman"/>
          <w:color w:val="000000" w:themeColor="text1"/>
          <w:sz w:val="24"/>
          <w:szCs w:val="24"/>
        </w:rPr>
        <w:t xml:space="preserve"> </w:t>
      </w:r>
      <w:r w:rsidR="007A2F8C">
        <w:rPr>
          <w:rFonts w:ascii="Times New Roman" w:hAnsi="Times New Roman" w:cs="Times New Roman"/>
          <w:color w:val="000000" w:themeColor="text1"/>
          <w:sz w:val="24"/>
          <w:szCs w:val="24"/>
        </w:rPr>
        <w:t xml:space="preserve">In those contexts, </w:t>
      </w:r>
      <w:r w:rsidR="00F343F2" w:rsidRPr="00F343F2">
        <w:rPr>
          <w:rFonts w:ascii="Times New Roman" w:hAnsi="Times New Roman" w:cs="Times New Roman"/>
          <w:color w:val="000000" w:themeColor="text1"/>
          <w:sz w:val="24"/>
          <w:szCs w:val="24"/>
        </w:rPr>
        <w:t>State actors and criminal organizations alike use deadly force to establish control over indigenous lands.</w:t>
      </w:r>
      <w:r w:rsidR="00F343F2" w:rsidRPr="00F343F2">
        <w:rPr>
          <w:rFonts w:ascii="Times New Roman" w:hAnsi="Times New Roman" w:cs="Times New Roman"/>
          <w:color w:val="000000" w:themeColor="text1"/>
          <w:sz w:val="24"/>
          <w:szCs w:val="24"/>
          <w:vertAlign w:val="superscript"/>
        </w:rPr>
        <w:footnoteReference w:id="14"/>
      </w:r>
      <w:r w:rsidR="00F343F2" w:rsidRPr="00F343F2">
        <w:rPr>
          <w:rFonts w:ascii="Times New Roman" w:hAnsi="Times New Roman" w:cs="Times New Roman"/>
          <w:color w:val="000000" w:themeColor="text1"/>
          <w:sz w:val="24"/>
          <w:szCs w:val="24"/>
        </w:rPr>
        <w:t xml:space="preserve"> Increased paramilitary presence in these areas</w:t>
      </w:r>
      <w:r w:rsidR="00F343F2">
        <w:rPr>
          <w:rFonts w:ascii="Times New Roman" w:hAnsi="Times New Roman" w:cs="Times New Roman"/>
          <w:color w:val="000000" w:themeColor="text1"/>
          <w:sz w:val="24"/>
          <w:szCs w:val="24"/>
        </w:rPr>
        <w:t>, for example,</w:t>
      </w:r>
      <w:r w:rsidR="00F343F2" w:rsidRPr="00F343F2">
        <w:rPr>
          <w:rFonts w:ascii="Times New Roman" w:hAnsi="Times New Roman" w:cs="Times New Roman"/>
          <w:color w:val="000000" w:themeColor="text1"/>
          <w:sz w:val="24"/>
          <w:szCs w:val="24"/>
        </w:rPr>
        <w:t xml:space="preserve"> expose indigenous women to rape</w:t>
      </w:r>
      <w:r w:rsidR="00F343F2">
        <w:rPr>
          <w:rFonts w:ascii="Times New Roman" w:hAnsi="Times New Roman" w:cs="Times New Roman"/>
          <w:color w:val="000000" w:themeColor="text1"/>
          <w:sz w:val="24"/>
          <w:szCs w:val="24"/>
        </w:rPr>
        <w:t>,</w:t>
      </w:r>
      <w:r w:rsidR="00F343F2" w:rsidRPr="00F343F2">
        <w:rPr>
          <w:rFonts w:ascii="Times New Roman" w:hAnsi="Times New Roman" w:cs="Times New Roman"/>
          <w:color w:val="000000" w:themeColor="text1"/>
          <w:sz w:val="24"/>
          <w:szCs w:val="24"/>
        </w:rPr>
        <w:t xml:space="preserve"> forced prostitution and sexual slavery.</w:t>
      </w:r>
      <w:r w:rsidR="00F343F2" w:rsidRPr="00F343F2">
        <w:rPr>
          <w:rFonts w:ascii="Times New Roman" w:hAnsi="Times New Roman" w:cs="Times New Roman"/>
          <w:color w:val="000000" w:themeColor="text1"/>
          <w:sz w:val="24"/>
          <w:szCs w:val="24"/>
          <w:vertAlign w:val="superscript"/>
        </w:rPr>
        <w:footnoteReference w:id="15"/>
      </w:r>
    </w:p>
    <w:p w14:paraId="6D7D5E9B" w14:textId="77777777" w:rsidR="00F343F2" w:rsidRDefault="000F2B0A" w:rsidP="00F343F2">
      <w:pPr>
        <w:spacing w:line="480" w:lineRule="auto"/>
        <w:ind w:firstLine="720"/>
        <w:jc w:val="both"/>
        <w:rPr>
          <w:rFonts w:ascii="Times New Roman" w:hAnsi="Times New Roman" w:cs="Times New Roman"/>
          <w:b/>
          <w:i/>
          <w:color w:val="000000" w:themeColor="text1"/>
          <w:sz w:val="24"/>
          <w:szCs w:val="24"/>
        </w:rPr>
      </w:pPr>
      <w:r w:rsidRPr="00F343F2">
        <w:rPr>
          <w:rFonts w:ascii="Times New Roman" w:hAnsi="Times New Roman" w:cs="Times New Roman"/>
          <w:b/>
          <w:i/>
          <w:color w:val="000000" w:themeColor="text1"/>
          <w:sz w:val="24"/>
          <w:szCs w:val="24"/>
        </w:rPr>
        <w:t xml:space="preserve">Violence in Extractive Projects </w:t>
      </w:r>
    </w:p>
    <w:p w14:paraId="74B20CF2" w14:textId="2988504D" w:rsidR="000F2B0A" w:rsidRPr="00F343F2" w:rsidRDefault="000F2B0A" w:rsidP="00F343F2">
      <w:pPr>
        <w:spacing w:line="480" w:lineRule="auto"/>
        <w:ind w:firstLine="720"/>
        <w:jc w:val="both"/>
        <w:rPr>
          <w:rFonts w:ascii="Times New Roman" w:hAnsi="Times New Roman" w:cs="Times New Roman"/>
          <w:color w:val="000000" w:themeColor="text1"/>
          <w:sz w:val="24"/>
          <w:szCs w:val="24"/>
        </w:rPr>
      </w:pPr>
      <w:r w:rsidRPr="00F343F2">
        <w:rPr>
          <w:rFonts w:ascii="Times New Roman" w:hAnsi="Times New Roman" w:cs="Times New Roman"/>
          <w:b/>
          <w:color w:val="000000" w:themeColor="text1"/>
          <w:sz w:val="24"/>
          <w:szCs w:val="24"/>
        </w:rPr>
        <w:t xml:space="preserve">While the IACHR has observed a “noteworthy growth” in efforts to protect indigenous people against human rights violations in the </w:t>
      </w:r>
      <w:r w:rsidR="00F343F2" w:rsidRPr="00F343F2">
        <w:rPr>
          <w:rFonts w:ascii="Times New Roman" w:hAnsi="Times New Roman" w:cs="Times New Roman"/>
          <w:b/>
          <w:color w:val="000000" w:themeColor="text1"/>
          <w:sz w:val="24"/>
          <w:szCs w:val="24"/>
        </w:rPr>
        <w:t xml:space="preserve">context </w:t>
      </w:r>
      <w:r w:rsidR="00F343F2">
        <w:rPr>
          <w:rFonts w:ascii="Times New Roman" w:hAnsi="Times New Roman" w:cs="Times New Roman"/>
          <w:b/>
          <w:color w:val="000000" w:themeColor="text1"/>
          <w:sz w:val="24"/>
          <w:szCs w:val="24"/>
        </w:rPr>
        <w:t xml:space="preserve">of </w:t>
      </w:r>
      <w:r w:rsidRPr="00F343F2">
        <w:rPr>
          <w:rFonts w:ascii="Times New Roman" w:hAnsi="Times New Roman" w:cs="Times New Roman"/>
          <w:b/>
          <w:color w:val="000000" w:themeColor="text1"/>
          <w:sz w:val="24"/>
          <w:szCs w:val="24"/>
        </w:rPr>
        <w:t xml:space="preserve">extractive projects, these </w:t>
      </w:r>
      <w:r w:rsidRPr="00F343F2">
        <w:rPr>
          <w:rFonts w:ascii="Times New Roman" w:hAnsi="Times New Roman" w:cs="Times New Roman"/>
          <w:b/>
          <w:color w:val="000000" w:themeColor="text1"/>
          <w:sz w:val="24"/>
          <w:szCs w:val="24"/>
        </w:rPr>
        <w:lastRenderedPageBreak/>
        <w:t>ventures still lead to violence that disproportionately affects indigenous women and girls.</w:t>
      </w:r>
      <w:r w:rsidRPr="00F343F2">
        <w:rPr>
          <w:rFonts w:ascii="Times New Roman" w:hAnsi="Times New Roman" w:cs="Times New Roman"/>
          <w:color w:val="000000" w:themeColor="text1"/>
          <w:sz w:val="24"/>
          <w:szCs w:val="24"/>
          <w:vertAlign w:val="superscript"/>
        </w:rPr>
        <w:footnoteReference w:id="16"/>
      </w:r>
      <w:r w:rsidRPr="00F343F2">
        <w:rPr>
          <w:rFonts w:ascii="Times New Roman" w:hAnsi="Times New Roman" w:cs="Times New Roman"/>
          <w:color w:val="000000" w:themeColor="text1"/>
          <w:sz w:val="24"/>
          <w:szCs w:val="24"/>
        </w:rPr>
        <w:t xml:space="preserve"> Reports of such devastations have been noted in several States in the region—from Suriname, where mercury, used by gold mining companies without robust dumping procedures, have caused health problems in pregnant women and children,</w:t>
      </w:r>
      <w:r w:rsidRPr="00F343F2">
        <w:rPr>
          <w:rFonts w:ascii="Times New Roman" w:hAnsi="Times New Roman" w:cs="Times New Roman"/>
          <w:color w:val="000000" w:themeColor="text1"/>
          <w:sz w:val="24"/>
          <w:szCs w:val="24"/>
          <w:vertAlign w:val="superscript"/>
        </w:rPr>
        <w:footnoteReference w:id="17"/>
      </w:r>
      <w:r w:rsidRPr="00F343F2">
        <w:rPr>
          <w:rFonts w:ascii="Times New Roman" w:hAnsi="Times New Roman" w:cs="Times New Roman"/>
          <w:color w:val="000000" w:themeColor="text1"/>
          <w:sz w:val="24"/>
          <w:szCs w:val="24"/>
        </w:rPr>
        <w:t xml:space="preserve"> to Guatemala, where dozens of indigenous women reported acts of sexual violence committed by men employed by the developers of the Inter-Oceanic Canal</w:t>
      </w:r>
      <w:r w:rsidRPr="00F343F2">
        <w:rPr>
          <w:rFonts w:ascii="Times New Roman" w:hAnsi="Times New Roman" w:cs="Times New Roman"/>
          <w:color w:val="000000" w:themeColor="text1"/>
          <w:sz w:val="24"/>
          <w:szCs w:val="24"/>
          <w:vertAlign w:val="superscript"/>
        </w:rPr>
        <w:footnoteReference w:id="18"/>
      </w:r>
      <w:r w:rsidRPr="00F343F2">
        <w:rPr>
          <w:rFonts w:ascii="Times New Roman" w:hAnsi="Times New Roman" w:cs="Times New Roman"/>
          <w:color w:val="000000" w:themeColor="text1"/>
          <w:sz w:val="24"/>
          <w:szCs w:val="24"/>
        </w:rPr>
        <w:t xml:space="preserve">. </w:t>
      </w:r>
    </w:p>
    <w:p w14:paraId="53FB41F5" w14:textId="77777777" w:rsidR="000F2B0A" w:rsidRPr="00F343F2" w:rsidRDefault="000F2B0A" w:rsidP="00F343F2">
      <w:pPr>
        <w:ind w:firstLine="720"/>
        <w:jc w:val="both"/>
        <w:rPr>
          <w:rFonts w:ascii="Times New Roman" w:hAnsi="Times New Roman" w:cs="Times New Roman"/>
          <w:color w:val="000000" w:themeColor="text1"/>
          <w:sz w:val="24"/>
          <w:szCs w:val="24"/>
        </w:rPr>
      </w:pPr>
    </w:p>
    <w:p w14:paraId="691E2825" w14:textId="7E41A67E" w:rsidR="000F2B0A" w:rsidRDefault="00F343F2" w:rsidP="00F343F2">
      <w:pPr>
        <w:pStyle w:val="ListParagraph"/>
        <w:numPr>
          <w:ilvl w:val="0"/>
          <w:numId w:val="3"/>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LACK OF </w:t>
      </w:r>
      <w:r w:rsidR="000F2B0A" w:rsidRPr="00F343F2">
        <w:rPr>
          <w:rFonts w:ascii="Times New Roman" w:hAnsi="Times New Roman" w:cs="Times New Roman"/>
          <w:b/>
          <w:color w:val="000000" w:themeColor="text1"/>
          <w:sz w:val="24"/>
          <w:szCs w:val="24"/>
        </w:rPr>
        <w:t>ACCESS TO JUSTIC</w:t>
      </w:r>
      <w:r>
        <w:rPr>
          <w:rFonts w:ascii="Times New Roman" w:hAnsi="Times New Roman" w:cs="Times New Roman"/>
          <w:b/>
          <w:color w:val="000000" w:themeColor="text1"/>
          <w:sz w:val="24"/>
          <w:szCs w:val="24"/>
        </w:rPr>
        <w:t>E</w:t>
      </w:r>
    </w:p>
    <w:p w14:paraId="379D3512" w14:textId="77777777" w:rsidR="00F343F2" w:rsidRPr="00F343F2" w:rsidRDefault="00F343F2" w:rsidP="00F343F2">
      <w:pPr>
        <w:pStyle w:val="ListParagraph"/>
        <w:ind w:left="1080"/>
        <w:jc w:val="both"/>
        <w:rPr>
          <w:rFonts w:ascii="Times New Roman" w:hAnsi="Times New Roman" w:cs="Times New Roman"/>
          <w:b/>
          <w:color w:val="000000" w:themeColor="text1"/>
          <w:sz w:val="24"/>
          <w:szCs w:val="24"/>
        </w:rPr>
      </w:pPr>
    </w:p>
    <w:p w14:paraId="44F712F8" w14:textId="0AD36C3A" w:rsidR="000F2B0A" w:rsidRPr="00F343F2" w:rsidRDefault="000F2B0A" w:rsidP="00F343F2">
      <w:pP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color w:val="000000" w:themeColor="text1"/>
          <w:sz w:val="24"/>
          <w:szCs w:val="24"/>
        </w:rPr>
        <w:tab/>
      </w:r>
      <w:r w:rsidRPr="00F343F2">
        <w:rPr>
          <w:rFonts w:ascii="Times New Roman" w:hAnsi="Times New Roman" w:cs="Times New Roman"/>
          <w:b/>
          <w:color w:val="000000" w:themeColor="text1"/>
          <w:sz w:val="24"/>
          <w:szCs w:val="24"/>
        </w:rPr>
        <w:t xml:space="preserve">Indigenous women’s </w:t>
      </w:r>
      <w:r w:rsidR="00975F67" w:rsidRPr="00F343F2">
        <w:rPr>
          <w:rFonts w:ascii="Times New Roman" w:hAnsi="Times New Roman" w:cs="Times New Roman"/>
          <w:b/>
          <w:color w:val="000000" w:themeColor="text1"/>
          <w:sz w:val="24"/>
          <w:szCs w:val="24"/>
        </w:rPr>
        <w:t xml:space="preserve">geographic isolation and lack of interpreters, basic legal education, and monetary resources </w:t>
      </w:r>
      <w:r w:rsidR="00975F67">
        <w:rPr>
          <w:rFonts w:ascii="Times New Roman" w:hAnsi="Times New Roman" w:cs="Times New Roman"/>
          <w:b/>
          <w:color w:val="000000" w:themeColor="text1"/>
          <w:sz w:val="24"/>
          <w:szCs w:val="24"/>
        </w:rPr>
        <w:t>often prevents them from having</w:t>
      </w:r>
      <w:r w:rsidRPr="00F343F2">
        <w:rPr>
          <w:rFonts w:ascii="Times New Roman" w:hAnsi="Times New Roman" w:cs="Times New Roman"/>
          <w:b/>
          <w:color w:val="000000" w:themeColor="text1"/>
          <w:sz w:val="24"/>
          <w:szCs w:val="24"/>
        </w:rPr>
        <w:t xml:space="preserve"> access to justice </w:t>
      </w:r>
      <w:r w:rsidR="00975F67">
        <w:rPr>
          <w:rFonts w:ascii="Times New Roman" w:hAnsi="Times New Roman" w:cs="Times New Roman"/>
          <w:b/>
          <w:color w:val="000000" w:themeColor="text1"/>
          <w:sz w:val="24"/>
          <w:szCs w:val="24"/>
        </w:rPr>
        <w:t>mechanisms</w:t>
      </w:r>
      <w:r w:rsidRPr="00F343F2">
        <w:rPr>
          <w:rFonts w:ascii="Times New Roman" w:hAnsi="Times New Roman" w:cs="Times New Roman"/>
          <w:b/>
          <w:color w:val="000000" w:themeColor="text1"/>
          <w:sz w:val="24"/>
          <w:szCs w:val="24"/>
        </w:rPr>
        <w:t>.</w:t>
      </w:r>
      <w:r w:rsidRPr="00F343F2">
        <w:rPr>
          <w:rFonts w:ascii="Times New Roman" w:hAnsi="Times New Roman" w:cs="Times New Roman"/>
          <w:color w:val="000000" w:themeColor="text1"/>
          <w:sz w:val="24"/>
          <w:szCs w:val="24"/>
          <w:vertAlign w:val="superscript"/>
        </w:rPr>
        <w:footnoteReference w:id="19"/>
      </w:r>
      <w:r w:rsidRPr="00F343F2">
        <w:rPr>
          <w:rFonts w:ascii="Times New Roman" w:hAnsi="Times New Roman" w:cs="Times New Roman"/>
          <w:color w:val="000000" w:themeColor="text1"/>
          <w:sz w:val="24"/>
          <w:szCs w:val="24"/>
        </w:rPr>
        <w:t xml:space="preserve"> </w:t>
      </w:r>
      <w:r w:rsidR="00975F67">
        <w:rPr>
          <w:rFonts w:ascii="Times New Roman" w:hAnsi="Times New Roman" w:cs="Times New Roman"/>
          <w:color w:val="000000" w:themeColor="text1"/>
          <w:sz w:val="24"/>
          <w:szCs w:val="24"/>
        </w:rPr>
        <w:t>Indigenous women and girls</w:t>
      </w:r>
      <w:r w:rsidRPr="00F343F2">
        <w:rPr>
          <w:rFonts w:ascii="Times New Roman" w:hAnsi="Times New Roman" w:cs="Times New Roman"/>
          <w:color w:val="000000" w:themeColor="text1"/>
          <w:sz w:val="24"/>
          <w:szCs w:val="24"/>
        </w:rPr>
        <w:t xml:space="preserve"> are</w:t>
      </w:r>
      <w:r w:rsidR="00975F67">
        <w:rPr>
          <w:rFonts w:ascii="Times New Roman" w:hAnsi="Times New Roman" w:cs="Times New Roman"/>
          <w:color w:val="000000" w:themeColor="text1"/>
          <w:sz w:val="24"/>
          <w:szCs w:val="24"/>
        </w:rPr>
        <w:t xml:space="preserve"> often</w:t>
      </w:r>
      <w:r w:rsidR="007A2F8C">
        <w:rPr>
          <w:rFonts w:ascii="Times New Roman" w:hAnsi="Times New Roman" w:cs="Times New Roman"/>
          <w:color w:val="000000" w:themeColor="text1"/>
          <w:sz w:val="24"/>
          <w:szCs w:val="24"/>
        </w:rPr>
        <w:t xml:space="preserve"> located</w:t>
      </w:r>
      <w:r w:rsidRPr="00F343F2">
        <w:rPr>
          <w:rFonts w:ascii="Times New Roman" w:hAnsi="Times New Roman" w:cs="Times New Roman"/>
          <w:color w:val="000000" w:themeColor="text1"/>
          <w:sz w:val="24"/>
          <w:szCs w:val="24"/>
        </w:rPr>
        <w:t xml:space="preserve"> far from cities where they could file a complaint, </w:t>
      </w:r>
      <w:r w:rsidR="00975F67">
        <w:rPr>
          <w:rFonts w:ascii="Times New Roman" w:hAnsi="Times New Roman" w:cs="Times New Roman"/>
          <w:color w:val="000000" w:themeColor="text1"/>
          <w:sz w:val="24"/>
          <w:szCs w:val="24"/>
        </w:rPr>
        <w:t>forcing</w:t>
      </w:r>
      <w:r w:rsidRPr="00F343F2">
        <w:rPr>
          <w:rFonts w:ascii="Times New Roman" w:hAnsi="Times New Roman" w:cs="Times New Roman"/>
          <w:color w:val="000000" w:themeColor="text1"/>
          <w:sz w:val="24"/>
          <w:szCs w:val="24"/>
        </w:rPr>
        <w:t xml:space="preserve"> them to walk several days to reach a courthouse.</w:t>
      </w:r>
      <w:r w:rsidRPr="00F343F2">
        <w:rPr>
          <w:rFonts w:ascii="Times New Roman" w:hAnsi="Times New Roman" w:cs="Times New Roman"/>
          <w:color w:val="000000" w:themeColor="text1"/>
          <w:sz w:val="24"/>
          <w:szCs w:val="24"/>
          <w:vertAlign w:val="superscript"/>
        </w:rPr>
        <w:footnoteReference w:id="20"/>
      </w:r>
      <w:r w:rsidRPr="00F343F2">
        <w:rPr>
          <w:rFonts w:ascii="Times New Roman" w:hAnsi="Times New Roman" w:cs="Times New Roman"/>
          <w:color w:val="000000" w:themeColor="text1"/>
          <w:sz w:val="24"/>
          <w:szCs w:val="24"/>
        </w:rPr>
        <w:t xml:space="preserve"> Once an indigenous woman reaches a courthouse, she often will not speak the local language and may not have access to a court interpreter.</w:t>
      </w:r>
      <w:r w:rsidRPr="00F343F2">
        <w:rPr>
          <w:rFonts w:ascii="Times New Roman" w:hAnsi="Times New Roman" w:cs="Times New Roman"/>
          <w:color w:val="000000" w:themeColor="text1"/>
          <w:sz w:val="24"/>
          <w:szCs w:val="24"/>
          <w:vertAlign w:val="superscript"/>
        </w:rPr>
        <w:footnoteReference w:id="21"/>
      </w:r>
      <w:r w:rsidRPr="00F343F2">
        <w:rPr>
          <w:rFonts w:ascii="Times New Roman" w:hAnsi="Times New Roman" w:cs="Times New Roman"/>
          <w:color w:val="000000" w:themeColor="text1"/>
          <w:sz w:val="24"/>
          <w:szCs w:val="24"/>
        </w:rPr>
        <w:t xml:space="preserve"> States must make the effort to hire interpreters according to Article 8(2)(a) of the American Convention and Article 12 of ILO Convention 169 and utilize the standards provided in Article XXII Section 3 of American Declaration on the Rights of Indigenous Peoples so that indigenous women can have equal access to justice.</w:t>
      </w:r>
      <w:r w:rsidRPr="00F343F2">
        <w:rPr>
          <w:rFonts w:ascii="Times New Roman" w:hAnsi="Times New Roman" w:cs="Times New Roman"/>
          <w:color w:val="000000" w:themeColor="text1"/>
          <w:sz w:val="24"/>
          <w:szCs w:val="24"/>
          <w:vertAlign w:val="superscript"/>
        </w:rPr>
        <w:footnoteReference w:id="22"/>
      </w:r>
      <w:r w:rsidRPr="00F343F2">
        <w:rPr>
          <w:rFonts w:ascii="Times New Roman" w:hAnsi="Times New Roman" w:cs="Times New Roman"/>
          <w:color w:val="000000" w:themeColor="text1"/>
          <w:sz w:val="24"/>
          <w:szCs w:val="24"/>
        </w:rPr>
        <w:t xml:space="preserve"> </w:t>
      </w:r>
    </w:p>
    <w:p w14:paraId="32E0A8D6" w14:textId="77777777" w:rsidR="006067E7" w:rsidRDefault="000F2B0A" w:rsidP="00F343F2">
      <w:pPr>
        <w:spacing w:line="480" w:lineRule="auto"/>
        <w:ind w:firstLine="720"/>
        <w:jc w:val="both"/>
        <w:rPr>
          <w:rFonts w:ascii="Times New Roman" w:hAnsi="Times New Roman" w:cs="Times New Roman"/>
          <w:b/>
          <w:i/>
          <w:color w:val="000000" w:themeColor="text1"/>
          <w:sz w:val="24"/>
          <w:szCs w:val="24"/>
        </w:rPr>
      </w:pPr>
      <w:r w:rsidRPr="00F343F2">
        <w:rPr>
          <w:rFonts w:ascii="Times New Roman" w:hAnsi="Times New Roman" w:cs="Times New Roman"/>
          <w:b/>
          <w:i/>
          <w:color w:val="000000" w:themeColor="text1"/>
          <w:sz w:val="24"/>
          <w:szCs w:val="24"/>
        </w:rPr>
        <w:t>Multidisciplinary Approach</w:t>
      </w:r>
    </w:p>
    <w:p w14:paraId="559F93C7" w14:textId="52E07001" w:rsidR="000F2B0A" w:rsidRPr="00F343F2" w:rsidRDefault="000F2B0A" w:rsidP="00F343F2">
      <w:pPr>
        <w:spacing w:line="480" w:lineRule="auto"/>
        <w:ind w:firstLine="720"/>
        <w:jc w:val="both"/>
        <w:rPr>
          <w:rFonts w:ascii="Times New Roman" w:hAnsi="Times New Roman" w:cs="Times New Roman"/>
          <w:color w:val="000000" w:themeColor="text1"/>
          <w:sz w:val="24"/>
          <w:szCs w:val="24"/>
        </w:rPr>
      </w:pPr>
      <w:r w:rsidRPr="00F343F2">
        <w:rPr>
          <w:rFonts w:ascii="Times New Roman" w:hAnsi="Times New Roman" w:cs="Times New Roman"/>
          <w:b/>
          <w:color w:val="000000" w:themeColor="text1"/>
          <w:sz w:val="24"/>
          <w:szCs w:val="24"/>
        </w:rPr>
        <w:lastRenderedPageBreak/>
        <w:t>We suggest t</w:t>
      </w:r>
      <w:r w:rsidR="00975F67">
        <w:rPr>
          <w:rFonts w:ascii="Times New Roman" w:hAnsi="Times New Roman" w:cs="Times New Roman"/>
          <w:b/>
          <w:color w:val="000000" w:themeColor="text1"/>
          <w:sz w:val="24"/>
          <w:szCs w:val="24"/>
        </w:rPr>
        <w:t>hat the Committee recommend that States adopt</w:t>
      </w:r>
      <w:r w:rsidRPr="00F343F2">
        <w:rPr>
          <w:rFonts w:ascii="Times New Roman" w:hAnsi="Times New Roman" w:cs="Times New Roman"/>
          <w:b/>
          <w:color w:val="000000" w:themeColor="text1"/>
          <w:sz w:val="24"/>
          <w:szCs w:val="24"/>
        </w:rPr>
        <w:t xml:space="preserve"> a multidisciplinary approach to ensure access to justice</w:t>
      </w:r>
      <w:r w:rsidR="00975F67">
        <w:rPr>
          <w:rFonts w:ascii="Times New Roman" w:hAnsi="Times New Roman" w:cs="Times New Roman"/>
          <w:b/>
          <w:color w:val="000000" w:themeColor="text1"/>
          <w:sz w:val="24"/>
          <w:szCs w:val="24"/>
        </w:rPr>
        <w:t xml:space="preserve"> for indigenous women and girls</w:t>
      </w:r>
      <w:r w:rsidRPr="00F343F2">
        <w:rPr>
          <w:rFonts w:ascii="Times New Roman" w:hAnsi="Times New Roman" w:cs="Times New Roman"/>
          <w:b/>
          <w:color w:val="000000" w:themeColor="text1"/>
          <w:sz w:val="24"/>
          <w:szCs w:val="24"/>
        </w:rPr>
        <w:t>, meaning that professionals such as health care workers and translators should be informed o</w:t>
      </w:r>
      <w:r w:rsidR="007A2F8C">
        <w:rPr>
          <w:rFonts w:ascii="Times New Roman" w:hAnsi="Times New Roman" w:cs="Times New Roman"/>
          <w:b/>
          <w:color w:val="000000" w:themeColor="text1"/>
          <w:sz w:val="24"/>
          <w:szCs w:val="24"/>
        </w:rPr>
        <w:t>f</w:t>
      </w:r>
      <w:r w:rsidRPr="00F343F2">
        <w:rPr>
          <w:rFonts w:ascii="Times New Roman" w:hAnsi="Times New Roman" w:cs="Times New Roman"/>
          <w:b/>
          <w:color w:val="000000" w:themeColor="text1"/>
          <w:sz w:val="24"/>
          <w:szCs w:val="24"/>
        </w:rPr>
        <w:t xml:space="preserve"> the particular</w:t>
      </w:r>
      <w:r w:rsidR="007A2F8C">
        <w:rPr>
          <w:rFonts w:ascii="Times New Roman" w:hAnsi="Times New Roman" w:cs="Times New Roman"/>
          <w:b/>
          <w:color w:val="000000" w:themeColor="text1"/>
          <w:sz w:val="24"/>
          <w:szCs w:val="24"/>
        </w:rPr>
        <w:t xml:space="preserve"> needs and circumstances</w:t>
      </w:r>
      <w:r w:rsidRPr="00F343F2">
        <w:rPr>
          <w:rFonts w:ascii="Times New Roman" w:hAnsi="Times New Roman" w:cs="Times New Roman"/>
          <w:b/>
          <w:color w:val="000000" w:themeColor="text1"/>
          <w:sz w:val="24"/>
          <w:szCs w:val="24"/>
        </w:rPr>
        <w:t xml:space="preserve"> of indigenous women</w:t>
      </w:r>
      <w:r w:rsidRPr="00F343F2">
        <w:rPr>
          <w:rFonts w:ascii="Times New Roman" w:hAnsi="Times New Roman" w:cs="Times New Roman"/>
          <w:color w:val="000000" w:themeColor="text1"/>
          <w:sz w:val="24"/>
          <w:szCs w:val="24"/>
        </w:rPr>
        <w:t xml:space="preserve">. Specifically, </w:t>
      </w:r>
      <w:r w:rsidR="00975F67">
        <w:rPr>
          <w:rFonts w:ascii="Times New Roman" w:hAnsi="Times New Roman" w:cs="Times New Roman"/>
          <w:color w:val="000000" w:themeColor="text1"/>
          <w:sz w:val="24"/>
          <w:szCs w:val="24"/>
        </w:rPr>
        <w:t>justice workers</w:t>
      </w:r>
      <w:r w:rsidRPr="00F343F2">
        <w:rPr>
          <w:rFonts w:ascii="Times New Roman" w:hAnsi="Times New Roman" w:cs="Times New Roman"/>
          <w:color w:val="000000" w:themeColor="text1"/>
          <w:sz w:val="24"/>
          <w:szCs w:val="24"/>
        </w:rPr>
        <w:t xml:space="preserve"> must be educated on cultural norms, languages, and customs </w:t>
      </w:r>
      <w:r w:rsidR="00975F67">
        <w:rPr>
          <w:rFonts w:ascii="Times New Roman" w:hAnsi="Times New Roman" w:cs="Times New Roman"/>
          <w:color w:val="000000" w:themeColor="text1"/>
          <w:sz w:val="24"/>
          <w:szCs w:val="24"/>
        </w:rPr>
        <w:t xml:space="preserve">of indigenous women </w:t>
      </w:r>
      <w:r w:rsidRPr="00F343F2">
        <w:rPr>
          <w:rFonts w:ascii="Times New Roman" w:hAnsi="Times New Roman" w:cs="Times New Roman"/>
          <w:color w:val="000000" w:themeColor="text1"/>
          <w:sz w:val="24"/>
          <w:szCs w:val="24"/>
        </w:rPr>
        <w:t>to ensure they are able to access the proper resources they need to file complaints.</w:t>
      </w:r>
      <w:r w:rsidRPr="00F343F2">
        <w:rPr>
          <w:rFonts w:ascii="Times New Roman" w:hAnsi="Times New Roman" w:cs="Times New Roman"/>
          <w:color w:val="000000" w:themeColor="text1"/>
          <w:sz w:val="24"/>
          <w:szCs w:val="24"/>
          <w:vertAlign w:val="superscript"/>
        </w:rPr>
        <w:footnoteReference w:id="23"/>
      </w:r>
      <w:r w:rsidRPr="00F343F2">
        <w:rPr>
          <w:rFonts w:ascii="Times New Roman" w:hAnsi="Times New Roman" w:cs="Times New Roman"/>
          <w:color w:val="000000" w:themeColor="text1"/>
          <w:sz w:val="24"/>
          <w:szCs w:val="24"/>
        </w:rPr>
        <w:t xml:space="preserve"> </w:t>
      </w:r>
      <w:r w:rsidR="00975F67">
        <w:rPr>
          <w:rFonts w:ascii="Times New Roman" w:hAnsi="Times New Roman" w:cs="Times New Roman"/>
          <w:color w:val="000000" w:themeColor="text1"/>
          <w:sz w:val="24"/>
          <w:szCs w:val="24"/>
        </w:rPr>
        <w:t>T</w:t>
      </w:r>
      <w:r w:rsidRPr="00F343F2">
        <w:rPr>
          <w:rFonts w:ascii="Times New Roman" w:hAnsi="Times New Roman" w:cs="Times New Roman"/>
          <w:color w:val="000000" w:themeColor="text1"/>
          <w:sz w:val="24"/>
          <w:szCs w:val="24"/>
        </w:rPr>
        <w:t>here are differences in culture when it comes to indigenous women reporting sexual violence</w:t>
      </w:r>
      <w:r w:rsidR="007A2F8C">
        <w:rPr>
          <w:rFonts w:ascii="Times New Roman" w:hAnsi="Times New Roman" w:cs="Times New Roman"/>
          <w:color w:val="000000" w:themeColor="text1"/>
          <w:sz w:val="24"/>
          <w:szCs w:val="24"/>
        </w:rPr>
        <w:t>, for example</w:t>
      </w:r>
      <w:r w:rsidRPr="00F343F2">
        <w:rPr>
          <w:rFonts w:ascii="Times New Roman" w:hAnsi="Times New Roman" w:cs="Times New Roman"/>
          <w:color w:val="000000" w:themeColor="text1"/>
          <w:sz w:val="24"/>
          <w:szCs w:val="24"/>
        </w:rPr>
        <w:t xml:space="preserve">. </w:t>
      </w:r>
      <w:r w:rsidR="00975F67">
        <w:rPr>
          <w:rFonts w:ascii="Times New Roman" w:hAnsi="Times New Roman" w:cs="Times New Roman"/>
          <w:color w:val="000000" w:themeColor="text1"/>
          <w:sz w:val="24"/>
          <w:szCs w:val="24"/>
        </w:rPr>
        <w:t>Indigenous women and girls</w:t>
      </w:r>
      <w:r w:rsidRPr="00F343F2">
        <w:rPr>
          <w:rFonts w:ascii="Times New Roman" w:hAnsi="Times New Roman" w:cs="Times New Roman"/>
          <w:color w:val="000000" w:themeColor="text1"/>
          <w:sz w:val="24"/>
          <w:szCs w:val="24"/>
        </w:rPr>
        <w:t xml:space="preserve"> may face ostracization and shame from their communities for a heinous act that took away their bodily autonomy.</w:t>
      </w:r>
      <w:r w:rsidRPr="00F343F2">
        <w:rPr>
          <w:rFonts w:ascii="Times New Roman" w:hAnsi="Times New Roman" w:cs="Times New Roman"/>
          <w:color w:val="000000" w:themeColor="text1"/>
          <w:sz w:val="24"/>
          <w:szCs w:val="24"/>
          <w:vertAlign w:val="superscript"/>
        </w:rPr>
        <w:footnoteReference w:id="24"/>
      </w:r>
      <w:r w:rsidRPr="00F343F2">
        <w:rPr>
          <w:rFonts w:ascii="Times New Roman" w:hAnsi="Times New Roman" w:cs="Times New Roman"/>
          <w:color w:val="000000" w:themeColor="text1"/>
          <w:sz w:val="24"/>
          <w:szCs w:val="24"/>
        </w:rPr>
        <w:t xml:space="preserve"> Anthropological experts can explain to courts the norms of a specific indigenous woman, and interpreters can ensure that the woman is able to participate fully and competently in her legal action.</w:t>
      </w:r>
      <w:r w:rsidRPr="00F343F2">
        <w:rPr>
          <w:rFonts w:ascii="Times New Roman" w:hAnsi="Times New Roman" w:cs="Times New Roman"/>
          <w:color w:val="000000" w:themeColor="text1"/>
          <w:sz w:val="24"/>
          <w:szCs w:val="24"/>
          <w:vertAlign w:val="superscript"/>
        </w:rPr>
        <w:footnoteReference w:id="25"/>
      </w:r>
      <w:r w:rsidRPr="00F343F2">
        <w:rPr>
          <w:rFonts w:ascii="Times New Roman" w:hAnsi="Times New Roman" w:cs="Times New Roman"/>
          <w:color w:val="000000" w:themeColor="text1"/>
          <w:sz w:val="24"/>
          <w:szCs w:val="24"/>
        </w:rPr>
        <w:t xml:space="preserve"> Having this multidisciplinary approach is imperative, as indigenous women cannot be properly represented if the court does not understand their language and culture. States must provide comprehensive training to all those involved in the legal system to allow indigenous women to file complaints with culturally competent professionals.</w:t>
      </w:r>
    </w:p>
    <w:p w14:paraId="718D8959" w14:textId="77777777" w:rsidR="006067E7" w:rsidRDefault="000F2B0A" w:rsidP="00F343F2">
      <w:pPr>
        <w:spacing w:line="480" w:lineRule="auto"/>
        <w:ind w:firstLine="720"/>
        <w:jc w:val="both"/>
        <w:rPr>
          <w:rFonts w:ascii="Times New Roman" w:hAnsi="Times New Roman" w:cs="Times New Roman"/>
          <w:b/>
          <w:color w:val="000000" w:themeColor="text1"/>
          <w:sz w:val="24"/>
          <w:szCs w:val="24"/>
        </w:rPr>
      </w:pPr>
      <w:r w:rsidRPr="00F343F2">
        <w:rPr>
          <w:rFonts w:ascii="Times New Roman" w:hAnsi="Times New Roman" w:cs="Times New Roman"/>
          <w:b/>
          <w:i/>
          <w:color w:val="000000" w:themeColor="text1"/>
          <w:sz w:val="24"/>
          <w:szCs w:val="24"/>
        </w:rPr>
        <w:t>Reparations</w:t>
      </w:r>
    </w:p>
    <w:p w14:paraId="0AD85AC4" w14:textId="77777777" w:rsidR="007A2F8C" w:rsidRDefault="00975F67" w:rsidP="00F343F2">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The Committee</w:t>
      </w:r>
      <w:r w:rsidR="000F2B0A" w:rsidRPr="00F343F2">
        <w:rPr>
          <w:rFonts w:ascii="Times New Roman" w:hAnsi="Times New Roman" w:cs="Times New Roman"/>
          <w:b/>
          <w:color w:val="000000" w:themeColor="text1"/>
          <w:sz w:val="24"/>
          <w:szCs w:val="24"/>
        </w:rPr>
        <w:t xml:space="preserve"> should also </w:t>
      </w:r>
      <w:r>
        <w:rPr>
          <w:rFonts w:ascii="Times New Roman" w:hAnsi="Times New Roman" w:cs="Times New Roman"/>
          <w:b/>
          <w:color w:val="000000" w:themeColor="text1"/>
          <w:sz w:val="24"/>
          <w:szCs w:val="24"/>
        </w:rPr>
        <w:t>recommend that States allow</w:t>
      </w:r>
      <w:r w:rsidR="000F2B0A" w:rsidRPr="00F343F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indigenous women to actively participate in the determination of forms of </w:t>
      </w:r>
      <w:r w:rsidR="000F2B0A" w:rsidRPr="00F343F2">
        <w:rPr>
          <w:rFonts w:ascii="Times New Roman" w:hAnsi="Times New Roman" w:cs="Times New Roman"/>
          <w:b/>
          <w:color w:val="000000" w:themeColor="text1"/>
          <w:sz w:val="24"/>
          <w:szCs w:val="24"/>
        </w:rPr>
        <w:t>reparations</w:t>
      </w:r>
      <w:r>
        <w:rPr>
          <w:rFonts w:ascii="Times New Roman" w:hAnsi="Times New Roman" w:cs="Times New Roman"/>
          <w:b/>
          <w:color w:val="000000" w:themeColor="text1"/>
          <w:sz w:val="24"/>
          <w:szCs w:val="24"/>
        </w:rPr>
        <w:t xml:space="preserve"> for their human rights violation</w:t>
      </w:r>
      <w:r w:rsidR="007A2F8C">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w:t>
      </w:r>
      <w:r w:rsidRPr="00975F67">
        <w:rPr>
          <w:rFonts w:ascii="Times New Roman" w:hAnsi="Times New Roman" w:cs="Times New Roman"/>
          <w:bCs/>
          <w:color w:val="000000" w:themeColor="text1"/>
          <w:sz w:val="24"/>
          <w:szCs w:val="24"/>
        </w:rPr>
        <w:t>These reparations must</w:t>
      </w:r>
      <w:r w:rsidR="000F2B0A" w:rsidRPr="00975F67">
        <w:rPr>
          <w:rFonts w:ascii="Times New Roman" w:hAnsi="Times New Roman" w:cs="Times New Roman"/>
          <w:bCs/>
          <w:color w:val="000000" w:themeColor="text1"/>
          <w:sz w:val="24"/>
          <w:szCs w:val="24"/>
        </w:rPr>
        <w:t xml:space="preserve"> </w:t>
      </w:r>
      <w:r w:rsidRPr="00975F67">
        <w:rPr>
          <w:rFonts w:ascii="Times New Roman" w:hAnsi="Times New Roman" w:cs="Times New Roman"/>
          <w:bCs/>
          <w:color w:val="000000" w:themeColor="text1"/>
          <w:sz w:val="24"/>
          <w:szCs w:val="24"/>
        </w:rPr>
        <w:t>take into account</w:t>
      </w:r>
      <w:r w:rsidR="000F2B0A" w:rsidRPr="00975F67">
        <w:rPr>
          <w:rFonts w:ascii="Times New Roman" w:hAnsi="Times New Roman" w:cs="Times New Roman"/>
          <w:bCs/>
          <w:color w:val="000000" w:themeColor="text1"/>
          <w:sz w:val="24"/>
          <w:szCs w:val="24"/>
        </w:rPr>
        <w:t xml:space="preserve"> </w:t>
      </w:r>
      <w:r w:rsidRPr="00975F67">
        <w:rPr>
          <w:rFonts w:ascii="Times New Roman" w:hAnsi="Times New Roman" w:cs="Times New Roman"/>
          <w:bCs/>
          <w:color w:val="000000" w:themeColor="text1"/>
          <w:sz w:val="24"/>
          <w:szCs w:val="24"/>
        </w:rPr>
        <w:t>the</w:t>
      </w:r>
      <w:r w:rsidR="000F2B0A" w:rsidRPr="00975F67">
        <w:rPr>
          <w:rFonts w:ascii="Times New Roman" w:hAnsi="Times New Roman" w:cs="Times New Roman"/>
          <w:bCs/>
          <w:color w:val="000000" w:themeColor="text1"/>
          <w:sz w:val="24"/>
          <w:szCs w:val="24"/>
        </w:rPr>
        <w:t xml:space="preserve"> culture and worldview</w:t>
      </w:r>
      <w:r w:rsidRPr="00975F67">
        <w:rPr>
          <w:rFonts w:ascii="Times New Roman" w:hAnsi="Times New Roman" w:cs="Times New Roman"/>
          <w:bCs/>
          <w:color w:val="000000" w:themeColor="text1"/>
          <w:sz w:val="24"/>
          <w:szCs w:val="24"/>
        </w:rPr>
        <w:t xml:space="preserve"> of indigenous women</w:t>
      </w:r>
      <w:r w:rsidR="000F2B0A" w:rsidRPr="00975F67">
        <w:rPr>
          <w:rFonts w:ascii="Times New Roman" w:hAnsi="Times New Roman" w:cs="Times New Roman"/>
          <w:bCs/>
          <w:color w:val="000000" w:themeColor="text1"/>
          <w:sz w:val="24"/>
          <w:szCs w:val="24"/>
        </w:rPr>
        <w:t xml:space="preserve">, </w:t>
      </w:r>
      <w:r w:rsidRPr="00975F67">
        <w:rPr>
          <w:rFonts w:ascii="Times New Roman" w:hAnsi="Times New Roman" w:cs="Times New Roman"/>
          <w:bCs/>
          <w:color w:val="000000" w:themeColor="text1"/>
          <w:sz w:val="24"/>
          <w:szCs w:val="24"/>
        </w:rPr>
        <w:t>with the goal of eliminating the</w:t>
      </w:r>
      <w:r w:rsidR="000F2B0A" w:rsidRPr="00975F67">
        <w:rPr>
          <w:rFonts w:ascii="Times New Roman" w:hAnsi="Times New Roman" w:cs="Times New Roman"/>
          <w:bCs/>
          <w:color w:val="000000" w:themeColor="text1"/>
          <w:sz w:val="24"/>
          <w:szCs w:val="24"/>
        </w:rPr>
        <w:t xml:space="preserve"> discrimination</w:t>
      </w:r>
      <w:r w:rsidRPr="00975F67">
        <w:rPr>
          <w:rFonts w:ascii="Times New Roman" w:hAnsi="Times New Roman" w:cs="Times New Roman"/>
          <w:bCs/>
          <w:color w:val="000000" w:themeColor="text1"/>
          <w:sz w:val="24"/>
          <w:szCs w:val="24"/>
        </w:rPr>
        <w:t xml:space="preserve"> </w:t>
      </w:r>
      <w:r w:rsidR="000F2B0A" w:rsidRPr="00975F67">
        <w:rPr>
          <w:rFonts w:ascii="Times New Roman" w:hAnsi="Times New Roman" w:cs="Times New Roman"/>
          <w:bCs/>
          <w:color w:val="000000" w:themeColor="text1"/>
          <w:sz w:val="24"/>
          <w:szCs w:val="24"/>
        </w:rPr>
        <w:t xml:space="preserve">and stereotypes that </w:t>
      </w:r>
      <w:r w:rsidRPr="00975F67">
        <w:rPr>
          <w:rFonts w:ascii="Times New Roman" w:hAnsi="Times New Roman" w:cs="Times New Roman"/>
          <w:bCs/>
          <w:color w:val="000000" w:themeColor="text1"/>
          <w:sz w:val="24"/>
          <w:szCs w:val="24"/>
        </w:rPr>
        <w:t>perpetuate</w:t>
      </w:r>
      <w:r w:rsidR="000F2B0A" w:rsidRPr="00975F67">
        <w:rPr>
          <w:rFonts w:ascii="Times New Roman" w:hAnsi="Times New Roman" w:cs="Times New Roman"/>
          <w:bCs/>
          <w:color w:val="000000" w:themeColor="text1"/>
          <w:sz w:val="24"/>
          <w:szCs w:val="24"/>
        </w:rPr>
        <w:t xml:space="preserve"> violence </w:t>
      </w:r>
      <w:r w:rsidR="000F2B0A" w:rsidRPr="00975F67">
        <w:rPr>
          <w:rFonts w:ascii="Times New Roman" w:hAnsi="Times New Roman" w:cs="Times New Roman"/>
          <w:bCs/>
          <w:color w:val="000000" w:themeColor="text1"/>
          <w:sz w:val="24"/>
          <w:szCs w:val="24"/>
        </w:rPr>
        <w:lastRenderedPageBreak/>
        <w:t>against indigenous women.</w:t>
      </w:r>
      <w:r w:rsidR="000F2B0A" w:rsidRPr="00975F67">
        <w:rPr>
          <w:rFonts w:ascii="Times New Roman" w:hAnsi="Times New Roman" w:cs="Times New Roman"/>
          <w:bCs/>
          <w:color w:val="000000" w:themeColor="text1"/>
          <w:sz w:val="24"/>
          <w:szCs w:val="24"/>
          <w:vertAlign w:val="superscript"/>
        </w:rPr>
        <w:footnoteReference w:id="26"/>
      </w:r>
      <w:r w:rsidR="000F2B0A" w:rsidRPr="00F343F2">
        <w:rPr>
          <w:rFonts w:ascii="Times New Roman" w:hAnsi="Times New Roman" w:cs="Times New Roman"/>
          <w:color w:val="000000" w:themeColor="text1"/>
          <w:sz w:val="24"/>
          <w:szCs w:val="24"/>
        </w:rPr>
        <w:t xml:space="preserve"> Participation by the victim in </w:t>
      </w:r>
      <w:r>
        <w:rPr>
          <w:rFonts w:ascii="Times New Roman" w:hAnsi="Times New Roman" w:cs="Times New Roman"/>
          <w:color w:val="000000" w:themeColor="text1"/>
          <w:sz w:val="24"/>
          <w:szCs w:val="24"/>
        </w:rPr>
        <w:t xml:space="preserve">determining </w:t>
      </w:r>
      <w:r w:rsidR="000F2B0A" w:rsidRPr="00F343F2">
        <w:rPr>
          <w:rFonts w:ascii="Times New Roman" w:hAnsi="Times New Roman" w:cs="Times New Roman"/>
          <w:color w:val="000000" w:themeColor="text1"/>
          <w:sz w:val="24"/>
          <w:szCs w:val="24"/>
        </w:rPr>
        <w:t>reparation</w:t>
      </w:r>
      <w:r>
        <w:rPr>
          <w:rFonts w:ascii="Times New Roman" w:hAnsi="Times New Roman" w:cs="Times New Roman"/>
          <w:color w:val="000000" w:themeColor="text1"/>
          <w:sz w:val="24"/>
          <w:szCs w:val="24"/>
        </w:rPr>
        <w:t>s</w:t>
      </w:r>
      <w:r w:rsidR="000F2B0A" w:rsidRPr="00F343F2">
        <w:rPr>
          <w:rFonts w:ascii="Times New Roman" w:hAnsi="Times New Roman" w:cs="Times New Roman"/>
          <w:color w:val="000000" w:themeColor="text1"/>
          <w:sz w:val="24"/>
          <w:szCs w:val="24"/>
        </w:rPr>
        <w:t xml:space="preserve"> is crucial so women can take back control of their personal and bodily autonomy.</w:t>
      </w:r>
      <w:r w:rsidR="000F2B0A" w:rsidRPr="00F343F2">
        <w:rPr>
          <w:rFonts w:ascii="Times New Roman" w:hAnsi="Times New Roman" w:cs="Times New Roman"/>
          <w:color w:val="000000" w:themeColor="text1"/>
          <w:sz w:val="24"/>
          <w:szCs w:val="24"/>
          <w:vertAlign w:val="superscript"/>
        </w:rPr>
        <w:footnoteReference w:id="27"/>
      </w:r>
      <w:r w:rsidR="000F2B0A" w:rsidRPr="00F343F2">
        <w:rPr>
          <w:rFonts w:ascii="Times New Roman" w:hAnsi="Times New Roman" w:cs="Times New Roman"/>
          <w:color w:val="000000" w:themeColor="text1"/>
          <w:sz w:val="24"/>
          <w:szCs w:val="24"/>
        </w:rPr>
        <w:t xml:space="preserve"> </w:t>
      </w:r>
    </w:p>
    <w:p w14:paraId="65F51168" w14:textId="338B8775" w:rsidR="000F2B0A" w:rsidRPr="00F343F2" w:rsidRDefault="000F2B0A" w:rsidP="00F343F2">
      <w:pPr>
        <w:spacing w:line="480" w:lineRule="auto"/>
        <w:ind w:firstLine="720"/>
        <w:jc w:val="both"/>
        <w:rPr>
          <w:rFonts w:ascii="Times New Roman" w:hAnsi="Times New Roman" w:cs="Times New Roman"/>
          <w:color w:val="000000" w:themeColor="text1"/>
          <w:sz w:val="24"/>
          <w:szCs w:val="24"/>
        </w:rPr>
      </w:pPr>
      <w:r w:rsidRPr="00F343F2">
        <w:rPr>
          <w:rFonts w:ascii="Times New Roman" w:hAnsi="Times New Roman" w:cs="Times New Roman"/>
          <w:color w:val="000000" w:themeColor="text1"/>
          <w:sz w:val="24"/>
          <w:szCs w:val="24"/>
        </w:rPr>
        <w:t>Further, reparations should aim to dismantle the systemic violence that indigenous women face.</w:t>
      </w:r>
      <w:r w:rsidRPr="00F343F2">
        <w:rPr>
          <w:rFonts w:ascii="Times New Roman" w:hAnsi="Times New Roman" w:cs="Times New Roman"/>
          <w:color w:val="000000" w:themeColor="text1"/>
          <w:sz w:val="24"/>
          <w:szCs w:val="24"/>
          <w:vertAlign w:val="superscript"/>
        </w:rPr>
        <w:footnoteReference w:id="28"/>
      </w:r>
      <w:r w:rsidRPr="00F343F2">
        <w:rPr>
          <w:rFonts w:ascii="Times New Roman" w:hAnsi="Times New Roman" w:cs="Times New Roman"/>
          <w:color w:val="000000" w:themeColor="text1"/>
          <w:sz w:val="24"/>
          <w:szCs w:val="24"/>
        </w:rPr>
        <w:t xml:space="preserve"> </w:t>
      </w:r>
      <w:r w:rsidR="00975F67">
        <w:rPr>
          <w:rFonts w:ascii="Times New Roman" w:hAnsi="Times New Roman" w:cs="Times New Roman"/>
          <w:color w:val="000000" w:themeColor="text1"/>
          <w:sz w:val="24"/>
          <w:szCs w:val="24"/>
        </w:rPr>
        <w:t>In the</w:t>
      </w:r>
      <w:r w:rsidRPr="00F343F2">
        <w:rPr>
          <w:rFonts w:ascii="Times New Roman" w:hAnsi="Times New Roman" w:cs="Times New Roman"/>
          <w:color w:val="000000" w:themeColor="text1"/>
          <w:sz w:val="24"/>
          <w:szCs w:val="24"/>
        </w:rPr>
        <w:t xml:space="preserve"> </w:t>
      </w:r>
      <w:r w:rsidRPr="00F343F2">
        <w:rPr>
          <w:rFonts w:ascii="Times New Roman" w:hAnsi="Times New Roman" w:cs="Times New Roman"/>
          <w:i/>
          <w:color w:val="000000" w:themeColor="text1"/>
          <w:sz w:val="24"/>
          <w:szCs w:val="24"/>
        </w:rPr>
        <w:t>Cotton Field</w:t>
      </w:r>
      <w:r w:rsidRPr="00F343F2">
        <w:rPr>
          <w:rFonts w:ascii="Times New Roman" w:hAnsi="Times New Roman" w:cs="Times New Roman"/>
          <w:color w:val="000000" w:themeColor="text1"/>
          <w:sz w:val="24"/>
          <w:szCs w:val="24"/>
        </w:rPr>
        <w:t xml:space="preserve"> case, the Inter-American Court found that “when there is a situation of structural discrimination, reparations must be designed to change this situation, so that their effect is not only of restitution, but also reflection.”</w:t>
      </w:r>
      <w:r w:rsidRPr="00F343F2">
        <w:rPr>
          <w:rFonts w:ascii="Times New Roman" w:hAnsi="Times New Roman" w:cs="Times New Roman"/>
          <w:color w:val="000000" w:themeColor="text1"/>
          <w:sz w:val="24"/>
          <w:szCs w:val="24"/>
          <w:vertAlign w:val="superscript"/>
        </w:rPr>
        <w:footnoteReference w:id="29"/>
      </w:r>
      <w:r w:rsidRPr="00F343F2">
        <w:rPr>
          <w:rFonts w:ascii="Times New Roman" w:hAnsi="Times New Roman" w:cs="Times New Roman"/>
          <w:color w:val="000000" w:themeColor="text1"/>
          <w:sz w:val="24"/>
          <w:szCs w:val="24"/>
        </w:rPr>
        <w:t xml:space="preserve"> This type of reparation ensures that greater societal and cultural transformations occur, not simply at the level of the individual victim. Further, injustices against indigenous women could become less repetitive through structural reparations.</w:t>
      </w:r>
      <w:r w:rsidRPr="00F343F2">
        <w:rPr>
          <w:rFonts w:ascii="Times New Roman" w:hAnsi="Times New Roman" w:cs="Times New Roman"/>
          <w:color w:val="000000" w:themeColor="text1"/>
          <w:sz w:val="24"/>
          <w:szCs w:val="24"/>
          <w:vertAlign w:val="superscript"/>
        </w:rPr>
        <w:footnoteReference w:id="30"/>
      </w:r>
      <w:r w:rsidRPr="00F343F2">
        <w:rPr>
          <w:rFonts w:ascii="Times New Roman" w:hAnsi="Times New Roman" w:cs="Times New Roman"/>
          <w:color w:val="000000" w:themeColor="text1"/>
          <w:sz w:val="24"/>
          <w:szCs w:val="24"/>
        </w:rPr>
        <w:t xml:space="preserve"> </w:t>
      </w:r>
      <w:r w:rsidR="00975F67">
        <w:rPr>
          <w:rFonts w:ascii="Times New Roman" w:hAnsi="Times New Roman" w:cs="Times New Roman"/>
          <w:color w:val="000000" w:themeColor="text1"/>
          <w:sz w:val="24"/>
          <w:szCs w:val="24"/>
        </w:rPr>
        <w:t>T</w:t>
      </w:r>
      <w:r w:rsidR="00975F67" w:rsidRPr="00F343F2">
        <w:rPr>
          <w:rFonts w:ascii="Times New Roman" w:hAnsi="Times New Roman" w:cs="Times New Roman"/>
          <w:color w:val="000000" w:themeColor="text1"/>
          <w:sz w:val="24"/>
          <w:szCs w:val="24"/>
        </w:rPr>
        <w:t>o achieve structural change</w:t>
      </w:r>
      <w:r w:rsidR="00975F67">
        <w:rPr>
          <w:rFonts w:ascii="Times New Roman" w:hAnsi="Times New Roman" w:cs="Times New Roman"/>
          <w:color w:val="000000" w:themeColor="text1"/>
          <w:sz w:val="24"/>
          <w:szCs w:val="24"/>
        </w:rPr>
        <w:t>,</w:t>
      </w:r>
      <w:r w:rsidR="00975F67" w:rsidRPr="00F343F2">
        <w:rPr>
          <w:rFonts w:ascii="Times New Roman" w:hAnsi="Times New Roman" w:cs="Times New Roman"/>
          <w:color w:val="000000" w:themeColor="text1"/>
          <w:sz w:val="24"/>
          <w:szCs w:val="24"/>
        </w:rPr>
        <w:t xml:space="preserve"> </w:t>
      </w:r>
      <w:r w:rsidRPr="00F343F2">
        <w:rPr>
          <w:rFonts w:ascii="Times New Roman" w:hAnsi="Times New Roman" w:cs="Times New Roman"/>
          <w:color w:val="000000" w:themeColor="text1"/>
          <w:sz w:val="24"/>
          <w:szCs w:val="24"/>
        </w:rPr>
        <w:t xml:space="preserve">States must adopt transformative and participatory reparations </w:t>
      </w:r>
      <w:r w:rsidR="00975F67">
        <w:rPr>
          <w:rFonts w:ascii="Times New Roman" w:hAnsi="Times New Roman" w:cs="Times New Roman"/>
          <w:color w:val="000000" w:themeColor="text1"/>
          <w:sz w:val="24"/>
          <w:szCs w:val="24"/>
        </w:rPr>
        <w:t>that</w:t>
      </w:r>
      <w:r w:rsidRPr="00F343F2">
        <w:rPr>
          <w:rFonts w:ascii="Times New Roman" w:hAnsi="Times New Roman" w:cs="Times New Roman"/>
          <w:color w:val="000000" w:themeColor="text1"/>
          <w:sz w:val="24"/>
          <w:szCs w:val="24"/>
        </w:rPr>
        <w:t xml:space="preserve"> combat historical discrimination and stereotypes of indigenous women.</w:t>
      </w:r>
    </w:p>
    <w:p w14:paraId="05A9B400" w14:textId="77777777" w:rsidR="000F2B0A" w:rsidRPr="00F343F2" w:rsidRDefault="000F2B0A" w:rsidP="00F343F2">
      <w:pPr>
        <w:jc w:val="both"/>
        <w:rPr>
          <w:rFonts w:ascii="Times New Roman" w:hAnsi="Times New Roman" w:cs="Times New Roman"/>
          <w:color w:val="000000" w:themeColor="text1"/>
          <w:sz w:val="24"/>
          <w:szCs w:val="24"/>
        </w:rPr>
      </w:pPr>
    </w:p>
    <w:p w14:paraId="5A6B2915" w14:textId="3F78F28B" w:rsidR="000F2B0A" w:rsidRPr="006067E7" w:rsidRDefault="006067E7" w:rsidP="006067E7">
      <w:pPr>
        <w:pStyle w:val="ListParagraph"/>
        <w:numPr>
          <w:ilvl w:val="0"/>
          <w:numId w:val="3"/>
        </w:numPr>
        <w:jc w:val="both"/>
        <w:rPr>
          <w:rFonts w:ascii="Times New Roman" w:hAnsi="Times New Roman" w:cs="Times New Roman"/>
          <w:b/>
          <w:color w:val="000000" w:themeColor="text1"/>
          <w:sz w:val="24"/>
          <w:szCs w:val="24"/>
        </w:rPr>
      </w:pPr>
      <w:r w:rsidRPr="006067E7">
        <w:rPr>
          <w:rFonts w:ascii="Times New Roman" w:hAnsi="Times New Roman" w:cs="Times New Roman"/>
          <w:b/>
          <w:bCs/>
          <w:color w:val="000000" w:themeColor="text1"/>
          <w:sz w:val="24"/>
          <w:szCs w:val="24"/>
        </w:rPr>
        <w:t xml:space="preserve">LACK OF ACCESS TO EDUCATION, LABOR, HEALTHCARE, AND BASIC NECESSITIES </w:t>
      </w:r>
    </w:p>
    <w:p w14:paraId="1DFD8EF9" w14:textId="77777777" w:rsidR="006067E7" w:rsidRPr="00F343F2" w:rsidRDefault="006067E7" w:rsidP="006067E7">
      <w:pPr>
        <w:pStyle w:val="ListParagraph"/>
        <w:ind w:left="1080"/>
        <w:jc w:val="both"/>
        <w:rPr>
          <w:rFonts w:ascii="Times New Roman" w:hAnsi="Times New Roman" w:cs="Times New Roman"/>
          <w:b/>
          <w:color w:val="000000" w:themeColor="text1"/>
          <w:sz w:val="24"/>
          <w:szCs w:val="24"/>
        </w:rPr>
      </w:pPr>
    </w:p>
    <w:p w14:paraId="5D37A0A2" w14:textId="55A5F886" w:rsidR="000F2B0A" w:rsidRPr="00C10323" w:rsidRDefault="000F2B0A" w:rsidP="00F343F2">
      <w:pPr>
        <w:spacing w:line="479" w:lineRule="auto"/>
        <w:jc w:val="both"/>
        <w:rPr>
          <w:rFonts w:ascii="Times New Roman" w:hAnsi="Times New Roman" w:cs="Times New Roman"/>
          <w:b/>
          <w:bCs/>
          <w:sz w:val="24"/>
          <w:szCs w:val="24"/>
        </w:rPr>
      </w:pPr>
      <w:r w:rsidRPr="00C10323">
        <w:rPr>
          <w:rFonts w:ascii="Times New Roman" w:hAnsi="Times New Roman" w:cs="Times New Roman"/>
          <w:b/>
          <w:bCs/>
          <w:sz w:val="24"/>
          <w:szCs w:val="24"/>
        </w:rPr>
        <w:t xml:space="preserve">            </w:t>
      </w:r>
      <w:r w:rsidR="00C10323" w:rsidRPr="00C10323">
        <w:rPr>
          <w:rFonts w:ascii="Times New Roman" w:hAnsi="Times New Roman" w:cs="Times New Roman"/>
          <w:b/>
          <w:bCs/>
          <w:sz w:val="24"/>
          <w:szCs w:val="24"/>
        </w:rPr>
        <w:t>Indigenous women and girls suffer from</w:t>
      </w:r>
      <w:r w:rsidRPr="00C10323">
        <w:rPr>
          <w:rFonts w:ascii="Times New Roman" w:hAnsi="Times New Roman" w:cs="Times New Roman"/>
          <w:b/>
          <w:bCs/>
          <w:sz w:val="24"/>
          <w:szCs w:val="24"/>
        </w:rPr>
        <w:t xml:space="preserve"> high rates of poverty,</w:t>
      </w:r>
      <w:r w:rsidR="00C10323" w:rsidRPr="00C10323">
        <w:rPr>
          <w:rFonts w:ascii="Times New Roman" w:hAnsi="Times New Roman" w:cs="Times New Roman"/>
          <w:b/>
          <w:bCs/>
          <w:sz w:val="24"/>
          <w:szCs w:val="24"/>
        </w:rPr>
        <w:t xml:space="preserve"> </w:t>
      </w:r>
      <w:r w:rsidRPr="00C10323">
        <w:rPr>
          <w:rFonts w:ascii="Times New Roman" w:hAnsi="Times New Roman" w:cs="Times New Roman"/>
          <w:b/>
          <w:bCs/>
          <w:sz w:val="24"/>
          <w:szCs w:val="24"/>
        </w:rPr>
        <w:t>limited access to proper infrastructure, and</w:t>
      </w:r>
      <w:r w:rsidR="00C10323" w:rsidRPr="00C10323">
        <w:rPr>
          <w:rFonts w:ascii="Times New Roman" w:hAnsi="Times New Roman" w:cs="Times New Roman"/>
          <w:b/>
          <w:bCs/>
          <w:sz w:val="24"/>
          <w:szCs w:val="24"/>
        </w:rPr>
        <w:t xml:space="preserve"> </w:t>
      </w:r>
      <w:r w:rsidRPr="00C10323">
        <w:rPr>
          <w:rFonts w:ascii="Times New Roman" w:hAnsi="Times New Roman" w:cs="Times New Roman"/>
          <w:b/>
          <w:bCs/>
          <w:sz w:val="24"/>
          <w:szCs w:val="24"/>
        </w:rPr>
        <w:t xml:space="preserve">minimal </w:t>
      </w:r>
      <w:r w:rsidR="00C10323" w:rsidRPr="00C10323">
        <w:rPr>
          <w:rFonts w:ascii="Times New Roman" w:hAnsi="Times New Roman" w:cs="Times New Roman"/>
          <w:b/>
          <w:bCs/>
          <w:sz w:val="24"/>
          <w:szCs w:val="24"/>
        </w:rPr>
        <w:t>consideration</w:t>
      </w:r>
      <w:r w:rsidRPr="00C10323">
        <w:rPr>
          <w:rFonts w:ascii="Times New Roman" w:hAnsi="Times New Roman" w:cs="Times New Roman"/>
          <w:b/>
          <w:bCs/>
          <w:sz w:val="24"/>
          <w:szCs w:val="24"/>
        </w:rPr>
        <w:t xml:space="preserve"> of their </w:t>
      </w:r>
      <w:r w:rsidR="00C10323" w:rsidRPr="00C10323">
        <w:rPr>
          <w:rFonts w:ascii="Times New Roman" w:hAnsi="Times New Roman" w:cs="Times New Roman"/>
          <w:b/>
          <w:bCs/>
          <w:sz w:val="24"/>
          <w:szCs w:val="24"/>
        </w:rPr>
        <w:t>culture,</w:t>
      </w:r>
      <w:r w:rsidRPr="00C10323">
        <w:rPr>
          <w:rFonts w:ascii="Times New Roman" w:hAnsi="Times New Roman" w:cs="Times New Roman"/>
          <w:b/>
          <w:bCs/>
          <w:sz w:val="24"/>
          <w:szCs w:val="24"/>
        </w:rPr>
        <w:t xml:space="preserve"> languages</w:t>
      </w:r>
      <w:r w:rsidR="00C10323" w:rsidRPr="00C10323">
        <w:rPr>
          <w:rFonts w:ascii="Times New Roman" w:hAnsi="Times New Roman" w:cs="Times New Roman"/>
          <w:b/>
          <w:bCs/>
          <w:sz w:val="24"/>
          <w:szCs w:val="24"/>
        </w:rPr>
        <w:t>,</w:t>
      </w:r>
      <w:r w:rsidRPr="00C10323">
        <w:rPr>
          <w:rFonts w:ascii="Times New Roman" w:hAnsi="Times New Roman" w:cs="Times New Roman"/>
          <w:b/>
          <w:bCs/>
          <w:sz w:val="24"/>
          <w:szCs w:val="24"/>
        </w:rPr>
        <w:t xml:space="preserve"> and needs</w:t>
      </w:r>
      <w:r w:rsidR="00C10323" w:rsidRPr="00C10323">
        <w:rPr>
          <w:rFonts w:ascii="Times New Roman" w:hAnsi="Times New Roman" w:cs="Times New Roman"/>
          <w:b/>
          <w:bCs/>
          <w:sz w:val="24"/>
          <w:szCs w:val="24"/>
        </w:rPr>
        <w:t>, which affects their access to education, labor opportunities, healthcare, and basic necessities</w:t>
      </w:r>
      <w:r w:rsidRPr="00C10323">
        <w:rPr>
          <w:rFonts w:ascii="Times New Roman" w:hAnsi="Times New Roman" w:cs="Times New Roman"/>
          <w:b/>
          <w:bCs/>
          <w:sz w:val="24"/>
          <w:szCs w:val="24"/>
        </w:rPr>
        <w:t>.</w:t>
      </w:r>
      <w:r w:rsidRPr="00C10323">
        <w:rPr>
          <w:rFonts w:ascii="Times New Roman" w:hAnsi="Times New Roman" w:cs="Times New Roman"/>
          <w:b/>
          <w:bCs/>
          <w:sz w:val="24"/>
          <w:szCs w:val="24"/>
          <w:vertAlign w:val="superscript"/>
        </w:rPr>
        <w:footnoteReference w:id="31"/>
      </w:r>
      <w:r w:rsidRPr="00C10323">
        <w:rPr>
          <w:rFonts w:ascii="Times New Roman" w:hAnsi="Times New Roman" w:cs="Times New Roman"/>
          <w:b/>
          <w:bCs/>
          <w:sz w:val="24"/>
          <w:szCs w:val="24"/>
        </w:rPr>
        <w:t xml:space="preserve"> </w:t>
      </w:r>
    </w:p>
    <w:p w14:paraId="3A1A4304" w14:textId="77777777" w:rsidR="000F2B0A" w:rsidRPr="00C10323" w:rsidRDefault="000F2B0A" w:rsidP="00F343F2">
      <w:pPr>
        <w:spacing w:line="479" w:lineRule="auto"/>
        <w:jc w:val="both"/>
        <w:rPr>
          <w:rFonts w:ascii="Times New Roman" w:hAnsi="Times New Roman" w:cs="Times New Roman"/>
          <w:b/>
          <w:i/>
          <w:iCs/>
          <w:sz w:val="24"/>
          <w:szCs w:val="24"/>
        </w:rPr>
      </w:pPr>
      <w:r w:rsidRPr="00C10323">
        <w:rPr>
          <w:rFonts w:ascii="Times New Roman" w:hAnsi="Times New Roman" w:cs="Times New Roman"/>
          <w:b/>
          <w:i/>
          <w:iCs/>
          <w:sz w:val="24"/>
          <w:szCs w:val="24"/>
        </w:rPr>
        <w:lastRenderedPageBreak/>
        <w:t>Insufficient Education Programs are Limiting Labor Access</w:t>
      </w:r>
    </w:p>
    <w:p w14:paraId="7A05A17B" w14:textId="77777777" w:rsidR="00C10323" w:rsidRPr="00C10323" w:rsidRDefault="000F2B0A" w:rsidP="00F343F2">
      <w:pPr>
        <w:spacing w:line="479" w:lineRule="auto"/>
        <w:jc w:val="both"/>
        <w:rPr>
          <w:rFonts w:ascii="Times New Roman" w:hAnsi="Times New Roman" w:cs="Times New Roman"/>
          <w:sz w:val="24"/>
          <w:szCs w:val="24"/>
        </w:rPr>
      </w:pPr>
      <w:r w:rsidRPr="00C10323">
        <w:rPr>
          <w:rFonts w:ascii="Times New Roman" w:hAnsi="Times New Roman" w:cs="Times New Roman"/>
          <w:sz w:val="24"/>
          <w:szCs w:val="24"/>
        </w:rPr>
        <w:t xml:space="preserve">        </w:t>
      </w:r>
      <w:r w:rsidRPr="00C10323">
        <w:rPr>
          <w:rFonts w:ascii="Times New Roman" w:hAnsi="Times New Roman" w:cs="Times New Roman"/>
          <w:sz w:val="24"/>
          <w:szCs w:val="24"/>
        </w:rPr>
        <w:tab/>
      </w:r>
      <w:r w:rsidR="00C10323" w:rsidRPr="00C10323">
        <w:rPr>
          <w:rFonts w:ascii="Times New Roman" w:hAnsi="Times New Roman" w:cs="Times New Roman"/>
          <w:b/>
          <w:bCs/>
          <w:sz w:val="24"/>
          <w:szCs w:val="24"/>
        </w:rPr>
        <w:t>States must take affirmative measures to address the pervasive illiteracy that exists amongst indigenous women and girls</w:t>
      </w:r>
      <w:r w:rsidR="00C10323">
        <w:rPr>
          <w:rFonts w:ascii="Times New Roman" w:hAnsi="Times New Roman" w:cs="Times New Roman"/>
          <w:b/>
          <w:bCs/>
          <w:sz w:val="24"/>
          <w:szCs w:val="24"/>
        </w:rPr>
        <w:t>.</w:t>
      </w:r>
      <w:r w:rsidRPr="00F343F2">
        <w:rPr>
          <w:rFonts w:ascii="Times New Roman" w:hAnsi="Times New Roman" w:cs="Times New Roman"/>
          <w:color w:val="000000" w:themeColor="text1"/>
          <w:sz w:val="24"/>
          <w:szCs w:val="24"/>
        </w:rPr>
        <w:t xml:space="preserve"> </w:t>
      </w:r>
      <w:r w:rsidR="00C10323">
        <w:rPr>
          <w:rFonts w:ascii="Times New Roman" w:hAnsi="Times New Roman" w:cs="Times New Roman"/>
          <w:color w:val="000000" w:themeColor="text1"/>
          <w:sz w:val="24"/>
          <w:szCs w:val="24"/>
        </w:rPr>
        <w:t>I</w:t>
      </w:r>
      <w:r w:rsidRPr="00F343F2">
        <w:rPr>
          <w:rFonts w:ascii="Times New Roman" w:hAnsi="Times New Roman" w:cs="Times New Roman"/>
          <w:color w:val="000000" w:themeColor="text1"/>
          <w:sz w:val="24"/>
          <w:szCs w:val="24"/>
        </w:rPr>
        <w:t>n Guatemala</w:t>
      </w:r>
      <w:r w:rsidR="00C10323">
        <w:rPr>
          <w:rFonts w:ascii="Times New Roman" w:hAnsi="Times New Roman" w:cs="Times New Roman"/>
          <w:color w:val="000000" w:themeColor="text1"/>
          <w:sz w:val="24"/>
          <w:szCs w:val="24"/>
        </w:rPr>
        <w:t>, for example,</w:t>
      </w:r>
      <w:r w:rsidRPr="00F343F2">
        <w:rPr>
          <w:rFonts w:ascii="Times New Roman" w:hAnsi="Times New Roman" w:cs="Times New Roman"/>
          <w:color w:val="000000" w:themeColor="text1"/>
          <w:sz w:val="24"/>
          <w:szCs w:val="24"/>
        </w:rPr>
        <w:t xml:space="preserve"> 58.3% of indigenous women are illiterate, </w:t>
      </w:r>
      <w:r w:rsidR="00C10323">
        <w:rPr>
          <w:rFonts w:ascii="Times New Roman" w:hAnsi="Times New Roman" w:cs="Times New Roman"/>
          <w:color w:val="000000" w:themeColor="text1"/>
          <w:sz w:val="24"/>
          <w:szCs w:val="24"/>
        </w:rPr>
        <w:t>and that number rises to</w:t>
      </w:r>
      <w:r w:rsidR="00C10323" w:rsidRPr="00F343F2">
        <w:rPr>
          <w:rFonts w:ascii="Times New Roman" w:hAnsi="Times New Roman" w:cs="Times New Roman"/>
          <w:color w:val="000000" w:themeColor="text1"/>
          <w:sz w:val="24"/>
          <w:szCs w:val="24"/>
        </w:rPr>
        <w:t xml:space="preserve"> up to 87%</w:t>
      </w:r>
      <w:r w:rsidR="00C10323">
        <w:rPr>
          <w:rFonts w:ascii="Times New Roman" w:hAnsi="Times New Roman" w:cs="Times New Roman"/>
          <w:color w:val="000000" w:themeColor="text1"/>
          <w:sz w:val="24"/>
          <w:szCs w:val="24"/>
        </w:rPr>
        <w:t xml:space="preserve"> in some indigenous communities</w:t>
      </w:r>
      <w:r w:rsidRPr="00F343F2">
        <w:rPr>
          <w:rFonts w:ascii="Times New Roman" w:hAnsi="Times New Roman" w:cs="Times New Roman"/>
          <w:color w:val="000000" w:themeColor="text1"/>
          <w:sz w:val="24"/>
          <w:szCs w:val="24"/>
        </w:rPr>
        <w:t>.</w:t>
      </w:r>
      <w:r w:rsidRPr="00F343F2">
        <w:rPr>
          <w:rFonts w:ascii="Times New Roman" w:hAnsi="Times New Roman" w:cs="Times New Roman"/>
          <w:color w:val="000000" w:themeColor="text1"/>
          <w:sz w:val="24"/>
          <w:szCs w:val="24"/>
          <w:vertAlign w:val="superscript"/>
        </w:rPr>
        <w:footnoteReference w:id="32"/>
      </w:r>
      <w:r w:rsidRPr="00F343F2">
        <w:rPr>
          <w:rFonts w:ascii="Times New Roman" w:hAnsi="Times New Roman" w:cs="Times New Roman"/>
          <w:color w:val="000000" w:themeColor="text1"/>
          <w:sz w:val="24"/>
          <w:szCs w:val="24"/>
        </w:rPr>
        <w:t xml:space="preserve"> In Paraguay, 41.7% of women and girls above 15 years old are illiterate, and 34.4% of Mexico’s indigenous women are illiterate compared to just 8.1% of their non-indigenous </w:t>
      </w:r>
      <w:r w:rsidRPr="00C10323">
        <w:rPr>
          <w:rFonts w:ascii="Times New Roman" w:hAnsi="Times New Roman" w:cs="Times New Roman"/>
          <w:sz w:val="24"/>
          <w:szCs w:val="24"/>
        </w:rPr>
        <w:t>women.</w:t>
      </w:r>
      <w:r w:rsidRPr="00C10323">
        <w:rPr>
          <w:rFonts w:ascii="Times New Roman" w:hAnsi="Times New Roman" w:cs="Times New Roman"/>
          <w:sz w:val="24"/>
          <w:szCs w:val="24"/>
          <w:vertAlign w:val="superscript"/>
        </w:rPr>
        <w:footnoteReference w:id="33"/>
      </w:r>
      <w:r w:rsidRPr="00C10323">
        <w:rPr>
          <w:rFonts w:ascii="Times New Roman" w:hAnsi="Times New Roman" w:cs="Times New Roman"/>
          <w:sz w:val="24"/>
          <w:szCs w:val="24"/>
        </w:rPr>
        <w:t xml:space="preserve"> </w:t>
      </w:r>
      <w:r w:rsidR="00C10323" w:rsidRPr="00C10323">
        <w:rPr>
          <w:rFonts w:ascii="Times New Roman" w:hAnsi="Times New Roman" w:cs="Times New Roman"/>
          <w:sz w:val="24"/>
          <w:szCs w:val="24"/>
        </w:rPr>
        <w:t>According to the IACHR, some of the contributing factors for this pervasive illiteracy include discriminatory poverty, governmental failures to implement sustained and secure funding, limited infrastructure, and considerations for indigenous cultures, traditions, and languages.</w:t>
      </w:r>
      <w:r w:rsidR="00C10323" w:rsidRPr="00C10323">
        <w:rPr>
          <w:rFonts w:ascii="Times New Roman" w:hAnsi="Times New Roman" w:cs="Times New Roman"/>
          <w:sz w:val="24"/>
          <w:szCs w:val="24"/>
          <w:vertAlign w:val="superscript"/>
        </w:rPr>
        <w:footnoteReference w:id="34"/>
      </w:r>
      <w:r w:rsidR="00C10323" w:rsidRPr="00C10323">
        <w:rPr>
          <w:rFonts w:ascii="Times New Roman" w:hAnsi="Times New Roman" w:cs="Times New Roman"/>
          <w:sz w:val="24"/>
          <w:szCs w:val="24"/>
        </w:rPr>
        <w:t xml:space="preserve"> </w:t>
      </w:r>
    </w:p>
    <w:p w14:paraId="1BA3A2EB" w14:textId="1799CF60" w:rsidR="00C10323" w:rsidRDefault="000F2B0A" w:rsidP="00C10323">
      <w:pPr>
        <w:spacing w:line="479" w:lineRule="auto"/>
        <w:ind w:firstLine="720"/>
        <w:jc w:val="both"/>
        <w:rPr>
          <w:rFonts w:ascii="Times New Roman" w:hAnsi="Times New Roman" w:cs="Times New Roman"/>
          <w:color w:val="FF0000"/>
          <w:sz w:val="24"/>
          <w:szCs w:val="24"/>
        </w:rPr>
      </w:pPr>
      <w:r w:rsidRPr="00C10323">
        <w:rPr>
          <w:rFonts w:ascii="Times New Roman" w:hAnsi="Times New Roman" w:cs="Times New Roman"/>
          <w:sz w:val="24"/>
          <w:szCs w:val="24"/>
        </w:rPr>
        <w:t xml:space="preserve">The </w:t>
      </w:r>
      <w:r w:rsidR="007719A2" w:rsidRPr="00C10323">
        <w:rPr>
          <w:rFonts w:ascii="Times New Roman" w:hAnsi="Times New Roman" w:cs="Times New Roman"/>
          <w:sz w:val="24"/>
          <w:szCs w:val="24"/>
        </w:rPr>
        <w:t>IACHR</w:t>
      </w:r>
      <w:r w:rsidRPr="00C10323">
        <w:rPr>
          <w:rFonts w:ascii="Times New Roman" w:hAnsi="Times New Roman" w:cs="Times New Roman"/>
          <w:sz w:val="24"/>
          <w:szCs w:val="24"/>
        </w:rPr>
        <w:t xml:space="preserve"> has acknowledged </w:t>
      </w:r>
      <w:r w:rsidR="00C10323" w:rsidRPr="00C10323">
        <w:rPr>
          <w:rFonts w:ascii="Times New Roman" w:hAnsi="Times New Roman" w:cs="Times New Roman"/>
          <w:sz w:val="24"/>
          <w:szCs w:val="24"/>
        </w:rPr>
        <w:t>that better access to</w:t>
      </w:r>
      <w:r w:rsidRPr="00C10323">
        <w:rPr>
          <w:rFonts w:ascii="Times New Roman" w:hAnsi="Times New Roman" w:cs="Times New Roman"/>
          <w:sz w:val="24"/>
          <w:szCs w:val="24"/>
        </w:rPr>
        <w:t xml:space="preserve"> primary education </w:t>
      </w:r>
      <w:r w:rsidR="00C10323" w:rsidRPr="00C10323">
        <w:rPr>
          <w:rFonts w:ascii="Times New Roman" w:hAnsi="Times New Roman" w:cs="Times New Roman"/>
          <w:sz w:val="24"/>
          <w:szCs w:val="24"/>
        </w:rPr>
        <w:t xml:space="preserve">for indigenous women and girls is necessary </w:t>
      </w:r>
      <w:r w:rsidR="00C10323">
        <w:rPr>
          <w:rFonts w:ascii="Times New Roman" w:hAnsi="Times New Roman" w:cs="Times New Roman"/>
          <w:sz w:val="24"/>
          <w:szCs w:val="24"/>
        </w:rPr>
        <w:t>for them to have access to better</w:t>
      </w:r>
      <w:r w:rsidR="00C10323" w:rsidRPr="00C10323">
        <w:rPr>
          <w:rFonts w:ascii="Times New Roman" w:hAnsi="Times New Roman" w:cs="Times New Roman"/>
          <w:sz w:val="24"/>
          <w:szCs w:val="24"/>
        </w:rPr>
        <w:t xml:space="preserve"> wages, social benefits, and labor opportunities, which will lower the levels of poverty among this population</w:t>
      </w:r>
      <w:r w:rsidRPr="00C10323">
        <w:rPr>
          <w:rFonts w:ascii="Times New Roman" w:hAnsi="Times New Roman" w:cs="Times New Roman"/>
          <w:sz w:val="24"/>
          <w:szCs w:val="24"/>
        </w:rPr>
        <w:t>.</w:t>
      </w:r>
      <w:r w:rsidRPr="00C10323">
        <w:rPr>
          <w:rFonts w:ascii="Times New Roman" w:hAnsi="Times New Roman" w:cs="Times New Roman"/>
          <w:sz w:val="24"/>
          <w:szCs w:val="24"/>
          <w:vertAlign w:val="superscript"/>
        </w:rPr>
        <w:footnoteReference w:id="35"/>
      </w:r>
      <w:r w:rsidR="00C10323" w:rsidRPr="00C10323">
        <w:rPr>
          <w:rFonts w:ascii="Times New Roman" w:hAnsi="Times New Roman" w:cs="Times New Roman"/>
          <w:sz w:val="24"/>
          <w:szCs w:val="24"/>
        </w:rPr>
        <w:t xml:space="preserve"> According to</w:t>
      </w:r>
      <w:r w:rsidRPr="00C10323">
        <w:rPr>
          <w:rFonts w:ascii="Times New Roman" w:hAnsi="Times New Roman" w:cs="Times New Roman"/>
          <w:sz w:val="24"/>
          <w:szCs w:val="24"/>
        </w:rPr>
        <w:t xml:space="preserve"> </w:t>
      </w:r>
      <w:r w:rsidR="00C10323" w:rsidRPr="00C10323">
        <w:rPr>
          <w:rFonts w:ascii="Times New Roman" w:hAnsi="Times New Roman" w:cs="Times New Roman"/>
          <w:sz w:val="24"/>
          <w:szCs w:val="24"/>
        </w:rPr>
        <w:t>t</w:t>
      </w:r>
      <w:r w:rsidRPr="00C10323">
        <w:rPr>
          <w:rFonts w:ascii="Times New Roman" w:hAnsi="Times New Roman" w:cs="Times New Roman"/>
          <w:sz w:val="24"/>
          <w:szCs w:val="24"/>
        </w:rPr>
        <w:t>he UN</w:t>
      </w:r>
      <w:r w:rsidR="00C10323" w:rsidRPr="00C10323">
        <w:rPr>
          <w:rFonts w:ascii="Times New Roman" w:hAnsi="Times New Roman" w:cs="Times New Roman"/>
          <w:sz w:val="24"/>
          <w:szCs w:val="24"/>
        </w:rPr>
        <w:t>, such educational opportunities for indigenous women and girls</w:t>
      </w:r>
      <w:r w:rsidRPr="00C10323">
        <w:rPr>
          <w:rFonts w:ascii="Times New Roman" w:hAnsi="Times New Roman" w:cs="Times New Roman"/>
          <w:sz w:val="24"/>
          <w:szCs w:val="24"/>
        </w:rPr>
        <w:t xml:space="preserve"> </w:t>
      </w:r>
      <w:r w:rsidR="00C10323" w:rsidRPr="00C10323">
        <w:rPr>
          <w:rFonts w:ascii="Times New Roman" w:hAnsi="Times New Roman" w:cs="Times New Roman"/>
          <w:sz w:val="24"/>
          <w:szCs w:val="24"/>
        </w:rPr>
        <w:t xml:space="preserve">must </w:t>
      </w:r>
      <w:r w:rsidRPr="00C10323">
        <w:rPr>
          <w:rFonts w:ascii="Times New Roman" w:hAnsi="Times New Roman" w:cs="Times New Roman"/>
          <w:sz w:val="24"/>
          <w:szCs w:val="24"/>
        </w:rPr>
        <w:t>“integrate their own perspectives</w:t>
      </w:r>
      <w:r w:rsidRPr="00F343F2">
        <w:rPr>
          <w:rFonts w:ascii="Times New Roman" w:hAnsi="Times New Roman" w:cs="Times New Roman"/>
          <w:color w:val="000000" w:themeColor="text1"/>
          <w:sz w:val="24"/>
          <w:szCs w:val="24"/>
        </w:rPr>
        <w:t>, cultures, beliefs, values, and languages.”</w:t>
      </w:r>
      <w:r w:rsidRPr="00F343F2">
        <w:rPr>
          <w:rFonts w:ascii="Times New Roman" w:hAnsi="Times New Roman" w:cs="Times New Roman"/>
          <w:color w:val="000000" w:themeColor="text1"/>
          <w:sz w:val="24"/>
          <w:szCs w:val="24"/>
          <w:vertAlign w:val="superscript"/>
        </w:rPr>
        <w:footnoteReference w:id="36"/>
      </w:r>
      <w:r w:rsidRPr="00F343F2">
        <w:rPr>
          <w:rFonts w:ascii="Times New Roman" w:hAnsi="Times New Roman" w:cs="Times New Roman"/>
          <w:color w:val="000000" w:themeColor="text1"/>
          <w:sz w:val="24"/>
          <w:szCs w:val="24"/>
        </w:rPr>
        <w:t xml:space="preserve"> </w:t>
      </w:r>
    </w:p>
    <w:p w14:paraId="1C89B3F7" w14:textId="07339C97" w:rsidR="000F2B0A" w:rsidRPr="00C10323" w:rsidRDefault="00C10323" w:rsidP="00C10323">
      <w:pPr>
        <w:spacing w:line="479" w:lineRule="auto"/>
        <w:ind w:firstLine="720"/>
        <w:jc w:val="both"/>
        <w:rPr>
          <w:rFonts w:ascii="Times New Roman" w:hAnsi="Times New Roman" w:cs="Times New Roman"/>
          <w:sz w:val="24"/>
          <w:szCs w:val="24"/>
          <w:vertAlign w:val="superscript"/>
        </w:rPr>
      </w:pPr>
      <w:r>
        <w:rPr>
          <w:rFonts w:ascii="Times New Roman" w:hAnsi="Times New Roman" w:cs="Times New Roman"/>
          <w:color w:val="000000" w:themeColor="text1"/>
          <w:sz w:val="24"/>
          <w:szCs w:val="24"/>
        </w:rPr>
        <w:t>A</w:t>
      </w:r>
      <w:r w:rsidR="000F2B0A" w:rsidRPr="00F343F2">
        <w:rPr>
          <w:rFonts w:ascii="Times New Roman" w:hAnsi="Times New Roman" w:cs="Times New Roman"/>
          <w:color w:val="000000" w:themeColor="text1"/>
          <w:sz w:val="24"/>
          <w:szCs w:val="24"/>
        </w:rPr>
        <w:t xml:space="preserve"> significant number of countries still report fewer than 10% of indigenous women are completing high school.</w:t>
      </w:r>
      <w:r w:rsidR="000F2B0A" w:rsidRPr="00F343F2">
        <w:rPr>
          <w:rFonts w:ascii="Times New Roman" w:hAnsi="Times New Roman" w:cs="Times New Roman"/>
          <w:color w:val="000000" w:themeColor="text1"/>
          <w:sz w:val="24"/>
          <w:szCs w:val="24"/>
          <w:vertAlign w:val="superscript"/>
        </w:rPr>
        <w:footnoteReference w:id="37"/>
      </w:r>
      <w:r w:rsidR="000F2B0A" w:rsidRPr="00F343F2">
        <w:rPr>
          <w:rFonts w:ascii="Times New Roman" w:hAnsi="Times New Roman" w:cs="Times New Roman"/>
          <w:color w:val="000000" w:themeColor="text1"/>
          <w:sz w:val="24"/>
          <w:szCs w:val="24"/>
        </w:rPr>
        <w:t xml:space="preserve"> States such as Costa Rica and Panama</w:t>
      </w:r>
      <w:r>
        <w:rPr>
          <w:rFonts w:ascii="Times New Roman" w:hAnsi="Times New Roman" w:cs="Times New Roman"/>
          <w:color w:val="000000" w:themeColor="text1"/>
          <w:sz w:val="24"/>
          <w:szCs w:val="24"/>
        </w:rPr>
        <w:t>, for example,</w:t>
      </w:r>
      <w:r w:rsidR="000F2B0A" w:rsidRPr="00F343F2">
        <w:rPr>
          <w:rFonts w:ascii="Times New Roman" w:hAnsi="Times New Roman" w:cs="Times New Roman"/>
          <w:color w:val="000000" w:themeColor="text1"/>
          <w:sz w:val="24"/>
          <w:szCs w:val="24"/>
        </w:rPr>
        <w:t xml:space="preserve"> report </w:t>
      </w:r>
      <w:r>
        <w:rPr>
          <w:rFonts w:ascii="Times New Roman" w:hAnsi="Times New Roman" w:cs="Times New Roman"/>
          <w:color w:val="000000" w:themeColor="text1"/>
          <w:sz w:val="24"/>
          <w:szCs w:val="24"/>
        </w:rPr>
        <w:t xml:space="preserve">that </w:t>
      </w:r>
      <w:r w:rsidR="000F2B0A" w:rsidRPr="00F343F2">
        <w:rPr>
          <w:rFonts w:ascii="Times New Roman" w:hAnsi="Times New Roman" w:cs="Times New Roman"/>
          <w:color w:val="000000" w:themeColor="text1"/>
          <w:sz w:val="24"/>
          <w:szCs w:val="24"/>
        </w:rPr>
        <w:t>school attendance increased from 20% to 88% and 92%</w:t>
      </w:r>
      <w:r>
        <w:rPr>
          <w:rFonts w:ascii="Times New Roman" w:hAnsi="Times New Roman" w:cs="Times New Roman"/>
          <w:color w:val="000000" w:themeColor="text1"/>
          <w:sz w:val="24"/>
          <w:szCs w:val="24"/>
        </w:rPr>
        <w:t xml:space="preserve">, </w:t>
      </w:r>
      <w:r w:rsidR="000F2B0A" w:rsidRPr="00F343F2">
        <w:rPr>
          <w:rFonts w:ascii="Times New Roman" w:hAnsi="Times New Roman" w:cs="Times New Roman"/>
          <w:color w:val="000000" w:themeColor="text1"/>
          <w:sz w:val="24"/>
          <w:szCs w:val="24"/>
        </w:rPr>
        <w:t>respectively</w:t>
      </w:r>
      <w:r>
        <w:rPr>
          <w:rFonts w:ascii="Times New Roman" w:hAnsi="Times New Roman" w:cs="Times New Roman"/>
          <w:color w:val="000000" w:themeColor="text1"/>
          <w:sz w:val="24"/>
          <w:szCs w:val="24"/>
        </w:rPr>
        <w:t>,</w:t>
      </w:r>
      <w:r w:rsidR="000F2B0A" w:rsidRPr="00F343F2">
        <w:rPr>
          <w:rFonts w:ascii="Times New Roman" w:hAnsi="Times New Roman" w:cs="Times New Roman"/>
          <w:color w:val="000000" w:themeColor="text1"/>
          <w:sz w:val="24"/>
          <w:szCs w:val="24"/>
        </w:rPr>
        <w:t xml:space="preserve"> among 6- to 11-year-old </w:t>
      </w:r>
      <w:r>
        <w:rPr>
          <w:rFonts w:ascii="Times New Roman" w:hAnsi="Times New Roman" w:cs="Times New Roman"/>
          <w:color w:val="000000" w:themeColor="text1"/>
          <w:sz w:val="24"/>
          <w:szCs w:val="24"/>
        </w:rPr>
        <w:t xml:space="preserve">indigenous </w:t>
      </w:r>
      <w:r w:rsidR="000F2B0A" w:rsidRPr="00F343F2">
        <w:rPr>
          <w:rFonts w:ascii="Times New Roman" w:hAnsi="Times New Roman" w:cs="Times New Roman"/>
          <w:color w:val="000000" w:themeColor="text1"/>
          <w:sz w:val="24"/>
          <w:szCs w:val="24"/>
        </w:rPr>
        <w:t xml:space="preserve">girls, </w:t>
      </w:r>
      <w:r>
        <w:rPr>
          <w:rFonts w:ascii="Times New Roman" w:hAnsi="Times New Roman" w:cs="Times New Roman"/>
          <w:color w:val="000000" w:themeColor="text1"/>
          <w:sz w:val="24"/>
          <w:szCs w:val="24"/>
        </w:rPr>
        <w:t>but many of these</w:t>
      </w:r>
      <w:r w:rsidR="000F2B0A" w:rsidRPr="00F343F2">
        <w:rPr>
          <w:rFonts w:ascii="Times New Roman" w:hAnsi="Times New Roman" w:cs="Times New Roman"/>
          <w:color w:val="000000" w:themeColor="text1"/>
          <w:sz w:val="24"/>
          <w:szCs w:val="24"/>
        </w:rPr>
        <w:t xml:space="preserve"> girls </w:t>
      </w:r>
      <w:r>
        <w:rPr>
          <w:rFonts w:ascii="Times New Roman" w:hAnsi="Times New Roman" w:cs="Times New Roman"/>
          <w:color w:val="000000" w:themeColor="text1"/>
          <w:sz w:val="24"/>
          <w:szCs w:val="24"/>
        </w:rPr>
        <w:t>often leave school</w:t>
      </w:r>
      <w:r w:rsidR="000F2B0A" w:rsidRPr="00F343F2">
        <w:rPr>
          <w:rFonts w:ascii="Times New Roman" w:hAnsi="Times New Roman" w:cs="Times New Roman"/>
          <w:color w:val="000000" w:themeColor="text1"/>
          <w:sz w:val="24"/>
          <w:szCs w:val="24"/>
        </w:rPr>
        <w:t xml:space="preserve"> before graduati</w:t>
      </w:r>
      <w:r>
        <w:rPr>
          <w:rFonts w:ascii="Times New Roman" w:hAnsi="Times New Roman" w:cs="Times New Roman"/>
          <w:color w:val="000000" w:themeColor="text1"/>
          <w:sz w:val="24"/>
          <w:szCs w:val="24"/>
        </w:rPr>
        <w:t>on</w:t>
      </w:r>
      <w:r w:rsidR="000F2B0A" w:rsidRPr="00F343F2">
        <w:rPr>
          <w:rFonts w:ascii="Times New Roman" w:hAnsi="Times New Roman" w:cs="Times New Roman"/>
          <w:color w:val="000000" w:themeColor="text1"/>
          <w:sz w:val="24"/>
          <w:szCs w:val="24"/>
        </w:rPr>
        <w:t>.</w:t>
      </w:r>
      <w:r w:rsidR="000F2B0A" w:rsidRPr="00F343F2">
        <w:rPr>
          <w:rFonts w:ascii="Times New Roman" w:hAnsi="Times New Roman" w:cs="Times New Roman"/>
          <w:color w:val="000000" w:themeColor="text1"/>
          <w:sz w:val="24"/>
          <w:szCs w:val="24"/>
          <w:vertAlign w:val="superscript"/>
        </w:rPr>
        <w:footnoteReference w:id="38"/>
      </w:r>
      <w:r w:rsidR="000F2B0A" w:rsidRPr="00F343F2">
        <w:rPr>
          <w:rFonts w:ascii="Times New Roman" w:hAnsi="Times New Roman" w:cs="Times New Roman"/>
          <w:color w:val="000000" w:themeColor="text1"/>
          <w:sz w:val="24"/>
          <w:szCs w:val="24"/>
        </w:rPr>
        <w:t xml:space="preserve"> Instead, they are expected to </w:t>
      </w:r>
      <w:r w:rsidR="000F2B0A" w:rsidRPr="00F343F2">
        <w:rPr>
          <w:rFonts w:ascii="Times New Roman" w:hAnsi="Times New Roman" w:cs="Times New Roman"/>
          <w:color w:val="000000" w:themeColor="text1"/>
          <w:sz w:val="24"/>
          <w:szCs w:val="24"/>
        </w:rPr>
        <w:lastRenderedPageBreak/>
        <w:t>undertake caregiver responsibilities, domestic chores, or begin early motherhood.</w:t>
      </w:r>
      <w:r w:rsidR="000F2B0A" w:rsidRPr="00F343F2">
        <w:rPr>
          <w:rFonts w:ascii="Times New Roman" w:hAnsi="Times New Roman" w:cs="Times New Roman"/>
          <w:color w:val="000000" w:themeColor="text1"/>
          <w:sz w:val="24"/>
          <w:szCs w:val="24"/>
          <w:vertAlign w:val="superscript"/>
        </w:rPr>
        <w:footnoteReference w:id="39"/>
      </w:r>
      <w:r w:rsidR="000F2B0A" w:rsidRPr="00F343F2">
        <w:rPr>
          <w:rFonts w:ascii="Times New Roman" w:hAnsi="Times New Roman" w:cs="Times New Roman"/>
          <w:color w:val="000000" w:themeColor="text1"/>
          <w:sz w:val="24"/>
          <w:szCs w:val="24"/>
        </w:rPr>
        <w:t xml:space="preserve"> These positions as unpaid workers in turn prevent access to social security </w:t>
      </w:r>
      <w:r w:rsidRPr="00C10323">
        <w:rPr>
          <w:rFonts w:ascii="Times New Roman" w:hAnsi="Times New Roman" w:cs="Times New Roman"/>
          <w:sz w:val="24"/>
          <w:szCs w:val="24"/>
        </w:rPr>
        <w:t>benefits</w:t>
      </w:r>
      <w:r w:rsidR="000F2B0A" w:rsidRPr="00C10323">
        <w:rPr>
          <w:rFonts w:ascii="Times New Roman" w:hAnsi="Times New Roman" w:cs="Times New Roman"/>
          <w:sz w:val="24"/>
          <w:szCs w:val="24"/>
        </w:rPr>
        <w:t>.</w:t>
      </w:r>
      <w:r w:rsidR="000F2B0A" w:rsidRPr="00C10323">
        <w:rPr>
          <w:rFonts w:ascii="Times New Roman" w:hAnsi="Times New Roman" w:cs="Times New Roman"/>
          <w:sz w:val="24"/>
          <w:szCs w:val="24"/>
          <w:vertAlign w:val="superscript"/>
        </w:rPr>
        <w:footnoteReference w:id="40"/>
      </w:r>
      <w:r>
        <w:rPr>
          <w:rFonts w:ascii="Times New Roman" w:hAnsi="Times New Roman" w:cs="Times New Roman"/>
          <w:sz w:val="24"/>
          <w:szCs w:val="24"/>
        </w:rPr>
        <w:t xml:space="preserve"> States must therefore aim to adopt measures that ensure that indigenous girls stay in school</w:t>
      </w:r>
      <w:r w:rsidR="007A2F8C">
        <w:rPr>
          <w:rFonts w:ascii="Times New Roman" w:hAnsi="Times New Roman" w:cs="Times New Roman"/>
          <w:sz w:val="24"/>
          <w:szCs w:val="24"/>
        </w:rPr>
        <w:t xml:space="preserve"> and have access to more labor opportunities</w:t>
      </w:r>
      <w:r>
        <w:rPr>
          <w:rFonts w:ascii="Times New Roman" w:hAnsi="Times New Roman" w:cs="Times New Roman"/>
          <w:sz w:val="24"/>
          <w:szCs w:val="24"/>
        </w:rPr>
        <w:t>.</w:t>
      </w:r>
    </w:p>
    <w:p w14:paraId="69C9D774" w14:textId="77777777" w:rsidR="000F2B0A" w:rsidRPr="00F343F2" w:rsidRDefault="000F2B0A" w:rsidP="00F343F2">
      <w:pPr>
        <w:spacing w:line="480" w:lineRule="auto"/>
        <w:jc w:val="both"/>
        <w:rPr>
          <w:rFonts w:ascii="Times New Roman" w:hAnsi="Times New Roman" w:cs="Times New Roman"/>
          <w:b/>
          <w:color w:val="000000" w:themeColor="text1"/>
          <w:sz w:val="24"/>
          <w:szCs w:val="24"/>
        </w:rPr>
      </w:pPr>
    </w:p>
    <w:p w14:paraId="7F5B7D57" w14:textId="77777777" w:rsidR="000F2B0A" w:rsidRPr="00C10323" w:rsidRDefault="000F2B0A" w:rsidP="00F343F2">
      <w:pPr>
        <w:spacing w:line="479" w:lineRule="auto"/>
        <w:jc w:val="both"/>
        <w:rPr>
          <w:rFonts w:ascii="Times New Roman" w:hAnsi="Times New Roman" w:cs="Times New Roman"/>
          <w:b/>
          <w:i/>
          <w:iCs/>
          <w:color w:val="000000" w:themeColor="text1"/>
          <w:sz w:val="24"/>
          <w:szCs w:val="24"/>
        </w:rPr>
      </w:pPr>
      <w:r w:rsidRPr="00C10323">
        <w:rPr>
          <w:rFonts w:ascii="Times New Roman" w:hAnsi="Times New Roman" w:cs="Times New Roman"/>
          <w:b/>
          <w:i/>
          <w:iCs/>
          <w:color w:val="000000" w:themeColor="text1"/>
          <w:sz w:val="24"/>
          <w:szCs w:val="24"/>
        </w:rPr>
        <w:t>Failures to Address Cultural Needs are Limiting Healthcare Access</w:t>
      </w:r>
    </w:p>
    <w:p w14:paraId="54CA2DFE" w14:textId="77777777" w:rsidR="00C10323" w:rsidRDefault="00C10323" w:rsidP="00F343F2">
      <w:pPr>
        <w:spacing w:line="479"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Indigenous women often lack access to </w:t>
      </w:r>
      <w:r w:rsidR="000F2B0A" w:rsidRPr="00F343F2">
        <w:rPr>
          <w:rFonts w:ascii="Times New Roman" w:hAnsi="Times New Roman" w:cs="Times New Roman"/>
          <w:b/>
          <w:color w:val="000000" w:themeColor="text1"/>
          <w:sz w:val="24"/>
          <w:szCs w:val="24"/>
        </w:rPr>
        <w:t xml:space="preserve">adequate </w:t>
      </w:r>
      <w:r>
        <w:rPr>
          <w:rFonts w:ascii="Times New Roman" w:hAnsi="Times New Roman" w:cs="Times New Roman"/>
          <w:b/>
          <w:color w:val="000000" w:themeColor="text1"/>
          <w:sz w:val="24"/>
          <w:szCs w:val="24"/>
        </w:rPr>
        <w:t xml:space="preserve">healthcare </w:t>
      </w:r>
      <w:r w:rsidR="000F2B0A" w:rsidRPr="00F343F2">
        <w:rPr>
          <w:rFonts w:ascii="Times New Roman" w:hAnsi="Times New Roman" w:cs="Times New Roman"/>
          <w:b/>
          <w:color w:val="000000" w:themeColor="text1"/>
          <w:sz w:val="24"/>
          <w:szCs w:val="24"/>
        </w:rPr>
        <w:t>due to appalling low levels of infrastructure addressing their physical, mental, and spiritual needs</w:t>
      </w:r>
      <w:r w:rsidR="000F2B0A" w:rsidRPr="00F343F2">
        <w:rPr>
          <w:rFonts w:ascii="Times New Roman" w:hAnsi="Times New Roman" w:cs="Times New Roman"/>
          <w:color w:val="000000" w:themeColor="text1"/>
          <w:sz w:val="24"/>
          <w:szCs w:val="24"/>
        </w:rPr>
        <w:t>.</w:t>
      </w:r>
      <w:r w:rsidR="000F2B0A" w:rsidRPr="00F343F2">
        <w:rPr>
          <w:rFonts w:ascii="Times New Roman" w:hAnsi="Times New Roman" w:cs="Times New Roman"/>
          <w:color w:val="000000" w:themeColor="text1"/>
          <w:sz w:val="24"/>
          <w:szCs w:val="24"/>
          <w:vertAlign w:val="superscript"/>
        </w:rPr>
        <w:footnoteReference w:id="41"/>
      </w:r>
      <w:r w:rsidR="000F2B0A" w:rsidRPr="00F343F2">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H</w:t>
      </w:r>
      <w:r w:rsidR="000F2B0A" w:rsidRPr="00F343F2">
        <w:rPr>
          <w:rFonts w:ascii="Times New Roman" w:hAnsi="Times New Roman" w:cs="Times New Roman"/>
          <w:color w:val="000000" w:themeColor="text1"/>
          <w:sz w:val="24"/>
          <w:szCs w:val="24"/>
        </w:rPr>
        <w:t xml:space="preserve">ealth centers are </w:t>
      </w:r>
      <w:r>
        <w:rPr>
          <w:rFonts w:ascii="Times New Roman" w:hAnsi="Times New Roman" w:cs="Times New Roman"/>
          <w:color w:val="000000" w:themeColor="text1"/>
          <w:sz w:val="24"/>
          <w:szCs w:val="24"/>
        </w:rPr>
        <w:t xml:space="preserve">often </w:t>
      </w:r>
      <w:r w:rsidR="000F2B0A" w:rsidRPr="00F343F2">
        <w:rPr>
          <w:rFonts w:ascii="Times New Roman" w:hAnsi="Times New Roman" w:cs="Times New Roman"/>
          <w:color w:val="000000" w:themeColor="text1"/>
          <w:sz w:val="24"/>
          <w:szCs w:val="24"/>
        </w:rPr>
        <w:t xml:space="preserve">either </w:t>
      </w:r>
      <w:r>
        <w:rPr>
          <w:rFonts w:ascii="Times New Roman" w:hAnsi="Times New Roman" w:cs="Times New Roman"/>
          <w:color w:val="000000" w:themeColor="text1"/>
          <w:sz w:val="24"/>
          <w:szCs w:val="24"/>
        </w:rPr>
        <w:t>far</w:t>
      </w:r>
      <w:r w:rsidR="000F2B0A" w:rsidRPr="00F343F2">
        <w:rPr>
          <w:rFonts w:ascii="Times New Roman" w:hAnsi="Times New Roman" w:cs="Times New Roman"/>
          <w:color w:val="000000" w:themeColor="text1"/>
          <w:sz w:val="24"/>
          <w:szCs w:val="24"/>
        </w:rPr>
        <w:t xml:space="preserve"> away</w:t>
      </w:r>
      <w:r>
        <w:rPr>
          <w:rFonts w:ascii="Times New Roman" w:hAnsi="Times New Roman" w:cs="Times New Roman"/>
          <w:color w:val="000000" w:themeColor="text1"/>
          <w:sz w:val="24"/>
          <w:szCs w:val="24"/>
        </w:rPr>
        <w:t xml:space="preserve"> from indigenous communities</w:t>
      </w:r>
      <w:r w:rsidR="000F2B0A" w:rsidRPr="00F343F2">
        <w:rPr>
          <w:rFonts w:ascii="Times New Roman" w:hAnsi="Times New Roman" w:cs="Times New Roman"/>
          <w:color w:val="000000" w:themeColor="text1"/>
          <w:sz w:val="24"/>
          <w:szCs w:val="24"/>
        </w:rPr>
        <w:t>, culturally inappropriate, or lacking interpreters.</w:t>
      </w:r>
      <w:r w:rsidR="000F2B0A" w:rsidRPr="00F343F2">
        <w:rPr>
          <w:rFonts w:ascii="Times New Roman" w:hAnsi="Times New Roman" w:cs="Times New Roman"/>
          <w:color w:val="000000" w:themeColor="text1"/>
          <w:sz w:val="24"/>
          <w:szCs w:val="24"/>
          <w:vertAlign w:val="superscript"/>
        </w:rPr>
        <w:footnoteReference w:id="42"/>
      </w:r>
      <w:r w:rsidR="000F2B0A" w:rsidRPr="00F343F2">
        <w:rPr>
          <w:rFonts w:ascii="Times New Roman" w:hAnsi="Times New Roman" w:cs="Times New Roman"/>
          <w:color w:val="000000" w:themeColor="text1"/>
          <w:sz w:val="24"/>
          <w:szCs w:val="24"/>
        </w:rPr>
        <w:t xml:space="preserve"> These disparities</w:t>
      </w:r>
      <w:r>
        <w:rPr>
          <w:rFonts w:ascii="Times New Roman" w:hAnsi="Times New Roman" w:cs="Times New Roman"/>
          <w:color w:val="000000" w:themeColor="text1"/>
          <w:sz w:val="24"/>
          <w:szCs w:val="24"/>
        </w:rPr>
        <w:t xml:space="preserve"> in access to quality healthcare</w:t>
      </w:r>
      <w:r w:rsidR="000F2B0A" w:rsidRPr="00F343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disproportionately</w:t>
      </w:r>
      <w:r w:rsidR="000F2B0A" w:rsidRPr="00F343F2">
        <w:rPr>
          <w:rFonts w:ascii="Times New Roman" w:hAnsi="Times New Roman" w:cs="Times New Roman"/>
          <w:color w:val="000000" w:themeColor="text1"/>
          <w:sz w:val="24"/>
          <w:szCs w:val="24"/>
        </w:rPr>
        <w:t xml:space="preserve"> affect indigenous communities as a whole but are especially damaging for women and girls. </w:t>
      </w:r>
    </w:p>
    <w:p w14:paraId="73E46AA3" w14:textId="5A43D81F" w:rsidR="000F2B0A" w:rsidRPr="007A2F8C" w:rsidRDefault="000F2B0A" w:rsidP="007A2F8C">
      <w:pPr>
        <w:spacing w:line="479" w:lineRule="auto"/>
        <w:ind w:firstLine="720"/>
        <w:jc w:val="both"/>
        <w:rPr>
          <w:rFonts w:ascii="Times New Roman" w:hAnsi="Times New Roman" w:cs="Times New Roman"/>
          <w:sz w:val="24"/>
          <w:szCs w:val="24"/>
        </w:rPr>
      </w:pPr>
      <w:r w:rsidRPr="00F343F2">
        <w:rPr>
          <w:rFonts w:ascii="Times New Roman" w:hAnsi="Times New Roman" w:cs="Times New Roman"/>
          <w:color w:val="000000" w:themeColor="text1"/>
          <w:sz w:val="24"/>
          <w:szCs w:val="24"/>
        </w:rPr>
        <w:t>In Brazil</w:t>
      </w:r>
      <w:r w:rsidR="00C10323">
        <w:rPr>
          <w:rFonts w:ascii="Times New Roman" w:hAnsi="Times New Roman" w:cs="Times New Roman"/>
          <w:color w:val="000000" w:themeColor="text1"/>
          <w:sz w:val="24"/>
          <w:szCs w:val="24"/>
        </w:rPr>
        <w:t xml:space="preserve">, for example, </w:t>
      </w:r>
      <w:r w:rsidRPr="00F343F2">
        <w:rPr>
          <w:rFonts w:ascii="Times New Roman" w:hAnsi="Times New Roman" w:cs="Times New Roman"/>
          <w:color w:val="000000" w:themeColor="text1"/>
          <w:sz w:val="24"/>
          <w:szCs w:val="24"/>
        </w:rPr>
        <w:t>the indigenous populations suffer from high rates of poor health, malnutrition, dengue fever, malaria, hepatitis, tuberculosis, and parasites.</w:t>
      </w:r>
      <w:r w:rsidRPr="00F343F2">
        <w:rPr>
          <w:rFonts w:ascii="Times New Roman" w:hAnsi="Times New Roman" w:cs="Times New Roman"/>
          <w:color w:val="000000" w:themeColor="text1"/>
          <w:sz w:val="24"/>
          <w:szCs w:val="24"/>
          <w:vertAlign w:val="superscript"/>
        </w:rPr>
        <w:footnoteReference w:id="43"/>
      </w:r>
      <w:r w:rsidRPr="00F343F2">
        <w:rPr>
          <w:rFonts w:ascii="Times New Roman" w:hAnsi="Times New Roman" w:cs="Times New Roman"/>
          <w:color w:val="000000" w:themeColor="text1"/>
          <w:sz w:val="24"/>
          <w:szCs w:val="24"/>
        </w:rPr>
        <w:t xml:space="preserve"> Women in these communities further suffer from frequent instances of cervical cancer, limited postnatal care, </w:t>
      </w:r>
      <w:r w:rsidR="007719A2">
        <w:rPr>
          <w:rFonts w:ascii="Times New Roman" w:hAnsi="Times New Roman" w:cs="Times New Roman"/>
          <w:color w:val="000000" w:themeColor="text1"/>
          <w:sz w:val="24"/>
          <w:szCs w:val="24"/>
        </w:rPr>
        <w:t xml:space="preserve">and </w:t>
      </w:r>
      <w:r w:rsidRPr="00F343F2">
        <w:rPr>
          <w:rFonts w:ascii="Times New Roman" w:hAnsi="Times New Roman" w:cs="Times New Roman"/>
          <w:color w:val="000000" w:themeColor="text1"/>
          <w:sz w:val="24"/>
          <w:szCs w:val="24"/>
        </w:rPr>
        <w:t>high levels of suicide.</w:t>
      </w:r>
      <w:r w:rsidRPr="00F343F2">
        <w:rPr>
          <w:rFonts w:ascii="Times New Roman" w:hAnsi="Times New Roman" w:cs="Times New Roman"/>
          <w:color w:val="000000" w:themeColor="text1"/>
          <w:sz w:val="24"/>
          <w:szCs w:val="24"/>
          <w:vertAlign w:val="superscript"/>
        </w:rPr>
        <w:footnoteReference w:id="44"/>
      </w:r>
      <w:r w:rsidRPr="00F343F2">
        <w:rPr>
          <w:rFonts w:ascii="Times New Roman" w:hAnsi="Times New Roman" w:cs="Times New Roman"/>
          <w:color w:val="000000" w:themeColor="text1"/>
          <w:sz w:val="24"/>
          <w:szCs w:val="24"/>
        </w:rPr>
        <w:t xml:space="preserve"> Indigenous women in both Peru and Columbia also report difficulty accessing proper care largely because of geographic social isolation</w:t>
      </w:r>
      <w:r w:rsidR="00C10323">
        <w:rPr>
          <w:rFonts w:ascii="Times New Roman" w:hAnsi="Times New Roman" w:cs="Times New Roman"/>
          <w:color w:val="000000" w:themeColor="text1"/>
          <w:sz w:val="24"/>
          <w:szCs w:val="24"/>
        </w:rPr>
        <w:t>.</w:t>
      </w:r>
      <w:r w:rsidR="00C10323" w:rsidRPr="00F343F2">
        <w:rPr>
          <w:rFonts w:ascii="Times New Roman" w:hAnsi="Times New Roman" w:cs="Times New Roman"/>
          <w:color w:val="000000" w:themeColor="text1"/>
          <w:sz w:val="24"/>
          <w:szCs w:val="24"/>
          <w:vertAlign w:val="superscript"/>
        </w:rPr>
        <w:footnoteReference w:id="45"/>
      </w:r>
      <w:r w:rsidRPr="00F343F2">
        <w:rPr>
          <w:rFonts w:ascii="Times New Roman" w:hAnsi="Times New Roman" w:cs="Times New Roman"/>
          <w:color w:val="000000" w:themeColor="text1"/>
          <w:sz w:val="24"/>
          <w:szCs w:val="24"/>
        </w:rPr>
        <w:t xml:space="preserve"> </w:t>
      </w:r>
      <w:r w:rsidR="00C10323">
        <w:rPr>
          <w:rFonts w:ascii="Times New Roman" w:hAnsi="Times New Roman" w:cs="Times New Roman"/>
          <w:color w:val="000000" w:themeColor="text1"/>
          <w:sz w:val="24"/>
          <w:szCs w:val="24"/>
        </w:rPr>
        <w:t>I</w:t>
      </w:r>
      <w:r w:rsidRPr="00F343F2">
        <w:rPr>
          <w:rFonts w:ascii="Times New Roman" w:hAnsi="Times New Roman" w:cs="Times New Roman"/>
          <w:color w:val="000000" w:themeColor="text1"/>
          <w:sz w:val="24"/>
          <w:szCs w:val="24"/>
        </w:rPr>
        <w:t>n Mexico</w:t>
      </w:r>
      <w:r w:rsidR="00C10323">
        <w:rPr>
          <w:rFonts w:ascii="Times New Roman" w:hAnsi="Times New Roman" w:cs="Times New Roman"/>
          <w:color w:val="000000" w:themeColor="text1"/>
          <w:sz w:val="24"/>
          <w:szCs w:val="24"/>
        </w:rPr>
        <w:t>,</w:t>
      </w:r>
      <w:r w:rsidRPr="00F343F2">
        <w:rPr>
          <w:rFonts w:ascii="Times New Roman" w:hAnsi="Times New Roman" w:cs="Times New Roman"/>
          <w:color w:val="000000" w:themeColor="text1"/>
          <w:sz w:val="24"/>
          <w:szCs w:val="24"/>
        </w:rPr>
        <w:t xml:space="preserve"> indigenous women have a nine-times higher maternal mortality rate compared to their non-indigenous counterparts.</w:t>
      </w:r>
      <w:r w:rsidRPr="00F343F2">
        <w:rPr>
          <w:rFonts w:ascii="Times New Roman" w:hAnsi="Times New Roman" w:cs="Times New Roman"/>
          <w:color w:val="000000" w:themeColor="text1"/>
          <w:sz w:val="24"/>
          <w:szCs w:val="24"/>
          <w:vertAlign w:val="superscript"/>
        </w:rPr>
        <w:footnoteReference w:id="46"/>
      </w:r>
      <w:r w:rsidRPr="00F343F2">
        <w:rPr>
          <w:rFonts w:ascii="Times New Roman" w:hAnsi="Times New Roman" w:cs="Times New Roman"/>
          <w:color w:val="000000" w:themeColor="text1"/>
          <w:sz w:val="24"/>
          <w:szCs w:val="24"/>
        </w:rPr>
        <w:t xml:space="preserve"> In Brazil, the highest rates of infant </w:t>
      </w:r>
      <w:r w:rsidRPr="00C10323">
        <w:rPr>
          <w:rFonts w:ascii="Times New Roman" w:hAnsi="Times New Roman" w:cs="Times New Roman"/>
          <w:sz w:val="24"/>
          <w:szCs w:val="24"/>
        </w:rPr>
        <w:t xml:space="preserve">mortality are also among indigenous women </w:t>
      </w:r>
      <w:r w:rsidRPr="00C10323">
        <w:rPr>
          <w:rFonts w:ascii="Times New Roman" w:hAnsi="Times New Roman" w:cs="Times New Roman"/>
          <w:sz w:val="24"/>
          <w:szCs w:val="24"/>
        </w:rPr>
        <w:lastRenderedPageBreak/>
        <w:t>and correlated with limited access to food and water.</w:t>
      </w:r>
      <w:r w:rsidRPr="00C10323">
        <w:rPr>
          <w:rFonts w:ascii="Times New Roman" w:hAnsi="Times New Roman" w:cs="Times New Roman"/>
          <w:sz w:val="24"/>
          <w:szCs w:val="24"/>
          <w:vertAlign w:val="superscript"/>
        </w:rPr>
        <w:footnoteReference w:id="47"/>
      </w:r>
      <w:r w:rsidRPr="00C10323">
        <w:rPr>
          <w:rFonts w:ascii="Times New Roman" w:hAnsi="Times New Roman" w:cs="Times New Roman"/>
          <w:sz w:val="24"/>
          <w:szCs w:val="24"/>
        </w:rPr>
        <w:t xml:space="preserve"> </w:t>
      </w:r>
      <w:r w:rsidR="007A2F8C">
        <w:rPr>
          <w:rFonts w:ascii="Times New Roman" w:hAnsi="Times New Roman" w:cs="Times New Roman"/>
          <w:sz w:val="24"/>
          <w:szCs w:val="24"/>
        </w:rPr>
        <w:t xml:space="preserve"> </w:t>
      </w:r>
      <w:r w:rsidR="00C10323" w:rsidRPr="007A2F8C">
        <w:rPr>
          <w:rFonts w:ascii="Times New Roman" w:hAnsi="Times New Roman" w:cs="Times New Roman"/>
          <w:sz w:val="24"/>
          <w:szCs w:val="24"/>
        </w:rPr>
        <w:t>Furthermore, a d</w:t>
      </w:r>
      <w:r w:rsidRPr="007A2F8C">
        <w:rPr>
          <w:rFonts w:ascii="Times New Roman" w:hAnsi="Times New Roman" w:cs="Times New Roman"/>
          <w:sz w:val="24"/>
          <w:szCs w:val="24"/>
        </w:rPr>
        <w:t>isregard</w:t>
      </w:r>
      <w:r w:rsidR="00C10323" w:rsidRPr="007A2F8C">
        <w:rPr>
          <w:rFonts w:ascii="Times New Roman" w:hAnsi="Times New Roman" w:cs="Times New Roman"/>
          <w:sz w:val="24"/>
          <w:szCs w:val="24"/>
        </w:rPr>
        <w:t xml:space="preserve"> </w:t>
      </w:r>
      <w:r w:rsidR="00C10323" w:rsidRPr="007A2F8C">
        <w:rPr>
          <w:rFonts w:ascii="Times New Roman" w:hAnsi="Times New Roman" w:cs="Times New Roman"/>
          <w:color w:val="000000" w:themeColor="text1"/>
          <w:sz w:val="24"/>
          <w:szCs w:val="24"/>
        </w:rPr>
        <w:t>for</w:t>
      </w:r>
      <w:r w:rsidRPr="007A2F8C">
        <w:rPr>
          <w:rFonts w:ascii="Times New Roman" w:hAnsi="Times New Roman" w:cs="Times New Roman"/>
          <w:color w:val="000000" w:themeColor="text1"/>
          <w:sz w:val="24"/>
          <w:szCs w:val="24"/>
        </w:rPr>
        <w:t xml:space="preserve"> the cultural and language needs of </w:t>
      </w:r>
      <w:r w:rsidR="00C10323" w:rsidRPr="007A2F8C">
        <w:rPr>
          <w:rFonts w:ascii="Times New Roman" w:hAnsi="Times New Roman" w:cs="Times New Roman"/>
          <w:color w:val="000000" w:themeColor="text1"/>
          <w:sz w:val="24"/>
          <w:szCs w:val="24"/>
        </w:rPr>
        <w:t>indigenous</w:t>
      </w:r>
      <w:r w:rsidRPr="007A2F8C">
        <w:rPr>
          <w:rFonts w:ascii="Times New Roman" w:hAnsi="Times New Roman" w:cs="Times New Roman"/>
          <w:color w:val="000000" w:themeColor="text1"/>
          <w:sz w:val="24"/>
          <w:szCs w:val="24"/>
        </w:rPr>
        <w:t xml:space="preserve"> women has led to </w:t>
      </w:r>
      <w:r w:rsidR="00C10323" w:rsidRPr="007A2F8C">
        <w:rPr>
          <w:rFonts w:ascii="Times New Roman" w:hAnsi="Times New Roman" w:cs="Times New Roman"/>
          <w:color w:val="000000" w:themeColor="text1"/>
          <w:sz w:val="24"/>
          <w:szCs w:val="24"/>
        </w:rPr>
        <w:t>other health and</w:t>
      </w:r>
      <w:r w:rsidRPr="007A2F8C">
        <w:rPr>
          <w:rFonts w:ascii="Times New Roman" w:hAnsi="Times New Roman" w:cs="Times New Roman"/>
          <w:color w:val="000000" w:themeColor="text1"/>
          <w:sz w:val="24"/>
          <w:szCs w:val="24"/>
        </w:rPr>
        <w:t xml:space="preserve"> human rights violations</w:t>
      </w:r>
      <w:r w:rsidR="00C10323" w:rsidRPr="007A2F8C">
        <w:rPr>
          <w:rFonts w:ascii="Times New Roman" w:hAnsi="Times New Roman" w:cs="Times New Roman"/>
          <w:color w:val="000000" w:themeColor="text1"/>
          <w:sz w:val="24"/>
          <w:szCs w:val="24"/>
        </w:rPr>
        <w:t>,</w:t>
      </w:r>
      <w:r w:rsidRPr="00F343F2">
        <w:rPr>
          <w:rFonts w:ascii="Times New Roman" w:hAnsi="Times New Roman" w:cs="Times New Roman"/>
          <w:color w:val="000000" w:themeColor="text1"/>
          <w:sz w:val="24"/>
          <w:szCs w:val="24"/>
        </w:rPr>
        <w:t xml:space="preserve"> including widespread sterilization without consent.</w:t>
      </w:r>
      <w:r w:rsidRPr="00F343F2">
        <w:rPr>
          <w:rFonts w:ascii="Times New Roman" w:hAnsi="Times New Roman" w:cs="Times New Roman"/>
          <w:color w:val="000000" w:themeColor="text1"/>
          <w:sz w:val="24"/>
          <w:szCs w:val="24"/>
          <w:vertAlign w:val="superscript"/>
        </w:rPr>
        <w:footnoteReference w:id="48"/>
      </w:r>
      <w:r w:rsidRPr="00F343F2">
        <w:rPr>
          <w:rFonts w:ascii="Times New Roman" w:hAnsi="Times New Roman" w:cs="Times New Roman"/>
          <w:color w:val="000000" w:themeColor="text1"/>
          <w:sz w:val="24"/>
          <w:szCs w:val="24"/>
        </w:rPr>
        <w:t xml:space="preserve"> Therefore, </w:t>
      </w:r>
      <w:r w:rsidR="00C10323">
        <w:rPr>
          <w:rFonts w:ascii="Times New Roman" w:hAnsi="Times New Roman" w:cs="Times New Roman"/>
          <w:color w:val="000000" w:themeColor="text1"/>
          <w:sz w:val="24"/>
          <w:szCs w:val="24"/>
        </w:rPr>
        <w:t>States must</w:t>
      </w:r>
      <w:r w:rsidRPr="00F343F2">
        <w:rPr>
          <w:rFonts w:ascii="Times New Roman" w:hAnsi="Times New Roman" w:cs="Times New Roman"/>
          <w:color w:val="000000" w:themeColor="text1"/>
          <w:sz w:val="24"/>
          <w:szCs w:val="24"/>
        </w:rPr>
        <w:t xml:space="preserve"> develop a comprehensive and culturally appropriate strategy </w:t>
      </w:r>
      <w:r w:rsidR="00C10323">
        <w:rPr>
          <w:rFonts w:ascii="Times New Roman" w:hAnsi="Times New Roman" w:cs="Times New Roman"/>
          <w:color w:val="000000" w:themeColor="text1"/>
          <w:sz w:val="24"/>
          <w:szCs w:val="24"/>
        </w:rPr>
        <w:t>that ensures indigenous women and girls have access to</w:t>
      </w:r>
      <w:r w:rsidRPr="00F343F2">
        <w:rPr>
          <w:rFonts w:ascii="Times New Roman" w:hAnsi="Times New Roman" w:cs="Times New Roman"/>
          <w:color w:val="000000" w:themeColor="text1"/>
          <w:sz w:val="24"/>
          <w:szCs w:val="24"/>
        </w:rPr>
        <w:t xml:space="preserve"> healthcare and </w:t>
      </w:r>
      <w:r w:rsidR="00C10323">
        <w:rPr>
          <w:rFonts w:ascii="Times New Roman" w:hAnsi="Times New Roman" w:cs="Times New Roman"/>
          <w:color w:val="000000" w:themeColor="text1"/>
          <w:sz w:val="24"/>
          <w:szCs w:val="24"/>
        </w:rPr>
        <w:t xml:space="preserve">proper </w:t>
      </w:r>
      <w:r w:rsidRPr="00F343F2">
        <w:rPr>
          <w:rFonts w:ascii="Times New Roman" w:hAnsi="Times New Roman" w:cs="Times New Roman"/>
          <w:color w:val="000000" w:themeColor="text1"/>
          <w:sz w:val="24"/>
          <w:szCs w:val="24"/>
        </w:rPr>
        <w:t>educational suppor</w:t>
      </w:r>
      <w:r w:rsidR="00C10323">
        <w:rPr>
          <w:rFonts w:ascii="Times New Roman" w:hAnsi="Times New Roman" w:cs="Times New Roman"/>
          <w:color w:val="000000" w:themeColor="text1"/>
          <w:sz w:val="24"/>
          <w:szCs w:val="24"/>
        </w:rPr>
        <w:t>t.</w:t>
      </w:r>
    </w:p>
    <w:p w14:paraId="1CDBEF1F" w14:textId="77777777" w:rsidR="000F2B0A" w:rsidRPr="00F343F2" w:rsidRDefault="000F2B0A" w:rsidP="00F343F2">
      <w:pPr>
        <w:jc w:val="both"/>
        <w:rPr>
          <w:rFonts w:ascii="Times New Roman" w:hAnsi="Times New Roman" w:cs="Times New Roman"/>
          <w:color w:val="000000" w:themeColor="text1"/>
          <w:sz w:val="24"/>
          <w:szCs w:val="24"/>
        </w:rPr>
      </w:pPr>
    </w:p>
    <w:p w14:paraId="3C712E23" w14:textId="77777777" w:rsidR="000F2B0A" w:rsidRPr="00F343F2" w:rsidRDefault="000F2B0A" w:rsidP="00F343F2">
      <w:pPr>
        <w:jc w:val="both"/>
        <w:rPr>
          <w:rFonts w:ascii="Times New Roman" w:hAnsi="Times New Roman" w:cs="Times New Roman"/>
          <w:color w:val="000000" w:themeColor="text1"/>
          <w:sz w:val="24"/>
          <w:szCs w:val="24"/>
        </w:rPr>
      </w:pPr>
    </w:p>
    <w:p w14:paraId="5D03BF31" w14:textId="35DD9039" w:rsidR="000F2B0A" w:rsidRDefault="000F2B0A" w:rsidP="006067E7">
      <w:pPr>
        <w:pStyle w:val="ListParagraph"/>
        <w:numPr>
          <w:ilvl w:val="0"/>
          <w:numId w:val="3"/>
        </w:numPr>
        <w:jc w:val="both"/>
        <w:rPr>
          <w:rFonts w:ascii="Times New Roman" w:hAnsi="Times New Roman" w:cs="Times New Roman"/>
          <w:b/>
          <w:color w:val="000000" w:themeColor="text1"/>
          <w:sz w:val="24"/>
          <w:szCs w:val="24"/>
        </w:rPr>
      </w:pPr>
      <w:r w:rsidRPr="006067E7">
        <w:rPr>
          <w:rFonts w:ascii="Times New Roman" w:hAnsi="Times New Roman" w:cs="Times New Roman"/>
          <w:b/>
          <w:color w:val="000000" w:themeColor="text1"/>
          <w:sz w:val="24"/>
          <w:szCs w:val="24"/>
        </w:rPr>
        <w:t>Conclusion</w:t>
      </w:r>
    </w:p>
    <w:p w14:paraId="0FF2A258" w14:textId="77777777" w:rsidR="006067E7" w:rsidRPr="006067E7" w:rsidRDefault="006067E7" w:rsidP="006067E7">
      <w:pPr>
        <w:pStyle w:val="ListParagraph"/>
        <w:ind w:left="1080"/>
        <w:jc w:val="both"/>
        <w:rPr>
          <w:rFonts w:ascii="Times New Roman" w:hAnsi="Times New Roman" w:cs="Times New Roman"/>
          <w:b/>
          <w:color w:val="000000" w:themeColor="text1"/>
          <w:sz w:val="24"/>
          <w:szCs w:val="24"/>
        </w:rPr>
      </w:pPr>
    </w:p>
    <w:p w14:paraId="567D0081" w14:textId="64248B89" w:rsidR="004E6716" w:rsidRDefault="000F2B0A" w:rsidP="00F343F2">
      <w:pPr>
        <w:spacing w:line="480" w:lineRule="auto"/>
        <w:jc w:val="both"/>
        <w:rPr>
          <w:rFonts w:ascii="Times New Roman" w:hAnsi="Times New Roman" w:cs="Times New Roman"/>
          <w:color w:val="000000" w:themeColor="text1"/>
          <w:sz w:val="24"/>
          <w:szCs w:val="24"/>
        </w:rPr>
      </w:pPr>
      <w:r w:rsidRPr="00F343F2">
        <w:rPr>
          <w:rFonts w:ascii="Times New Roman" w:hAnsi="Times New Roman" w:cs="Times New Roman"/>
          <w:color w:val="000000" w:themeColor="text1"/>
          <w:sz w:val="24"/>
          <w:szCs w:val="24"/>
        </w:rPr>
        <w:tab/>
        <w:t xml:space="preserve">We invite the CEDAW </w:t>
      </w:r>
      <w:r w:rsidR="00F343F2">
        <w:rPr>
          <w:rFonts w:ascii="Times New Roman" w:hAnsi="Times New Roman" w:cs="Times New Roman"/>
          <w:color w:val="000000" w:themeColor="text1"/>
          <w:sz w:val="24"/>
          <w:szCs w:val="24"/>
        </w:rPr>
        <w:t>C</w:t>
      </w:r>
      <w:r w:rsidRPr="00F343F2">
        <w:rPr>
          <w:rFonts w:ascii="Times New Roman" w:hAnsi="Times New Roman" w:cs="Times New Roman"/>
          <w:color w:val="000000" w:themeColor="text1"/>
          <w:sz w:val="24"/>
          <w:szCs w:val="24"/>
        </w:rPr>
        <w:t xml:space="preserve">ommittee to consider this information </w:t>
      </w:r>
      <w:r w:rsidR="00F343F2">
        <w:rPr>
          <w:rFonts w:ascii="Times New Roman" w:hAnsi="Times New Roman" w:cs="Times New Roman"/>
          <w:color w:val="000000" w:themeColor="text1"/>
          <w:sz w:val="24"/>
          <w:szCs w:val="24"/>
        </w:rPr>
        <w:t>in its discussion towards a potential General Recommendation on</w:t>
      </w:r>
      <w:r w:rsidRPr="00F343F2">
        <w:rPr>
          <w:rFonts w:ascii="Times New Roman" w:hAnsi="Times New Roman" w:cs="Times New Roman"/>
          <w:color w:val="000000" w:themeColor="text1"/>
          <w:sz w:val="24"/>
          <w:szCs w:val="24"/>
        </w:rPr>
        <w:t xml:space="preserve"> the rights of indigenous women </w:t>
      </w:r>
      <w:r w:rsidR="00F343F2">
        <w:rPr>
          <w:rFonts w:ascii="Times New Roman" w:hAnsi="Times New Roman" w:cs="Times New Roman"/>
          <w:color w:val="000000" w:themeColor="text1"/>
          <w:sz w:val="24"/>
          <w:szCs w:val="24"/>
        </w:rPr>
        <w:t xml:space="preserve">and girls. We ask that the Committee take </w:t>
      </w:r>
      <w:r w:rsidRPr="00F343F2">
        <w:rPr>
          <w:rFonts w:ascii="Times New Roman" w:hAnsi="Times New Roman" w:cs="Times New Roman"/>
          <w:color w:val="000000" w:themeColor="text1"/>
          <w:sz w:val="24"/>
          <w:szCs w:val="24"/>
        </w:rPr>
        <w:t>note</w:t>
      </w:r>
      <w:r w:rsidR="00F343F2">
        <w:rPr>
          <w:rFonts w:ascii="Times New Roman" w:hAnsi="Times New Roman" w:cs="Times New Roman"/>
          <w:color w:val="000000" w:themeColor="text1"/>
          <w:sz w:val="24"/>
          <w:szCs w:val="24"/>
        </w:rPr>
        <w:t xml:space="preserve"> of</w:t>
      </w:r>
      <w:r w:rsidRPr="00F343F2">
        <w:rPr>
          <w:rFonts w:ascii="Times New Roman" w:hAnsi="Times New Roman" w:cs="Times New Roman"/>
          <w:color w:val="000000" w:themeColor="text1"/>
          <w:sz w:val="24"/>
          <w:szCs w:val="24"/>
        </w:rPr>
        <w:t xml:space="preserve"> the intersectionality of these </w:t>
      </w:r>
      <w:r w:rsidR="00F343F2">
        <w:rPr>
          <w:rFonts w:ascii="Times New Roman" w:hAnsi="Times New Roman" w:cs="Times New Roman"/>
          <w:color w:val="000000" w:themeColor="text1"/>
          <w:sz w:val="24"/>
          <w:szCs w:val="24"/>
        </w:rPr>
        <w:t>contexts of discrimination and violence</w:t>
      </w:r>
      <w:r w:rsidR="007719A2">
        <w:rPr>
          <w:rFonts w:ascii="Times New Roman" w:hAnsi="Times New Roman" w:cs="Times New Roman"/>
          <w:color w:val="000000" w:themeColor="text1"/>
          <w:sz w:val="24"/>
          <w:szCs w:val="24"/>
        </w:rPr>
        <w:t>. We further ask that the Committee recommend</w:t>
      </w:r>
      <w:r w:rsidR="00F343F2">
        <w:rPr>
          <w:rFonts w:ascii="Times New Roman" w:hAnsi="Times New Roman" w:cs="Times New Roman"/>
          <w:color w:val="000000" w:themeColor="text1"/>
          <w:sz w:val="24"/>
          <w:szCs w:val="24"/>
        </w:rPr>
        <w:t xml:space="preserve"> States to adopt integral measures that </w:t>
      </w:r>
      <w:r w:rsidR="00F343F2">
        <w:rPr>
          <w:rFonts w:ascii="Times New Roman" w:hAnsi="Times New Roman" w:cs="Times New Roman"/>
          <w:color w:val="000000" w:themeColor="text1"/>
          <w:sz w:val="24"/>
          <w:szCs w:val="24"/>
          <w:highlight w:val="white"/>
        </w:rPr>
        <w:t>address discrimination and violence against indigenous women and girls</w:t>
      </w:r>
      <w:r w:rsidR="00F343F2" w:rsidRPr="00F343F2">
        <w:rPr>
          <w:rFonts w:ascii="Times New Roman" w:hAnsi="Times New Roman" w:cs="Times New Roman"/>
          <w:color w:val="000000" w:themeColor="text1"/>
          <w:sz w:val="24"/>
          <w:szCs w:val="24"/>
          <w:highlight w:val="white"/>
        </w:rPr>
        <w:t xml:space="preserve"> </w:t>
      </w:r>
      <w:r w:rsidR="00F343F2">
        <w:rPr>
          <w:rFonts w:ascii="Times New Roman" w:hAnsi="Times New Roman" w:cs="Times New Roman"/>
          <w:color w:val="000000" w:themeColor="text1"/>
          <w:sz w:val="24"/>
          <w:szCs w:val="24"/>
          <w:highlight w:val="white"/>
        </w:rPr>
        <w:t>in</w:t>
      </w:r>
      <w:r w:rsidR="00F343F2" w:rsidRPr="00F343F2">
        <w:rPr>
          <w:rFonts w:ascii="Times New Roman" w:hAnsi="Times New Roman" w:cs="Times New Roman"/>
          <w:color w:val="000000" w:themeColor="text1"/>
          <w:sz w:val="24"/>
          <w:szCs w:val="24"/>
          <w:highlight w:val="white"/>
        </w:rPr>
        <w:t xml:space="preserve"> an equally intersectional </w:t>
      </w:r>
      <w:r w:rsidR="00F343F2">
        <w:rPr>
          <w:rFonts w:ascii="Times New Roman" w:hAnsi="Times New Roman" w:cs="Times New Roman"/>
          <w:color w:val="000000" w:themeColor="text1"/>
          <w:sz w:val="24"/>
          <w:szCs w:val="24"/>
          <w:highlight w:val="white"/>
        </w:rPr>
        <w:t>manner</w:t>
      </w:r>
      <w:r w:rsidR="00F343F2">
        <w:rPr>
          <w:rFonts w:ascii="Times New Roman" w:hAnsi="Times New Roman" w:cs="Times New Roman"/>
          <w:color w:val="000000" w:themeColor="text1"/>
          <w:sz w:val="24"/>
          <w:szCs w:val="24"/>
        </w:rPr>
        <w:t>.</w:t>
      </w:r>
    </w:p>
    <w:p w14:paraId="6909E8EC" w14:textId="3C39A3FD" w:rsidR="007D6E55" w:rsidRDefault="007D6E55" w:rsidP="00F343F2">
      <w:pPr>
        <w:spacing w:line="480" w:lineRule="auto"/>
        <w:jc w:val="both"/>
        <w:rPr>
          <w:rFonts w:ascii="Times New Roman" w:hAnsi="Times New Roman" w:cs="Times New Roman"/>
          <w:color w:val="000000" w:themeColor="text1"/>
          <w:sz w:val="24"/>
          <w:szCs w:val="24"/>
        </w:rPr>
      </w:pPr>
    </w:p>
    <w:p w14:paraId="4FBB34BE" w14:textId="4E29F21C" w:rsidR="007D6E55" w:rsidRDefault="007D6E55" w:rsidP="00F343F2">
      <w:pPr>
        <w:spacing w:line="480" w:lineRule="auto"/>
        <w:jc w:val="both"/>
        <w:rPr>
          <w:rFonts w:ascii="Times New Roman" w:hAnsi="Times New Roman" w:cs="Times New Roman"/>
          <w:color w:val="000000" w:themeColor="text1"/>
          <w:sz w:val="24"/>
          <w:szCs w:val="24"/>
        </w:rPr>
      </w:pPr>
      <w:r w:rsidRPr="0051645E">
        <w:rPr>
          <w:rFonts w:ascii="Times New Roman" w:hAnsi="Times New Roman" w:cs="Times New Roman"/>
          <w:noProof/>
          <w:sz w:val="24"/>
          <w:szCs w:val="24"/>
        </w:rPr>
        <w:drawing>
          <wp:anchor distT="0" distB="0" distL="0" distR="0" simplePos="0" relativeHeight="251659264" behindDoc="1" locked="0" layoutInCell="1" hidden="0" allowOverlap="1" wp14:anchorId="247E9F8A" wp14:editId="28216C26">
            <wp:simplePos x="0" y="0"/>
            <wp:positionH relativeFrom="column">
              <wp:posOffset>-250166</wp:posOffset>
            </wp:positionH>
            <wp:positionV relativeFrom="paragraph">
              <wp:posOffset>77362</wp:posOffset>
            </wp:positionV>
            <wp:extent cx="1972945" cy="796925"/>
            <wp:effectExtent l="0" t="0" r="0" b="3175"/>
            <wp:wrapNone/>
            <wp:docPr id="4" name="image1.png" descr="A picture containing chain, necklace, water, boa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 water, boat&#10;&#10;Description automatically generated"/>
                    <pic:cNvPicPr preferRelativeResize="0"/>
                  </pic:nvPicPr>
                  <pic:blipFill>
                    <a:blip r:embed="rId8"/>
                    <a:srcRect/>
                    <a:stretch>
                      <a:fillRect/>
                    </a:stretch>
                  </pic:blipFill>
                  <pic:spPr>
                    <a:xfrm>
                      <a:off x="0" y="0"/>
                      <a:ext cx="1972945" cy="796925"/>
                    </a:xfrm>
                    <a:prstGeom prst="rect">
                      <a:avLst/>
                    </a:prstGeom>
                    <a:ln/>
                  </pic:spPr>
                </pic:pic>
              </a:graphicData>
            </a:graphic>
          </wp:anchor>
        </w:drawing>
      </w:r>
      <w:r>
        <w:rPr>
          <w:rFonts w:ascii="Times New Roman" w:hAnsi="Times New Roman" w:cs="Times New Roman"/>
          <w:color w:val="000000" w:themeColor="text1"/>
          <w:sz w:val="24"/>
          <w:szCs w:val="24"/>
        </w:rPr>
        <w:t>In solidarity,</w:t>
      </w:r>
    </w:p>
    <w:p w14:paraId="5CF2EE5B" w14:textId="5245ACE5" w:rsidR="007D6E55" w:rsidRPr="007D6E55" w:rsidRDefault="007D6E55" w:rsidP="007D6E55">
      <w:pPr>
        <w:rPr>
          <w:rFonts w:ascii="Times New Roman" w:hAnsi="Times New Roman" w:cs="Times New Roman"/>
          <w:sz w:val="24"/>
          <w:szCs w:val="24"/>
          <w:lang w:val="en-US"/>
        </w:rPr>
      </w:pPr>
    </w:p>
    <w:p w14:paraId="6EAEF42B" w14:textId="313B61F6" w:rsidR="007D6E55" w:rsidRPr="007D6E55" w:rsidRDefault="007D6E55" w:rsidP="007D6E55">
      <w:pPr>
        <w:rPr>
          <w:rFonts w:ascii="Times New Roman" w:hAnsi="Times New Roman" w:cs="Times New Roman"/>
          <w:sz w:val="24"/>
          <w:szCs w:val="24"/>
          <w:lang w:val="en-US"/>
        </w:rPr>
      </w:pPr>
      <w:r w:rsidRPr="007D6E55">
        <w:rPr>
          <w:rFonts w:ascii="Times New Roman" w:hAnsi="Times New Roman" w:cs="Times New Roman"/>
          <w:sz w:val="24"/>
          <w:szCs w:val="24"/>
          <w:lang w:val="en-US"/>
        </w:rPr>
        <w:t xml:space="preserve"> </w:t>
      </w:r>
    </w:p>
    <w:p w14:paraId="70CC19AC" w14:textId="53E2E4CD" w:rsidR="007D6E55" w:rsidRPr="007D6E55" w:rsidRDefault="007D6E55" w:rsidP="007D6E55">
      <w:pPr>
        <w:rPr>
          <w:rFonts w:ascii="Times New Roman" w:hAnsi="Times New Roman" w:cs="Times New Roman"/>
          <w:sz w:val="24"/>
          <w:szCs w:val="24"/>
          <w:lang w:val="en-US"/>
        </w:rPr>
      </w:pPr>
      <w:r>
        <w:rPr>
          <w:rFonts w:ascii="Times New Roman" w:hAnsi="Times New Roman" w:cs="Times New Roman"/>
          <w:sz w:val="24"/>
          <w:szCs w:val="24"/>
          <w:lang w:val="en-US"/>
        </w:rPr>
        <w:t xml:space="preserve">Prof. </w:t>
      </w:r>
      <w:r w:rsidRPr="007D6E55">
        <w:rPr>
          <w:rFonts w:ascii="Times New Roman" w:hAnsi="Times New Roman" w:cs="Times New Roman"/>
          <w:sz w:val="24"/>
          <w:szCs w:val="24"/>
          <w:lang w:val="en-US"/>
        </w:rPr>
        <w:t xml:space="preserve">Francisco J. Rivera </w:t>
      </w:r>
      <w:proofErr w:type="spellStart"/>
      <w:r w:rsidRPr="007D6E55">
        <w:rPr>
          <w:rFonts w:ascii="Times New Roman" w:hAnsi="Times New Roman" w:cs="Times New Roman"/>
          <w:sz w:val="24"/>
          <w:szCs w:val="24"/>
          <w:lang w:val="en-US"/>
        </w:rPr>
        <w:t>Juaristi</w:t>
      </w:r>
      <w:proofErr w:type="spellEnd"/>
    </w:p>
    <w:p w14:paraId="6101DD69" w14:textId="3631569E" w:rsidR="007D6E55" w:rsidRPr="007D6E55" w:rsidRDefault="007D6E55" w:rsidP="007D6E55">
      <w:pPr>
        <w:rPr>
          <w:rFonts w:ascii="Times New Roman" w:hAnsi="Times New Roman" w:cs="Times New Roman"/>
          <w:sz w:val="24"/>
          <w:szCs w:val="24"/>
          <w:lang w:val="en-US"/>
        </w:rPr>
      </w:pPr>
      <w:r w:rsidRPr="007D6E55">
        <w:rPr>
          <w:rFonts w:ascii="Times New Roman" w:hAnsi="Times New Roman" w:cs="Times New Roman"/>
          <w:sz w:val="24"/>
          <w:szCs w:val="24"/>
          <w:lang w:val="en-US"/>
        </w:rPr>
        <w:t>Director, Santa Clara University – International Human Rights Clinic</w:t>
      </w:r>
    </w:p>
    <w:p w14:paraId="1F97DDC9" w14:textId="449427BD" w:rsidR="007D6E55" w:rsidRPr="007D6E55" w:rsidRDefault="004C1809" w:rsidP="007D6E55">
      <w:pPr>
        <w:rPr>
          <w:rFonts w:ascii="Times New Roman" w:hAnsi="Times New Roman" w:cs="Times New Roman"/>
          <w:color w:val="954F72"/>
          <w:sz w:val="24"/>
          <w:szCs w:val="24"/>
          <w:lang w:val="en-US"/>
        </w:rPr>
      </w:pPr>
      <w:hyperlink r:id="rId9">
        <w:r w:rsidR="007D6E55" w:rsidRPr="007D6E55">
          <w:rPr>
            <w:rFonts w:ascii="Times New Roman" w:hAnsi="Times New Roman" w:cs="Times New Roman"/>
            <w:color w:val="1155CC"/>
            <w:sz w:val="24"/>
            <w:szCs w:val="24"/>
            <w:u w:val="single"/>
            <w:lang w:val="en-US"/>
          </w:rPr>
          <w:t>FJRivera@scu.edu</w:t>
        </w:r>
      </w:hyperlink>
      <w:r w:rsidR="007D6E55">
        <w:rPr>
          <w:rFonts w:ascii="Times New Roman" w:hAnsi="Times New Roman" w:cs="Times New Roman"/>
          <w:color w:val="954F72"/>
          <w:sz w:val="24"/>
          <w:szCs w:val="24"/>
          <w:lang w:val="en-US"/>
        </w:rPr>
        <w:t xml:space="preserve">, </w:t>
      </w:r>
      <w:hyperlink r:id="rId10" w:history="1">
        <w:r w:rsidR="007D6E55" w:rsidRPr="00C85E9B">
          <w:rPr>
            <w:rStyle w:val="Hyperlink"/>
            <w:rFonts w:ascii="Times New Roman" w:hAnsi="Times New Roman" w:cs="Times New Roman"/>
            <w:sz w:val="24"/>
            <w:szCs w:val="24"/>
            <w:lang w:val="en-US"/>
          </w:rPr>
          <w:t>IHRC@scu.edu</w:t>
        </w:r>
      </w:hyperlink>
      <w:r w:rsidR="007D6E55">
        <w:rPr>
          <w:rFonts w:ascii="Times New Roman" w:hAnsi="Times New Roman" w:cs="Times New Roman"/>
          <w:color w:val="954F72"/>
          <w:sz w:val="24"/>
          <w:szCs w:val="24"/>
          <w:lang w:val="en-US"/>
        </w:rPr>
        <w:t xml:space="preserve"> </w:t>
      </w:r>
    </w:p>
    <w:p w14:paraId="20243D4A" w14:textId="77777777" w:rsidR="007D6E55" w:rsidRPr="007D6E55" w:rsidRDefault="007D6E55" w:rsidP="007D6E55">
      <w:pPr>
        <w:rPr>
          <w:rFonts w:ascii="Times New Roman" w:hAnsi="Times New Roman" w:cs="Times New Roman"/>
          <w:color w:val="954F72"/>
          <w:sz w:val="24"/>
          <w:szCs w:val="24"/>
          <w:lang w:val="en-US"/>
        </w:rPr>
      </w:pPr>
    </w:p>
    <w:p w14:paraId="4C5F1C23" w14:textId="025F46D1" w:rsidR="007D6E55" w:rsidRPr="007D6E55" w:rsidRDefault="007D6E55" w:rsidP="007D6E55">
      <w:pPr>
        <w:rPr>
          <w:rFonts w:ascii="Times New Roman" w:hAnsi="Times New Roman" w:cs="Times New Roman"/>
          <w:sz w:val="24"/>
          <w:szCs w:val="24"/>
          <w:lang w:val="en-US"/>
        </w:rPr>
      </w:pPr>
      <w:r w:rsidRPr="007D6E55">
        <w:rPr>
          <w:rFonts w:ascii="Times New Roman" w:hAnsi="Times New Roman" w:cs="Times New Roman"/>
          <w:sz w:val="24"/>
          <w:szCs w:val="24"/>
          <w:lang w:val="en-US"/>
        </w:rPr>
        <w:t>____/s/______</w:t>
      </w:r>
      <w:r>
        <w:rPr>
          <w:rFonts w:ascii="Times New Roman" w:hAnsi="Times New Roman" w:cs="Times New Roman"/>
          <w:sz w:val="24"/>
          <w:szCs w:val="24"/>
          <w:lang w:val="en-US"/>
        </w:rPr>
        <w:t>____</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7D6E55">
        <w:rPr>
          <w:rFonts w:ascii="Times New Roman" w:hAnsi="Times New Roman" w:cs="Times New Roman"/>
          <w:sz w:val="24"/>
          <w:szCs w:val="24"/>
          <w:lang w:val="en-US"/>
        </w:rPr>
        <w:t>____/s/______</w:t>
      </w:r>
      <w:r>
        <w:rPr>
          <w:rFonts w:ascii="Times New Roman" w:hAnsi="Times New Roman" w:cs="Times New Roman"/>
          <w:sz w:val="24"/>
          <w:szCs w:val="24"/>
          <w:lang w:val="en-US"/>
        </w:rPr>
        <w:t xml:space="preserve">____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7D6E55">
        <w:rPr>
          <w:rFonts w:ascii="Times New Roman" w:hAnsi="Times New Roman" w:cs="Times New Roman"/>
          <w:sz w:val="24"/>
          <w:szCs w:val="24"/>
          <w:lang w:val="en-US"/>
        </w:rPr>
        <w:t>____/s/______</w:t>
      </w:r>
      <w:r>
        <w:rPr>
          <w:rFonts w:ascii="Times New Roman" w:hAnsi="Times New Roman" w:cs="Times New Roman"/>
          <w:sz w:val="24"/>
          <w:szCs w:val="24"/>
          <w:lang w:val="en-US"/>
        </w:rPr>
        <w:t>____</w:t>
      </w:r>
    </w:p>
    <w:p w14:paraId="77C73C3C" w14:textId="78196C5E" w:rsidR="007D6E55" w:rsidRPr="007D6E55" w:rsidRDefault="007D6E55" w:rsidP="007D6E55">
      <w:pPr>
        <w:rPr>
          <w:rFonts w:ascii="Times New Roman" w:hAnsi="Times New Roman" w:cs="Times New Roman"/>
          <w:sz w:val="24"/>
          <w:szCs w:val="24"/>
          <w:lang w:val="en-US"/>
        </w:rPr>
      </w:pPr>
      <w:r>
        <w:rPr>
          <w:rFonts w:ascii="Times New Roman" w:hAnsi="Times New Roman" w:cs="Times New Roman"/>
          <w:sz w:val="24"/>
          <w:szCs w:val="24"/>
          <w:lang w:val="en-US"/>
        </w:rPr>
        <w:t>Sophie McEvoy</w:t>
      </w:r>
      <w:r w:rsidRPr="007D6E55">
        <w:rPr>
          <w:rFonts w:ascii="Times New Roman" w:hAnsi="Times New Roman" w:cs="Times New Roman"/>
          <w:sz w:val="24"/>
          <w:szCs w:val="24"/>
          <w:lang w:val="en-US"/>
        </w:rPr>
        <w:t xml:space="preserve">, </w:t>
      </w:r>
      <w:r>
        <w:rPr>
          <w:rFonts w:ascii="Times New Roman" w:hAnsi="Times New Roman" w:cs="Times New Roman"/>
          <w:sz w:val="24"/>
          <w:szCs w:val="24"/>
          <w:lang w:val="en-US"/>
        </w:rPr>
        <w:t>Student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Ellen </w:t>
      </w:r>
      <w:proofErr w:type="spellStart"/>
      <w:r>
        <w:rPr>
          <w:rFonts w:ascii="Times New Roman" w:hAnsi="Times New Roman" w:cs="Times New Roman"/>
          <w:sz w:val="24"/>
          <w:szCs w:val="24"/>
          <w:lang w:val="en-US"/>
        </w:rPr>
        <w:t>Wesly</w:t>
      </w:r>
      <w:proofErr w:type="spellEnd"/>
      <w:r w:rsidRPr="007D6E55">
        <w:rPr>
          <w:rFonts w:ascii="Times New Roman" w:hAnsi="Times New Roman" w:cs="Times New Roman"/>
          <w:sz w:val="24"/>
          <w:szCs w:val="24"/>
          <w:lang w:val="en-US"/>
        </w:rPr>
        <w:t xml:space="preserve">, </w:t>
      </w:r>
      <w:r>
        <w:rPr>
          <w:rFonts w:ascii="Times New Roman" w:hAnsi="Times New Roman" w:cs="Times New Roman"/>
          <w:sz w:val="24"/>
          <w:szCs w:val="24"/>
          <w:lang w:val="en-US"/>
        </w:rPr>
        <w:t>Student</w:t>
      </w:r>
      <w:r>
        <w:rPr>
          <w:rFonts w:ascii="Times New Roman" w:hAnsi="Times New Roman" w:cs="Times New Roman"/>
          <w:sz w:val="24"/>
          <w:szCs w:val="24"/>
          <w:lang w:val="en-US"/>
        </w:rPr>
        <w:tab/>
      </w:r>
      <w:r>
        <w:rPr>
          <w:rFonts w:ascii="Times New Roman" w:hAnsi="Times New Roman" w:cs="Times New Roman"/>
          <w:sz w:val="24"/>
          <w:szCs w:val="24"/>
          <w:lang w:val="en-US"/>
        </w:rPr>
        <w:tab/>
        <w:t>Cassandra Wilkins</w:t>
      </w:r>
      <w:r w:rsidRPr="007D6E55">
        <w:rPr>
          <w:rFonts w:ascii="Times New Roman" w:hAnsi="Times New Roman" w:cs="Times New Roman"/>
          <w:sz w:val="24"/>
          <w:szCs w:val="24"/>
          <w:lang w:val="en-US"/>
        </w:rPr>
        <w:t xml:space="preserve">, </w:t>
      </w:r>
      <w:r>
        <w:rPr>
          <w:rFonts w:ascii="Times New Roman" w:hAnsi="Times New Roman" w:cs="Times New Roman"/>
          <w:sz w:val="24"/>
          <w:szCs w:val="24"/>
          <w:lang w:val="en-US"/>
        </w:rPr>
        <w:t>Student</w:t>
      </w:r>
    </w:p>
    <w:p w14:paraId="53902BF3" w14:textId="77777777" w:rsidR="007D6E55" w:rsidRPr="007D6E55" w:rsidRDefault="007D6E55" w:rsidP="00F343F2">
      <w:pPr>
        <w:spacing w:line="480" w:lineRule="auto"/>
        <w:jc w:val="both"/>
        <w:rPr>
          <w:rFonts w:ascii="Times New Roman" w:hAnsi="Times New Roman" w:cs="Times New Roman"/>
          <w:color w:val="000000" w:themeColor="text1"/>
          <w:sz w:val="24"/>
          <w:szCs w:val="24"/>
          <w:lang w:val="en-US"/>
        </w:rPr>
      </w:pPr>
    </w:p>
    <w:sectPr w:rsidR="007D6E55" w:rsidRPr="007D6E55" w:rsidSect="007719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3C38" w14:textId="77777777" w:rsidR="004C1809" w:rsidRDefault="004C1809" w:rsidP="000F2B0A">
      <w:pPr>
        <w:spacing w:line="240" w:lineRule="auto"/>
      </w:pPr>
      <w:r>
        <w:separator/>
      </w:r>
    </w:p>
  </w:endnote>
  <w:endnote w:type="continuationSeparator" w:id="0">
    <w:p w14:paraId="033DE43A" w14:textId="77777777" w:rsidR="004C1809" w:rsidRDefault="004C1809" w:rsidP="000F2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8981339"/>
      <w:docPartObj>
        <w:docPartGallery w:val="Page Numbers (Bottom of Page)"/>
        <w:docPartUnique/>
      </w:docPartObj>
    </w:sdtPr>
    <w:sdtEndPr>
      <w:rPr>
        <w:rStyle w:val="PageNumber"/>
      </w:rPr>
    </w:sdtEndPr>
    <w:sdtContent>
      <w:p w14:paraId="210FE015" w14:textId="1CB67ABE" w:rsidR="007719A2" w:rsidRDefault="007719A2" w:rsidP="00C85E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2FA2B" w14:textId="77777777" w:rsidR="003F25F2" w:rsidRDefault="004C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603897"/>
      <w:docPartObj>
        <w:docPartGallery w:val="Page Numbers (Bottom of Page)"/>
        <w:docPartUnique/>
      </w:docPartObj>
    </w:sdtPr>
    <w:sdtEndPr>
      <w:rPr>
        <w:rStyle w:val="PageNumber"/>
      </w:rPr>
    </w:sdtEndPr>
    <w:sdtContent>
      <w:p w14:paraId="6CC1CCAB" w14:textId="123CC619" w:rsidR="007719A2" w:rsidRDefault="007719A2" w:rsidP="00C85E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603B38F" w14:textId="77777777" w:rsidR="00A62728" w:rsidRDefault="004C18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5158" w14:textId="77777777" w:rsidR="003F25F2" w:rsidRDefault="004C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18B8" w14:textId="77777777" w:rsidR="004C1809" w:rsidRDefault="004C1809" w:rsidP="000F2B0A">
      <w:pPr>
        <w:spacing w:line="240" w:lineRule="auto"/>
      </w:pPr>
      <w:r>
        <w:separator/>
      </w:r>
    </w:p>
  </w:footnote>
  <w:footnote w:type="continuationSeparator" w:id="0">
    <w:p w14:paraId="0EF6B169" w14:textId="77777777" w:rsidR="004C1809" w:rsidRDefault="004C1809" w:rsidP="000F2B0A">
      <w:pPr>
        <w:spacing w:line="240" w:lineRule="auto"/>
      </w:pPr>
      <w:r>
        <w:continuationSeparator/>
      </w:r>
    </w:p>
  </w:footnote>
  <w:footnote w:id="1">
    <w:p w14:paraId="7168C44E" w14:textId="53B1406F" w:rsidR="00F343F2" w:rsidRPr="00F343F2" w:rsidRDefault="00F343F2" w:rsidP="00F343F2">
      <w:pPr>
        <w:spacing w:line="240" w:lineRule="auto"/>
        <w:jc w:val="both"/>
        <w:rPr>
          <w:rFonts w:ascii="Times New Roman" w:eastAsia="Times New Roman" w:hAnsi="Times New Roman" w:cs="Times New Roman"/>
          <w:sz w:val="20"/>
          <w:szCs w:val="20"/>
          <w:lang w:val="en-US"/>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Pr="00F343F2">
        <w:rPr>
          <w:rFonts w:ascii="Times New Roman" w:eastAsia="Times New Roman" w:hAnsi="Times New Roman" w:cs="Times New Roman"/>
          <w:color w:val="000000"/>
          <w:sz w:val="20"/>
          <w:szCs w:val="20"/>
          <w:lang w:val="en-US"/>
        </w:rPr>
        <w:t xml:space="preserve">IACHR, </w:t>
      </w:r>
      <w:r w:rsidRPr="00F343F2">
        <w:rPr>
          <w:rFonts w:ascii="Times New Roman" w:eastAsia="Times New Roman" w:hAnsi="Times New Roman" w:cs="Times New Roman"/>
          <w:i/>
          <w:iCs/>
          <w:color w:val="000000"/>
          <w:sz w:val="20"/>
          <w:szCs w:val="20"/>
          <w:lang w:val="en-US"/>
        </w:rPr>
        <w:t>Indigenous Women and their Human Rights in the Americas</w:t>
      </w:r>
      <w:r w:rsidRPr="00F343F2">
        <w:rPr>
          <w:rFonts w:ascii="Times New Roman" w:eastAsia="Times New Roman" w:hAnsi="Times New Roman" w:cs="Times New Roman"/>
          <w:color w:val="000000"/>
          <w:sz w:val="20"/>
          <w:szCs w:val="20"/>
          <w:lang w:val="en-US"/>
        </w:rPr>
        <w:t>, OEA/</w:t>
      </w:r>
      <w:proofErr w:type="spellStart"/>
      <w:r w:rsidRPr="00F343F2">
        <w:rPr>
          <w:rFonts w:ascii="Times New Roman" w:eastAsia="Times New Roman" w:hAnsi="Times New Roman" w:cs="Times New Roman"/>
          <w:color w:val="000000"/>
          <w:sz w:val="20"/>
          <w:szCs w:val="20"/>
          <w:lang w:val="en-US"/>
        </w:rPr>
        <w:t>Ser.L</w:t>
      </w:r>
      <w:proofErr w:type="spellEnd"/>
      <w:r w:rsidRPr="00F343F2">
        <w:rPr>
          <w:rFonts w:ascii="Times New Roman" w:eastAsia="Times New Roman" w:hAnsi="Times New Roman" w:cs="Times New Roman"/>
          <w:color w:val="000000"/>
          <w:sz w:val="20"/>
          <w:szCs w:val="20"/>
          <w:lang w:val="en-US"/>
        </w:rPr>
        <w:t>/V/II. Doc.44/17, April 17, 2017 (IACHR Indigenous Women Report)</w:t>
      </w:r>
      <w:r w:rsidR="008D7BF8">
        <w:rPr>
          <w:rFonts w:ascii="Times New Roman" w:eastAsia="Times New Roman" w:hAnsi="Times New Roman" w:cs="Times New Roman"/>
          <w:color w:val="000000"/>
          <w:sz w:val="20"/>
          <w:szCs w:val="20"/>
          <w:lang w:val="en-US"/>
        </w:rPr>
        <w:t>,</w:t>
      </w:r>
      <w:r w:rsidRPr="00F343F2">
        <w:rPr>
          <w:rFonts w:ascii="Times New Roman" w:eastAsia="Times New Roman" w:hAnsi="Times New Roman" w:cs="Times New Roman"/>
          <w:color w:val="000000"/>
          <w:sz w:val="20"/>
          <w:szCs w:val="20"/>
          <w:lang w:val="en-US"/>
        </w:rPr>
        <w:t xml:space="preserve"> para. </w:t>
      </w:r>
      <w:r w:rsidRPr="00F343F2">
        <w:rPr>
          <w:rFonts w:ascii="Times New Roman" w:eastAsia="Times New Roman" w:hAnsi="Times New Roman" w:cs="Times New Roman"/>
          <w:color w:val="000000"/>
          <w:sz w:val="20"/>
          <w:szCs w:val="20"/>
          <w:shd w:val="clear" w:color="auto" w:fill="FFFFFF"/>
          <w:lang w:val="en-US"/>
        </w:rPr>
        <w:t>131</w:t>
      </w:r>
      <w:r w:rsidRPr="00F343F2">
        <w:rPr>
          <w:rFonts w:ascii="Times New Roman" w:hAnsi="Times New Roman" w:cs="Times New Roman"/>
          <w:color w:val="222222"/>
          <w:sz w:val="20"/>
          <w:szCs w:val="20"/>
          <w:highlight w:val="white"/>
        </w:rPr>
        <w:t>.</w:t>
      </w:r>
    </w:p>
  </w:footnote>
  <w:footnote w:id="2">
    <w:p w14:paraId="638CFACE"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Pr="00F343F2">
        <w:rPr>
          <w:rFonts w:ascii="Times New Roman" w:hAnsi="Times New Roman" w:cs="Times New Roman"/>
          <w:i/>
          <w:sz w:val="20"/>
          <w:szCs w:val="20"/>
        </w:rPr>
        <w:t xml:space="preserve">Id. </w:t>
      </w:r>
      <w:r w:rsidRPr="00F343F2">
        <w:rPr>
          <w:rFonts w:ascii="Times New Roman" w:hAnsi="Times New Roman" w:cs="Times New Roman"/>
          <w:sz w:val="20"/>
          <w:szCs w:val="20"/>
          <w:highlight w:val="white"/>
        </w:rPr>
        <w:t>at para. 78-131.</w:t>
      </w:r>
    </w:p>
  </w:footnote>
  <w:footnote w:id="3">
    <w:p w14:paraId="58A2088A" w14:textId="77777777" w:rsidR="00F343F2" w:rsidRPr="00F343F2" w:rsidRDefault="00F343F2"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Access to Justice for Women Victims of Violence in the Americas</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 Doc.65, December 28, </w:t>
      </w:r>
      <w:proofErr w:type="gramStart"/>
      <w:r w:rsidRPr="00F343F2">
        <w:rPr>
          <w:rFonts w:ascii="Times New Roman" w:hAnsi="Times New Roman" w:cs="Times New Roman"/>
          <w:sz w:val="20"/>
          <w:szCs w:val="20"/>
        </w:rPr>
        <w:t>2011</w:t>
      </w:r>
      <w:proofErr w:type="gramEnd"/>
      <w:r w:rsidRPr="00F343F2">
        <w:rPr>
          <w:rFonts w:ascii="Times New Roman" w:hAnsi="Times New Roman" w:cs="Times New Roman"/>
          <w:sz w:val="20"/>
          <w:szCs w:val="20"/>
        </w:rPr>
        <w:t xml:space="preserve"> para. 199.</w:t>
      </w:r>
    </w:p>
  </w:footnote>
  <w:footnote w:id="4">
    <w:p w14:paraId="0577F6E0" w14:textId="27AA6BD0" w:rsidR="00F343F2" w:rsidRPr="00F343F2" w:rsidRDefault="00F343F2"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Pr="00F343F2">
        <w:rPr>
          <w:rFonts w:ascii="Times New Roman" w:eastAsia="Times New Roman" w:hAnsi="Times New Roman" w:cs="Times New Roman"/>
          <w:color w:val="000000"/>
          <w:sz w:val="20"/>
          <w:szCs w:val="20"/>
          <w:lang w:val="en-US"/>
        </w:rPr>
        <w:t>IACHR</w:t>
      </w:r>
      <w:r w:rsidR="00963C85">
        <w:rPr>
          <w:rFonts w:ascii="Times New Roman" w:eastAsia="Times New Roman" w:hAnsi="Times New Roman" w:cs="Times New Roman"/>
          <w:color w:val="000000"/>
          <w:sz w:val="20"/>
          <w:szCs w:val="20"/>
          <w:lang w:val="en-US"/>
        </w:rPr>
        <w:t>,</w:t>
      </w:r>
      <w:r w:rsidRPr="00F343F2">
        <w:rPr>
          <w:rFonts w:ascii="Times New Roman" w:eastAsia="Times New Roman" w:hAnsi="Times New Roman" w:cs="Times New Roman"/>
          <w:color w:val="000000"/>
          <w:sz w:val="20"/>
          <w:szCs w:val="20"/>
          <w:lang w:val="en-US"/>
        </w:rPr>
        <w:t xml:space="preserve"> </w:t>
      </w:r>
      <w:r w:rsidRPr="00963C85">
        <w:rPr>
          <w:rFonts w:ascii="Times New Roman" w:eastAsia="Times New Roman" w:hAnsi="Times New Roman" w:cs="Times New Roman"/>
          <w:i/>
          <w:iCs/>
          <w:color w:val="000000"/>
          <w:sz w:val="20"/>
          <w:szCs w:val="20"/>
          <w:lang w:val="en-US"/>
        </w:rPr>
        <w:t>Indigenous Women Report</w:t>
      </w:r>
      <w:r w:rsidRPr="00F343F2">
        <w:rPr>
          <w:rFonts w:ascii="Times New Roman" w:hAnsi="Times New Roman" w:cs="Times New Roman"/>
          <w:sz w:val="20"/>
          <w:szCs w:val="20"/>
        </w:rPr>
        <w:t xml:space="preserve">, at para. 227. </w:t>
      </w:r>
    </w:p>
  </w:footnote>
  <w:footnote w:id="5">
    <w:p w14:paraId="117077D2"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at para. 66. </w:t>
      </w:r>
    </w:p>
  </w:footnote>
  <w:footnote w:id="6">
    <w:p w14:paraId="22B1772D"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Inter-American Convention on the Prevention, Punishment, and Eradication of Violence against Women, “</w:t>
      </w:r>
      <w:proofErr w:type="spellStart"/>
      <w:r w:rsidRPr="00F343F2">
        <w:rPr>
          <w:rFonts w:ascii="Times New Roman" w:hAnsi="Times New Roman" w:cs="Times New Roman"/>
          <w:sz w:val="20"/>
          <w:szCs w:val="20"/>
        </w:rPr>
        <w:t>Belém</w:t>
      </w:r>
      <w:proofErr w:type="spellEnd"/>
      <w:r w:rsidRPr="00F343F2">
        <w:rPr>
          <w:rFonts w:ascii="Times New Roman" w:hAnsi="Times New Roman" w:cs="Times New Roman"/>
          <w:sz w:val="20"/>
          <w:szCs w:val="20"/>
        </w:rPr>
        <w:t xml:space="preserve"> do </w:t>
      </w:r>
      <w:proofErr w:type="spellStart"/>
      <w:r w:rsidRPr="00F343F2">
        <w:rPr>
          <w:rFonts w:ascii="Times New Roman" w:hAnsi="Times New Roman" w:cs="Times New Roman"/>
          <w:sz w:val="20"/>
          <w:szCs w:val="20"/>
        </w:rPr>
        <w:t>Parà</w:t>
      </w:r>
      <w:proofErr w:type="spellEnd"/>
      <w:r w:rsidRPr="00F343F2">
        <w:rPr>
          <w:rFonts w:ascii="Times New Roman" w:hAnsi="Times New Roman" w:cs="Times New Roman"/>
          <w:sz w:val="20"/>
          <w:szCs w:val="20"/>
        </w:rPr>
        <w:t xml:space="preserve"> Convention,” article 1.</w:t>
      </w:r>
    </w:p>
  </w:footnote>
  <w:footnote w:id="7">
    <w:p w14:paraId="0D35C28E"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IACHR, </w:t>
      </w:r>
      <w:r w:rsidRPr="00F343F2">
        <w:rPr>
          <w:rFonts w:ascii="Times New Roman" w:hAnsi="Times New Roman" w:cs="Times New Roman"/>
          <w:i/>
          <w:sz w:val="20"/>
          <w:szCs w:val="20"/>
        </w:rPr>
        <w:t>Indigenous Women</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 Doc. 44, April 17, 2017, para. 79-80. </w:t>
      </w:r>
    </w:p>
  </w:footnote>
  <w:footnote w:id="8">
    <w:p w14:paraId="627586D1"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IACHR, </w:t>
      </w:r>
      <w:r w:rsidRPr="00F343F2">
        <w:rPr>
          <w:rFonts w:ascii="Times New Roman" w:hAnsi="Times New Roman" w:cs="Times New Roman"/>
          <w:i/>
          <w:sz w:val="20"/>
          <w:szCs w:val="20"/>
        </w:rPr>
        <w:t>Access to Justice of Women Victims of Sexual Violence: Education and Health</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/V/II., Doc. 65, December 28, 2011, para. 69.</w:t>
      </w:r>
    </w:p>
  </w:footnote>
  <w:footnote w:id="9">
    <w:p w14:paraId="51C1F9D5"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w:t>
      </w:r>
    </w:p>
  </w:footnote>
  <w:footnote w:id="10">
    <w:p w14:paraId="199A4E87"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Commission for Historical Clarification, </w:t>
      </w:r>
      <w:r w:rsidRPr="00F343F2">
        <w:rPr>
          <w:rFonts w:ascii="Times New Roman" w:hAnsi="Times New Roman" w:cs="Times New Roman"/>
          <w:i/>
          <w:sz w:val="20"/>
          <w:szCs w:val="20"/>
        </w:rPr>
        <w:t>Guatemala Memory of Silence</w:t>
      </w:r>
      <w:r w:rsidRPr="00F343F2">
        <w:rPr>
          <w:rFonts w:ascii="Times New Roman" w:hAnsi="Times New Roman" w:cs="Times New Roman"/>
          <w:sz w:val="20"/>
          <w:szCs w:val="20"/>
        </w:rPr>
        <w:t>, report of the Commission on Truth and Reconciliation, para. 29.</w:t>
      </w:r>
    </w:p>
  </w:footnote>
  <w:footnote w:id="11">
    <w:p w14:paraId="4FC344F8"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IACHR, </w:t>
      </w:r>
      <w:r w:rsidRPr="00F343F2">
        <w:rPr>
          <w:rFonts w:ascii="Times New Roman" w:hAnsi="Times New Roman" w:cs="Times New Roman"/>
          <w:i/>
          <w:sz w:val="20"/>
          <w:szCs w:val="20"/>
        </w:rPr>
        <w:t xml:space="preserve">Application filed with the Inter-American Court of Human rights in the case of Maria Tiu </w:t>
      </w:r>
      <w:proofErr w:type="spellStart"/>
      <w:r w:rsidRPr="00F343F2">
        <w:rPr>
          <w:rFonts w:ascii="Times New Roman" w:hAnsi="Times New Roman" w:cs="Times New Roman"/>
          <w:i/>
          <w:sz w:val="20"/>
          <w:szCs w:val="20"/>
        </w:rPr>
        <w:t>Tojin</w:t>
      </w:r>
      <w:proofErr w:type="spellEnd"/>
      <w:r w:rsidRPr="00F343F2">
        <w:rPr>
          <w:rFonts w:ascii="Times New Roman" w:hAnsi="Times New Roman" w:cs="Times New Roman"/>
          <w:i/>
          <w:sz w:val="20"/>
          <w:szCs w:val="20"/>
        </w:rPr>
        <w:t xml:space="preserve"> (Case 10,686) against the Republic of Guatemala</w:t>
      </w:r>
      <w:r w:rsidRPr="00F343F2">
        <w:rPr>
          <w:rFonts w:ascii="Times New Roman" w:hAnsi="Times New Roman" w:cs="Times New Roman"/>
          <w:sz w:val="20"/>
          <w:szCs w:val="20"/>
        </w:rPr>
        <w:t>, 2007, para. 90.</w:t>
      </w:r>
    </w:p>
  </w:footnote>
  <w:footnote w:id="12">
    <w:p w14:paraId="1139B337"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Commission for Historical Clarification, </w:t>
      </w:r>
      <w:r w:rsidRPr="00F343F2">
        <w:rPr>
          <w:rFonts w:ascii="Times New Roman" w:hAnsi="Times New Roman" w:cs="Times New Roman"/>
          <w:i/>
          <w:sz w:val="20"/>
          <w:szCs w:val="20"/>
        </w:rPr>
        <w:t>Guatemala Memory of Silence</w:t>
      </w:r>
      <w:r w:rsidRPr="00F343F2">
        <w:rPr>
          <w:rFonts w:ascii="Times New Roman" w:hAnsi="Times New Roman" w:cs="Times New Roman"/>
          <w:sz w:val="20"/>
          <w:szCs w:val="20"/>
        </w:rPr>
        <w:t>, report of the Commission on Truth and Reconciliation, para. 85-88, 91.</w:t>
      </w:r>
    </w:p>
  </w:footnote>
  <w:footnote w:id="13">
    <w:p w14:paraId="6D9D05A4" w14:textId="02C50ACE"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00F343F2" w:rsidRPr="00F343F2">
        <w:rPr>
          <w:rFonts w:ascii="Times New Roman" w:eastAsia="Times New Roman" w:hAnsi="Times New Roman" w:cs="Times New Roman"/>
          <w:color w:val="000000"/>
          <w:sz w:val="20"/>
          <w:szCs w:val="20"/>
          <w:lang w:val="en-US"/>
        </w:rPr>
        <w:t>IACHR Indigenous Women Report</w:t>
      </w:r>
      <w:r w:rsidRPr="00F343F2">
        <w:rPr>
          <w:rFonts w:ascii="Times New Roman" w:hAnsi="Times New Roman" w:cs="Times New Roman"/>
          <w:sz w:val="20"/>
          <w:szCs w:val="20"/>
        </w:rPr>
        <w:t>, at para. 93-98.</w:t>
      </w:r>
    </w:p>
  </w:footnote>
  <w:footnote w:id="14">
    <w:p w14:paraId="5E4073E9" w14:textId="77777777" w:rsidR="00F343F2" w:rsidRPr="00F343F2" w:rsidRDefault="00F343F2"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IACHR, </w:t>
      </w:r>
      <w:r w:rsidRPr="00963C85">
        <w:rPr>
          <w:rFonts w:ascii="Times New Roman" w:hAnsi="Times New Roman" w:cs="Times New Roman"/>
          <w:i/>
          <w:iCs/>
          <w:sz w:val="20"/>
          <w:szCs w:val="20"/>
        </w:rPr>
        <w:t>Second Report on the Situation of Human Rights Defenders in the Americas</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/V/II., Doc. 66, December 31, 2011, para. 36.</w:t>
      </w:r>
    </w:p>
  </w:footnote>
  <w:footnote w:id="15">
    <w:p w14:paraId="73B6D833" w14:textId="77777777" w:rsidR="00F343F2" w:rsidRPr="00F343F2" w:rsidRDefault="00F343F2"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UN Department of Economic and Social Affairs, </w:t>
      </w:r>
      <w:r w:rsidRPr="00F343F2">
        <w:rPr>
          <w:rFonts w:ascii="Times New Roman" w:hAnsi="Times New Roman" w:cs="Times New Roman"/>
          <w:i/>
          <w:sz w:val="20"/>
          <w:szCs w:val="20"/>
        </w:rPr>
        <w:t>State of the World’s Indigenous Peoples</w:t>
      </w:r>
      <w:r w:rsidRPr="00F343F2">
        <w:rPr>
          <w:rFonts w:ascii="Times New Roman" w:hAnsi="Times New Roman" w:cs="Times New Roman"/>
          <w:sz w:val="20"/>
          <w:szCs w:val="20"/>
        </w:rPr>
        <w:t>, ST/ESA/328, 2009, p. 226: discussing the rape of two indigenous women by Mexican military members, posted in the area surrounding the victims’ homes.</w:t>
      </w:r>
    </w:p>
  </w:footnote>
  <w:footnote w:id="16">
    <w:p w14:paraId="3BEE5B6A"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at para. 99-108.</w:t>
      </w:r>
    </w:p>
  </w:footnote>
  <w:footnote w:id="17">
    <w:p w14:paraId="4235CEA5"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at para. 101.</w:t>
      </w:r>
    </w:p>
  </w:footnote>
  <w:footnote w:id="18">
    <w:p w14:paraId="25456151"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at para. 103.</w:t>
      </w:r>
    </w:p>
  </w:footnote>
  <w:footnote w:id="19">
    <w:p w14:paraId="66552597"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United Nations, Human Rights Council, </w:t>
      </w:r>
      <w:r w:rsidRPr="00F343F2">
        <w:rPr>
          <w:rFonts w:ascii="Times New Roman" w:hAnsi="Times New Roman" w:cs="Times New Roman"/>
          <w:i/>
          <w:sz w:val="20"/>
          <w:szCs w:val="20"/>
        </w:rPr>
        <w:t>Access to justice in the promotion and protection of the rights of indigenous peoples: restorative justice, indigenous juridical systems and access to justice for indigenous women, children and youth, and persons with disabilities.</w:t>
      </w:r>
    </w:p>
  </w:footnote>
  <w:footnote w:id="20">
    <w:p w14:paraId="6B90125B"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Study by the Expert Mechanism on the Rights of Indigenous Peoples, A/HRC/EMRIP/2014/3/Rev.1, June 25, 2014, paras. 36-37.</w:t>
      </w:r>
    </w:p>
  </w:footnote>
  <w:footnote w:id="21">
    <w:p w14:paraId="111D1A9B"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Access to Justice for Women Victims of Violence in the Americas</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 Doc.65, December 28, </w:t>
      </w:r>
      <w:proofErr w:type="gramStart"/>
      <w:r w:rsidRPr="00F343F2">
        <w:rPr>
          <w:rFonts w:ascii="Times New Roman" w:hAnsi="Times New Roman" w:cs="Times New Roman"/>
          <w:sz w:val="20"/>
          <w:szCs w:val="20"/>
        </w:rPr>
        <w:t>2011</w:t>
      </w:r>
      <w:proofErr w:type="gramEnd"/>
      <w:r w:rsidRPr="00F343F2">
        <w:rPr>
          <w:rFonts w:ascii="Times New Roman" w:hAnsi="Times New Roman" w:cs="Times New Roman"/>
          <w:sz w:val="20"/>
          <w:szCs w:val="20"/>
        </w:rPr>
        <w:t xml:space="preserve"> para. 199 and para. 305.</w:t>
      </w:r>
    </w:p>
  </w:footnote>
  <w:footnote w:id="22">
    <w:p w14:paraId="2492755E"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Situation of Human Rights in Guatemala: Diversity, Inequality and Exclusion</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/V/II., Doc.43/15, December 31, 2015., para. 408.</w:t>
      </w:r>
    </w:p>
  </w:footnote>
  <w:footnote w:id="23">
    <w:p w14:paraId="21AD4E73"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para. 98, 305.</w:t>
      </w:r>
    </w:p>
  </w:footnote>
  <w:footnote w:id="24">
    <w:p w14:paraId="10A74734"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Information provided by the Office of the United Nations High Commissioner for Human Rights – Guatemala in its responses to the questionnaire </w:t>
      </w:r>
      <w:r w:rsidRPr="00F343F2">
        <w:rPr>
          <w:rFonts w:ascii="Times New Roman" w:hAnsi="Times New Roman" w:cs="Times New Roman"/>
          <w:i/>
          <w:sz w:val="20"/>
          <w:szCs w:val="20"/>
        </w:rPr>
        <w:t xml:space="preserve">Indigenous women’s rights in the Americas </w:t>
      </w:r>
      <w:r w:rsidRPr="00F343F2">
        <w:rPr>
          <w:rFonts w:ascii="Times New Roman" w:hAnsi="Times New Roman" w:cs="Times New Roman"/>
          <w:sz w:val="20"/>
          <w:szCs w:val="20"/>
        </w:rPr>
        <w:t>prepared by the IACHR.</w:t>
      </w:r>
    </w:p>
  </w:footnote>
  <w:footnote w:id="25">
    <w:p w14:paraId="7C635CEB"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Information provided by </w:t>
      </w:r>
      <w:proofErr w:type="spellStart"/>
      <w:r w:rsidRPr="00F343F2">
        <w:rPr>
          <w:rFonts w:ascii="Times New Roman" w:hAnsi="Times New Roman" w:cs="Times New Roman"/>
          <w:sz w:val="20"/>
          <w:szCs w:val="20"/>
        </w:rPr>
        <w:t>Abogadas</w:t>
      </w:r>
      <w:proofErr w:type="spellEnd"/>
      <w:r w:rsidRPr="00F343F2">
        <w:rPr>
          <w:rFonts w:ascii="Times New Roman" w:hAnsi="Times New Roman" w:cs="Times New Roman"/>
          <w:sz w:val="20"/>
          <w:szCs w:val="20"/>
        </w:rPr>
        <w:t xml:space="preserve"> y abogados para la Justicia y los Derechos Humanos, in its response to the questionnaire </w:t>
      </w:r>
      <w:r w:rsidRPr="00F343F2">
        <w:rPr>
          <w:rFonts w:ascii="Times New Roman" w:hAnsi="Times New Roman" w:cs="Times New Roman"/>
          <w:i/>
          <w:sz w:val="20"/>
          <w:szCs w:val="20"/>
        </w:rPr>
        <w:t xml:space="preserve">Indigenous Women’s Rights in the Americas, </w:t>
      </w:r>
      <w:r w:rsidRPr="00F343F2">
        <w:rPr>
          <w:rFonts w:ascii="Times New Roman" w:hAnsi="Times New Roman" w:cs="Times New Roman"/>
          <w:sz w:val="20"/>
          <w:szCs w:val="20"/>
        </w:rPr>
        <w:t>prepared by the IACHR.</w:t>
      </w:r>
    </w:p>
  </w:footnote>
  <w:footnote w:id="26">
    <w:p w14:paraId="0AF0AB12"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Access to Justice for Women Victims of Sexual Violence in Mesoamerica</w:t>
      </w:r>
      <w:r w:rsidRPr="00F343F2">
        <w:rPr>
          <w:rFonts w:ascii="Times New Roman" w:hAnsi="Times New Roman" w:cs="Times New Roman"/>
          <w:sz w:val="20"/>
          <w:szCs w:val="20"/>
        </w:rPr>
        <w:t xml:space="preserve">, OEA </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 Doc.63, December 9, 2011, para. 11; </w:t>
      </w:r>
      <w:proofErr w:type="spellStart"/>
      <w:r w:rsidRPr="00F343F2">
        <w:rPr>
          <w:rFonts w:ascii="Times New Roman" w:hAnsi="Times New Roman" w:cs="Times New Roman"/>
          <w:sz w:val="20"/>
          <w:szCs w:val="20"/>
        </w:rPr>
        <w:t>Díaz</w:t>
      </w:r>
      <w:proofErr w:type="spellEnd"/>
      <w:r w:rsidRPr="00F343F2">
        <w:rPr>
          <w:rFonts w:ascii="Times New Roman" w:hAnsi="Times New Roman" w:cs="Times New Roman"/>
          <w:sz w:val="20"/>
          <w:szCs w:val="20"/>
        </w:rPr>
        <w:t xml:space="preserve"> </w:t>
      </w:r>
      <w:proofErr w:type="spellStart"/>
      <w:r w:rsidRPr="00F343F2">
        <w:rPr>
          <w:rFonts w:ascii="Times New Roman" w:hAnsi="Times New Roman" w:cs="Times New Roman"/>
          <w:sz w:val="20"/>
          <w:szCs w:val="20"/>
        </w:rPr>
        <w:t>Gómez</w:t>
      </w:r>
      <w:proofErr w:type="spellEnd"/>
      <w:r w:rsidRPr="00F343F2">
        <w:rPr>
          <w:rFonts w:ascii="Times New Roman" w:hAnsi="Times New Roman" w:cs="Times New Roman"/>
          <w:sz w:val="20"/>
          <w:szCs w:val="20"/>
        </w:rPr>
        <w:t xml:space="preserve">, Catalina; Nelson </w:t>
      </w:r>
      <w:proofErr w:type="spellStart"/>
      <w:r w:rsidRPr="00F343F2">
        <w:rPr>
          <w:rFonts w:ascii="Times New Roman" w:hAnsi="Times New Roman" w:cs="Times New Roman"/>
          <w:sz w:val="20"/>
          <w:szCs w:val="20"/>
        </w:rPr>
        <w:t>Sánchez</w:t>
      </w:r>
      <w:proofErr w:type="spellEnd"/>
      <w:r w:rsidRPr="00F343F2">
        <w:rPr>
          <w:rFonts w:ascii="Times New Roman" w:hAnsi="Times New Roman" w:cs="Times New Roman"/>
          <w:sz w:val="20"/>
          <w:szCs w:val="20"/>
        </w:rPr>
        <w:t xml:space="preserve">, Camilo; </w:t>
      </w:r>
      <w:proofErr w:type="spellStart"/>
      <w:r w:rsidRPr="00F343F2">
        <w:rPr>
          <w:rFonts w:ascii="Times New Roman" w:hAnsi="Times New Roman" w:cs="Times New Roman"/>
          <w:sz w:val="20"/>
          <w:szCs w:val="20"/>
        </w:rPr>
        <w:t>Uprimny</w:t>
      </w:r>
      <w:proofErr w:type="spellEnd"/>
      <w:r w:rsidRPr="00F343F2">
        <w:rPr>
          <w:rFonts w:ascii="Times New Roman" w:hAnsi="Times New Roman" w:cs="Times New Roman"/>
          <w:sz w:val="20"/>
          <w:szCs w:val="20"/>
        </w:rPr>
        <w:t xml:space="preserve"> </w:t>
      </w:r>
      <w:proofErr w:type="spellStart"/>
      <w:r w:rsidRPr="00F343F2">
        <w:rPr>
          <w:rFonts w:ascii="Times New Roman" w:hAnsi="Times New Roman" w:cs="Times New Roman"/>
          <w:sz w:val="20"/>
          <w:szCs w:val="20"/>
        </w:rPr>
        <w:t>Yepes</w:t>
      </w:r>
      <w:proofErr w:type="spellEnd"/>
      <w:r w:rsidRPr="00F343F2">
        <w:rPr>
          <w:rFonts w:ascii="Times New Roman" w:hAnsi="Times New Roman" w:cs="Times New Roman"/>
          <w:sz w:val="20"/>
          <w:szCs w:val="20"/>
        </w:rPr>
        <w:t xml:space="preserve">, Rodrigo (eds.), </w:t>
      </w:r>
      <w:proofErr w:type="spellStart"/>
      <w:r w:rsidRPr="00F343F2">
        <w:rPr>
          <w:rFonts w:ascii="Times New Roman" w:hAnsi="Times New Roman" w:cs="Times New Roman"/>
          <w:i/>
          <w:sz w:val="20"/>
          <w:szCs w:val="20"/>
        </w:rPr>
        <w:t>Reparar</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en</w:t>
      </w:r>
      <w:proofErr w:type="spellEnd"/>
      <w:r w:rsidRPr="00F343F2">
        <w:rPr>
          <w:rFonts w:ascii="Times New Roman" w:hAnsi="Times New Roman" w:cs="Times New Roman"/>
          <w:i/>
          <w:sz w:val="20"/>
          <w:szCs w:val="20"/>
        </w:rPr>
        <w:t xml:space="preserve"> Colombia: los </w:t>
      </w:r>
      <w:proofErr w:type="spellStart"/>
      <w:r w:rsidRPr="00F343F2">
        <w:rPr>
          <w:rFonts w:ascii="Times New Roman" w:hAnsi="Times New Roman" w:cs="Times New Roman"/>
          <w:i/>
          <w:sz w:val="20"/>
          <w:szCs w:val="20"/>
        </w:rPr>
        <w:t>dilemas</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en</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contextos</w:t>
      </w:r>
      <w:proofErr w:type="spellEnd"/>
      <w:r w:rsidRPr="00F343F2">
        <w:rPr>
          <w:rFonts w:ascii="Times New Roman" w:hAnsi="Times New Roman" w:cs="Times New Roman"/>
          <w:i/>
          <w:sz w:val="20"/>
          <w:szCs w:val="20"/>
        </w:rPr>
        <w:t xml:space="preserve"> de </w:t>
      </w:r>
      <w:proofErr w:type="spellStart"/>
      <w:r w:rsidRPr="00F343F2">
        <w:rPr>
          <w:rFonts w:ascii="Times New Roman" w:hAnsi="Times New Roman" w:cs="Times New Roman"/>
          <w:i/>
          <w:sz w:val="20"/>
          <w:szCs w:val="20"/>
        </w:rPr>
        <w:t>conflicto</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pobreza</w:t>
      </w:r>
      <w:proofErr w:type="spellEnd"/>
      <w:r w:rsidRPr="00F343F2">
        <w:rPr>
          <w:rFonts w:ascii="Times New Roman" w:hAnsi="Times New Roman" w:cs="Times New Roman"/>
          <w:i/>
          <w:sz w:val="20"/>
          <w:szCs w:val="20"/>
        </w:rPr>
        <w:t xml:space="preserve"> y </w:t>
      </w:r>
      <w:proofErr w:type="spellStart"/>
      <w:r w:rsidRPr="00F343F2">
        <w:rPr>
          <w:rFonts w:ascii="Times New Roman" w:hAnsi="Times New Roman" w:cs="Times New Roman"/>
          <w:i/>
          <w:sz w:val="20"/>
          <w:szCs w:val="20"/>
        </w:rPr>
        <w:t>exclusión</w:t>
      </w:r>
      <w:proofErr w:type="spellEnd"/>
      <w:r w:rsidRPr="00F343F2">
        <w:rPr>
          <w:rFonts w:ascii="Times New Roman" w:hAnsi="Times New Roman" w:cs="Times New Roman"/>
          <w:sz w:val="20"/>
          <w:szCs w:val="20"/>
        </w:rPr>
        <w:t>, International Center for Transitional Justice and Center for the Study of Law, Justice and Society (</w:t>
      </w:r>
      <w:proofErr w:type="spellStart"/>
      <w:r w:rsidRPr="00F343F2">
        <w:rPr>
          <w:rFonts w:ascii="Times New Roman" w:hAnsi="Times New Roman" w:cs="Times New Roman"/>
          <w:sz w:val="20"/>
          <w:szCs w:val="20"/>
        </w:rPr>
        <w:t>DeJuSticia</w:t>
      </w:r>
      <w:proofErr w:type="spellEnd"/>
      <w:r w:rsidRPr="00F343F2">
        <w:rPr>
          <w:rFonts w:ascii="Times New Roman" w:hAnsi="Times New Roman" w:cs="Times New Roman"/>
          <w:sz w:val="20"/>
          <w:szCs w:val="20"/>
        </w:rPr>
        <w:t>), 2009, p. 51.</w:t>
      </w:r>
    </w:p>
  </w:footnote>
  <w:footnote w:id="27">
    <w:p w14:paraId="4DDF8337"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Access to Justice for Women Victims of Sexual Violence in Mesoamerica</w:t>
      </w:r>
      <w:r w:rsidRPr="00F343F2">
        <w:rPr>
          <w:rFonts w:ascii="Times New Roman" w:hAnsi="Times New Roman" w:cs="Times New Roman"/>
          <w:sz w:val="20"/>
          <w:szCs w:val="20"/>
        </w:rPr>
        <w:t xml:space="preserve">, OEA </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/V/II Doc.63, December 9, 2011, paras. 107 and 110.</w:t>
      </w:r>
    </w:p>
  </w:footnote>
  <w:footnote w:id="28">
    <w:p w14:paraId="12B9BF3B"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proofErr w:type="spellStart"/>
      <w:r w:rsidRPr="00F343F2">
        <w:rPr>
          <w:rFonts w:ascii="Times New Roman" w:hAnsi="Times New Roman" w:cs="Times New Roman"/>
          <w:sz w:val="20"/>
          <w:szCs w:val="20"/>
        </w:rPr>
        <w:t>Díaz</w:t>
      </w:r>
      <w:proofErr w:type="spellEnd"/>
      <w:r w:rsidRPr="00F343F2">
        <w:rPr>
          <w:rFonts w:ascii="Times New Roman" w:hAnsi="Times New Roman" w:cs="Times New Roman"/>
          <w:sz w:val="20"/>
          <w:szCs w:val="20"/>
        </w:rPr>
        <w:t xml:space="preserve"> </w:t>
      </w:r>
      <w:proofErr w:type="spellStart"/>
      <w:r w:rsidRPr="00F343F2">
        <w:rPr>
          <w:rFonts w:ascii="Times New Roman" w:hAnsi="Times New Roman" w:cs="Times New Roman"/>
          <w:sz w:val="20"/>
          <w:szCs w:val="20"/>
        </w:rPr>
        <w:t>Gómez</w:t>
      </w:r>
      <w:proofErr w:type="spellEnd"/>
      <w:r w:rsidRPr="00F343F2">
        <w:rPr>
          <w:rFonts w:ascii="Times New Roman" w:hAnsi="Times New Roman" w:cs="Times New Roman"/>
          <w:sz w:val="20"/>
          <w:szCs w:val="20"/>
        </w:rPr>
        <w:t xml:space="preserve">, Catalina; Nelson </w:t>
      </w:r>
      <w:proofErr w:type="spellStart"/>
      <w:r w:rsidRPr="00F343F2">
        <w:rPr>
          <w:rFonts w:ascii="Times New Roman" w:hAnsi="Times New Roman" w:cs="Times New Roman"/>
          <w:sz w:val="20"/>
          <w:szCs w:val="20"/>
        </w:rPr>
        <w:t>Sánchez</w:t>
      </w:r>
      <w:proofErr w:type="spellEnd"/>
      <w:r w:rsidRPr="00F343F2">
        <w:rPr>
          <w:rFonts w:ascii="Times New Roman" w:hAnsi="Times New Roman" w:cs="Times New Roman"/>
          <w:sz w:val="20"/>
          <w:szCs w:val="20"/>
        </w:rPr>
        <w:t xml:space="preserve">, Camilo; </w:t>
      </w:r>
      <w:proofErr w:type="spellStart"/>
      <w:r w:rsidRPr="00F343F2">
        <w:rPr>
          <w:rFonts w:ascii="Times New Roman" w:hAnsi="Times New Roman" w:cs="Times New Roman"/>
          <w:sz w:val="20"/>
          <w:szCs w:val="20"/>
        </w:rPr>
        <w:t>Uprimny</w:t>
      </w:r>
      <w:proofErr w:type="spellEnd"/>
      <w:r w:rsidRPr="00F343F2">
        <w:rPr>
          <w:rFonts w:ascii="Times New Roman" w:hAnsi="Times New Roman" w:cs="Times New Roman"/>
          <w:sz w:val="20"/>
          <w:szCs w:val="20"/>
        </w:rPr>
        <w:t xml:space="preserve"> </w:t>
      </w:r>
      <w:proofErr w:type="spellStart"/>
      <w:r w:rsidRPr="00F343F2">
        <w:rPr>
          <w:rFonts w:ascii="Times New Roman" w:hAnsi="Times New Roman" w:cs="Times New Roman"/>
          <w:sz w:val="20"/>
          <w:szCs w:val="20"/>
        </w:rPr>
        <w:t>Yepes</w:t>
      </w:r>
      <w:proofErr w:type="spellEnd"/>
      <w:r w:rsidRPr="00F343F2">
        <w:rPr>
          <w:rFonts w:ascii="Times New Roman" w:hAnsi="Times New Roman" w:cs="Times New Roman"/>
          <w:sz w:val="20"/>
          <w:szCs w:val="20"/>
        </w:rPr>
        <w:t xml:space="preserve">, Rodrigo (eds.), </w:t>
      </w:r>
      <w:proofErr w:type="spellStart"/>
      <w:r w:rsidRPr="00F343F2">
        <w:rPr>
          <w:rFonts w:ascii="Times New Roman" w:hAnsi="Times New Roman" w:cs="Times New Roman"/>
          <w:i/>
          <w:sz w:val="20"/>
          <w:szCs w:val="20"/>
        </w:rPr>
        <w:t>Reparar</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en</w:t>
      </w:r>
      <w:proofErr w:type="spellEnd"/>
      <w:r w:rsidRPr="00F343F2">
        <w:rPr>
          <w:rFonts w:ascii="Times New Roman" w:hAnsi="Times New Roman" w:cs="Times New Roman"/>
          <w:i/>
          <w:sz w:val="20"/>
          <w:szCs w:val="20"/>
        </w:rPr>
        <w:t xml:space="preserve"> Colombia: los </w:t>
      </w:r>
      <w:proofErr w:type="spellStart"/>
      <w:r w:rsidRPr="00F343F2">
        <w:rPr>
          <w:rFonts w:ascii="Times New Roman" w:hAnsi="Times New Roman" w:cs="Times New Roman"/>
          <w:i/>
          <w:sz w:val="20"/>
          <w:szCs w:val="20"/>
        </w:rPr>
        <w:t>dilemas</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en</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contextos</w:t>
      </w:r>
      <w:proofErr w:type="spellEnd"/>
      <w:r w:rsidRPr="00F343F2">
        <w:rPr>
          <w:rFonts w:ascii="Times New Roman" w:hAnsi="Times New Roman" w:cs="Times New Roman"/>
          <w:i/>
          <w:sz w:val="20"/>
          <w:szCs w:val="20"/>
        </w:rPr>
        <w:t xml:space="preserve"> de </w:t>
      </w:r>
      <w:proofErr w:type="spellStart"/>
      <w:r w:rsidRPr="00F343F2">
        <w:rPr>
          <w:rFonts w:ascii="Times New Roman" w:hAnsi="Times New Roman" w:cs="Times New Roman"/>
          <w:i/>
          <w:sz w:val="20"/>
          <w:szCs w:val="20"/>
        </w:rPr>
        <w:t>conflicto</w:t>
      </w:r>
      <w:proofErr w:type="spellEnd"/>
      <w:r w:rsidRPr="00F343F2">
        <w:rPr>
          <w:rFonts w:ascii="Times New Roman" w:hAnsi="Times New Roman" w:cs="Times New Roman"/>
          <w:i/>
          <w:sz w:val="20"/>
          <w:szCs w:val="20"/>
        </w:rPr>
        <w:t xml:space="preserve">, </w:t>
      </w:r>
      <w:proofErr w:type="spellStart"/>
      <w:r w:rsidRPr="00F343F2">
        <w:rPr>
          <w:rFonts w:ascii="Times New Roman" w:hAnsi="Times New Roman" w:cs="Times New Roman"/>
          <w:i/>
          <w:sz w:val="20"/>
          <w:szCs w:val="20"/>
        </w:rPr>
        <w:t>pobreza</w:t>
      </w:r>
      <w:proofErr w:type="spellEnd"/>
      <w:r w:rsidRPr="00F343F2">
        <w:rPr>
          <w:rFonts w:ascii="Times New Roman" w:hAnsi="Times New Roman" w:cs="Times New Roman"/>
          <w:i/>
          <w:sz w:val="20"/>
          <w:szCs w:val="20"/>
        </w:rPr>
        <w:t xml:space="preserve"> y </w:t>
      </w:r>
      <w:proofErr w:type="spellStart"/>
      <w:r w:rsidRPr="00F343F2">
        <w:rPr>
          <w:rFonts w:ascii="Times New Roman" w:hAnsi="Times New Roman" w:cs="Times New Roman"/>
          <w:i/>
          <w:sz w:val="20"/>
          <w:szCs w:val="20"/>
        </w:rPr>
        <w:t>exclusión</w:t>
      </w:r>
      <w:proofErr w:type="spellEnd"/>
      <w:r w:rsidRPr="00F343F2">
        <w:rPr>
          <w:rFonts w:ascii="Times New Roman" w:hAnsi="Times New Roman" w:cs="Times New Roman"/>
          <w:sz w:val="20"/>
          <w:szCs w:val="20"/>
        </w:rPr>
        <w:t>, International Center for Transitional Justice and Center for the Study of Law, Justice and Society (</w:t>
      </w:r>
      <w:proofErr w:type="spellStart"/>
      <w:r w:rsidRPr="00F343F2">
        <w:rPr>
          <w:rFonts w:ascii="Times New Roman" w:hAnsi="Times New Roman" w:cs="Times New Roman"/>
          <w:sz w:val="20"/>
          <w:szCs w:val="20"/>
        </w:rPr>
        <w:t>DeJuSticia</w:t>
      </w:r>
      <w:proofErr w:type="spellEnd"/>
      <w:r w:rsidRPr="00F343F2">
        <w:rPr>
          <w:rFonts w:ascii="Times New Roman" w:hAnsi="Times New Roman" w:cs="Times New Roman"/>
          <w:sz w:val="20"/>
          <w:szCs w:val="20"/>
        </w:rPr>
        <w:t>), 2009, p. 51.</w:t>
      </w:r>
    </w:p>
  </w:footnote>
  <w:footnote w:id="29">
    <w:p w14:paraId="7AEA03A3"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 Court. </w:t>
      </w:r>
      <w:r w:rsidRPr="00F343F2">
        <w:rPr>
          <w:rFonts w:ascii="Times New Roman" w:hAnsi="Times New Roman" w:cs="Times New Roman"/>
          <w:i/>
          <w:sz w:val="20"/>
          <w:szCs w:val="20"/>
        </w:rPr>
        <w:t xml:space="preserve">Case of </w:t>
      </w:r>
      <w:proofErr w:type="spellStart"/>
      <w:r w:rsidRPr="00F343F2">
        <w:rPr>
          <w:rFonts w:ascii="Times New Roman" w:hAnsi="Times New Roman" w:cs="Times New Roman"/>
          <w:i/>
          <w:sz w:val="20"/>
          <w:szCs w:val="20"/>
        </w:rPr>
        <w:t>González</w:t>
      </w:r>
      <w:proofErr w:type="spellEnd"/>
      <w:r w:rsidRPr="00F343F2">
        <w:rPr>
          <w:rFonts w:ascii="Times New Roman" w:hAnsi="Times New Roman" w:cs="Times New Roman"/>
          <w:i/>
          <w:sz w:val="20"/>
          <w:szCs w:val="20"/>
        </w:rPr>
        <w:t xml:space="preserve"> et al (“Cotton Fields”) v. Mexico</w:t>
      </w:r>
      <w:r w:rsidRPr="00F343F2">
        <w:rPr>
          <w:rFonts w:ascii="Times New Roman" w:hAnsi="Times New Roman" w:cs="Times New Roman"/>
          <w:sz w:val="20"/>
          <w:szCs w:val="20"/>
        </w:rPr>
        <w:t>, Preliminary Objection, Merits, Reparations and Costs</w:t>
      </w:r>
      <w:r w:rsidRPr="00F343F2">
        <w:rPr>
          <w:rFonts w:ascii="Times New Roman" w:hAnsi="Times New Roman" w:cs="Times New Roman"/>
          <w:i/>
          <w:sz w:val="20"/>
          <w:szCs w:val="20"/>
        </w:rPr>
        <w:t xml:space="preserve">, </w:t>
      </w:r>
      <w:r w:rsidRPr="00F343F2">
        <w:rPr>
          <w:rFonts w:ascii="Times New Roman" w:hAnsi="Times New Roman" w:cs="Times New Roman"/>
          <w:sz w:val="20"/>
          <w:szCs w:val="20"/>
        </w:rPr>
        <w:t>Judgment November 16, 2009, Series C No. 205, para. 450.</w:t>
      </w:r>
    </w:p>
  </w:footnote>
  <w:footnote w:id="30">
    <w:p w14:paraId="7E9A6FCF"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Access to Justice for Women Victims of Sexual Violence in Mesoamerica</w:t>
      </w:r>
      <w:r w:rsidRPr="00F343F2">
        <w:rPr>
          <w:rFonts w:ascii="Times New Roman" w:hAnsi="Times New Roman" w:cs="Times New Roman"/>
          <w:sz w:val="20"/>
          <w:szCs w:val="20"/>
        </w:rPr>
        <w:t xml:space="preserve">, OEA </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/V/II Doc.63, December 9, 2011, recommendation 27.</w:t>
      </w:r>
    </w:p>
  </w:footnote>
  <w:footnote w:id="31">
    <w:p w14:paraId="3E1AC407" w14:textId="77777777" w:rsidR="000F2B0A" w:rsidRPr="00F343F2" w:rsidRDefault="000F2B0A" w:rsidP="00F343F2">
      <w:pPr>
        <w:spacing w:line="240" w:lineRule="auto"/>
        <w:jc w:val="both"/>
        <w:rPr>
          <w:rFonts w:ascii="Times New Roman" w:hAnsi="Times New Roman" w:cs="Times New Roman"/>
          <w:sz w:val="20"/>
          <w:szCs w:val="20"/>
          <w:lang w:val="es-ES"/>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F343F2">
        <w:rPr>
          <w:rFonts w:ascii="Times New Roman" w:hAnsi="Times New Roman" w:cs="Times New Roman"/>
          <w:i/>
          <w:sz w:val="20"/>
          <w:szCs w:val="20"/>
        </w:rPr>
        <w:t xml:space="preserve">The Work, Education and Resources of Women: The Road to Equality in Guaranteeing Economic, Social and Cultural Rights, </w:t>
      </w:r>
      <w:r w:rsidRPr="00F343F2">
        <w:rPr>
          <w:rFonts w:ascii="Times New Roman" w:hAnsi="Times New Roman" w:cs="Times New Roman"/>
          <w:sz w:val="20"/>
          <w:szCs w:val="20"/>
        </w:rPr>
        <w:t xml:space="preserve">OEA </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/V/II/143 Doc.59, November 3, 2011, para. </w:t>
      </w:r>
      <w:r w:rsidRPr="00F343F2">
        <w:rPr>
          <w:rFonts w:ascii="Times New Roman" w:hAnsi="Times New Roman" w:cs="Times New Roman"/>
          <w:sz w:val="20"/>
          <w:szCs w:val="20"/>
          <w:lang w:val="es-ES"/>
        </w:rPr>
        <w:t>210.</w:t>
      </w:r>
    </w:p>
  </w:footnote>
  <w:footnote w:id="32">
    <w:p w14:paraId="23DF21CD"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lang w:val="es-ES"/>
        </w:rPr>
        <w:t xml:space="preserve"> </w:t>
      </w:r>
      <w:proofErr w:type="spellStart"/>
      <w:r w:rsidRPr="00F343F2">
        <w:rPr>
          <w:rFonts w:ascii="Times New Roman" w:hAnsi="Times New Roman" w:cs="Times New Roman"/>
          <w:sz w:val="20"/>
          <w:szCs w:val="20"/>
          <w:lang w:val="es-ES"/>
        </w:rPr>
        <w:t>Indigenous</w:t>
      </w:r>
      <w:proofErr w:type="spellEnd"/>
      <w:r w:rsidRPr="00F343F2">
        <w:rPr>
          <w:rFonts w:ascii="Times New Roman" w:hAnsi="Times New Roman" w:cs="Times New Roman"/>
          <w:sz w:val="20"/>
          <w:szCs w:val="20"/>
          <w:lang w:val="es-ES"/>
        </w:rPr>
        <w:t xml:space="preserve"> </w:t>
      </w:r>
      <w:proofErr w:type="spellStart"/>
      <w:r w:rsidRPr="00F343F2">
        <w:rPr>
          <w:rFonts w:ascii="Times New Roman" w:hAnsi="Times New Roman" w:cs="Times New Roman"/>
          <w:sz w:val="20"/>
          <w:szCs w:val="20"/>
          <w:lang w:val="es-ES"/>
        </w:rPr>
        <w:t>Women’s</w:t>
      </w:r>
      <w:proofErr w:type="spellEnd"/>
      <w:r w:rsidRPr="00F343F2">
        <w:rPr>
          <w:rFonts w:ascii="Times New Roman" w:hAnsi="Times New Roman" w:cs="Times New Roman"/>
          <w:sz w:val="20"/>
          <w:szCs w:val="20"/>
          <w:lang w:val="es-ES"/>
        </w:rPr>
        <w:t xml:space="preserve"> </w:t>
      </w:r>
      <w:proofErr w:type="spellStart"/>
      <w:r w:rsidRPr="00F343F2">
        <w:rPr>
          <w:rFonts w:ascii="Times New Roman" w:hAnsi="Times New Roman" w:cs="Times New Roman"/>
          <w:sz w:val="20"/>
          <w:szCs w:val="20"/>
          <w:lang w:val="es-ES"/>
        </w:rPr>
        <w:t>Ombudsman’s</w:t>
      </w:r>
      <w:proofErr w:type="spellEnd"/>
      <w:r w:rsidRPr="00F343F2">
        <w:rPr>
          <w:rFonts w:ascii="Times New Roman" w:hAnsi="Times New Roman" w:cs="Times New Roman"/>
          <w:sz w:val="20"/>
          <w:szCs w:val="20"/>
          <w:lang w:val="es-ES"/>
        </w:rPr>
        <w:t xml:space="preserve"> Office (</w:t>
      </w:r>
      <w:proofErr w:type="spellStart"/>
      <w:r w:rsidRPr="00F343F2">
        <w:rPr>
          <w:rFonts w:ascii="Times New Roman" w:hAnsi="Times New Roman" w:cs="Times New Roman"/>
          <w:sz w:val="20"/>
          <w:szCs w:val="20"/>
          <w:lang w:val="es-ES"/>
        </w:rPr>
        <w:t>Defensoria</w:t>
      </w:r>
      <w:proofErr w:type="spellEnd"/>
      <w:r w:rsidRPr="00F343F2">
        <w:rPr>
          <w:rFonts w:ascii="Times New Roman" w:hAnsi="Times New Roman" w:cs="Times New Roman"/>
          <w:sz w:val="20"/>
          <w:szCs w:val="20"/>
          <w:lang w:val="es-ES"/>
        </w:rPr>
        <w:t xml:space="preserve"> de la Mujer </w:t>
      </w:r>
      <w:proofErr w:type="spellStart"/>
      <w:r w:rsidRPr="00F343F2">
        <w:rPr>
          <w:rFonts w:ascii="Times New Roman" w:hAnsi="Times New Roman" w:cs="Times New Roman"/>
          <w:sz w:val="20"/>
          <w:szCs w:val="20"/>
          <w:lang w:val="es-ES"/>
        </w:rPr>
        <w:t>Indigena</w:t>
      </w:r>
      <w:proofErr w:type="spellEnd"/>
      <w:r w:rsidRPr="00F343F2">
        <w:rPr>
          <w:rFonts w:ascii="Times New Roman" w:hAnsi="Times New Roman" w:cs="Times New Roman"/>
          <w:sz w:val="20"/>
          <w:szCs w:val="20"/>
          <w:lang w:val="es-ES"/>
        </w:rPr>
        <w:t xml:space="preserve">), El Acceso de las Mujeres Indígenas al Sistema de Justicia Oficial de Guatemala, segundo informe. </w:t>
      </w:r>
      <w:r w:rsidRPr="00F343F2">
        <w:rPr>
          <w:rFonts w:ascii="Times New Roman" w:hAnsi="Times New Roman" w:cs="Times New Roman"/>
          <w:sz w:val="20"/>
          <w:szCs w:val="20"/>
        </w:rPr>
        <w:t>Guatemala 2007, p. 27-28.</w:t>
      </w:r>
    </w:p>
  </w:footnote>
  <w:footnote w:id="33">
    <w:p w14:paraId="42208678"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Information provided by the State of Paraguay in its response to the questionnaire </w:t>
      </w:r>
      <w:r w:rsidRPr="00963C85">
        <w:rPr>
          <w:rFonts w:ascii="Times New Roman" w:hAnsi="Times New Roman" w:cs="Times New Roman"/>
          <w:i/>
          <w:iCs/>
          <w:sz w:val="20"/>
          <w:szCs w:val="20"/>
        </w:rPr>
        <w:t>The Rights of Indigenous Women in the Americas</w:t>
      </w:r>
      <w:r w:rsidRPr="00F343F2">
        <w:rPr>
          <w:rFonts w:ascii="Times New Roman" w:hAnsi="Times New Roman" w:cs="Times New Roman"/>
          <w:sz w:val="20"/>
          <w:szCs w:val="20"/>
        </w:rPr>
        <w:t>, prepared by the IACHR.</w:t>
      </w:r>
    </w:p>
  </w:footnote>
  <w:footnote w:id="34">
    <w:p w14:paraId="7844CCBB" w14:textId="77777777" w:rsidR="00C10323" w:rsidRPr="00F343F2" w:rsidRDefault="00C10323" w:rsidP="00C10323">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eastAsia="Times New Roman" w:hAnsi="Times New Roman" w:cs="Times New Roman"/>
          <w:color w:val="000000"/>
          <w:sz w:val="20"/>
          <w:szCs w:val="20"/>
          <w:lang w:val="en-US"/>
        </w:rPr>
        <w:t>Id.</w:t>
      </w:r>
    </w:p>
  </w:footnote>
  <w:footnote w:id="35">
    <w:p w14:paraId="74D390FE" w14:textId="4FF6CB26" w:rsidR="000F2B0A" w:rsidRPr="00F343F2" w:rsidRDefault="000F2B0A" w:rsidP="00F343F2">
      <w:pPr>
        <w:spacing w:line="240" w:lineRule="auto"/>
        <w:jc w:val="both"/>
        <w:rPr>
          <w:rFonts w:ascii="Times New Roman" w:hAnsi="Times New Roman" w:cs="Times New Roman"/>
          <w:color w:val="0000FF"/>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color w:val="0000FF"/>
          <w:sz w:val="20"/>
          <w:szCs w:val="20"/>
          <w:vertAlign w:val="superscript"/>
        </w:rPr>
        <w:t xml:space="preserve"> </w:t>
      </w:r>
      <w:r w:rsidR="00F343F2" w:rsidRPr="00F343F2">
        <w:rPr>
          <w:rFonts w:ascii="Times New Roman" w:eastAsia="Times New Roman" w:hAnsi="Times New Roman" w:cs="Times New Roman"/>
          <w:color w:val="000000"/>
          <w:sz w:val="20"/>
          <w:szCs w:val="20"/>
          <w:lang w:val="en-US"/>
        </w:rPr>
        <w:t>IACHR</w:t>
      </w:r>
      <w:r w:rsidR="00963C85">
        <w:rPr>
          <w:rFonts w:ascii="Times New Roman" w:eastAsia="Times New Roman" w:hAnsi="Times New Roman" w:cs="Times New Roman"/>
          <w:color w:val="000000"/>
          <w:sz w:val="20"/>
          <w:szCs w:val="20"/>
          <w:lang w:val="en-US"/>
        </w:rPr>
        <w:t>,</w:t>
      </w:r>
      <w:r w:rsidR="00F343F2" w:rsidRPr="00F343F2">
        <w:rPr>
          <w:rFonts w:ascii="Times New Roman" w:eastAsia="Times New Roman" w:hAnsi="Times New Roman" w:cs="Times New Roman"/>
          <w:color w:val="000000"/>
          <w:sz w:val="20"/>
          <w:szCs w:val="20"/>
          <w:lang w:val="en-US"/>
        </w:rPr>
        <w:t xml:space="preserve"> </w:t>
      </w:r>
      <w:r w:rsidR="00F343F2" w:rsidRPr="00963C85">
        <w:rPr>
          <w:rFonts w:ascii="Times New Roman" w:eastAsia="Times New Roman" w:hAnsi="Times New Roman" w:cs="Times New Roman"/>
          <w:i/>
          <w:iCs/>
          <w:color w:val="000000"/>
          <w:sz w:val="20"/>
          <w:szCs w:val="20"/>
          <w:lang w:val="en-US"/>
        </w:rPr>
        <w:t>Indigenous Women Report</w:t>
      </w:r>
      <w:r w:rsidRPr="00F343F2">
        <w:rPr>
          <w:rFonts w:ascii="Times New Roman" w:eastAsia="Times New Roman" w:hAnsi="Times New Roman" w:cs="Times New Roman"/>
          <w:color w:val="000000"/>
          <w:sz w:val="20"/>
          <w:szCs w:val="20"/>
          <w:lang w:val="en-US"/>
        </w:rPr>
        <w:t>, at para. 188</w:t>
      </w:r>
      <w:r w:rsidRPr="00F343F2">
        <w:rPr>
          <w:rFonts w:ascii="Times New Roman" w:hAnsi="Times New Roman" w:cs="Times New Roman"/>
          <w:color w:val="0000FF"/>
          <w:sz w:val="20"/>
          <w:szCs w:val="20"/>
        </w:rPr>
        <w:t xml:space="preserve">. </w:t>
      </w:r>
    </w:p>
  </w:footnote>
  <w:footnote w:id="36">
    <w:p w14:paraId="6A89904F" w14:textId="49DC60AC" w:rsidR="000F2B0A" w:rsidRPr="007D6E55" w:rsidRDefault="000F2B0A" w:rsidP="00F343F2">
      <w:pPr>
        <w:spacing w:line="240" w:lineRule="auto"/>
        <w:jc w:val="both"/>
        <w:rPr>
          <w:rFonts w:ascii="Times New Roman" w:hAnsi="Times New Roman" w:cs="Times New Roman"/>
          <w:sz w:val="20"/>
          <w:szCs w:val="20"/>
          <w:lang w:val="en-US"/>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United Nations, </w:t>
      </w:r>
      <w:r w:rsidRPr="00963C85">
        <w:rPr>
          <w:rFonts w:ascii="Times New Roman" w:hAnsi="Times New Roman" w:cs="Times New Roman"/>
          <w:i/>
          <w:iCs/>
          <w:sz w:val="20"/>
          <w:szCs w:val="20"/>
        </w:rPr>
        <w:t>Expert Mechanism on the Rights of Indigenous Peoples, Advice No. 1 on the right of indigenous peoples to education</w:t>
      </w:r>
      <w:r w:rsidRPr="00F343F2">
        <w:rPr>
          <w:rFonts w:ascii="Times New Roman" w:hAnsi="Times New Roman" w:cs="Times New Roman"/>
          <w:sz w:val="20"/>
          <w:szCs w:val="20"/>
        </w:rPr>
        <w:t xml:space="preserve">, A/HRC/12/33, 2009, para. </w:t>
      </w:r>
      <w:r w:rsidRPr="007D6E55">
        <w:rPr>
          <w:rFonts w:ascii="Times New Roman" w:hAnsi="Times New Roman" w:cs="Times New Roman"/>
          <w:sz w:val="20"/>
          <w:szCs w:val="20"/>
          <w:lang w:val="en-US"/>
        </w:rPr>
        <w:t>3.</w:t>
      </w:r>
      <w:r w:rsidR="00C10323" w:rsidRPr="007D6E55">
        <w:rPr>
          <w:rFonts w:ascii="Times New Roman" w:hAnsi="Times New Roman" w:cs="Times New Roman"/>
          <w:sz w:val="20"/>
          <w:szCs w:val="20"/>
          <w:lang w:val="en-US"/>
        </w:rPr>
        <w:t xml:space="preserve"> </w:t>
      </w:r>
      <w:r w:rsidR="00C10323" w:rsidRPr="007D6E55">
        <w:rPr>
          <w:rFonts w:ascii="Times New Roman" w:hAnsi="Times New Roman" w:cs="Times New Roman"/>
          <w:i/>
          <w:iCs/>
          <w:sz w:val="20"/>
          <w:szCs w:val="20"/>
          <w:lang w:val="en-US"/>
        </w:rPr>
        <w:t>See also</w:t>
      </w:r>
      <w:r w:rsidR="00C10323" w:rsidRPr="007D6E55">
        <w:rPr>
          <w:rFonts w:ascii="Times New Roman" w:hAnsi="Times New Roman" w:cs="Times New Roman"/>
          <w:sz w:val="20"/>
          <w:szCs w:val="20"/>
          <w:lang w:val="en-US"/>
        </w:rPr>
        <w:t xml:space="preserve">, </w:t>
      </w:r>
      <w:r w:rsidR="00C10323" w:rsidRPr="00F343F2">
        <w:rPr>
          <w:rFonts w:ascii="Times New Roman" w:eastAsia="Times New Roman" w:hAnsi="Times New Roman" w:cs="Times New Roman"/>
          <w:color w:val="000000"/>
          <w:sz w:val="20"/>
          <w:szCs w:val="20"/>
          <w:lang w:val="en-US"/>
        </w:rPr>
        <w:t>IACHR</w:t>
      </w:r>
      <w:r w:rsidR="00963C85">
        <w:rPr>
          <w:rFonts w:ascii="Times New Roman" w:eastAsia="Times New Roman" w:hAnsi="Times New Roman" w:cs="Times New Roman"/>
          <w:color w:val="000000"/>
          <w:sz w:val="20"/>
          <w:szCs w:val="20"/>
          <w:lang w:val="en-US"/>
        </w:rPr>
        <w:t>,</w:t>
      </w:r>
      <w:r w:rsidR="00C10323" w:rsidRPr="00F343F2">
        <w:rPr>
          <w:rFonts w:ascii="Times New Roman" w:eastAsia="Times New Roman" w:hAnsi="Times New Roman" w:cs="Times New Roman"/>
          <w:color w:val="000000"/>
          <w:sz w:val="20"/>
          <w:szCs w:val="20"/>
          <w:lang w:val="en-US"/>
        </w:rPr>
        <w:t xml:space="preserve"> </w:t>
      </w:r>
      <w:r w:rsidR="00C10323" w:rsidRPr="00963C85">
        <w:rPr>
          <w:rFonts w:ascii="Times New Roman" w:eastAsia="Times New Roman" w:hAnsi="Times New Roman" w:cs="Times New Roman"/>
          <w:i/>
          <w:iCs/>
          <w:color w:val="000000"/>
          <w:sz w:val="20"/>
          <w:szCs w:val="20"/>
          <w:lang w:val="en-US"/>
        </w:rPr>
        <w:t xml:space="preserve">Indigenous </w:t>
      </w:r>
      <w:r w:rsidR="00C10323" w:rsidRPr="00963C85">
        <w:rPr>
          <w:rFonts w:ascii="Times New Roman" w:eastAsia="Times New Roman" w:hAnsi="Times New Roman" w:cs="Times New Roman"/>
          <w:i/>
          <w:iCs/>
          <w:color w:val="000000" w:themeColor="text1"/>
          <w:sz w:val="20"/>
          <w:szCs w:val="20"/>
          <w:lang w:val="en-US"/>
        </w:rPr>
        <w:t>Women Report</w:t>
      </w:r>
      <w:r w:rsidR="00C10323" w:rsidRPr="00F343F2">
        <w:rPr>
          <w:rFonts w:ascii="Times New Roman" w:hAnsi="Times New Roman" w:cs="Times New Roman"/>
          <w:color w:val="000000" w:themeColor="text1"/>
          <w:sz w:val="20"/>
          <w:szCs w:val="20"/>
          <w:lang w:val="en-US"/>
        </w:rPr>
        <w:t xml:space="preserve">, at para. </w:t>
      </w:r>
      <w:r w:rsidR="00C10323" w:rsidRPr="007D6E55">
        <w:rPr>
          <w:rFonts w:ascii="Times New Roman" w:hAnsi="Times New Roman" w:cs="Times New Roman"/>
          <w:color w:val="000000" w:themeColor="text1"/>
          <w:sz w:val="20"/>
          <w:szCs w:val="20"/>
          <w:lang w:val="en-US"/>
        </w:rPr>
        <w:t>198.</w:t>
      </w:r>
    </w:p>
  </w:footnote>
  <w:footnote w:id="37">
    <w:p w14:paraId="00042EEE"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ECLAC, </w:t>
      </w:r>
      <w:r w:rsidRPr="00963C85">
        <w:rPr>
          <w:rFonts w:ascii="Times New Roman" w:hAnsi="Times New Roman" w:cs="Times New Roman"/>
          <w:i/>
          <w:iCs/>
          <w:sz w:val="20"/>
          <w:szCs w:val="20"/>
        </w:rPr>
        <w:t>Indigenous Women in Latin America: Demographic and social dynamics in the human rights framework</w:t>
      </w:r>
      <w:r w:rsidRPr="00F343F2">
        <w:rPr>
          <w:rFonts w:ascii="Times New Roman" w:hAnsi="Times New Roman" w:cs="Times New Roman"/>
          <w:sz w:val="20"/>
          <w:szCs w:val="20"/>
        </w:rPr>
        <w:t>, October 2013; p. 92.</w:t>
      </w:r>
    </w:p>
  </w:footnote>
  <w:footnote w:id="38">
    <w:p w14:paraId="3B89119D"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at 82-83. </w:t>
      </w:r>
    </w:p>
  </w:footnote>
  <w:footnote w:id="39">
    <w:p w14:paraId="7DB69F8F"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 xml:space="preserve">. </w:t>
      </w:r>
    </w:p>
  </w:footnote>
  <w:footnote w:id="40">
    <w:p w14:paraId="62143113"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 xml:space="preserve">Id </w:t>
      </w:r>
      <w:r w:rsidRPr="00F343F2">
        <w:rPr>
          <w:rFonts w:ascii="Times New Roman" w:hAnsi="Times New Roman" w:cs="Times New Roman"/>
          <w:sz w:val="20"/>
          <w:szCs w:val="20"/>
        </w:rPr>
        <w:t>at p. 186.</w:t>
      </w:r>
    </w:p>
  </w:footnote>
  <w:footnote w:id="41">
    <w:p w14:paraId="3BAB971F"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 xml:space="preserve">Id </w:t>
      </w:r>
      <w:r w:rsidRPr="00F343F2">
        <w:rPr>
          <w:rFonts w:ascii="Times New Roman" w:hAnsi="Times New Roman" w:cs="Times New Roman"/>
          <w:sz w:val="20"/>
          <w:szCs w:val="20"/>
        </w:rPr>
        <w:t>at p. 190.</w:t>
      </w:r>
    </w:p>
  </w:footnote>
  <w:footnote w:id="42">
    <w:p w14:paraId="40D14559"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IACHR, </w:t>
      </w:r>
      <w:r w:rsidRPr="00963C85">
        <w:rPr>
          <w:rFonts w:ascii="Times New Roman" w:hAnsi="Times New Roman" w:cs="Times New Roman"/>
          <w:i/>
          <w:iCs/>
          <w:sz w:val="20"/>
          <w:szCs w:val="20"/>
        </w:rPr>
        <w:t>Situation of discrimination against indigenous women in the Americas</w:t>
      </w:r>
      <w:r w:rsidRPr="00F343F2">
        <w:rPr>
          <w:rFonts w:ascii="Times New Roman" w:hAnsi="Times New Roman" w:cs="Times New Roman"/>
          <w:sz w:val="20"/>
          <w:szCs w:val="20"/>
        </w:rPr>
        <w:t>, 144 POS, March 28, 2012. See also: information received from the participating organizations as a follow-up to the hearing.</w:t>
      </w:r>
    </w:p>
  </w:footnote>
  <w:footnote w:id="43">
    <w:p w14:paraId="375E2CF1" w14:textId="26758798" w:rsidR="000F2B0A" w:rsidRPr="00F343F2" w:rsidRDefault="000F2B0A" w:rsidP="00F343F2">
      <w:pPr>
        <w:spacing w:line="240" w:lineRule="auto"/>
        <w:jc w:val="both"/>
        <w:rPr>
          <w:rFonts w:ascii="Times New Roman" w:hAnsi="Times New Roman" w:cs="Times New Roman"/>
          <w:color w:val="000000" w:themeColor="text1"/>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00F343F2" w:rsidRPr="00F343F2">
        <w:rPr>
          <w:rFonts w:ascii="Times New Roman" w:eastAsia="Times New Roman" w:hAnsi="Times New Roman" w:cs="Times New Roman"/>
          <w:color w:val="000000"/>
          <w:sz w:val="20"/>
          <w:szCs w:val="20"/>
          <w:lang w:val="en-US"/>
        </w:rPr>
        <w:t>IACHR</w:t>
      </w:r>
      <w:r w:rsidR="00963C85">
        <w:rPr>
          <w:rFonts w:ascii="Times New Roman" w:eastAsia="Times New Roman" w:hAnsi="Times New Roman" w:cs="Times New Roman"/>
          <w:color w:val="000000"/>
          <w:sz w:val="20"/>
          <w:szCs w:val="20"/>
          <w:lang w:val="en-US"/>
        </w:rPr>
        <w:t>,</w:t>
      </w:r>
      <w:r w:rsidR="00F343F2" w:rsidRPr="00F343F2">
        <w:rPr>
          <w:rFonts w:ascii="Times New Roman" w:eastAsia="Times New Roman" w:hAnsi="Times New Roman" w:cs="Times New Roman"/>
          <w:color w:val="000000"/>
          <w:sz w:val="20"/>
          <w:szCs w:val="20"/>
          <w:lang w:val="en-US"/>
        </w:rPr>
        <w:t xml:space="preserve"> </w:t>
      </w:r>
      <w:r w:rsidR="00F343F2" w:rsidRPr="00963C85">
        <w:rPr>
          <w:rFonts w:ascii="Times New Roman" w:eastAsia="Times New Roman" w:hAnsi="Times New Roman" w:cs="Times New Roman"/>
          <w:i/>
          <w:iCs/>
          <w:color w:val="000000"/>
          <w:sz w:val="20"/>
          <w:szCs w:val="20"/>
          <w:lang w:val="en-US"/>
        </w:rPr>
        <w:t xml:space="preserve">Indigenous Women </w:t>
      </w:r>
      <w:r w:rsidR="00F343F2" w:rsidRPr="00963C85">
        <w:rPr>
          <w:rFonts w:ascii="Times New Roman" w:eastAsia="Times New Roman" w:hAnsi="Times New Roman" w:cs="Times New Roman"/>
          <w:i/>
          <w:iCs/>
          <w:color w:val="000000" w:themeColor="text1"/>
          <w:sz w:val="20"/>
          <w:szCs w:val="20"/>
          <w:lang w:val="en-US"/>
        </w:rPr>
        <w:t>Report</w:t>
      </w:r>
      <w:r w:rsidRPr="00F343F2">
        <w:rPr>
          <w:rFonts w:ascii="Times New Roman" w:hAnsi="Times New Roman" w:cs="Times New Roman"/>
          <w:color w:val="000000" w:themeColor="text1"/>
          <w:sz w:val="20"/>
          <w:szCs w:val="20"/>
        </w:rPr>
        <w:t>, at para. 188.</w:t>
      </w:r>
    </w:p>
  </w:footnote>
  <w:footnote w:id="44">
    <w:p w14:paraId="32EEE993" w14:textId="77777777" w:rsidR="000F2B0A" w:rsidRPr="00F343F2" w:rsidRDefault="000F2B0A" w:rsidP="00F343F2">
      <w:pPr>
        <w:spacing w:line="240" w:lineRule="auto"/>
        <w:jc w:val="both"/>
        <w:rPr>
          <w:rFonts w:ascii="Times New Roman" w:hAnsi="Times New Roman" w:cs="Times New Roman"/>
          <w:sz w:val="20"/>
          <w:szCs w:val="20"/>
          <w:vertAlign w:val="superscript"/>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i/>
          <w:sz w:val="20"/>
          <w:szCs w:val="20"/>
        </w:rPr>
        <w:t>Id</w:t>
      </w:r>
      <w:r w:rsidRPr="00F343F2">
        <w:rPr>
          <w:rFonts w:ascii="Times New Roman" w:hAnsi="Times New Roman" w:cs="Times New Roman"/>
          <w:sz w:val="20"/>
          <w:szCs w:val="20"/>
        </w:rPr>
        <w:t>.</w:t>
      </w:r>
    </w:p>
  </w:footnote>
  <w:footnote w:id="45">
    <w:p w14:paraId="1FA520F4" w14:textId="77777777" w:rsidR="00C10323" w:rsidRPr="00F343F2" w:rsidRDefault="00C10323" w:rsidP="00C10323">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ECLAC, </w:t>
      </w:r>
      <w:r w:rsidRPr="00963C85">
        <w:rPr>
          <w:rFonts w:ascii="Times New Roman" w:hAnsi="Times New Roman" w:cs="Times New Roman"/>
          <w:i/>
          <w:iCs/>
          <w:sz w:val="20"/>
          <w:szCs w:val="20"/>
        </w:rPr>
        <w:t>Indigenous Women in Latin America: Demographic and social dynamics in the human rights framework</w:t>
      </w:r>
      <w:r w:rsidRPr="00F343F2">
        <w:rPr>
          <w:rFonts w:ascii="Times New Roman" w:hAnsi="Times New Roman" w:cs="Times New Roman"/>
          <w:sz w:val="20"/>
          <w:szCs w:val="20"/>
        </w:rPr>
        <w:t>, October 2013, p. 66.</w:t>
      </w:r>
    </w:p>
  </w:footnote>
  <w:footnote w:id="46">
    <w:p w14:paraId="128385F2" w14:textId="05DF9549"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rPr>
        <w:t xml:space="preserve"> </w:t>
      </w:r>
      <w:r w:rsidR="00C10323">
        <w:rPr>
          <w:rFonts w:ascii="Times New Roman" w:hAnsi="Times New Roman" w:cs="Times New Roman"/>
          <w:i/>
          <w:iCs/>
          <w:sz w:val="20"/>
          <w:szCs w:val="20"/>
        </w:rPr>
        <w:t>Id.</w:t>
      </w:r>
    </w:p>
  </w:footnote>
  <w:footnote w:id="47">
    <w:p w14:paraId="5AB64AB6"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Human Rights Council, </w:t>
      </w:r>
      <w:r w:rsidRPr="00963C85">
        <w:rPr>
          <w:rFonts w:ascii="Times New Roman" w:hAnsi="Times New Roman" w:cs="Times New Roman"/>
          <w:i/>
          <w:iCs/>
          <w:sz w:val="20"/>
          <w:szCs w:val="20"/>
        </w:rPr>
        <w:t>Report of the Special Rapporteur on the Human Rights and Fundamental Freedoms of Indigenous Peoples</w:t>
      </w:r>
      <w:r w:rsidRPr="00F343F2">
        <w:rPr>
          <w:rFonts w:ascii="Times New Roman" w:hAnsi="Times New Roman" w:cs="Times New Roman"/>
          <w:sz w:val="20"/>
          <w:szCs w:val="20"/>
        </w:rPr>
        <w:t>, James Anaya. Addendum. Report on the situation of human rights of indigenous peoples in Brazil, A/HRC/12/34/Add.2, August 26, 2009, para. 63.</w:t>
      </w:r>
    </w:p>
  </w:footnote>
  <w:footnote w:id="48">
    <w:p w14:paraId="738809FF" w14:textId="77777777" w:rsidR="000F2B0A" w:rsidRPr="00F343F2" w:rsidRDefault="000F2B0A" w:rsidP="00F343F2">
      <w:pPr>
        <w:spacing w:line="240" w:lineRule="auto"/>
        <w:jc w:val="both"/>
        <w:rPr>
          <w:rFonts w:ascii="Times New Roman" w:hAnsi="Times New Roman" w:cs="Times New Roman"/>
          <w:sz w:val="20"/>
          <w:szCs w:val="20"/>
        </w:rPr>
      </w:pPr>
      <w:r w:rsidRPr="00F343F2">
        <w:rPr>
          <w:rFonts w:ascii="Times New Roman" w:hAnsi="Times New Roman" w:cs="Times New Roman"/>
          <w:sz w:val="20"/>
          <w:szCs w:val="20"/>
          <w:vertAlign w:val="superscript"/>
        </w:rPr>
        <w:footnoteRef/>
      </w:r>
      <w:r w:rsidRPr="00F343F2">
        <w:rPr>
          <w:rFonts w:ascii="Times New Roman" w:hAnsi="Times New Roman" w:cs="Times New Roman"/>
          <w:sz w:val="20"/>
          <w:szCs w:val="20"/>
          <w:vertAlign w:val="superscript"/>
        </w:rPr>
        <w:t xml:space="preserve"> </w:t>
      </w:r>
      <w:r w:rsidRPr="00F343F2">
        <w:rPr>
          <w:rFonts w:ascii="Times New Roman" w:hAnsi="Times New Roman" w:cs="Times New Roman"/>
          <w:sz w:val="20"/>
          <w:szCs w:val="20"/>
        </w:rPr>
        <w:t xml:space="preserve">IACHR, </w:t>
      </w:r>
      <w:r w:rsidRPr="00963C85">
        <w:rPr>
          <w:rFonts w:ascii="Times New Roman" w:hAnsi="Times New Roman" w:cs="Times New Roman"/>
          <w:i/>
          <w:iCs/>
          <w:sz w:val="20"/>
          <w:szCs w:val="20"/>
        </w:rPr>
        <w:t>Access to information on reproductive health from a human rights perspective</w:t>
      </w:r>
      <w:r w:rsidRPr="00F343F2">
        <w:rPr>
          <w:rFonts w:ascii="Times New Roman" w:hAnsi="Times New Roman" w:cs="Times New Roman"/>
          <w:sz w:val="20"/>
          <w:szCs w:val="20"/>
        </w:rPr>
        <w:t>, OEA/</w:t>
      </w:r>
      <w:proofErr w:type="spellStart"/>
      <w:r w:rsidRPr="00F343F2">
        <w:rPr>
          <w:rFonts w:ascii="Times New Roman" w:hAnsi="Times New Roman" w:cs="Times New Roman"/>
          <w:sz w:val="20"/>
          <w:szCs w:val="20"/>
        </w:rPr>
        <w:t>Ser.L</w:t>
      </w:r>
      <w:proofErr w:type="spellEnd"/>
      <w:r w:rsidRPr="00F343F2">
        <w:rPr>
          <w:rFonts w:ascii="Times New Roman" w:hAnsi="Times New Roman" w:cs="Times New Roman"/>
          <w:sz w:val="20"/>
          <w:szCs w:val="20"/>
        </w:rPr>
        <w:t xml:space="preserve">/V/II. Doc. 61, November 22, 2011, paras. 7 and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7BD7" w14:textId="77777777" w:rsidR="003F25F2" w:rsidRDefault="004C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638E" w14:textId="77777777" w:rsidR="00A62728" w:rsidRDefault="004C18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54161" w14:textId="77777777" w:rsidR="003F25F2" w:rsidRDefault="004C1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6A4"/>
    <w:multiLevelType w:val="multilevel"/>
    <w:tmpl w:val="3732D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511F89"/>
    <w:multiLevelType w:val="hybridMultilevel"/>
    <w:tmpl w:val="44107F38"/>
    <w:lvl w:ilvl="0" w:tplc="5B8EA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84E03"/>
    <w:multiLevelType w:val="multilevel"/>
    <w:tmpl w:val="3732D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0A"/>
    <w:rsid w:val="000F2B0A"/>
    <w:rsid w:val="00340741"/>
    <w:rsid w:val="003B2A45"/>
    <w:rsid w:val="004C1809"/>
    <w:rsid w:val="006067E7"/>
    <w:rsid w:val="007673CA"/>
    <w:rsid w:val="007719A2"/>
    <w:rsid w:val="00796B9F"/>
    <w:rsid w:val="007A2F8C"/>
    <w:rsid w:val="007D6E55"/>
    <w:rsid w:val="008D3ED5"/>
    <w:rsid w:val="008D7BF8"/>
    <w:rsid w:val="00943FC6"/>
    <w:rsid w:val="00963C85"/>
    <w:rsid w:val="00975F67"/>
    <w:rsid w:val="00A51EB0"/>
    <w:rsid w:val="00BB34A9"/>
    <w:rsid w:val="00C10323"/>
    <w:rsid w:val="00D12CE9"/>
    <w:rsid w:val="00D93468"/>
    <w:rsid w:val="00E06581"/>
    <w:rsid w:val="00E22892"/>
    <w:rsid w:val="00F3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A562"/>
  <w15:chartTrackingRefBased/>
  <w15:docId w15:val="{4D227C3A-8CCE-E946-A64C-750BCCF7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0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B0A"/>
    <w:pPr>
      <w:tabs>
        <w:tab w:val="center" w:pos="4680"/>
        <w:tab w:val="right" w:pos="9360"/>
      </w:tabs>
      <w:spacing w:line="240" w:lineRule="auto"/>
    </w:pPr>
  </w:style>
  <w:style w:type="character" w:customStyle="1" w:styleId="HeaderChar">
    <w:name w:val="Header Char"/>
    <w:basedOn w:val="DefaultParagraphFont"/>
    <w:link w:val="Header"/>
    <w:uiPriority w:val="99"/>
    <w:rsid w:val="000F2B0A"/>
    <w:rPr>
      <w:rFonts w:ascii="Arial" w:eastAsia="Arial" w:hAnsi="Arial" w:cs="Arial"/>
      <w:sz w:val="22"/>
      <w:szCs w:val="22"/>
      <w:lang w:val="en"/>
    </w:rPr>
  </w:style>
  <w:style w:type="paragraph" w:styleId="Footer">
    <w:name w:val="footer"/>
    <w:basedOn w:val="Normal"/>
    <w:link w:val="FooterChar"/>
    <w:uiPriority w:val="99"/>
    <w:unhideWhenUsed/>
    <w:rsid w:val="000F2B0A"/>
    <w:pPr>
      <w:tabs>
        <w:tab w:val="center" w:pos="4680"/>
        <w:tab w:val="right" w:pos="9360"/>
      </w:tabs>
      <w:spacing w:line="240" w:lineRule="auto"/>
    </w:pPr>
  </w:style>
  <w:style w:type="character" w:customStyle="1" w:styleId="FooterChar">
    <w:name w:val="Footer Char"/>
    <w:basedOn w:val="DefaultParagraphFont"/>
    <w:link w:val="Footer"/>
    <w:uiPriority w:val="99"/>
    <w:rsid w:val="000F2B0A"/>
    <w:rPr>
      <w:rFonts w:ascii="Arial" w:eastAsia="Arial" w:hAnsi="Arial" w:cs="Arial"/>
      <w:sz w:val="22"/>
      <w:szCs w:val="22"/>
      <w:lang w:val="en"/>
    </w:rPr>
  </w:style>
  <w:style w:type="paragraph" w:styleId="ListParagraph">
    <w:name w:val="List Paragraph"/>
    <w:basedOn w:val="Normal"/>
    <w:uiPriority w:val="34"/>
    <w:qFormat/>
    <w:rsid w:val="00F343F2"/>
    <w:pPr>
      <w:ind w:left="720"/>
      <w:contextualSpacing/>
    </w:pPr>
  </w:style>
  <w:style w:type="character" w:styleId="PageNumber">
    <w:name w:val="page number"/>
    <w:basedOn w:val="DefaultParagraphFont"/>
    <w:uiPriority w:val="99"/>
    <w:semiHidden/>
    <w:unhideWhenUsed/>
    <w:rsid w:val="007719A2"/>
  </w:style>
  <w:style w:type="character" w:styleId="Hyperlink">
    <w:name w:val="Hyperlink"/>
    <w:basedOn w:val="DefaultParagraphFont"/>
    <w:uiPriority w:val="99"/>
    <w:unhideWhenUsed/>
    <w:rsid w:val="007D6E55"/>
    <w:rPr>
      <w:color w:val="0563C1" w:themeColor="hyperlink"/>
      <w:u w:val="single"/>
    </w:rPr>
  </w:style>
  <w:style w:type="character" w:styleId="UnresolvedMention">
    <w:name w:val="Unresolved Mention"/>
    <w:basedOn w:val="DefaultParagraphFont"/>
    <w:uiPriority w:val="99"/>
    <w:semiHidden/>
    <w:unhideWhenUsed/>
    <w:rsid w:val="007D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6501">
      <w:bodyDiv w:val="1"/>
      <w:marLeft w:val="0"/>
      <w:marRight w:val="0"/>
      <w:marTop w:val="0"/>
      <w:marBottom w:val="0"/>
      <w:divBdr>
        <w:top w:val="none" w:sz="0" w:space="0" w:color="auto"/>
        <w:left w:val="none" w:sz="0" w:space="0" w:color="auto"/>
        <w:bottom w:val="none" w:sz="0" w:space="0" w:color="auto"/>
        <w:right w:val="none" w:sz="0" w:space="0" w:color="auto"/>
      </w:divBdr>
    </w:div>
    <w:div w:id="13325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HRC@scu.ed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FJRivera@sc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B0C3B8-82BC-403D-A704-C3CC61B2A928}"/>
</file>

<file path=customXml/itemProps2.xml><?xml version="1.0" encoding="utf-8"?>
<ds:datastoreItem xmlns:ds="http://schemas.openxmlformats.org/officeDocument/2006/customXml" ds:itemID="{7B135870-49B0-4CF2-B946-C7EA24B2D693}"/>
</file>

<file path=customXml/itemProps3.xml><?xml version="1.0" encoding="utf-8"?>
<ds:datastoreItem xmlns:ds="http://schemas.openxmlformats.org/officeDocument/2006/customXml" ds:itemID="{B724DE96-A1E8-432E-8E34-2AA4A316FDD6}"/>
</file>

<file path=docProps/app.xml><?xml version="1.0" encoding="utf-8"?>
<Properties xmlns="http://schemas.openxmlformats.org/officeDocument/2006/extended-properties" xmlns:vt="http://schemas.openxmlformats.org/officeDocument/2006/docPropsVTypes">
  <Template>Normal.dotm</Template>
  <TotalTime>4</TotalTime>
  <Pages>9</Pages>
  <Words>1829</Words>
  <Characters>10871</Characters>
  <Application>Microsoft Office Word</Application>
  <DocSecurity>0</DocSecurity>
  <Lines>178</Lines>
  <Paragraphs>45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Rivera</dc:creator>
  <cp:keywords/>
  <dc:description/>
  <cp:lastModifiedBy>Francisco Rivera</cp:lastModifiedBy>
  <cp:revision>3</cp:revision>
  <dcterms:created xsi:type="dcterms:W3CDTF">2021-06-18T11:40:00Z</dcterms:created>
  <dcterms:modified xsi:type="dcterms:W3CDTF">2021-06-18T11:43:00Z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