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C016116" w:rsidR="00A37510" w:rsidRPr="00575F9C" w:rsidRDefault="00C0354C" w:rsidP="00575F9C">
      <w:pPr>
        <w:pStyle w:val="Normal1"/>
        <w:jc w:val="center"/>
        <w:rPr>
          <w:b/>
        </w:rPr>
      </w:pPr>
      <w:r w:rsidRPr="00575F9C">
        <w:rPr>
          <w:b/>
        </w:rPr>
        <w:t>Submission for the CEDAW Day of General Discussion on the “Rights of Indigenous Women and Girls”</w:t>
      </w:r>
    </w:p>
    <w:p w14:paraId="00000004" w14:textId="77777777" w:rsidR="00A37510" w:rsidRDefault="00A37510" w:rsidP="00E05AC2">
      <w:pPr>
        <w:pStyle w:val="Normal1"/>
        <w:jc w:val="both"/>
      </w:pPr>
    </w:p>
    <w:p w14:paraId="4D214582" w14:textId="77777777" w:rsidR="00D60A96" w:rsidRDefault="00D60A96" w:rsidP="00D60A96">
      <w:pPr>
        <w:pStyle w:val="NormalWeb"/>
        <w:spacing w:before="0" w:beforeAutospacing="0" w:after="0" w:afterAutospacing="0"/>
        <w:jc w:val="both"/>
      </w:pPr>
      <w:r>
        <w:rPr>
          <w:rFonts w:ascii="Arial" w:hAnsi="Arial" w:cs="Arial"/>
          <w:i/>
          <w:iCs/>
          <w:color w:val="000000"/>
          <w:sz w:val="22"/>
          <w:szCs w:val="22"/>
        </w:rPr>
        <w:t xml:space="preserve">The land and forest </w:t>
      </w:r>
      <w:proofErr w:type="gramStart"/>
      <w:r>
        <w:rPr>
          <w:rFonts w:ascii="Arial" w:hAnsi="Arial" w:cs="Arial"/>
          <w:i/>
          <w:iCs/>
          <w:color w:val="000000"/>
          <w:sz w:val="22"/>
          <w:szCs w:val="22"/>
        </w:rPr>
        <w:t>is</w:t>
      </w:r>
      <w:proofErr w:type="gramEnd"/>
      <w:r>
        <w:rPr>
          <w:rFonts w:ascii="Arial" w:hAnsi="Arial" w:cs="Arial"/>
          <w:i/>
          <w:iCs/>
          <w:color w:val="000000"/>
          <w:sz w:val="22"/>
          <w:szCs w:val="22"/>
        </w:rPr>
        <w:t xml:space="preserve"> my mother who gives me life and from whom I get food. Without the forest and land, I would die. My family and I, as well as other people in my house, live from this land and water (KA, Indigenous Papuan woman, </w:t>
      </w:r>
      <w:proofErr w:type="spellStart"/>
      <w:r>
        <w:rPr>
          <w:rFonts w:ascii="Arial" w:hAnsi="Arial" w:cs="Arial"/>
          <w:i/>
          <w:iCs/>
          <w:color w:val="000000"/>
          <w:sz w:val="22"/>
          <w:szCs w:val="22"/>
        </w:rPr>
        <w:t>Kebar</w:t>
      </w:r>
      <w:proofErr w:type="spellEnd"/>
      <w:r>
        <w:rPr>
          <w:rFonts w:ascii="Arial" w:hAnsi="Arial" w:cs="Arial"/>
          <w:i/>
          <w:iCs/>
          <w:color w:val="000000"/>
          <w:sz w:val="22"/>
          <w:szCs w:val="22"/>
        </w:rPr>
        <w:t xml:space="preserve"> Valley, Papua Barat)</w:t>
      </w:r>
    </w:p>
    <w:p w14:paraId="37E4E9D9" w14:textId="5F4B96E1" w:rsidR="00C3779F" w:rsidRPr="00C3779F" w:rsidRDefault="00D60A96" w:rsidP="00D60A96">
      <w:pPr>
        <w:pStyle w:val="Normal1"/>
        <w:jc w:val="both"/>
        <w:rPr>
          <w:b/>
          <w:i/>
        </w:rPr>
      </w:pPr>
      <w:r>
        <w:br/>
      </w:r>
      <w:r w:rsidR="009C0C42">
        <w:rPr>
          <w:b/>
          <w:i/>
        </w:rPr>
        <w:t xml:space="preserve">I. </w:t>
      </w:r>
      <w:r w:rsidR="00C3779F" w:rsidRPr="00C3779F">
        <w:rPr>
          <w:b/>
          <w:i/>
        </w:rPr>
        <w:t>Introduction</w:t>
      </w:r>
    </w:p>
    <w:p w14:paraId="5734A911" w14:textId="77777777" w:rsidR="008D5464" w:rsidRDefault="008D5464" w:rsidP="00E05AC2">
      <w:pPr>
        <w:pStyle w:val="Normal1"/>
        <w:jc w:val="both"/>
      </w:pPr>
    </w:p>
    <w:p w14:paraId="4EA06E60" w14:textId="63D3EA8E" w:rsidR="0083464B" w:rsidRDefault="008D5464" w:rsidP="00B100F9">
      <w:pPr>
        <w:pStyle w:val="Normal1"/>
        <w:numPr>
          <w:ilvl w:val="0"/>
          <w:numId w:val="8"/>
        </w:numPr>
        <w:jc w:val="both"/>
      </w:pPr>
      <w:r>
        <w:t xml:space="preserve">We welcome the initiative by the Committee on the Elimination of Discrimination against Women to draft a new General Recommendation on the rights of indigenous women and girls. </w:t>
      </w:r>
      <w:r w:rsidR="004F54D0">
        <w:t>We note that many organizations, activists, and others have been underscoring the need for such a General Recommendation</w:t>
      </w:r>
      <w:r w:rsidR="0083464B">
        <w:t xml:space="preserve"> for years</w:t>
      </w:r>
      <w:r w:rsidR="004F54D0">
        <w:t xml:space="preserve">, </w:t>
      </w:r>
      <w:proofErr w:type="gramStart"/>
      <w:r w:rsidR="004F54D0">
        <w:t xml:space="preserve">and </w:t>
      </w:r>
      <w:r w:rsidR="001C21B0">
        <w:t>also</w:t>
      </w:r>
      <w:proofErr w:type="gramEnd"/>
      <w:r w:rsidR="001C21B0">
        <w:t xml:space="preserve"> emphasize the need to</w:t>
      </w:r>
      <w:r w:rsidR="0083464B">
        <w:t>,</w:t>
      </w:r>
      <w:r w:rsidR="001C21B0">
        <w:t xml:space="preserve"> </w:t>
      </w:r>
      <w:r w:rsidR="0083464B">
        <w:t xml:space="preserve">and importance of, explicitly addressing the rights of indigenous women and girls under CEDAW. </w:t>
      </w:r>
    </w:p>
    <w:p w14:paraId="5B5ADDF6" w14:textId="77777777" w:rsidR="004F54D0" w:rsidRDefault="004F54D0" w:rsidP="00E05AC2">
      <w:pPr>
        <w:pStyle w:val="Normal1"/>
        <w:jc w:val="both"/>
      </w:pPr>
    </w:p>
    <w:p w14:paraId="64DEEE4D" w14:textId="411D70AB" w:rsidR="0083464B" w:rsidRDefault="0083464B" w:rsidP="00B100F9">
      <w:pPr>
        <w:pStyle w:val="Normal1"/>
        <w:numPr>
          <w:ilvl w:val="0"/>
          <w:numId w:val="8"/>
        </w:numPr>
        <w:jc w:val="both"/>
      </w:pPr>
      <w:r>
        <w:t>This submission</w:t>
      </w:r>
      <w:r w:rsidR="00E70F04">
        <w:rPr>
          <w:rStyle w:val="FootnoteReference"/>
        </w:rPr>
        <w:footnoteReference w:id="2"/>
      </w:r>
      <w:r>
        <w:t xml:space="preserve"> aims to suggest relevant language</w:t>
      </w:r>
      <w:r w:rsidR="001C21B0">
        <w:t xml:space="preserve"> for the General Recommendation</w:t>
      </w:r>
      <w:r>
        <w:t xml:space="preserve"> drawn from the experiences of and context faced by indigenous women and girls in West Papua,</w:t>
      </w:r>
      <w:r w:rsidR="00D214F8">
        <w:rPr>
          <w:rStyle w:val="FootnoteReference"/>
        </w:rPr>
        <w:footnoteReference w:id="3"/>
      </w:r>
      <w:r>
        <w:t xml:space="preserve"> Indonesia. It is prepared by Franciscans International</w:t>
      </w:r>
      <w:r w:rsidR="006E2D09">
        <w:t xml:space="preserve">, </w:t>
      </w:r>
      <w:r w:rsidR="00B20612">
        <w:t>Asia Justice and Rights (AJAR)</w:t>
      </w:r>
      <w:r w:rsidR="00C46023">
        <w:t>, Justice, Peace</w:t>
      </w:r>
      <w:r w:rsidR="1CD0A4D0">
        <w:t>,</w:t>
      </w:r>
      <w:r w:rsidR="00C46023">
        <w:t xml:space="preserve"> and Integrity of Creation of Franciscans in Papua (JPIC Franciscans Papua</w:t>
      </w:r>
      <w:r w:rsidR="3CCAD20B">
        <w:t>)</w:t>
      </w:r>
      <w:r w:rsidR="00B51D14">
        <w:t xml:space="preserve">, </w:t>
      </w:r>
      <w:r w:rsidR="005021A8" w:rsidRPr="005021A8">
        <w:t xml:space="preserve">Justice, </w:t>
      </w:r>
      <w:proofErr w:type="gramStart"/>
      <w:r w:rsidR="005021A8" w:rsidRPr="005021A8">
        <w:t>Peace</w:t>
      </w:r>
      <w:proofErr w:type="gramEnd"/>
      <w:r w:rsidR="005021A8" w:rsidRPr="005021A8">
        <w:t xml:space="preserve"> and Integrity of Creation Synod GKI in Tanah Papua (JPIC GKI in Tanah Papua)</w:t>
      </w:r>
      <w:r w:rsidR="005021A8">
        <w:t xml:space="preserve"> and </w:t>
      </w:r>
      <w:proofErr w:type="spellStart"/>
      <w:r w:rsidR="005021A8">
        <w:t>Pusaka</w:t>
      </w:r>
      <w:proofErr w:type="spellEnd"/>
      <w:r w:rsidR="005021A8">
        <w:t xml:space="preserve"> Foundation</w:t>
      </w:r>
      <w:r w:rsidR="6C2D8CF9">
        <w:t>.</w:t>
      </w:r>
    </w:p>
    <w:p w14:paraId="00000008" w14:textId="77777777" w:rsidR="00A37510" w:rsidRDefault="00A37510" w:rsidP="00E05AC2">
      <w:pPr>
        <w:pStyle w:val="Normal1"/>
        <w:jc w:val="both"/>
      </w:pPr>
    </w:p>
    <w:p w14:paraId="2F07635C" w14:textId="20311146" w:rsidR="001C21B0" w:rsidRPr="00B100F9" w:rsidRDefault="009C0C42" w:rsidP="00B100F9">
      <w:pPr>
        <w:pStyle w:val="Normal1"/>
        <w:jc w:val="both"/>
        <w:rPr>
          <w:b/>
          <w:i/>
        </w:rPr>
      </w:pPr>
      <w:r>
        <w:rPr>
          <w:b/>
          <w:i/>
        </w:rPr>
        <w:t xml:space="preserve">II. </w:t>
      </w:r>
      <w:r w:rsidR="003D3C0A" w:rsidRPr="00B100F9">
        <w:rPr>
          <w:b/>
          <w:i/>
        </w:rPr>
        <w:t>Recognition as Indigenous</w:t>
      </w:r>
    </w:p>
    <w:p w14:paraId="497B983D" w14:textId="77777777" w:rsidR="001C21B0" w:rsidRPr="001C21B0" w:rsidRDefault="001C21B0" w:rsidP="00E05AC2">
      <w:pPr>
        <w:pStyle w:val="Normal1"/>
        <w:jc w:val="both"/>
      </w:pPr>
    </w:p>
    <w:p w14:paraId="4EB7E94B" w14:textId="5C8FAE0E" w:rsidR="00914659" w:rsidRPr="007E20D5" w:rsidRDefault="3A4C4DB3" w:rsidP="0BFA7823">
      <w:pPr>
        <w:pStyle w:val="Normal1"/>
        <w:numPr>
          <w:ilvl w:val="0"/>
          <w:numId w:val="8"/>
        </w:numPr>
        <w:jc w:val="both"/>
        <w:rPr>
          <w:i/>
          <w:iCs/>
        </w:rPr>
      </w:pPr>
      <w:r>
        <w:t>Indonesia’s Constitution recognizes “traditional communities along with their traditional customary rights</w:t>
      </w:r>
      <w:r w:rsidR="7F3D0387">
        <w:t>”</w:t>
      </w:r>
      <w:r w:rsidR="3B8AE9D4">
        <w:t>;</w:t>
      </w:r>
      <w:r w:rsidR="2F7D2C66" w:rsidRPr="00922111">
        <w:rPr>
          <w:rStyle w:val="FootnoteReference"/>
        </w:rPr>
        <w:t xml:space="preserve"> </w:t>
      </w:r>
      <w:r w:rsidR="00922111">
        <w:rPr>
          <w:rStyle w:val="FootnoteReference"/>
        </w:rPr>
        <w:footnoteReference w:id="4"/>
      </w:r>
      <w:r w:rsidR="2F7D2C66">
        <w:t xml:space="preserve">  </w:t>
      </w:r>
      <w:r w:rsidR="45E12F96">
        <w:t>the State</w:t>
      </w:r>
      <w:r w:rsidR="71BAAD73">
        <w:t xml:space="preserve"> has also passed several laws and regulations which seek to further protect land and other rights of indigenous peoples.</w:t>
      </w:r>
      <w:r w:rsidR="448BA4CA">
        <w:t xml:space="preserve"> </w:t>
      </w:r>
      <w:r w:rsidR="65BD5F85">
        <w:t xml:space="preserve">Therefore, </w:t>
      </w:r>
      <w:r w:rsidR="65BD5F85" w:rsidRPr="0030593B">
        <w:t xml:space="preserve">Indonesia upholds the constitutional mandate of the rights of </w:t>
      </w:r>
      <w:r w:rsidR="02612C55">
        <w:t xml:space="preserve">the </w:t>
      </w:r>
      <w:r w:rsidR="65BD5F85" w:rsidRPr="0030593B">
        <w:t>Indonesia</w:t>
      </w:r>
      <w:r w:rsidR="02612C55">
        <w:t>n</w:t>
      </w:r>
      <w:r w:rsidR="65BD5F85" w:rsidRPr="0030593B">
        <w:t xml:space="preserve"> “Masyarakat Hukum </w:t>
      </w:r>
      <w:proofErr w:type="spellStart"/>
      <w:r w:rsidR="65BD5F85" w:rsidRPr="0030593B">
        <w:t>Adat</w:t>
      </w:r>
      <w:proofErr w:type="spellEnd"/>
      <w:r w:rsidR="65BD5F85" w:rsidRPr="0030593B">
        <w:t>” (MHA) or “</w:t>
      </w:r>
      <w:proofErr w:type="spellStart"/>
      <w:r w:rsidR="65BD5F85" w:rsidRPr="0030593B">
        <w:t>adat</w:t>
      </w:r>
      <w:proofErr w:type="spellEnd"/>
      <w:r w:rsidR="65BD5F85" w:rsidRPr="0030593B">
        <w:t xml:space="preserve"> community.”</w:t>
      </w:r>
      <w:r w:rsidR="009D48F7">
        <w:rPr>
          <w:rStyle w:val="FootnoteReference"/>
        </w:rPr>
        <w:footnoteReference w:id="5"/>
      </w:r>
      <w:r w:rsidR="0BF72FD7">
        <w:t xml:space="preserve"> </w:t>
      </w:r>
      <w:r w:rsidR="448BA4CA">
        <w:t xml:space="preserve">In practice, </w:t>
      </w:r>
      <w:r w:rsidR="0BF72FD7" w:rsidRPr="007433E6">
        <w:t xml:space="preserve">the government </w:t>
      </w:r>
      <w:r w:rsidR="1E75CD08" w:rsidRPr="007433E6">
        <w:t>does</w:t>
      </w:r>
      <w:r w:rsidR="0BF72FD7" w:rsidRPr="007433E6">
        <w:t xml:space="preserve"> not recognize the existence of “indigenous people”</w:t>
      </w:r>
      <w:r w:rsidR="00E87438">
        <w:t xml:space="preserve"> as </w:t>
      </w:r>
      <w:r w:rsidR="07F06C2D">
        <w:t xml:space="preserve">defined </w:t>
      </w:r>
      <w:r w:rsidR="002125A6">
        <w:t xml:space="preserve">in the UN Declaration of the </w:t>
      </w:r>
      <w:r w:rsidR="00371CC7">
        <w:t>Rights of Indigenous Peoples (UNDRIP)</w:t>
      </w:r>
      <w:r w:rsidR="009503A3">
        <w:t>.</w:t>
      </w:r>
      <w:r w:rsidR="7E5D9589">
        <w:t xml:space="preserve"> </w:t>
      </w:r>
      <w:r w:rsidR="7BFC9050">
        <w:t>Therefore, indigenous</w:t>
      </w:r>
      <w:r w:rsidR="448BA4CA">
        <w:t xml:space="preserve"> peoples often cannot seek protection under the law due to not </w:t>
      </w:r>
      <w:r w:rsidR="3CDF9CF9">
        <w:t>be</w:t>
      </w:r>
      <w:r w:rsidR="57F570F2">
        <w:t>ing</w:t>
      </w:r>
      <w:r w:rsidR="448BA4CA">
        <w:t xml:space="preserve"> recognized as </w:t>
      </w:r>
      <w:r w:rsidR="0A83B760">
        <w:t>indigenous; self-identification as indigenous requires legal approval</w:t>
      </w:r>
      <w:r w:rsidR="409BBCB2">
        <w:t xml:space="preserve"> through local </w:t>
      </w:r>
      <w:r w:rsidR="49540DDC">
        <w:t>regulations</w:t>
      </w:r>
      <w:r w:rsidR="0A83B760">
        <w:t xml:space="preserve">. </w:t>
      </w:r>
      <w:r w:rsidR="4A0E7BA7">
        <w:t xml:space="preserve"> </w:t>
      </w:r>
    </w:p>
    <w:p w14:paraId="5422C31F" w14:textId="4861B2F8" w:rsidR="53F2826C" w:rsidRDefault="53F2826C" w:rsidP="53F2826C">
      <w:pPr>
        <w:pStyle w:val="Normal1"/>
        <w:jc w:val="both"/>
      </w:pPr>
    </w:p>
    <w:p w14:paraId="351BD989" w14:textId="03D1402A" w:rsidR="00914659" w:rsidRPr="00583A01" w:rsidRDefault="00B56375" w:rsidP="00626E11">
      <w:pPr>
        <w:pStyle w:val="Normal1"/>
        <w:numPr>
          <w:ilvl w:val="0"/>
          <w:numId w:val="8"/>
        </w:numPr>
        <w:jc w:val="both"/>
      </w:pPr>
      <w:r w:rsidRPr="00583A01">
        <w:rPr>
          <w:color w:val="000000"/>
        </w:rPr>
        <w:lastRenderedPageBreak/>
        <w:t xml:space="preserve">For the case of Papua, the </w:t>
      </w:r>
      <w:r w:rsidR="1603322A" w:rsidRPr="00583A01">
        <w:rPr>
          <w:color w:val="000000"/>
        </w:rPr>
        <w:t xml:space="preserve">Special Autonomy Law for Papua No. </w:t>
      </w:r>
      <w:r w:rsidR="00314855" w:rsidRPr="00583A01">
        <w:rPr>
          <w:color w:val="000000"/>
        </w:rPr>
        <w:t>21/2001</w:t>
      </w:r>
      <w:r w:rsidR="00314855">
        <w:rPr>
          <w:rStyle w:val="FootnoteReference"/>
          <w:color w:val="000000"/>
        </w:rPr>
        <w:footnoteReference w:id="6"/>
      </w:r>
      <w:r w:rsidR="00314855" w:rsidRPr="00583A01">
        <w:rPr>
          <w:color w:val="000000"/>
        </w:rPr>
        <w:t xml:space="preserve"> recognizes</w:t>
      </w:r>
      <w:r w:rsidR="00BB1CA6" w:rsidRPr="00583A01">
        <w:rPr>
          <w:color w:val="000000"/>
        </w:rPr>
        <w:t xml:space="preserve"> the Melanesian</w:t>
      </w:r>
      <w:r w:rsidR="00314855" w:rsidRPr="00583A01">
        <w:rPr>
          <w:color w:val="000000"/>
        </w:rPr>
        <w:t xml:space="preserve"> Papua</w:t>
      </w:r>
      <w:r w:rsidR="00BB1CA6" w:rsidRPr="00583A01">
        <w:rPr>
          <w:color w:val="000000"/>
        </w:rPr>
        <w:t>n</w:t>
      </w:r>
      <w:r w:rsidR="00712C56" w:rsidRPr="00583A01">
        <w:rPr>
          <w:color w:val="000000"/>
        </w:rPr>
        <w:t>s</w:t>
      </w:r>
      <w:r w:rsidR="00BB1CA6" w:rsidRPr="00583A01">
        <w:rPr>
          <w:color w:val="000000"/>
        </w:rPr>
        <w:t xml:space="preserve"> as “</w:t>
      </w:r>
      <w:r w:rsidR="1603322A" w:rsidRPr="00583A01">
        <w:rPr>
          <w:color w:val="000000"/>
        </w:rPr>
        <w:t>native</w:t>
      </w:r>
      <w:r w:rsidR="0338E9E1" w:rsidRPr="00583A01">
        <w:rPr>
          <w:color w:val="000000"/>
        </w:rPr>
        <w:t>s</w:t>
      </w:r>
      <w:r w:rsidR="00BB1CA6" w:rsidRPr="00583A01">
        <w:rPr>
          <w:color w:val="000000"/>
        </w:rPr>
        <w:t>” to Papua</w:t>
      </w:r>
      <w:r w:rsidR="005B15DE" w:rsidRPr="00583A01">
        <w:rPr>
          <w:color w:val="000000"/>
        </w:rPr>
        <w:t>.</w:t>
      </w:r>
      <w:r w:rsidR="00314855">
        <w:rPr>
          <w:rStyle w:val="FootnoteReference"/>
          <w:color w:val="000000"/>
        </w:rPr>
        <w:footnoteReference w:id="7"/>
      </w:r>
      <w:r w:rsidR="00314855" w:rsidRPr="00583A01">
        <w:rPr>
          <w:color w:val="000000"/>
        </w:rPr>
        <w:t xml:space="preserve"> </w:t>
      </w:r>
      <w:r w:rsidR="005B15DE" w:rsidRPr="00583A01">
        <w:rPr>
          <w:color w:val="000000"/>
        </w:rPr>
        <w:t xml:space="preserve">It also has a provision for </w:t>
      </w:r>
      <w:r w:rsidR="00314855" w:rsidRPr="00583A01">
        <w:rPr>
          <w:color w:val="000000"/>
        </w:rPr>
        <w:t xml:space="preserve">the establishment of Papua People’s Assembly as </w:t>
      </w:r>
      <w:r w:rsidR="00FC76BA" w:rsidRPr="00583A01">
        <w:rPr>
          <w:color w:val="000000"/>
        </w:rPr>
        <w:t xml:space="preserve">a </w:t>
      </w:r>
      <w:r w:rsidR="139EBED8" w:rsidRPr="00583A01">
        <w:rPr>
          <w:color w:val="000000"/>
        </w:rPr>
        <w:t>representative body</w:t>
      </w:r>
      <w:r w:rsidR="00FC76BA" w:rsidRPr="00583A01">
        <w:rPr>
          <w:color w:val="000000"/>
        </w:rPr>
        <w:t xml:space="preserve"> of </w:t>
      </w:r>
      <w:r w:rsidR="00314855" w:rsidRPr="00583A01">
        <w:rPr>
          <w:color w:val="000000"/>
        </w:rPr>
        <w:t xml:space="preserve">Papua </w:t>
      </w:r>
      <w:r w:rsidR="7BFC9050" w:rsidRPr="00583A01">
        <w:rPr>
          <w:color w:val="000000"/>
        </w:rPr>
        <w:t>natives</w:t>
      </w:r>
      <w:r w:rsidR="00FC76BA" w:rsidRPr="00583A01">
        <w:rPr>
          <w:color w:val="000000"/>
        </w:rPr>
        <w:t>. T</w:t>
      </w:r>
      <w:r w:rsidR="00B3216C" w:rsidRPr="00583A01">
        <w:rPr>
          <w:color w:val="000000"/>
        </w:rPr>
        <w:t xml:space="preserve">he Law also </w:t>
      </w:r>
      <w:r w:rsidR="00314855" w:rsidRPr="00583A01">
        <w:rPr>
          <w:color w:val="000000"/>
        </w:rPr>
        <w:t xml:space="preserve">regulates the protection of </w:t>
      </w:r>
      <w:r w:rsidR="009355F9" w:rsidRPr="00583A01">
        <w:rPr>
          <w:color w:val="000000"/>
        </w:rPr>
        <w:t>rights of the Papuan natives</w:t>
      </w:r>
      <w:r w:rsidR="00314855" w:rsidRPr="00583A01">
        <w:rPr>
          <w:color w:val="000000"/>
        </w:rPr>
        <w:t>.</w:t>
      </w:r>
      <w:r w:rsidR="00314855">
        <w:rPr>
          <w:rStyle w:val="FootnoteReference"/>
          <w:color w:val="000000"/>
        </w:rPr>
        <w:footnoteReference w:id="8"/>
      </w:r>
      <w:r w:rsidR="00314855" w:rsidRPr="00583A01">
        <w:rPr>
          <w:color w:val="000000"/>
        </w:rPr>
        <w:t xml:space="preserve"> </w:t>
      </w:r>
    </w:p>
    <w:p w14:paraId="72AD1AB9" w14:textId="77777777" w:rsidR="00583A01" w:rsidRDefault="00583A01" w:rsidP="00583A01">
      <w:pPr>
        <w:pStyle w:val="Normal1"/>
        <w:jc w:val="both"/>
      </w:pPr>
    </w:p>
    <w:p w14:paraId="05264F16" w14:textId="26972A5F" w:rsidR="003E109C" w:rsidRDefault="07D2D28F" w:rsidP="00263A36">
      <w:pPr>
        <w:pStyle w:val="Normal1"/>
        <w:numPr>
          <w:ilvl w:val="0"/>
          <w:numId w:val="8"/>
        </w:numPr>
        <w:jc w:val="both"/>
      </w:pPr>
      <w:r>
        <w:t>In</w:t>
      </w:r>
      <w:r w:rsidR="074C4C56">
        <w:t xml:space="preserve"> 20</w:t>
      </w:r>
      <w:r w:rsidR="774120DA">
        <w:t xml:space="preserve">12, the Indonesian Constitutional Court </w:t>
      </w:r>
      <w:r w:rsidR="6C663EF9">
        <w:t xml:space="preserve">ruled </w:t>
      </w:r>
      <w:r>
        <w:t xml:space="preserve">that the recognition of the </w:t>
      </w:r>
      <w:proofErr w:type="spellStart"/>
      <w:r w:rsidRPr="426148F3">
        <w:rPr>
          <w:i/>
          <w:iCs/>
        </w:rPr>
        <w:t>adat</w:t>
      </w:r>
      <w:proofErr w:type="spellEnd"/>
      <w:r w:rsidRPr="426148F3">
        <w:rPr>
          <w:i/>
          <w:iCs/>
        </w:rPr>
        <w:t xml:space="preserve"> law</w:t>
      </w:r>
      <w:r w:rsidR="79AE00ED">
        <w:t xml:space="preserve"> </w:t>
      </w:r>
      <w:r>
        <w:t xml:space="preserve">communities is to be done through local regulations </w:t>
      </w:r>
      <w:r w:rsidR="007C6E02">
        <w:t>as</w:t>
      </w:r>
      <w:r>
        <w:t xml:space="preserve"> </w:t>
      </w:r>
      <w:r w:rsidR="0123D0D9">
        <w:t xml:space="preserve">the </w:t>
      </w:r>
      <w:r>
        <w:t xml:space="preserve">bill </w:t>
      </w:r>
      <w:r w:rsidR="004C551D">
        <w:t>proposed at the national level has not been ratified</w:t>
      </w:r>
      <w:r w:rsidR="0333BCF8">
        <w:t>.</w:t>
      </w:r>
      <w:r w:rsidR="00C23F93">
        <w:rPr>
          <w:rStyle w:val="FootnoteReference"/>
        </w:rPr>
        <w:footnoteReference w:id="9"/>
      </w:r>
      <w:r w:rsidR="0333BCF8">
        <w:t xml:space="preserve"> </w:t>
      </w:r>
      <w:r w:rsidR="5EBFBCD3">
        <w:t xml:space="preserve">This issue was previously noted by the Committee on Economic, Social and Cultural Rights in relation to the </w:t>
      </w:r>
      <w:r w:rsidR="5EBFBCD3" w:rsidRPr="00263A36">
        <w:rPr>
          <w:lang w:val="en-GB"/>
        </w:rPr>
        <w:t xml:space="preserve">rights of </w:t>
      </w:r>
      <w:r w:rsidR="5EBFBCD3" w:rsidRPr="426148F3">
        <w:rPr>
          <w:i/>
          <w:iCs/>
          <w:lang w:val="en-GB"/>
        </w:rPr>
        <w:t xml:space="preserve">Masyarakat Hukum </w:t>
      </w:r>
      <w:proofErr w:type="spellStart"/>
      <w:r w:rsidR="5EBFBCD3" w:rsidRPr="426148F3">
        <w:rPr>
          <w:i/>
          <w:iCs/>
          <w:lang w:val="en-GB"/>
        </w:rPr>
        <w:t>Adat</w:t>
      </w:r>
      <w:proofErr w:type="spellEnd"/>
      <w:r w:rsidR="2F91CEAF" w:rsidRPr="426148F3">
        <w:rPr>
          <w:i/>
          <w:iCs/>
          <w:lang w:val="en-GB"/>
        </w:rPr>
        <w:t>,</w:t>
      </w:r>
      <w:r w:rsidR="00CB036D" w:rsidRPr="426148F3">
        <w:rPr>
          <w:rStyle w:val="FootnoteReference"/>
          <w:i/>
          <w:iCs/>
          <w:lang w:val="en-GB"/>
        </w:rPr>
        <w:footnoteReference w:id="10"/>
      </w:r>
      <w:r w:rsidR="2F91CEAF" w:rsidRPr="426148F3">
        <w:rPr>
          <w:i/>
          <w:iCs/>
          <w:lang w:val="en-GB"/>
        </w:rPr>
        <w:t xml:space="preserve"> </w:t>
      </w:r>
      <w:r w:rsidR="2F91CEAF" w:rsidRPr="426148F3">
        <w:rPr>
          <w:lang w:val="en-GB"/>
        </w:rPr>
        <w:t xml:space="preserve">with the Committee recommending that Indonesia harmonize its laws and ratify the </w:t>
      </w:r>
      <w:r w:rsidR="51C95E40">
        <w:t>ILO’s Indigenous and Tribal Peoples Convention (No. 169)</w:t>
      </w:r>
      <w:r w:rsidR="2F91CEAF">
        <w:t>.</w:t>
      </w:r>
      <w:r w:rsidR="24A8AC95">
        <w:t xml:space="preserve"> </w:t>
      </w:r>
    </w:p>
    <w:p w14:paraId="1FE96670" w14:textId="77777777" w:rsidR="00091145" w:rsidRDefault="00091145" w:rsidP="003D1E68">
      <w:pPr>
        <w:pStyle w:val="Normal1"/>
        <w:jc w:val="both"/>
      </w:pPr>
    </w:p>
    <w:p w14:paraId="2B7B72D6" w14:textId="524A746D" w:rsidR="00BA65A8" w:rsidRPr="003A52DD" w:rsidRDefault="0EB2774C" w:rsidP="00BA65A8">
      <w:pPr>
        <w:pStyle w:val="Normal1"/>
        <w:numPr>
          <w:ilvl w:val="0"/>
          <w:numId w:val="8"/>
        </w:numPr>
        <w:jc w:val="both"/>
      </w:pPr>
      <w:r>
        <w:t>In its letter</w:t>
      </w:r>
      <w:r w:rsidR="00887FAD">
        <w:rPr>
          <w:rStyle w:val="FootnoteReference"/>
        </w:rPr>
        <w:footnoteReference w:id="11"/>
      </w:r>
      <w:r>
        <w:t xml:space="preserve">  to the Government of Indonesia, t</w:t>
      </w:r>
      <w:r w:rsidR="24A8AC95">
        <w:t xml:space="preserve">he Committee on the Elimination of Racial Discrimination </w:t>
      </w:r>
      <w:r w:rsidR="4318F281">
        <w:t>expressed its concern</w:t>
      </w:r>
      <w:r w:rsidR="6535A3B0">
        <w:t xml:space="preserve">s that allegedly </w:t>
      </w:r>
      <w:r w:rsidR="0E32D69C">
        <w:t xml:space="preserve">very few </w:t>
      </w:r>
      <w:r w:rsidR="15A39535">
        <w:t xml:space="preserve">indigenous peoples have </w:t>
      </w:r>
      <w:r w:rsidR="538907E3">
        <w:t xml:space="preserve">gained official </w:t>
      </w:r>
      <w:r w:rsidR="7D6AE13B">
        <w:t>state recognition. Therefore, the Committee asked the Government of Indonesia</w:t>
      </w:r>
      <w:r w:rsidR="3CB8DC5E">
        <w:t xml:space="preserve"> to provide information on </w:t>
      </w:r>
      <w:r w:rsidR="21CDE5E4">
        <w:t xml:space="preserve">the </w:t>
      </w:r>
      <w:r w:rsidR="166741A6">
        <w:t>safeguard</w:t>
      </w:r>
      <w:r w:rsidR="2A794000">
        <w:t>s</w:t>
      </w:r>
      <w:r w:rsidR="58FDE34A">
        <w:t xml:space="preserve"> adopted </w:t>
      </w:r>
      <w:proofErr w:type="gramStart"/>
      <w:r w:rsidR="00066816">
        <w:t>in regard to</w:t>
      </w:r>
      <w:proofErr w:type="gramEnd"/>
      <w:r w:rsidR="2579C919">
        <w:t xml:space="preserve"> self-identification in the determination of indigenous peoples. </w:t>
      </w:r>
      <w:r w:rsidR="70857A09">
        <w:t xml:space="preserve"> </w:t>
      </w:r>
    </w:p>
    <w:p w14:paraId="7AB9B1CF" w14:textId="36828D56" w:rsidR="00765A38" w:rsidRDefault="00765A38" w:rsidP="009C6DEF">
      <w:pPr>
        <w:pStyle w:val="Normal1"/>
        <w:jc w:val="both"/>
      </w:pPr>
    </w:p>
    <w:p w14:paraId="2EF1AD07" w14:textId="5E4E0C5C" w:rsidR="004A31AF" w:rsidRDefault="00765A38" w:rsidP="00044BBC">
      <w:pPr>
        <w:pStyle w:val="Normal1"/>
        <w:numPr>
          <w:ilvl w:val="0"/>
          <w:numId w:val="8"/>
        </w:numPr>
        <w:jc w:val="both"/>
      </w:pPr>
      <w:r>
        <w:t>Importantly, th</w:t>
      </w:r>
      <w:r w:rsidR="2C8BB888">
        <w:t xml:space="preserve">e Indigenous and Tribal Peoples </w:t>
      </w:r>
      <w:r>
        <w:t xml:space="preserve">Convention </w:t>
      </w:r>
      <w:r w:rsidR="537C468C">
        <w:t>recognize</w:t>
      </w:r>
      <w:r w:rsidR="36F805B1">
        <w:t>s</w:t>
      </w:r>
      <w:r w:rsidR="00937EF4">
        <w:t xml:space="preserve"> self-identification as a “fundamental crite</w:t>
      </w:r>
      <w:r>
        <w:t>rion” in its application</w:t>
      </w:r>
      <w:r w:rsidR="00937EF4">
        <w:t>.</w:t>
      </w:r>
      <w:r w:rsidR="00937EF4">
        <w:rPr>
          <w:rStyle w:val="FootnoteReference"/>
        </w:rPr>
        <w:footnoteReference w:id="12"/>
      </w:r>
      <w:r w:rsidR="003208B7">
        <w:t xml:space="preserve"> </w:t>
      </w:r>
      <w:r w:rsidR="004A31AF">
        <w:t xml:space="preserve">In its General Recommendation VIII, the Committee on the </w:t>
      </w:r>
      <w:r w:rsidR="00474F01">
        <w:t>Elimination</w:t>
      </w:r>
      <w:r w:rsidR="004A31AF">
        <w:t xml:space="preserve"> of Racial Discrimination </w:t>
      </w:r>
      <w:r w:rsidR="00CA1ABB">
        <w:t xml:space="preserve">also </w:t>
      </w:r>
      <w:r w:rsidR="004A31AF" w:rsidRPr="004A31AF">
        <w:t>affirmed</w:t>
      </w:r>
      <w:r w:rsidR="004A31AF">
        <w:t xml:space="preserve"> that individuals can self-identify “as being members of a particular racial or ethnic group or groups…if no justification exists to the contrary.”</w:t>
      </w:r>
      <w:r w:rsidR="004A31AF">
        <w:rPr>
          <w:rStyle w:val="FootnoteReference"/>
        </w:rPr>
        <w:footnoteReference w:id="13"/>
      </w:r>
      <w:r w:rsidR="009C36DA">
        <w:t xml:space="preserve"> The UN Declaration on the Rights of Indigenous Peoples (UNDRIP) also holds </w:t>
      </w:r>
      <w:r w:rsidR="009C36DA">
        <w:lastRenderedPageBreak/>
        <w:t>“Indigenous peoples have the right to determine their own identity or membership in accordance with their customs and traditions.”</w:t>
      </w:r>
      <w:r w:rsidR="009C36DA">
        <w:rPr>
          <w:rStyle w:val="FootnoteReference"/>
        </w:rPr>
        <w:footnoteReference w:id="14"/>
      </w:r>
      <w:r w:rsidR="009C36DA">
        <w:t xml:space="preserve"> </w:t>
      </w:r>
    </w:p>
    <w:p w14:paraId="6E90F8EB" w14:textId="77777777" w:rsidR="00922111" w:rsidRDefault="00922111" w:rsidP="00044BBC">
      <w:pPr>
        <w:pStyle w:val="Normal1"/>
        <w:jc w:val="both"/>
      </w:pPr>
    </w:p>
    <w:p w14:paraId="29850753" w14:textId="7505C362" w:rsidR="00F902D4" w:rsidRDefault="00451F8C" w:rsidP="00044BBC">
      <w:pPr>
        <w:pStyle w:val="Normal1"/>
        <w:numPr>
          <w:ilvl w:val="0"/>
          <w:numId w:val="8"/>
        </w:numPr>
        <w:jc w:val="both"/>
      </w:pPr>
      <w:r>
        <w:t>W</w:t>
      </w:r>
      <w:r w:rsidR="009C36DA">
        <w:t xml:space="preserve">hile </w:t>
      </w:r>
      <w:r>
        <w:t xml:space="preserve">Indonesia </w:t>
      </w:r>
      <w:r w:rsidR="009C36DA">
        <w:t>voted in favor of the UNDRIP, it argues that the declaration is not applicable</w:t>
      </w:r>
      <w:r w:rsidR="00771333">
        <w:t xml:space="preserve"> within the State.</w:t>
      </w:r>
      <w:r w:rsidR="002E019F">
        <w:rPr>
          <w:rStyle w:val="FootnoteReference"/>
        </w:rPr>
        <w:footnoteReference w:id="15"/>
      </w:r>
      <w:r w:rsidR="009C36DA">
        <w:t xml:space="preserve"> </w:t>
      </w:r>
      <w:r w:rsidR="00765A38">
        <w:t>Given that there is no</w:t>
      </w:r>
      <w:r w:rsidR="1395A831">
        <w:t xml:space="preserve"> </w:t>
      </w:r>
      <w:r w:rsidR="0BBABC0D">
        <w:t>universally</w:t>
      </w:r>
      <w:r w:rsidR="00765A38">
        <w:t xml:space="preserve"> agreed upon definition for indigenous people, and the </w:t>
      </w:r>
      <w:r w:rsidR="00E05AC2">
        <w:t xml:space="preserve">widely held recognition of </w:t>
      </w:r>
      <w:r w:rsidR="62ACB15B">
        <w:t xml:space="preserve">the </w:t>
      </w:r>
      <w:r w:rsidR="00765A38">
        <w:t xml:space="preserve">importance of self-identification, Indonesian law and practices should not over encumber </w:t>
      </w:r>
      <w:r w:rsidR="00E05AC2">
        <w:t xml:space="preserve">indigenous peoples in </w:t>
      </w:r>
      <w:r w:rsidR="00474F01">
        <w:t>bureaucratic</w:t>
      </w:r>
      <w:r w:rsidR="00E05AC2">
        <w:t xml:space="preserve"> processes for recognition and the protection of their rights.</w:t>
      </w:r>
    </w:p>
    <w:p w14:paraId="0E53F76F" w14:textId="77777777" w:rsidR="001C21B0" w:rsidRPr="001C21B0" w:rsidRDefault="001C21B0" w:rsidP="00044BBC">
      <w:pPr>
        <w:pStyle w:val="Normal1"/>
        <w:jc w:val="both"/>
        <w:rPr>
          <w:i/>
        </w:rPr>
      </w:pPr>
    </w:p>
    <w:p w14:paraId="0000000C" w14:textId="7C5CCDE6" w:rsidR="00A37510" w:rsidRPr="009C0C42" w:rsidRDefault="00072025" w:rsidP="00044BBC">
      <w:pPr>
        <w:pStyle w:val="Normal1"/>
        <w:ind w:left="720"/>
        <w:jc w:val="both"/>
        <w:rPr>
          <w:b/>
          <w:bCs/>
          <w:i/>
        </w:rPr>
      </w:pPr>
      <w:r w:rsidRPr="009C0C42">
        <w:rPr>
          <w:b/>
          <w:bCs/>
          <w:i/>
        </w:rPr>
        <w:t xml:space="preserve">The General Recommendation should affirm the principle of self-identification and encourage States to ensure that processes and procedures which allow for groups to be identified as indigenous are not overly burdensome, </w:t>
      </w:r>
      <w:r w:rsidR="00094D16" w:rsidRPr="009C0C42">
        <w:rPr>
          <w:b/>
          <w:bCs/>
          <w:i/>
        </w:rPr>
        <w:t>and instead</w:t>
      </w:r>
      <w:r w:rsidRPr="009C0C42">
        <w:rPr>
          <w:b/>
          <w:bCs/>
          <w:i/>
        </w:rPr>
        <w:t xml:space="preserve"> have the aim of fulfilling the rights of indigenous peoples, including women and girls.  </w:t>
      </w:r>
    </w:p>
    <w:p w14:paraId="14BBBD25" w14:textId="77777777" w:rsidR="00AB6849" w:rsidRPr="00B100F9" w:rsidRDefault="00AB6849" w:rsidP="00044BBC">
      <w:pPr>
        <w:pStyle w:val="Normal1"/>
        <w:ind w:left="1440"/>
        <w:jc w:val="both"/>
        <w:rPr>
          <w:b/>
        </w:rPr>
      </w:pPr>
    </w:p>
    <w:p w14:paraId="4C7C773C" w14:textId="2166A719" w:rsidR="00BA22BF" w:rsidRDefault="009C0C42" w:rsidP="00044BBC">
      <w:pPr>
        <w:pStyle w:val="Normal1"/>
        <w:ind w:firstLine="360"/>
        <w:jc w:val="both"/>
      </w:pPr>
      <w:r>
        <w:rPr>
          <w:b/>
          <w:i/>
        </w:rPr>
        <w:t xml:space="preserve">III. </w:t>
      </w:r>
      <w:r w:rsidR="00044BBC">
        <w:rPr>
          <w:b/>
          <w:i/>
        </w:rPr>
        <w:t>State Obligations and Business Responsibilities</w:t>
      </w:r>
    </w:p>
    <w:p w14:paraId="7715AFC8" w14:textId="77777777" w:rsidR="00BA22BF" w:rsidRDefault="00BA22BF" w:rsidP="00044BBC">
      <w:pPr>
        <w:pStyle w:val="Normal1"/>
        <w:ind w:firstLine="360"/>
        <w:jc w:val="both"/>
      </w:pPr>
    </w:p>
    <w:p w14:paraId="16058F88" w14:textId="1B2B38F0" w:rsidR="00BA22BF" w:rsidRDefault="00BA22BF" w:rsidP="00044BBC">
      <w:pPr>
        <w:pStyle w:val="Normal1"/>
        <w:numPr>
          <w:ilvl w:val="0"/>
          <w:numId w:val="8"/>
        </w:numPr>
        <w:jc w:val="both"/>
      </w:pPr>
      <w:r>
        <w:t xml:space="preserve">The Concept Note for the development of a General Recommendation on the rights of indigenous women notes issues related to land rights, including the loss of territory </w:t>
      </w:r>
      <w:proofErr w:type="gramStart"/>
      <w:r>
        <w:t>as a consequence of</w:t>
      </w:r>
      <w:proofErr w:type="gramEnd"/>
      <w:r>
        <w:t xml:space="preserve"> “the execution of mega development projects, extractive industries” amongst other factors. </w:t>
      </w:r>
    </w:p>
    <w:p w14:paraId="16833BB0" w14:textId="77777777" w:rsidR="00822532" w:rsidRDefault="00822532" w:rsidP="00044BBC">
      <w:pPr>
        <w:pStyle w:val="Normal1"/>
        <w:ind w:left="720"/>
        <w:jc w:val="both"/>
      </w:pPr>
    </w:p>
    <w:p w14:paraId="3BC0FC3A" w14:textId="27D63A50" w:rsidR="00822532" w:rsidRDefault="00822532" w:rsidP="00044BBC">
      <w:pPr>
        <w:pStyle w:val="Normal1"/>
        <w:numPr>
          <w:ilvl w:val="0"/>
          <w:numId w:val="8"/>
        </w:numPr>
        <w:jc w:val="both"/>
        <w:rPr>
          <w:lang w:val="en-US"/>
        </w:rPr>
      </w:pPr>
      <w:r>
        <w:t>In</w:t>
      </w:r>
      <w:r w:rsidR="00815AB1">
        <w:t xml:space="preserve"> Indonesia, and </w:t>
      </w:r>
      <w:proofErr w:type="gramStart"/>
      <w:r w:rsidR="00815AB1">
        <w:t>in particular in</w:t>
      </w:r>
      <w:proofErr w:type="gramEnd"/>
      <w:r w:rsidR="00815AB1">
        <w:t xml:space="preserve"> </w:t>
      </w:r>
      <w:r w:rsidR="00777EA3">
        <w:t xml:space="preserve">West </w:t>
      </w:r>
      <w:r w:rsidR="00815AB1">
        <w:t>Papua</w:t>
      </w:r>
      <w:r>
        <w:t xml:space="preserve">, </w:t>
      </w:r>
      <w:r>
        <w:rPr>
          <w:lang w:val="en-US"/>
        </w:rPr>
        <w:t>l</w:t>
      </w:r>
      <w:r w:rsidRPr="00822532">
        <w:rPr>
          <w:lang w:val="en-US"/>
        </w:rPr>
        <w:t>arge scale development projects, especially through the conversion of customary land and forests</w:t>
      </w:r>
      <w:r w:rsidR="001D078F">
        <w:rPr>
          <w:lang w:val="en-US"/>
        </w:rPr>
        <w:t xml:space="preserve"> to palm oil plantation</w:t>
      </w:r>
      <w:r w:rsidRPr="00822532">
        <w:rPr>
          <w:lang w:val="en-US"/>
        </w:rPr>
        <w:t>,</w:t>
      </w:r>
      <w:r w:rsidR="00C07F20">
        <w:rPr>
          <w:rStyle w:val="FootnoteReference"/>
          <w:lang w:val="en-US"/>
        </w:rPr>
        <w:footnoteReference w:id="16"/>
      </w:r>
      <w:r w:rsidRPr="00822532">
        <w:rPr>
          <w:lang w:val="en-US"/>
        </w:rPr>
        <w:t xml:space="preserve"> are among the key causes for the economic marginalization of women. The destruction of forests and hunting grounds as a source of livelihood for indigenous communities puts an additional burden on the lives of affected Papuan women. As a result, indigenous Papuan women have limited access to economic resources. </w:t>
      </w:r>
    </w:p>
    <w:p w14:paraId="75991D46" w14:textId="77777777" w:rsidR="00FF1C96" w:rsidRDefault="00FF1C96" w:rsidP="00C52AC5">
      <w:pPr>
        <w:pStyle w:val="ListParagraph"/>
        <w:rPr>
          <w:rFonts w:eastAsia="Times New Roman"/>
          <w:color w:val="000000"/>
          <w:lang w:eastAsia="en-GB"/>
        </w:rPr>
      </w:pPr>
    </w:p>
    <w:p w14:paraId="014EBD0A" w14:textId="3CC48667" w:rsidR="00082208" w:rsidRPr="00C52AC5" w:rsidRDefault="00082208" w:rsidP="00C52AC5">
      <w:pPr>
        <w:pStyle w:val="Normal1"/>
        <w:numPr>
          <w:ilvl w:val="0"/>
          <w:numId w:val="8"/>
        </w:numPr>
        <w:jc w:val="both"/>
        <w:rPr>
          <w:lang w:val="en-US"/>
        </w:rPr>
      </w:pPr>
      <w:r w:rsidRPr="00C52AC5">
        <w:rPr>
          <w:rFonts w:eastAsia="Times New Roman"/>
          <w:color w:val="000000"/>
          <w:lang w:eastAsia="en-GB"/>
        </w:rPr>
        <w:t xml:space="preserve">Indigenous women are often excluded by companies and </w:t>
      </w:r>
      <w:proofErr w:type="spellStart"/>
      <w:r w:rsidRPr="0BFA7823">
        <w:rPr>
          <w:rFonts w:eastAsia="Times New Roman"/>
          <w:i/>
          <w:color w:val="000000"/>
          <w:lang w:eastAsia="en-GB"/>
        </w:rPr>
        <w:t>adat</w:t>
      </w:r>
      <w:proofErr w:type="spellEnd"/>
      <w:r w:rsidRPr="00C52AC5">
        <w:rPr>
          <w:rFonts w:eastAsia="Times New Roman"/>
          <w:color w:val="000000"/>
          <w:lang w:eastAsia="en-GB"/>
        </w:rPr>
        <w:t xml:space="preserve"> institutions from negotiations and discussions about land deals, denying </w:t>
      </w:r>
      <w:r w:rsidR="038AB5F2" w:rsidRPr="00C52AC5">
        <w:rPr>
          <w:rFonts w:eastAsia="Times New Roman"/>
          <w:color w:val="000000"/>
          <w:lang w:eastAsia="en-GB"/>
        </w:rPr>
        <w:t>the</w:t>
      </w:r>
      <w:r w:rsidR="00010136" w:rsidRPr="00C52AC5">
        <w:rPr>
          <w:rFonts w:eastAsia="Times New Roman"/>
          <w:color w:val="000000"/>
          <w:lang w:eastAsia="en-GB"/>
        </w:rPr>
        <w:t>m</w:t>
      </w:r>
      <w:r w:rsidRPr="00C52AC5">
        <w:rPr>
          <w:rFonts w:eastAsia="Times New Roman"/>
          <w:color w:val="000000"/>
          <w:lang w:eastAsia="en-GB"/>
        </w:rPr>
        <w:t xml:space="preserve"> due compensation and benefit sharing by paying </w:t>
      </w:r>
      <w:r w:rsidR="0698F709" w:rsidRPr="00C52AC5">
        <w:rPr>
          <w:rFonts w:eastAsia="Times New Roman"/>
          <w:color w:val="000000"/>
          <w:lang w:eastAsia="en-GB"/>
        </w:rPr>
        <w:t xml:space="preserve">clan </w:t>
      </w:r>
      <w:r w:rsidR="038AB5F2" w:rsidRPr="00C52AC5">
        <w:rPr>
          <w:rFonts w:eastAsia="Times New Roman"/>
          <w:color w:val="000000"/>
          <w:lang w:eastAsia="en-GB"/>
        </w:rPr>
        <w:t>leader</w:t>
      </w:r>
      <w:r w:rsidR="0EF04950" w:rsidRPr="00C52AC5">
        <w:rPr>
          <w:rFonts w:eastAsia="Times New Roman"/>
          <w:color w:val="000000"/>
          <w:lang w:eastAsia="en-GB"/>
        </w:rPr>
        <w:t>s</w:t>
      </w:r>
      <w:r w:rsidR="038AB5F2" w:rsidRPr="00C52AC5">
        <w:rPr>
          <w:rFonts w:eastAsia="Times New Roman"/>
          <w:color w:val="000000"/>
          <w:lang w:eastAsia="en-GB"/>
        </w:rPr>
        <w:t xml:space="preserve"> </w:t>
      </w:r>
      <w:r w:rsidRPr="00C52AC5">
        <w:rPr>
          <w:rFonts w:eastAsia="Times New Roman"/>
          <w:color w:val="000000"/>
          <w:lang w:eastAsia="en-GB"/>
        </w:rPr>
        <w:t>or male family relatives. Jobs and other benefits like scholarships and education opportunities are monopolized by male clan members. Often companies isolate clan leaders from the community to make non-transparent deals.</w:t>
      </w:r>
      <w:r w:rsidR="00F64964">
        <w:rPr>
          <w:rStyle w:val="FootnoteReference"/>
          <w:rFonts w:eastAsia="Times New Roman"/>
          <w:color w:val="000000"/>
          <w:lang w:eastAsia="en-GB"/>
        </w:rPr>
        <w:footnoteReference w:id="17"/>
      </w:r>
    </w:p>
    <w:p w14:paraId="4DD673B2" w14:textId="77777777" w:rsidR="00822532" w:rsidRPr="00822532" w:rsidRDefault="00822532" w:rsidP="00044BBC">
      <w:pPr>
        <w:pStyle w:val="Normal1"/>
        <w:jc w:val="both"/>
        <w:rPr>
          <w:lang w:val="en-US"/>
        </w:rPr>
      </w:pPr>
    </w:p>
    <w:p w14:paraId="0BAE256C" w14:textId="32BB800D" w:rsidR="00822532" w:rsidRDefault="00822532" w:rsidP="00044BBC">
      <w:pPr>
        <w:pStyle w:val="Normal1"/>
        <w:numPr>
          <w:ilvl w:val="0"/>
          <w:numId w:val="8"/>
        </w:numPr>
        <w:jc w:val="both"/>
      </w:pPr>
      <w:r>
        <w:t xml:space="preserve">Government-led development projects in Papua Province, such as </w:t>
      </w:r>
      <w:r w:rsidRPr="00704415">
        <w:t xml:space="preserve">the Merauke Integrated Food and Energy Estate (MIFEE), </w:t>
      </w:r>
      <w:r>
        <w:t>which planned to</w:t>
      </w:r>
      <w:r w:rsidRPr="00704415">
        <w:t xml:space="preserve"> convert at least a million </w:t>
      </w:r>
      <w:r w:rsidR="6C5BA87F" w:rsidRPr="00704415">
        <w:t>hectare</w:t>
      </w:r>
      <w:r w:rsidR="2560F542" w:rsidRPr="00704415">
        <w:t>s</w:t>
      </w:r>
      <w:r w:rsidRPr="00704415">
        <w:t xml:space="preserve"> of forests </w:t>
      </w:r>
      <w:r w:rsidRPr="00AF34D3">
        <w:t xml:space="preserve">and swamp into privatized concessions has </w:t>
      </w:r>
      <w:r>
        <w:t xml:space="preserve">particularly </w:t>
      </w:r>
      <w:r w:rsidRPr="00AF34D3">
        <w:t xml:space="preserve">affected </w:t>
      </w:r>
      <w:proofErr w:type="spellStart"/>
      <w:r w:rsidRPr="00AF34D3">
        <w:t>Marind</w:t>
      </w:r>
      <w:proofErr w:type="spellEnd"/>
      <w:r w:rsidRPr="00AF34D3">
        <w:t xml:space="preserve"> indigenous women</w:t>
      </w:r>
      <w:r>
        <w:t xml:space="preserve"> </w:t>
      </w:r>
      <w:r w:rsidRPr="00AF34D3">
        <w:t xml:space="preserve">who live </w:t>
      </w:r>
      <w:proofErr w:type="gramStart"/>
      <w:r w:rsidRPr="00AF34D3">
        <w:t>in the area of</w:t>
      </w:r>
      <w:proofErr w:type="gramEnd"/>
      <w:r w:rsidRPr="00AF34D3">
        <w:t xml:space="preserve"> the project. Sago trees found in the forest have been their main source of food. </w:t>
      </w:r>
      <w:r>
        <w:t>In addition</w:t>
      </w:r>
      <w:r w:rsidRPr="00AF34D3">
        <w:t xml:space="preserve">, the destruction of the forest for the project undermines the </w:t>
      </w:r>
      <w:r>
        <w:t xml:space="preserve">special </w:t>
      </w:r>
      <w:r w:rsidRPr="00AF34D3">
        <w:t xml:space="preserve">relationship of </w:t>
      </w:r>
      <w:proofErr w:type="spellStart"/>
      <w:r w:rsidRPr="00AF34D3">
        <w:t>Marind</w:t>
      </w:r>
      <w:proofErr w:type="spellEnd"/>
      <w:r w:rsidRPr="00AF34D3">
        <w:t xml:space="preserve"> men,</w:t>
      </w:r>
      <w:r w:rsidRPr="00822532">
        <w:t xml:space="preserve"> </w:t>
      </w:r>
      <w:r w:rsidRPr="00AF34D3">
        <w:t xml:space="preserve">women, and children to the plants and animals </w:t>
      </w:r>
      <w:r>
        <w:t xml:space="preserve">of </w:t>
      </w:r>
      <w:r w:rsidRPr="00AF34D3">
        <w:t>th</w:t>
      </w:r>
      <w:r>
        <w:t>is</w:t>
      </w:r>
      <w:r w:rsidRPr="00AF34D3">
        <w:t xml:space="preserve"> forest.</w:t>
      </w:r>
      <w:r>
        <w:rPr>
          <w:rStyle w:val="FootnoteReference"/>
        </w:rPr>
        <w:footnoteReference w:id="18"/>
      </w:r>
      <w:r w:rsidRPr="00AF34D3">
        <w:t xml:space="preserve"> Due to the deforestation </w:t>
      </w:r>
      <w:r w:rsidR="439B8384" w:rsidRPr="00AF34D3">
        <w:t>caused by</w:t>
      </w:r>
      <w:r w:rsidRPr="00AF34D3">
        <w:t xml:space="preserve"> the project, the </w:t>
      </w:r>
      <w:proofErr w:type="spellStart"/>
      <w:r w:rsidRPr="00AF34D3">
        <w:t>Marind</w:t>
      </w:r>
      <w:proofErr w:type="spellEnd"/>
      <w:r w:rsidRPr="00AF34D3">
        <w:t xml:space="preserve"> women were</w:t>
      </w:r>
      <w:r>
        <w:t xml:space="preserve"> also</w:t>
      </w:r>
      <w:r w:rsidRPr="00AF34D3">
        <w:t xml:space="preserve"> deprived from their access to </w:t>
      </w:r>
      <w:r w:rsidR="2FF87812" w:rsidRPr="00AF34D3">
        <w:t>water</w:t>
      </w:r>
      <w:r w:rsidR="009A6ACA">
        <w:t xml:space="preserve"> </w:t>
      </w:r>
      <w:r w:rsidR="00EA1CAD">
        <w:t xml:space="preserve">springs and </w:t>
      </w:r>
      <w:r w:rsidR="1591085F">
        <w:t>well</w:t>
      </w:r>
      <w:r w:rsidR="5213A20F">
        <w:t>s</w:t>
      </w:r>
      <w:r w:rsidR="00EA1CAD">
        <w:t xml:space="preserve"> </w:t>
      </w:r>
      <w:r w:rsidR="00377247">
        <w:t xml:space="preserve">which </w:t>
      </w:r>
      <w:r w:rsidR="221561BF">
        <w:t xml:space="preserve">were </w:t>
      </w:r>
      <w:r w:rsidR="00377247">
        <w:t>previo</w:t>
      </w:r>
      <w:r w:rsidR="00E14EBA">
        <w:t xml:space="preserve">usly </w:t>
      </w:r>
      <w:r w:rsidR="00EA1CAD">
        <w:t>found in</w:t>
      </w:r>
      <w:r w:rsidR="00E14EBA">
        <w:t>side</w:t>
      </w:r>
      <w:r w:rsidR="00EA1CAD">
        <w:t xml:space="preserve"> the forest. </w:t>
      </w:r>
    </w:p>
    <w:p w14:paraId="413B46D0" w14:textId="77777777" w:rsidR="00822532" w:rsidRDefault="00822532" w:rsidP="00044BBC">
      <w:pPr>
        <w:pStyle w:val="Normal1"/>
        <w:jc w:val="both"/>
      </w:pPr>
    </w:p>
    <w:p w14:paraId="3DA36A8C" w14:textId="70EC4DDC" w:rsidR="00822532" w:rsidRDefault="00822532" w:rsidP="00044BBC">
      <w:pPr>
        <w:pStyle w:val="Normal1"/>
        <w:numPr>
          <w:ilvl w:val="0"/>
          <w:numId w:val="8"/>
        </w:numPr>
        <w:jc w:val="both"/>
      </w:pPr>
      <w:r>
        <w:t xml:space="preserve">The Committee on Economic, Social and Cultural Rights also previously noted its </w:t>
      </w:r>
      <w:proofErr w:type="gramStart"/>
      <w:r>
        <w:t>concern  in</w:t>
      </w:r>
      <w:proofErr w:type="gramEnd"/>
      <w:r>
        <w:t xml:space="preserve"> </w:t>
      </w:r>
      <w:r w:rsidR="3821B210">
        <w:t>regard</w:t>
      </w:r>
      <w:r w:rsidR="73ACA3CD">
        <w:t>s</w:t>
      </w:r>
      <w:r>
        <w:t xml:space="preserve"> to human rights violations in the mining and plantations sectors in Indonesia, and that free, prior, and informed consent is not always sought nor have decisions been guaranteed.</w:t>
      </w:r>
      <w:r>
        <w:rPr>
          <w:rStyle w:val="FootnoteReference"/>
        </w:rPr>
        <w:footnoteReference w:id="19"/>
      </w:r>
    </w:p>
    <w:p w14:paraId="2A7DF8A9" w14:textId="77777777" w:rsidR="00822532" w:rsidRDefault="00822532" w:rsidP="00044BBC">
      <w:pPr>
        <w:pStyle w:val="Normal1"/>
        <w:jc w:val="both"/>
      </w:pPr>
    </w:p>
    <w:p w14:paraId="04ED9BC8" w14:textId="3663A76F" w:rsidR="00822532" w:rsidRPr="009C0C42" w:rsidRDefault="00044BBC" w:rsidP="00044BBC">
      <w:pPr>
        <w:pStyle w:val="Normal1"/>
        <w:ind w:left="720"/>
        <w:jc w:val="both"/>
        <w:rPr>
          <w:b/>
          <w:bCs/>
          <w:i/>
        </w:rPr>
      </w:pPr>
      <w:r w:rsidRPr="009C0C42">
        <w:rPr>
          <w:b/>
          <w:bCs/>
          <w:i/>
        </w:rPr>
        <w:t>Given the disproportionate adverse impacts often felt by women, children and indigenous peoples in the course of business activities, t</w:t>
      </w:r>
      <w:r w:rsidR="00822532" w:rsidRPr="009C0C42">
        <w:rPr>
          <w:b/>
          <w:bCs/>
          <w:i/>
        </w:rPr>
        <w:t xml:space="preserve">he General Recommendation should underscore </w:t>
      </w:r>
      <w:r w:rsidRPr="009C0C42">
        <w:rPr>
          <w:b/>
          <w:bCs/>
          <w:i/>
        </w:rPr>
        <w:t>the need for businesses to consider the impacts of their relationships and activities on indigenous women and girls in particular during their human rights due dil</w:t>
      </w:r>
      <w:r w:rsidR="00CE14EB" w:rsidRPr="009C0C42">
        <w:rPr>
          <w:b/>
          <w:bCs/>
          <w:i/>
        </w:rPr>
        <w:t>i</w:t>
      </w:r>
      <w:r w:rsidRPr="009C0C42">
        <w:rPr>
          <w:b/>
          <w:bCs/>
          <w:i/>
        </w:rPr>
        <w:t>gence processes.</w:t>
      </w:r>
      <w:r w:rsidRPr="009C0C42">
        <w:rPr>
          <w:rStyle w:val="FootnoteReference"/>
          <w:b/>
          <w:bCs/>
          <w:i/>
        </w:rPr>
        <w:footnoteReference w:id="20"/>
      </w:r>
      <w:r w:rsidRPr="009C0C42">
        <w:rPr>
          <w:b/>
          <w:bCs/>
          <w:i/>
        </w:rPr>
        <w:t xml:space="preserve">  States and businesses should ensure that indigenous women and girls are part of FPIC processes, and States should ensure the protection the rights of indigenous peoples in their development agendas.</w:t>
      </w:r>
    </w:p>
    <w:p w14:paraId="367A44CC" w14:textId="77777777" w:rsidR="00822532" w:rsidRPr="00BA22BF" w:rsidRDefault="00822532" w:rsidP="00822532">
      <w:pPr>
        <w:pStyle w:val="Normal1"/>
      </w:pPr>
    </w:p>
    <w:p w14:paraId="5DF70659" w14:textId="77777777" w:rsidR="00BA22BF" w:rsidRDefault="00BA22BF" w:rsidP="00B100F9">
      <w:pPr>
        <w:pStyle w:val="Normal1"/>
        <w:ind w:firstLine="360"/>
        <w:rPr>
          <w:b/>
          <w:i/>
        </w:rPr>
      </w:pPr>
    </w:p>
    <w:p w14:paraId="00000010" w14:textId="76E27162" w:rsidR="00A37510" w:rsidRPr="00B100F9" w:rsidRDefault="009C0C42" w:rsidP="00B100F9">
      <w:pPr>
        <w:pStyle w:val="Normal1"/>
        <w:ind w:firstLine="360"/>
        <w:rPr>
          <w:b/>
          <w:i/>
        </w:rPr>
      </w:pPr>
      <w:r>
        <w:rPr>
          <w:b/>
          <w:i/>
        </w:rPr>
        <w:t xml:space="preserve">IV. </w:t>
      </w:r>
      <w:r w:rsidR="00C0354C" w:rsidRPr="00B100F9">
        <w:rPr>
          <w:b/>
          <w:i/>
        </w:rPr>
        <w:t xml:space="preserve">Participation in </w:t>
      </w:r>
      <w:r w:rsidR="00BA22BF">
        <w:rPr>
          <w:b/>
          <w:i/>
        </w:rPr>
        <w:t>political</w:t>
      </w:r>
      <w:r w:rsidR="00C0354C" w:rsidRPr="00B100F9">
        <w:rPr>
          <w:b/>
          <w:i/>
        </w:rPr>
        <w:t xml:space="preserve"> affairs </w:t>
      </w:r>
    </w:p>
    <w:p w14:paraId="2866B0D2" w14:textId="77777777" w:rsidR="00304C9F" w:rsidRDefault="00304C9F" w:rsidP="00AB6849">
      <w:pPr>
        <w:pStyle w:val="Normal1"/>
      </w:pPr>
    </w:p>
    <w:p w14:paraId="457A7A1B" w14:textId="437AB8B2" w:rsidR="00D24CE3" w:rsidRDefault="008425C7" w:rsidP="07444C2F">
      <w:pPr>
        <w:pStyle w:val="Normal1"/>
        <w:numPr>
          <w:ilvl w:val="0"/>
          <w:numId w:val="8"/>
        </w:numPr>
        <w:jc w:val="both"/>
        <w:rPr>
          <w:color w:val="000000" w:themeColor="text1"/>
          <w:lang w:val="en-US"/>
        </w:rPr>
      </w:pPr>
      <w:r>
        <w:t xml:space="preserve">Indonesia currently requires that political parties </w:t>
      </w:r>
      <w:r w:rsidR="0E2BCDEA">
        <w:t>list</w:t>
      </w:r>
      <w:r>
        <w:t xml:space="preserve"> of candidates for the House of Representatives include </w:t>
      </w:r>
      <w:r w:rsidR="5A56402F">
        <w:t xml:space="preserve">at </w:t>
      </w:r>
      <w:r>
        <w:t>least 30% women.</w:t>
      </w:r>
      <w:r w:rsidR="003F179C">
        <w:rPr>
          <w:rStyle w:val="FootnoteReference"/>
        </w:rPr>
        <w:footnoteReference w:id="21"/>
      </w:r>
      <w:r w:rsidR="003F179C">
        <w:t xml:space="preserve"> </w:t>
      </w:r>
      <w:r w:rsidR="412C6A82" w:rsidRPr="07444C2F">
        <w:rPr>
          <w:rFonts w:eastAsia="Times New Roman"/>
          <w:color w:val="000000" w:themeColor="text1"/>
          <w:lang w:eastAsia="en-GB"/>
        </w:rPr>
        <w:t>Decision of the General Election Commission No. 810/2019 recognized “</w:t>
      </w:r>
      <w:proofErr w:type="spellStart"/>
      <w:r w:rsidR="412C6A82" w:rsidRPr="07444C2F">
        <w:rPr>
          <w:rFonts w:eastAsia="Times New Roman"/>
          <w:color w:val="000000" w:themeColor="text1"/>
          <w:lang w:eastAsia="en-GB"/>
        </w:rPr>
        <w:t>Noken</w:t>
      </w:r>
      <w:proofErr w:type="spellEnd"/>
      <w:r w:rsidR="412C6A82" w:rsidRPr="07444C2F">
        <w:rPr>
          <w:rFonts w:eastAsia="Times New Roman"/>
          <w:color w:val="000000" w:themeColor="text1"/>
          <w:lang w:eastAsia="en-GB"/>
        </w:rPr>
        <w:t xml:space="preserve"> System” as a local wisdom and guidelines for voting which provides affirmative support for indigenous Papuans.</w:t>
      </w:r>
      <w:r w:rsidRPr="07444C2F">
        <w:rPr>
          <w:rStyle w:val="FootnoteReference"/>
          <w:rFonts w:eastAsia="Times New Roman"/>
          <w:color w:val="000000" w:themeColor="text1"/>
          <w:lang w:eastAsia="en-GB"/>
        </w:rPr>
        <w:footnoteReference w:id="22"/>
      </w:r>
      <w:r w:rsidR="412C6A82" w:rsidRPr="07444C2F">
        <w:rPr>
          <w:rFonts w:eastAsia="Times New Roman"/>
          <w:color w:val="000000" w:themeColor="text1"/>
          <w:lang w:eastAsia="en-GB"/>
        </w:rPr>
        <w:t xml:space="preserve"> However, it has not substantially increased women's participation in politics. The calculation mechanism that has been represented by the tribal chief is very advantageous for men who have a more prominent position in custom (</w:t>
      </w:r>
      <w:proofErr w:type="spellStart"/>
      <w:r w:rsidR="412C6A82" w:rsidRPr="07444C2F">
        <w:rPr>
          <w:rFonts w:eastAsia="Times New Roman"/>
          <w:i/>
          <w:iCs/>
          <w:color w:val="000000" w:themeColor="text1"/>
          <w:lang w:eastAsia="en-GB"/>
        </w:rPr>
        <w:t>adat</w:t>
      </w:r>
      <w:proofErr w:type="spellEnd"/>
      <w:r w:rsidR="412C6A82" w:rsidRPr="07444C2F">
        <w:rPr>
          <w:rFonts w:eastAsia="Times New Roman"/>
          <w:color w:val="000000" w:themeColor="text1"/>
          <w:lang w:eastAsia="en-GB"/>
        </w:rPr>
        <w:t>) structures, so that the women involved find it difficult to get votes. </w:t>
      </w:r>
      <w:r w:rsidR="412C6A82">
        <w:t xml:space="preserve"> </w:t>
      </w:r>
    </w:p>
    <w:p w14:paraId="15F2DE61" w14:textId="265E3566" w:rsidR="00D24CE3" w:rsidRDefault="00D24CE3" w:rsidP="07444C2F">
      <w:pPr>
        <w:pStyle w:val="Normal1"/>
        <w:jc w:val="both"/>
        <w:rPr>
          <w:lang w:val="en-US"/>
        </w:rPr>
      </w:pPr>
    </w:p>
    <w:p w14:paraId="7C4EB876" w14:textId="4D26DA83" w:rsidR="00D24CE3" w:rsidRDefault="003F179C" w:rsidP="00D24CE3">
      <w:pPr>
        <w:pStyle w:val="Normal1"/>
        <w:numPr>
          <w:ilvl w:val="0"/>
          <w:numId w:val="8"/>
        </w:numPr>
        <w:jc w:val="both"/>
        <w:rPr>
          <w:lang w:val="en-US"/>
        </w:rPr>
      </w:pPr>
      <w:r>
        <w:t xml:space="preserve">However, </w:t>
      </w:r>
      <w:r w:rsidR="00B575E0">
        <w:rPr>
          <w:lang w:val="en-US"/>
        </w:rPr>
        <w:t>t</w:t>
      </w:r>
      <w:r w:rsidRPr="003F179C">
        <w:rPr>
          <w:lang w:val="en-US"/>
        </w:rPr>
        <w:t xml:space="preserve">he participation of women in politics and administration in the Provinces of Papua and Papua </w:t>
      </w:r>
      <w:r w:rsidR="00BF3044">
        <w:rPr>
          <w:lang w:val="en-US"/>
        </w:rPr>
        <w:t xml:space="preserve">Barat </w:t>
      </w:r>
      <w:r w:rsidRPr="003F179C">
        <w:rPr>
          <w:lang w:val="en-US"/>
        </w:rPr>
        <w:t>is still below the statutory quota of 30 %. In the Papua</w:t>
      </w:r>
      <w:r w:rsidR="00BF3044">
        <w:rPr>
          <w:lang w:val="en-US"/>
        </w:rPr>
        <w:t xml:space="preserve"> Barat</w:t>
      </w:r>
      <w:r w:rsidRPr="003F179C">
        <w:rPr>
          <w:lang w:val="en-US"/>
        </w:rPr>
        <w:t xml:space="preserve"> Province, from the total number of 45 elected members for the period of 2019 to 2024, there are only seven (7) women</w:t>
      </w:r>
      <w:r w:rsidRPr="003F179C">
        <w:rPr>
          <w:vertAlign w:val="superscript"/>
          <w:lang w:val="en-US"/>
        </w:rPr>
        <w:footnoteReference w:id="23"/>
      </w:r>
      <w:r w:rsidRPr="003F179C">
        <w:rPr>
          <w:lang w:val="en-US"/>
        </w:rPr>
        <w:t xml:space="preserve"> or only 15.5 % of the total. Among those, indigenous Papuan women are further underrepresented. Currently, three (3) out of seven (7) women are indigenous Papuan women. </w:t>
      </w:r>
      <w:r w:rsidR="59284892" w:rsidRPr="003F179C">
        <w:rPr>
          <w:lang w:val="en-US"/>
        </w:rPr>
        <w:t xml:space="preserve">This translates to only </w:t>
      </w:r>
      <w:r w:rsidRPr="003F179C">
        <w:rPr>
          <w:lang w:val="en-US"/>
        </w:rPr>
        <w:t xml:space="preserve">4.4% of the total </w:t>
      </w:r>
      <w:r w:rsidR="5AF49313" w:rsidRPr="003F179C">
        <w:rPr>
          <w:lang w:val="en-US"/>
        </w:rPr>
        <w:t>number</w:t>
      </w:r>
      <w:r w:rsidRPr="003F179C">
        <w:rPr>
          <w:lang w:val="en-US"/>
        </w:rPr>
        <w:t xml:space="preserve"> of the elected parliamentarians. For Papua Province, the 2019 to 2024 Provincial parliament has only eight (8) women</w:t>
      </w:r>
      <w:r w:rsidR="001814F0">
        <w:rPr>
          <w:rStyle w:val="FootnoteReference"/>
          <w:lang w:val="en-US"/>
        </w:rPr>
        <w:footnoteReference w:id="24"/>
      </w:r>
      <w:r w:rsidRPr="003F179C">
        <w:rPr>
          <w:lang w:val="en-US"/>
        </w:rPr>
        <w:t xml:space="preserve"> out of 49 elected members,</w:t>
      </w:r>
      <w:r w:rsidRPr="003F179C">
        <w:rPr>
          <w:vertAlign w:val="superscript"/>
          <w:lang w:val="en-US"/>
        </w:rPr>
        <w:footnoteReference w:id="25"/>
      </w:r>
      <w:r w:rsidRPr="003F179C">
        <w:rPr>
          <w:lang w:val="en-US"/>
        </w:rPr>
        <w:t xml:space="preserve"> or 16 %. From the eight women, five (5) or 10% are indigenous Papuan women.</w:t>
      </w:r>
      <w:r w:rsidRPr="003F179C">
        <w:rPr>
          <w:vertAlign w:val="superscript"/>
          <w:lang w:val="en-US"/>
        </w:rPr>
        <w:t xml:space="preserve"> </w:t>
      </w:r>
      <w:r w:rsidRPr="003F179C">
        <w:rPr>
          <w:vertAlign w:val="superscript"/>
          <w:lang w:val="en-US"/>
        </w:rPr>
        <w:footnoteReference w:id="26"/>
      </w:r>
      <w:r w:rsidRPr="003F179C">
        <w:rPr>
          <w:lang w:val="en-US"/>
        </w:rPr>
        <w:t xml:space="preserve">  At the regency level in the Papua Province, there is no woman leadership at all.</w:t>
      </w:r>
      <w:r w:rsidRPr="003F179C">
        <w:rPr>
          <w:vertAlign w:val="superscript"/>
          <w:lang w:val="en-US"/>
        </w:rPr>
        <w:footnoteReference w:id="27"/>
      </w:r>
      <w:r w:rsidRPr="003F179C">
        <w:rPr>
          <w:lang w:val="en-US"/>
        </w:rPr>
        <w:t xml:space="preserve"> This situation is the same in the Papua</w:t>
      </w:r>
      <w:r w:rsidR="008C1574">
        <w:rPr>
          <w:lang w:val="en-US"/>
        </w:rPr>
        <w:t xml:space="preserve"> Barat</w:t>
      </w:r>
      <w:r w:rsidRPr="003F179C">
        <w:rPr>
          <w:lang w:val="en-US"/>
        </w:rPr>
        <w:t xml:space="preserve"> Province where there is no woman leader in all regencies.</w:t>
      </w:r>
      <w:r w:rsidRPr="003F179C">
        <w:rPr>
          <w:vertAlign w:val="superscript"/>
          <w:lang w:val="en-US"/>
        </w:rPr>
        <w:footnoteReference w:id="28"/>
      </w:r>
    </w:p>
    <w:p w14:paraId="6FBF5154" w14:textId="77777777" w:rsidR="00D10FE6" w:rsidRDefault="00D10FE6" w:rsidP="00D10FE6">
      <w:pPr>
        <w:pStyle w:val="Normal1"/>
        <w:ind w:left="720"/>
        <w:jc w:val="both"/>
        <w:rPr>
          <w:lang w:val="en-US"/>
        </w:rPr>
      </w:pPr>
    </w:p>
    <w:p w14:paraId="7D90C99F" w14:textId="0D6412A7" w:rsidR="001E5915" w:rsidRDefault="003845B0" w:rsidP="00B100F9">
      <w:pPr>
        <w:pStyle w:val="Normal1"/>
        <w:numPr>
          <w:ilvl w:val="0"/>
          <w:numId w:val="8"/>
        </w:numPr>
        <w:jc w:val="both"/>
      </w:pPr>
      <w:r>
        <w:t>Article 7 of CEDAW</w:t>
      </w:r>
      <w:r w:rsidR="001E5915">
        <w:t xml:space="preserve"> calls on States Parties to “take all appropriate measures to eliminate discrimination against women in the political and public life of the country”</w:t>
      </w:r>
      <w:r>
        <w:t>; General Recommendation No. 23 notes the use of temporary special measures, including “setting numerical goals and quotas.”</w:t>
      </w:r>
      <w:r>
        <w:rPr>
          <w:rStyle w:val="FootnoteReference"/>
        </w:rPr>
        <w:footnoteReference w:id="29"/>
      </w:r>
      <w:r w:rsidR="003F179C">
        <w:t xml:space="preserve"> General Recommendation No. 23, however, does not recognize the additional structural and other barriers that are faced by indigenous </w:t>
      </w:r>
      <w:proofErr w:type="gramStart"/>
      <w:r w:rsidR="003F179C">
        <w:t>women in particular</w:t>
      </w:r>
      <w:proofErr w:type="gramEnd"/>
      <w:r w:rsidR="003F179C">
        <w:t xml:space="preserve">. </w:t>
      </w:r>
    </w:p>
    <w:p w14:paraId="3842365F" w14:textId="77777777" w:rsidR="00FA352D" w:rsidRDefault="00FA352D" w:rsidP="003F179C">
      <w:pPr>
        <w:pStyle w:val="Normal1"/>
        <w:jc w:val="both"/>
      </w:pPr>
    </w:p>
    <w:p w14:paraId="2498F1C1" w14:textId="525B6D6C" w:rsidR="00B100F9" w:rsidRPr="009C0C42" w:rsidRDefault="00FA352D" w:rsidP="009C0C42">
      <w:pPr>
        <w:pStyle w:val="Normal1"/>
        <w:ind w:left="720"/>
        <w:jc w:val="both"/>
        <w:rPr>
          <w:b/>
          <w:bCs/>
          <w:i/>
        </w:rPr>
      </w:pPr>
      <w:r w:rsidRPr="009C0C42">
        <w:rPr>
          <w:b/>
          <w:bCs/>
          <w:i/>
        </w:rPr>
        <w:t xml:space="preserve">The General Recommendation should </w:t>
      </w:r>
      <w:r w:rsidR="007B0354" w:rsidRPr="009C0C42">
        <w:rPr>
          <w:b/>
          <w:bCs/>
          <w:i/>
        </w:rPr>
        <w:t xml:space="preserve">call on States to </w:t>
      </w:r>
      <w:r w:rsidRPr="009C0C42">
        <w:rPr>
          <w:b/>
          <w:bCs/>
          <w:i/>
        </w:rPr>
        <w:t xml:space="preserve">ensure </w:t>
      </w:r>
      <w:r w:rsidR="352FBAC3" w:rsidRPr="07444C2F">
        <w:rPr>
          <w:b/>
          <w:bCs/>
          <w:i/>
          <w:iCs/>
        </w:rPr>
        <w:t xml:space="preserve">that </w:t>
      </w:r>
      <w:r w:rsidRPr="009C0C42">
        <w:rPr>
          <w:b/>
          <w:bCs/>
          <w:i/>
        </w:rPr>
        <w:t>temporary and other measures consider the unique and additional barriers that indigenous women face</w:t>
      </w:r>
      <w:r w:rsidR="007B0354" w:rsidRPr="009C0C42">
        <w:rPr>
          <w:b/>
          <w:bCs/>
          <w:i/>
        </w:rPr>
        <w:t xml:space="preserve"> in participating in political and public </w:t>
      </w:r>
      <w:r w:rsidR="007A1212" w:rsidRPr="009C0C42">
        <w:rPr>
          <w:b/>
          <w:bCs/>
          <w:i/>
        </w:rPr>
        <w:t>life and</w:t>
      </w:r>
      <w:r w:rsidR="007B0354" w:rsidRPr="009C0C42">
        <w:rPr>
          <w:b/>
          <w:bCs/>
          <w:i/>
        </w:rPr>
        <w:t xml:space="preserve"> </w:t>
      </w:r>
      <w:proofErr w:type="gramStart"/>
      <w:r w:rsidR="007B0354" w:rsidRPr="009C0C42">
        <w:rPr>
          <w:b/>
          <w:bCs/>
          <w:i/>
        </w:rPr>
        <w:t>take action</w:t>
      </w:r>
      <w:proofErr w:type="gramEnd"/>
      <w:r w:rsidR="007B0354" w:rsidRPr="009C0C42">
        <w:rPr>
          <w:b/>
          <w:bCs/>
          <w:i/>
        </w:rPr>
        <w:t xml:space="preserve"> to not only minimize these barriers but also support and </w:t>
      </w:r>
      <w:r w:rsidR="00F96A9F" w:rsidRPr="009C0C42">
        <w:rPr>
          <w:b/>
          <w:bCs/>
          <w:i/>
        </w:rPr>
        <w:t>facilitate</w:t>
      </w:r>
      <w:r w:rsidR="007B0354" w:rsidRPr="009C0C42">
        <w:rPr>
          <w:b/>
          <w:bCs/>
          <w:i/>
        </w:rPr>
        <w:t xml:space="preserve"> indigenous women and </w:t>
      </w:r>
      <w:r w:rsidR="00D003F3" w:rsidRPr="009C0C42">
        <w:rPr>
          <w:b/>
          <w:bCs/>
          <w:i/>
        </w:rPr>
        <w:t>girl’s</w:t>
      </w:r>
      <w:r w:rsidR="007B0354" w:rsidRPr="009C0C42">
        <w:rPr>
          <w:b/>
          <w:bCs/>
          <w:i/>
        </w:rPr>
        <w:t xml:space="preserve"> participation.</w:t>
      </w:r>
    </w:p>
    <w:p w14:paraId="5E803D0B" w14:textId="77777777" w:rsidR="00BA22BF" w:rsidRDefault="00BA22BF" w:rsidP="00B100F9">
      <w:pPr>
        <w:pStyle w:val="Normal1"/>
        <w:ind w:firstLine="360"/>
        <w:rPr>
          <w:b/>
          <w:i/>
        </w:rPr>
      </w:pPr>
    </w:p>
    <w:p w14:paraId="566FEEE7" w14:textId="77777777" w:rsidR="00FC0252" w:rsidRDefault="00FC0252" w:rsidP="00B100F9">
      <w:pPr>
        <w:pStyle w:val="Normal1"/>
        <w:ind w:firstLine="360"/>
        <w:rPr>
          <w:b/>
          <w:i/>
        </w:rPr>
      </w:pPr>
    </w:p>
    <w:p w14:paraId="1A9B724A" w14:textId="77777777" w:rsidR="00FC0252" w:rsidRDefault="00FC0252" w:rsidP="00B100F9">
      <w:pPr>
        <w:pStyle w:val="Normal1"/>
        <w:ind w:firstLine="360"/>
        <w:rPr>
          <w:b/>
          <w:i/>
        </w:rPr>
      </w:pPr>
    </w:p>
    <w:p w14:paraId="2FBDC16C" w14:textId="77777777" w:rsidR="00FC0252" w:rsidRDefault="00FC0252" w:rsidP="00B100F9">
      <w:pPr>
        <w:pStyle w:val="Normal1"/>
        <w:ind w:firstLine="360"/>
        <w:rPr>
          <w:b/>
          <w:i/>
        </w:rPr>
      </w:pPr>
    </w:p>
    <w:p w14:paraId="00000011" w14:textId="2231FA06" w:rsidR="00A37510" w:rsidRPr="00B100F9" w:rsidRDefault="009C0C42" w:rsidP="00B100F9">
      <w:pPr>
        <w:pStyle w:val="Normal1"/>
        <w:ind w:firstLine="360"/>
        <w:rPr>
          <w:b/>
          <w:i/>
        </w:rPr>
      </w:pPr>
      <w:r>
        <w:rPr>
          <w:b/>
          <w:i/>
        </w:rPr>
        <w:lastRenderedPageBreak/>
        <w:t xml:space="preserve">V. </w:t>
      </w:r>
      <w:r w:rsidR="00C0354C" w:rsidRPr="00B100F9">
        <w:rPr>
          <w:b/>
          <w:i/>
        </w:rPr>
        <w:t>Impact of militarization of land / conflict on indigenous women and girls</w:t>
      </w:r>
    </w:p>
    <w:p w14:paraId="00000012" w14:textId="77777777" w:rsidR="00A37510" w:rsidRDefault="00A37510">
      <w:pPr>
        <w:pStyle w:val="Normal1"/>
      </w:pPr>
    </w:p>
    <w:p w14:paraId="00000013" w14:textId="40108B61" w:rsidR="00A37510" w:rsidRDefault="00C0354C" w:rsidP="00B100F9">
      <w:pPr>
        <w:pStyle w:val="Normal1"/>
        <w:numPr>
          <w:ilvl w:val="0"/>
          <w:numId w:val="8"/>
        </w:numPr>
        <w:jc w:val="both"/>
      </w:pPr>
      <w:r>
        <w:t xml:space="preserve">The Indonesian military has been present in the Provinces of Papua and West Papua since </w:t>
      </w:r>
      <w:r>
        <w:t>the integration in 1969. The on-going conflict between the Indonesian security forces (</w:t>
      </w:r>
      <w:proofErr w:type="gramStart"/>
      <w:r>
        <w:t>i.e.</w:t>
      </w:r>
      <w:proofErr w:type="gramEnd"/>
      <w:r w:rsidR="10994ED9">
        <w:t xml:space="preserve"> </w:t>
      </w:r>
      <w:r>
        <w:t>military and police) and the pro-independent Free Papua Movement (</w:t>
      </w:r>
      <w:proofErr w:type="spellStart"/>
      <w:r>
        <w:t>Organisasi</w:t>
      </w:r>
      <w:proofErr w:type="spellEnd"/>
      <w:r>
        <w:t xml:space="preserve"> Papua Merde</w:t>
      </w:r>
      <w:r>
        <w:t>ka, OPM) in the Provinces of Papua and West Papua, has the consequence of a permanent presence of Indonesian military</w:t>
      </w:r>
      <w:r w:rsidR="00440ED1">
        <w:t xml:space="preserve"> </w:t>
      </w:r>
      <w:r>
        <w:t>that continues to increase.</w:t>
      </w:r>
      <w:r w:rsidR="00294AAA">
        <w:rPr>
          <w:rStyle w:val="FootnoteReference"/>
        </w:rPr>
        <w:footnoteReference w:id="30"/>
      </w:r>
      <w:r>
        <w:t xml:space="preserve"> The two provinces are, de facto, military operation areas</w:t>
      </w:r>
      <w:r w:rsidR="00C71578">
        <w:t>.</w:t>
      </w:r>
      <w:r>
        <w:t xml:space="preserve"> Torture, killing, surveillance, arbitrary arrest and detention, and disappearances are frequently employed by the Indonesian security services to intimidate civilians in the Provinces of Papua and Papua </w:t>
      </w:r>
      <w:r w:rsidR="007F6DF0">
        <w:t>Barat</w:t>
      </w:r>
      <w:r>
        <w:t xml:space="preserve"> to control civilians, including women.</w:t>
      </w:r>
      <w:r>
        <w:rPr>
          <w:rStyle w:val="FootnoteReference"/>
        </w:rPr>
        <w:footnoteReference w:id="31"/>
      </w:r>
      <w:r w:rsidR="00E47BE8">
        <w:t xml:space="preserve"> </w:t>
      </w:r>
    </w:p>
    <w:p w14:paraId="00000014" w14:textId="77777777" w:rsidR="00A37510" w:rsidRDefault="00A37510" w:rsidP="00C0354C">
      <w:pPr>
        <w:pStyle w:val="Normal1"/>
        <w:jc w:val="both"/>
      </w:pPr>
    </w:p>
    <w:p w14:paraId="1203A51F" w14:textId="769A12C6" w:rsidR="00A37510" w:rsidRDefault="00C0354C" w:rsidP="00B100F9">
      <w:pPr>
        <w:pStyle w:val="Normal1"/>
        <w:numPr>
          <w:ilvl w:val="0"/>
          <w:numId w:val="8"/>
        </w:numPr>
        <w:jc w:val="both"/>
      </w:pPr>
      <w:r>
        <w:t xml:space="preserve">Between December 2018 and July 2019, several thousand indigenous Papuans in the </w:t>
      </w:r>
      <w:proofErr w:type="spellStart"/>
      <w:r>
        <w:t>Nduga</w:t>
      </w:r>
      <w:proofErr w:type="spellEnd"/>
      <w:r>
        <w:t xml:space="preserve"> Regency, in Papua Province were displaced. This occurred </w:t>
      </w:r>
      <w:proofErr w:type="gramStart"/>
      <w:r>
        <w:t>as a result of</w:t>
      </w:r>
      <w:proofErr w:type="gramEnd"/>
      <w:r>
        <w:t xml:space="preserve"> violent </w:t>
      </w:r>
      <w:r w:rsidR="2D9D1453">
        <w:t>clash</w:t>
      </w:r>
      <w:r w:rsidR="5151AD8B">
        <w:t>es</w:t>
      </w:r>
      <w:r>
        <w:t xml:space="preserve"> between the Indonesian security forces and the West Papua National Liberation Army (TPN PB) - a pro-independent Papuan armed group, which started when 19 Indonesian contractor workers were killed by members of TPN PB on 8 December 2019. Women and children were particularly affected during this conflict. </w:t>
      </w:r>
    </w:p>
    <w:p w14:paraId="30E25953" w14:textId="77777777" w:rsidR="00A37510" w:rsidRDefault="00A37510" w:rsidP="00A86290">
      <w:pPr>
        <w:pStyle w:val="Normal1"/>
        <w:ind w:left="720"/>
        <w:jc w:val="both"/>
      </w:pPr>
    </w:p>
    <w:p w14:paraId="70A3CFF7" w14:textId="4EB021F7" w:rsidR="001858EA" w:rsidRDefault="00C0354C" w:rsidP="0BFA7823">
      <w:pPr>
        <w:pStyle w:val="Normal1"/>
        <w:numPr>
          <w:ilvl w:val="0"/>
          <w:numId w:val="8"/>
        </w:numPr>
        <w:jc w:val="both"/>
      </w:pPr>
      <w:r>
        <w:t xml:space="preserve">While there is no report of the killing of women by the Indonesian security forces, the conflict and presence of the military still has a severe impact on indigenous women. It was reported that in the </w:t>
      </w:r>
      <w:proofErr w:type="gramStart"/>
      <w:r>
        <w:t>aforementioned 8-month</w:t>
      </w:r>
      <w:proofErr w:type="gramEnd"/>
      <w:r>
        <w:t xml:space="preserve"> period, 77 women died (21 adult females, 21 female minors, 14 female toddlers, 17 female babies) as a consequence of their displacement. Causes of death were mainly </w:t>
      </w:r>
      <w:r w:rsidR="00A65453">
        <w:t>famine</w:t>
      </w:r>
      <w:r w:rsidR="00A65453" w:rsidRPr="00F145A9">
        <w:rPr>
          <w:vertAlign w:val="superscript"/>
        </w:rPr>
        <w:footnoteReference w:id="32"/>
      </w:r>
      <w:r w:rsidR="00A65453" w:rsidRPr="00F145A9">
        <w:rPr>
          <w:vertAlign w:val="superscript"/>
        </w:rPr>
        <w:t xml:space="preserve"> </w:t>
      </w:r>
      <w:r>
        <w:t>and other illnesses, due to poor living conditions in the shelters.</w:t>
      </w:r>
      <w:r w:rsidR="00A65453" w:rsidRPr="002A0149">
        <w:rPr>
          <w:vertAlign w:val="superscript"/>
        </w:rPr>
        <w:footnoteReference w:id="33"/>
      </w:r>
    </w:p>
    <w:p w14:paraId="42734EB9" w14:textId="77777777" w:rsidR="001A703C" w:rsidRPr="00FF19F2" w:rsidDel="00FF19F2" w:rsidRDefault="001A703C" w:rsidP="002A0149">
      <w:pPr>
        <w:pStyle w:val="ListParagraph"/>
      </w:pPr>
    </w:p>
    <w:p w14:paraId="0000001A" w14:textId="643B971F" w:rsidR="00A37510" w:rsidRPr="009C0C42" w:rsidRDefault="00C0354C" w:rsidP="009C0C42">
      <w:pPr>
        <w:pStyle w:val="Normal1"/>
        <w:ind w:left="720"/>
        <w:jc w:val="both"/>
        <w:rPr>
          <w:b/>
          <w:bCs/>
          <w:i/>
          <w:color w:val="000000"/>
        </w:rPr>
      </w:pPr>
      <w:r w:rsidRPr="009C0C42">
        <w:rPr>
          <w:b/>
          <w:bCs/>
          <w:i/>
        </w:rPr>
        <w:t xml:space="preserve">The General Recommendation should </w:t>
      </w:r>
      <w:r w:rsidR="08F6B98A" w:rsidRPr="009C0C42">
        <w:rPr>
          <w:b/>
          <w:bCs/>
          <w:i/>
          <w:iCs/>
        </w:rPr>
        <w:t xml:space="preserve">call </w:t>
      </w:r>
      <w:r w:rsidR="6B3ED6FC" w:rsidRPr="009C0C42">
        <w:rPr>
          <w:b/>
          <w:bCs/>
          <w:i/>
          <w:iCs/>
        </w:rPr>
        <w:t>on</w:t>
      </w:r>
      <w:r w:rsidR="08F6B98A" w:rsidRPr="009C0C42">
        <w:rPr>
          <w:b/>
          <w:bCs/>
          <w:i/>
          <w:iCs/>
        </w:rPr>
        <w:t xml:space="preserve"> States to </w:t>
      </w:r>
      <w:r w:rsidR="34A9D514" w:rsidRPr="009C0C42">
        <w:rPr>
          <w:b/>
          <w:bCs/>
          <w:i/>
          <w:iCs/>
        </w:rPr>
        <w:t>ensure</w:t>
      </w:r>
      <w:r w:rsidR="6E7BC1DB" w:rsidRPr="009C0C42">
        <w:rPr>
          <w:b/>
          <w:bCs/>
          <w:i/>
          <w:iCs/>
        </w:rPr>
        <w:t xml:space="preserve"> </w:t>
      </w:r>
      <w:r w:rsidRPr="009C0C42">
        <w:rPr>
          <w:b/>
          <w:bCs/>
          <w:i/>
        </w:rPr>
        <w:t xml:space="preserve">humanitarian access for </w:t>
      </w:r>
      <w:r w:rsidR="1310260D" w:rsidRPr="009C0C42">
        <w:rPr>
          <w:b/>
          <w:bCs/>
          <w:i/>
          <w:iCs/>
        </w:rPr>
        <w:t xml:space="preserve">indigenous </w:t>
      </w:r>
      <w:r w:rsidRPr="009C0C42">
        <w:rPr>
          <w:b/>
          <w:bCs/>
          <w:i/>
        </w:rPr>
        <w:t xml:space="preserve">women and </w:t>
      </w:r>
      <w:r w:rsidR="1456F437" w:rsidRPr="009C0C42">
        <w:rPr>
          <w:b/>
          <w:bCs/>
          <w:i/>
          <w:iCs/>
        </w:rPr>
        <w:t xml:space="preserve">girls as well as </w:t>
      </w:r>
      <w:r w:rsidRPr="009C0C42">
        <w:rPr>
          <w:b/>
          <w:bCs/>
          <w:i/>
        </w:rPr>
        <w:t xml:space="preserve">others </w:t>
      </w:r>
      <w:r w:rsidR="1456F437" w:rsidRPr="009C0C42">
        <w:rPr>
          <w:b/>
          <w:bCs/>
          <w:i/>
          <w:iCs/>
        </w:rPr>
        <w:t xml:space="preserve">who are </w:t>
      </w:r>
      <w:r w:rsidRPr="009C0C42">
        <w:rPr>
          <w:b/>
          <w:bCs/>
          <w:i/>
        </w:rPr>
        <w:t>displaced by state violence</w:t>
      </w:r>
      <w:r w:rsidR="1456F437" w:rsidRPr="009C0C42">
        <w:rPr>
          <w:b/>
          <w:bCs/>
          <w:i/>
          <w:iCs/>
        </w:rPr>
        <w:t xml:space="preserve"> or </w:t>
      </w:r>
      <w:r w:rsidR="530C53D6" w:rsidRPr="009C0C42">
        <w:rPr>
          <w:b/>
          <w:bCs/>
          <w:i/>
          <w:iCs/>
        </w:rPr>
        <w:t>arm</w:t>
      </w:r>
      <w:r w:rsidR="7DB3FB75" w:rsidRPr="009C0C42">
        <w:rPr>
          <w:b/>
          <w:bCs/>
          <w:i/>
          <w:iCs/>
        </w:rPr>
        <w:t>ed</w:t>
      </w:r>
      <w:r w:rsidR="530C53D6" w:rsidRPr="009C0C42">
        <w:rPr>
          <w:b/>
          <w:bCs/>
          <w:i/>
          <w:iCs/>
        </w:rPr>
        <w:t xml:space="preserve"> </w:t>
      </w:r>
      <w:r w:rsidR="13FCBFAC" w:rsidRPr="009C0C42">
        <w:rPr>
          <w:b/>
          <w:bCs/>
          <w:i/>
          <w:iCs/>
        </w:rPr>
        <w:t>conflict</w:t>
      </w:r>
      <w:r w:rsidR="004B0D2D" w:rsidRPr="009C0C42">
        <w:rPr>
          <w:b/>
          <w:bCs/>
          <w:i/>
          <w:iCs/>
        </w:rPr>
        <w:t xml:space="preserve"> </w:t>
      </w:r>
      <w:r w:rsidR="557A838B" w:rsidRPr="009C0C42">
        <w:rPr>
          <w:b/>
          <w:bCs/>
          <w:i/>
          <w:iCs/>
        </w:rPr>
        <w:t xml:space="preserve">and </w:t>
      </w:r>
      <w:r w:rsidR="02DAFB31" w:rsidRPr="009C0C42">
        <w:rPr>
          <w:b/>
          <w:bCs/>
          <w:i/>
          <w:iCs/>
        </w:rPr>
        <w:t>ensure the</w:t>
      </w:r>
      <w:r w:rsidR="566AA000" w:rsidRPr="009C0C42">
        <w:rPr>
          <w:b/>
          <w:bCs/>
          <w:i/>
          <w:iCs/>
        </w:rPr>
        <w:t>ir return</w:t>
      </w:r>
      <w:r w:rsidRPr="009C0C42">
        <w:rPr>
          <w:b/>
          <w:bCs/>
          <w:i/>
        </w:rPr>
        <w:t xml:space="preserve"> to </w:t>
      </w:r>
      <w:r w:rsidR="2F9A60AE" w:rsidRPr="009C0C42">
        <w:rPr>
          <w:b/>
          <w:bCs/>
          <w:i/>
          <w:iCs/>
        </w:rPr>
        <w:t>their land and</w:t>
      </w:r>
      <w:r w:rsidR="6F8FD166" w:rsidRPr="009C0C42">
        <w:rPr>
          <w:b/>
          <w:bCs/>
          <w:i/>
          <w:iCs/>
        </w:rPr>
        <w:t xml:space="preserve"> property. </w:t>
      </w:r>
    </w:p>
    <w:p w14:paraId="6FA0B0A7" w14:textId="249960B1" w:rsidR="00C40E74" w:rsidRDefault="00C40E74" w:rsidP="00C40E74">
      <w:pPr>
        <w:pStyle w:val="Normal1"/>
      </w:pPr>
    </w:p>
    <w:sectPr w:rsidR="00C40E74" w:rsidSect="00FC0252">
      <w:footerReference w:type="even" r:id="rId11"/>
      <w:footerReference w:type="default" r:id="rId12"/>
      <w:pgSz w:w="12240" w:h="15840"/>
      <w:pgMar w:top="1440" w:right="101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7F261" w14:textId="77777777" w:rsidR="00626E11" w:rsidRDefault="00626E11" w:rsidP="00294AAA">
      <w:r>
        <w:separator/>
      </w:r>
    </w:p>
  </w:endnote>
  <w:endnote w:type="continuationSeparator" w:id="0">
    <w:p w14:paraId="14F08CAC" w14:textId="77777777" w:rsidR="00626E11" w:rsidRDefault="00626E11" w:rsidP="00294AAA">
      <w:r>
        <w:continuationSeparator/>
      </w:r>
    </w:p>
  </w:endnote>
  <w:endnote w:type="continuationNotice" w:id="1">
    <w:p w14:paraId="2CC8741B" w14:textId="77777777" w:rsidR="00626E11" w:rsidRDefault="00626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92058" w14:textId="77777777" w:rsidR="00CB76AC" w:rsidRDefault="00CB76AC" w:rsidP="000609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9B95F" w14:textId="77777777" w:rsidR="00CB76AC" w:rsidRDefault="00CB76AC" w:rsidP="00CB76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235E3" w14:textId="77777777" w:rsidR="00CB76AC" w:rsidRDefault="00CB76AC" w:rsidP="000609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F4FE071" w14:textId="77777777" w:rsidR="00CB76AC" w:rsidRDefault="00CB76AC" w:rsidP="00CB76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333A0" w14:textId="77777777" w:rsidR="00626E11" w:rsidRDefault="00626E11" w:rsidP="00294AAA">
      <w:r>
        <w:separator/>
      </w:r>
    </w:p>
  </w:footnote>
  <w:footnote w:type="continuationSeparator" w:id="0">
    <w:p w14:paraId="402EBD51" w14:textId="77777777" w:rsidR="00626E11" w:rsidRDefault="00626E11" w:rsidP="00294AAA">
      <w:r>
        <w:continuationSeparator/>
      </w:r>
    </w:p>
  </w:footnote>
  <w:footnote w:type="continuationNotice" w:id="1">
    <w:p w14:paraId="0FB56A3E" w14:textId="77777777" w:rsidR="00626E11" w:rsidRDefault="00626E11"/>
  </w:footnote>
  <w:footnote w:id="2">
    <w:p w14:paraId="17B240A6" w14:textId="75E850E0" w:rsidR="00E70F04" w:rsidRPr="00D22715" w:rsidRDefault="00E70F04">
      <w:pPr>
        <w:pStyle w:val="FootnoteText"/>
        <w:rPr>
          <w:lang w:val="en-GB"/>
        </w:rPr>
      </w:pPr>
      <w:r w:rsidRPr="00D22715">
        <w:rPr>
          <w:rStyle w:val="FootnoteReference"/>
        </w:rPr>
        <w:footnoteRef/>
      </w:r>
      <w:r w:rsidRPr="00D22715">
        <w:rPr>
          <w:lang w:val="en-GB"/>
        </w:rPr>
        <w:t xml:space="preserve"> </w:t>
      </w:r>
      <w:r w:rsidR="000C3944" w:rsidRPr="00D22715">
        <w:rPr>
          <w:sz w:val="20"/>
          <w:szCs w:val="20"/>
          <w:lang w:val="en-GB"/>
        </w:rPr>
        <w:t xml:space="preserve">Some parts of the information </w:t>
      </w:r>
      <w:r w:rsidR="426148F3" w:rsidRPr="00D22715">
        <w:rPr>
          <w:sz w:val="20"/>
          <w:szCs w:val="20"/>
          <w:lang w:val="en-GB"/>
        </w:rPr>
        <w:t xml:space="preserve">provided </w:t>
      </w:r>
      <w:r w:rsidR="00114BA7" w:rsidRPr="00D22715">
        <w:rPr>
          <w:sz w:val="20"/>
          <w:szCs w:val="20"/>
          <w:lang w:val="en-GB"/>
        </w:rPr>
        <w:t>were</w:t>
      </w:r>
      <w:r w:rsidR="000C3944" w:rsidRPr="00D22715">
        <w:rPr>
          <w:sz w:val="20"/>
          <w:szCs w:val="20"/>
          <w:lang w:val="en-GB"/>
        </w:rPr>
        <w:t xml:space="preserve"> taken </w:t>
      </w:r>
      <w:r w:rsidR="00114BA7" w:rsidRPr="00D22715">
        <w:rPr>
          <w:sz w:val="20"/>
          <w:szCs w:val="20"/>
          <w:lang w:val="en-GB"/>
        </w:rPr>
        <w:t xml:space="preserve">from the submission for the List of Issues to CEDAW for the </w:t>
      </w:r>
      <w:r w:rsidR="000D2212" w:rsidRPr="00D22715">
        <w:rPr>
          <w:sz w:val="20"/>
          <w:szCs w:val="20"/>
          <w:lang w:val="en-GB"/>
        </w:rPr>
        <w:t>8</w:t>
      </w:r>
      <w:r w:rsidR="000D2212" w:rsidRPr="00D22715">
        <w:rPr>
          <w:sz w:val="20"/>
          <w:szCs w:val="20"/>
          <w:vertAlign w:val="superscript"/>
          <w:lang w:val="en-GB"/>
        </w:rPr>
        <w:t>th</w:t>
      </w:r>
      <w:r w:rsidR="000D2212" w:rsidRPr="00D22715">
        <w:rPr>
          <w:sz w:val="20"/>
          <w:szCs w:val="20"/>
          <w:lang w:val="en-GB"/>
        </w:rPr>
        <w:t xml:space="preserve"> </w:t>
      </w:r>
      <w:r w:rsidR="00226186" w:rsidRPr="00D22715">
        <w:rPr>
          <w:sz w:val="20"/>
          <w:szCs w:val="20"/>
          <w:lang w:val="en-GB"/>
        </w:rPr>
        <w:t xml:space="preserve">periodic </w:t>
      </w:r>
      <w:r w:rsidR="00114BA7" w:rsidRPr="00D22715">
        <w:rPr>
          <w:sz w:val="20"/>
          <w:szCs w:val="20"/>
          <w:lang w:val="en-GB"/>
        </w:rPr>
        <w:t>review of Indonesia</w:t>
      </w:r>
      <w:r w:rsidR="002450A1" w:rsidRPr="00D22715">
        <w:rPr>
          <w:sz w:val="20"/>
          <w:szCs w:val="20"/>
          <w:lang w:val="en-GB"/>
        </w:rPr>
        <w:t xml:space="preserve"> by </w:t>
      </w:r>
      <w:r w:rsidR="426148F3" w:rsidRPr="00D22715">
        <w:rPr>
          <w:sz w:val="20"/>
          <w:szCs w:val="20"/>
          <w:lang w:val="en-GB"/>
        </w:rPr>
        <w:t>Franciscans International and Geneva for Human Rights</w:t>
      </w:r>
      <w:r w:rsidR="003C15E4" w:rsidRPr="00D22715">
        <w:rPr>
          <w:sz w:val="20"/>
          <w:szCs w:val="20"/>
          <w:lang w:val="en-GB"/>
        </w:rPr>
        <w:t xml:space="preserve"> and </w:t>
      </w:r>
      <w:r w:rsidR="00066816" w:rsidRPr="00D22715">
        <w:rPr>
          <w:sz w:val="20"/>
          <w:szCs w:val="20"/>
          <w:lang w:val="en-GB"/>
        </w:rPr>
        <w:t xml:space="preserve">the submission </w:t>
      </w:r>
      <w:r w:rsidR="003C15E4" w:rsidRPr="00D22715">
        <w:rPr>
          <w:sz w:val="20"/>
          <w:szCs w:val="20"/>
          <w:lang w:val="en-GB"/>
        </w:rPr>
        <w:t>by Asia Justice and Rights (AJAR).</w:t>
      </w:r>
      <w:r w:rsidR="002450A1" w:rsidRPr="00D22715">
        <w:rPr>
          <w:sz w:val="20"/>
          <w:szCs w:val="20"/>
          <w:lang w:val="en-GB"/>
        </w:rPr>
        <w:t xml:space="preserve"> </w:t>
      </w:r>
      <w:r w:rsidR="00114BA7" w:rsidRPr="00D22715">
        <w:rPr>
          <w:sz w:val="20"/>
          <w:szCs w:val="20"/>
          <w:lang w:val="en-GB"/>
        </w:rPr>
        <w:t xml:space="preserve"> </w:t>
      </w:r>
      <w:r w:rsidR="000C3944" w:rsidRPr="00D22715">
        <w:rPr>
          <w:lang w:val="en-GB"/>
        </w:rPr>
        <w:t xml:space="preserve"> </w:t>
      </w:r>
    </w:p>
  </w:footnote>
  <w:footnote w:id="3">
    <w:p w14:paraId="54C93181" w14:textId="551B8C53" w:rsidR="00D214F8" w:rsidRPr="00D22715" w:rsidRDefault="00D214F8">
      <w:pPr>
        <w:pStyle w:val="FootnoteText"/>
        <w:rPr>
          <w:lang w:val="en-US"/>
        </w:rPr>
      </w:pPr>
      <w:r w:rsidRPr="00D22715">
        <w:rPr>
          <w:rStyle w:val="FootnoteReference"/>
        </w:rPr>
        <w:footnoteRef/>
      </w:r>
      <w:r w:rsidRPr="00D22715">
        <w:t xml:space="preserve"> </w:t>
      </w:r>
      <w:r w:rsidRPr="00D22715">
        <w:rPr>
          <w:sz w:val="20"/>
          <w:szCs w:val="20"/>
          <w:lang w:val="en-GB"/>
        </w:rPr>
        <w:t>West Papua refers to Papua and Papua Barat Provinces in Indonesia.</w:t>
      </w:r>
      <w:r w:rsidRPr="00D22715">
        <w:rPr>
          <w:lang w:val="en-US"/>
        </w:rPr>
        <w:t xml:space="preserve"> </w:t>
      </w:r>
    </w:p>
  </w:footnote>
  <w:footnote w:id="4">
    <w:p w14:paraId="405D8B20" w14:textId="0AACD52B" w:rsidR="00822532" w:rsidRPr="00D22715" w:rsidRDefault="00822532" w:rsidP="00922111">
      <w:pPr>
        <w:pStyle w:val="FootnoteText"/>
        <w:rPr>
          <w:sz w:val="20"/>
          <w:szCs w:val="20"/>
          <w:lang w:val="en-GB"/>
        </w:rPr>
      </w:pPr>
      <w:r w:rsidRPr="00D22715">
        <w:rPr>
          <w:rStyle w:val="FootnoteReference"/>
          <w:sz w:val="20"/>
          <w:szCs w:val="20"/>
        </w:rPr>
        <w:footnoteRef/>
      </w:r>
      <w:r w:rsidR="426148F3" w:rsidRPr="00D22715">
        <w:rPr>
          <w:sz w:val="20"/>
          <w:szCs w:val="20"/>
          <w:lang w:val="en-GB"/>
        </w:rPr>
        <w:t xml:space="preserve"> </w:t>
      </w:r>
      <w:r w:rsidR="001C66CA" w:rsidRPr="00D22715">
        <w:rPr>
          <w:sz w:val="20"/>
          <w:szCs w:val="20"/>
          <w:lang w:val="en-GB"/>
        </w:rPr>
        <w:t xml:space="preserve">The Indonesian </w:t>
      </w:r>
      <w:r w:rsidR="00221018" w:rsidRPr="00D22715">
        <w:rPr>
          <w:sz w:val="20"/>
          <w:szCs w:val="20"/>
          <w:lang w:val="en-GB"/>
        </w:rPr>
        <w:t>Constitution</w:t>
      </w:r>
      <w:r w:rsidR="001C66CA" w:rsidRPr="00D22715">
        <w:rPr>
          <w:sz w:val="20"/>
          <w:szCs w:val="20"/>
          <w:lang w:val="en-GB"/>
        </w:rPr>
        <w:t xml:space="preserve">, </w:t>
      </w:r>
      <w:r w:rsidR="426148F3" w:rsidRPr="00D22715">
        <w:rPr>
          <w:sz w:val="20"/>
          <w:szCs w:val="20"/>
          <w:lang w:val="en-GB"/>
        </w:rPr>
        <w:t xml:space="preserve">Article 18B, Unofficial translation available at: </w:t>
      </w:r>
      <w:hyperlink r:id="rId1" w:history="1">
        <w:r w:rsidR="426148F3" w:rsidRPr="00D22715">
          <w:rPr>
            <w:rStyle w:val="Hyperlink"/>
            <w:sz w:val="20"/>
            <w:szCs w:val="20"/>
            <w:lang w:val="en-GB"/>
          </w:rPr>
          <w:t>https://www.constituteproject.org/constitution/Indonesia_2002.pdf?lang=en</w:t>
        </w:r>
      </w:hyperlink>
      <w:r w:rsidR="426148F3" w:rsidRPr="00D22715">
        <w:rPr>
          <w:sz w:val="20"/>
          <w:szCs w:val="20"/>
          <w:lang w:val="en-GB"/>
        </w:rPr>
        <w:t>. The term used in the Indonesian Constitution is “</w:t>
      </w:r>
      <w:r w:rsidR="009801C6" w:rsidRPr="00D22715">
        <w:rPr>
          <w:sz w:val="20"/>
          <w:szCs w:val="20"/>
          <w:lang w:val="en-GB"/>
        </w:rPr>
        <w:t>M</w:t>
      </w:r>
      <w:r w:rsidR="426148F3" w:rsidRPr="00D22715">
        <w:rPr>
          <w:sz w:val="20"/>
          <w:szCs w:val="20"/>
          <w:lang w:val="en-GB"/>
        </w:rPr>
        <w:t xml:space="preserve">asyarakat </w:t>
      </w:r>
      <w:r w:rsidR="009801C6" w:rsidRPr="00D22715">
        <w:rPr>
          <w:sz w:val="20"/>
          <w:szCs w:val="20"/>
          <w:lang w:val="en-GB"/>
        </w:rPr>
        <w:t>H</w:t>
      </w:r>
      <w:r w:rsidR="426148F3" w:rsidRPr="00D22715">
        <w:rPr>
          <w:sz w:val="20"/>
          <w:szCs w:val="20"/>
          <w:lang w:val="en-GB"/>
        </w:rPr>
        <w:t xml:space="preserve">ukum </w:t>
      </w:r>
      <w:proofErr w:type="spellStart"/>
      <w:r w:rsidR="009801C6" w:rsidRPr="00D22715">
        <w:rPr>
          <w:sz w:val="20"/>
          <w:szCs w:val="20"/>
          <w:lang w:val="en-GB"/>
        </w:rPr>
        <w:t>A</w:t>
      </w:r>
      <w:r w:rsidR="426148F3" w:rsidRPr="00D22715">
        <w:rPr>
          <w:sz w:val="20"/>
          <w:szCs w:val="20"/>
          <w:lang w:val="en-GB"/>
        </w:rPr>
        <w:t>dat</w:t>
      </w:r>
      <w:proofErr w:type="spellEnd"/>
      <w:r w:rsidR="426148F3" w:rsidRPr="00D22715">
        <w:rPr>
          <w:sz w:val="20"/>
          <w:szCs w:val="20"/>
          <w:lang w:val="en-GB"/>
        </w:rPr>
        <w:t>” or customary law communities instead of “</w:t>
      </w:r>
      <w:proofErr w:type="spellStart"/>
      <w:r w:rsidR="426148F3" w:rsidRPr="00D22715">
        <w:rPr>
          <w:sz w:val="20"/>
          <w:szCs w:val="20"/>
          <w:lang w:val="en-GB"/>
        </w:rPr>
        <w:t>masyarakat</w:t>
      </w:r>
      <w:proofErr w:type="spellEnd"/>
      <w:r w:rsidR="426148F3" w:rsidRPr="00D22715">
        <w:rPr>
          <w:sz w:val="20"/>
          <w:szCs w:val="20"/>
          <w:lang w:val="en-GB"/>
        </w:rPr>
        <w:t xml:space="preserve"> </w:t>
      </w:r>
      <w:proofErr w:type="spellStart"/>
      <w:r w:rsidR="426148F3" w:rsidRPr="00D22715">
        <w:rPr>
          <w:sz w:val="20"/>
          <w:szCs w:val="20"/>
          <w:lang w:val="en-GB"/>
        </w:rPr>
        <w:t>adat</w:t>
      </w:r>
      <w:proofErr w:type="spellEnd"/>
      <w:r w:rsidR="426148F3" w:rsidRPr="00D22715">
        <w:rPr>
          <w:sz w:val="20"/>
          <w:szCs w:val="20"/>
          <w:lang w:val="en-GB"/>
        </w:rPr>
        <w:t>,” or customary communities. The term “</w:t>
      </w:r>
      <w:proofErr w:type="spellStart"/>
      <w:r w:rsidR="426148F3" w:rsidRPr="00D22715">
        <w:rPr>
          <w:sz w:val="20"/>
          <w:szCs w:val="20"/>
          <w:lang w:val="en-GB"/>
        </w:rPr>
        <w:t>hukum</w:t>
      </w:r>
      <w:proofErr w:type="spellEnd"/>
      <w:r w:rsidR="426148F3" w:rsidRPr="00D22715">
        <w:rPr>
          <w:sz w:val="20"/>
          <w:szCs w:val="20"/>
          <w:lang w:val="en-GB"/>
        </w:rPr>
        <w:t>” in the “</w:t>
      </w:r>
      <w:proofErr w:type="spellStart"/>
      <w:r w:rsidR="426148F3" w:rsidRPr="00D22715">
        <w:rPr>
          <w:sz w:val="20"/>
          <w:szCs w:val="20"/>
          <w:lang w:val="en-GB"/>
        </w:rPr>
        <w:t>masyarakat</w:t>
      </w:r>
      <w:proofErr w:type="spellEnd"/>
      <w:r w:rsidR="426148F3" w:rsidRPr="00D22715">
        <w:rPr>
          <w:sz w:val="20"/>
          <w:szCs w:val="20"/>
          <w:lang w:val="en-GB"/>
        </w:rPr>
        <w:t xml:space="preserve"> </w:t>
      </w:r>
      <w:proofErr w:type="spellStart"/>
      <w:r w:rsidR="426148F3" w:rsidRPr="00D22715">
        <w:rPr>
          <w:sz w:val="20"/>
          <w:szCs w:val="20"/>
          <w:lang w:val="en-GB"/>
        </w:rPr>
        <w:t>hukum</w:t>
      </w:r>
      <w:proofErr w:type="spellEnd"/>
      <w:r w:rsidR="426148F3" w:rsidRPr="00D22715">
        <w:rPr>
          <w:sz w:val="20"/>
          <w:szCs w:val="20"/>
          <w:lang w:val="en-GB"/>
        </w:rPr>
        <w:t xml:space="preserve"> </w:t>
      </w:r>
      <w:proofErr w:type="spellStart"/>
      <w:r w:rsidR="426148F3" w:rsidRPr="00D22715">
        <w:rPr>
          <w:sz w:val="20"/>
          <w:szCs w:val="20"/>
          <w:lang w:val="en-GB"/>
        </w:rPr>
        <w:t>adat</w:t>
      </w:r>
      <w:proofErr w:type="spellEnd"/>
      <w:r w:rsidR="426148F3" w:rsidRPr="00D22715">
        <w:rPr>
          <w:sz w:val="20"/>
          <w:szCs w:val="20"/>
          <w:lang w:val="en-GB"/>
        </w:rPr>
        <w:t xml:space="preserve">” refers to law or legal recognition from the authorities. </w:t>
      </w:r>
    </w:p>
  </w:footnote>
  <w:footnote w:id="5">
    <w:p w14:paraId="66980D4E" w14:textId="1105BA7B" w:rsidR="009D48F7" w:rsidRPr="00D22715" w:rsidRDefault="009D48F7">
      <w:pPr>
        <w:pStyle w:val="FootnoteText"/>
      </w:pPr>
      <w:r w:rsidRPr="00D22715">
        <w:rPr>
          <w:rStyle w:val="FootnoteReference"/>
        </w:rPr>
        <w:footnoteRef/>
      </w:r>
      <w:r w:rsidRPr="00D22715">
        <w:t xml:space="preserve"> </w:t>
      </w:r>
      <w:r w:rsidR="00D95A92" w:rsidRPr="00D22715">
        <w:rPr>
          <w:sz w:val="20"/>
          <w:szCs w:val="20"/>
          <w:lang w:val="en-GB"/>
        </w:rPr>
        <w:t xml:space="preserve">UN Universal Periodic Review, </w:t>
      </w:r>
      <w:r w:rsidR="00F07A69" w:rsidRPr="00D22715">
        <w:rPr>
          <w:sz w:val="20"/>
          <w:szCs w:val="20"/>
          <w:lang w:val="en-GB"/>
        </w:rPr>
        <w:t>Indonesian</w:t>
      </w:r>
      <w:r w:rsidR="00F07A69" w:rsidRPr="00D22715">
        <w:rPr>
          <w:sz w:val="20"/>
          <w:szCs w:val="20"/>
        </w:rPr>
        <w:t xml:space="preserve"> N</w:t>
      </w:r>
      <w:proofErr w:type="spellStart"/>
      <w:r w:rsidRPr="00D22715">
        <w:rPr>
          <w:sz w:val="20"/>
          <w:szCs w:val="20"/>
          <w:lang w:val="en-GB"/>
        </w:rPr>
        <w:t>ational</w:t>
      </w:r>
      <w:proofErr w:type="spellEnd"/>
      <w:r w:rsidRPr="00D22715">
        <w:rPr>
          <w:sz w:val="20"/>
          <w:szCs w:val="20"/>
          <w:lang w:val="en-GB"/>
        </w:rPr>
        <w:t xml:space="preserve"> Report to Human Rights Council Working Group on the Universal Periodic Review, A/HRC/WG.6/27/IDN/1, 20 February 2017</w:t>
      </w:r>
      <w:r w:rsidR="00F07A69" w:rsidRPr="00D22715">
        <w:rPr>
          <w:sz w:val="20"/>
          <w:szCs w:val="20"/>
          <w:lang w:val="en-GB"/>
        </w:rPr>
        <w:t>.</w:t>
      </w:r>
    </w:p>
  </w:footnote>
  <w:footnote w:id="6">
    <w:p w14:paraId="2F7B5F57" w14:textId="279642F8" w:rsidR="00314855" w:rsidRPr="00D22715" w:rsidRDefault="00314855" w:rsidP="00314855">
      <w:pPr>
        <w:pStyle w:val="FootnoteText"/>
      </w:pPr>
      <w:r w:rsidRPr="00D22715">
        <w:rPr>
          <w:rStyle w:val="FootnoteReference"/>
        </w:rPr>
        <w:footnoteRef/>
      </w:r>
      <w:r w:rsidRPr="00D22715">
        <w:t xml:space="preserve"> </w:t>
      </w:r>
      <w:r w:rsidR="004603AA" w:rsidRPr="00FF1348">
        <w:rPr>
          <w:sz w:val="20"/>
          <w:szCs w:val="20"/>
        </w:rPr>
        <w:t>Special Autonomy Law for Papua No. 21/2001</w:t>
      </w:r>
      <w:r w:rsidR="00FF1348" w:rsidRPr="00FF1348">
        <w:rPr>
          <w:sz w:val="20"/>
          <w:szCs w:val="20"/>
        </w:rPr>
        <w:t xml:space="preserve">, </w:t>
      </w:r>
      <w:r w:rsidR="00FF1348">
        <w:rPr>
          <w:sz w:val="20"/>
          <w:szCs w:val="20"/>
        </w:rPr>
        <w:t>t</w:t>
      </w:r>
      <w:r w:rsidRPr="00D22715">
        <w:rPr>
          <w:sz w:val="20"/>
          <w:szCs w:val="20"/>
        </w:rPr>
        <w:t xml:space="preserve">he English unofficial translation of the Special Autonomy Law for Papua </w:t>
      </w:r>
      <w:r w:rsidR="00376E0D">
        <w:rPr>
          <w:sz w:val="20"/>
          <w:szCs w:val="20"/>
        </w:rPr>
        <w:t xml:space="preserve">is accessible at </w:t>
      </w:r>
      <w:hyperlink r:id="rId2" w:history="1">
        <w:r w:rsidRPr="00D22715">
          <w:rPr>
            <w:sz w:val="20"/>
            <w:szCs w:val="20"/>
          </w:rPr>
          <w:t>https://www.ilo.org/dyn/natlex/natlex4.detail?p_lang=&amp;p_isn=84431</w:t>
        </w:r>
      </w:hyperlink>
      <w:r w:rsidR="00FF1348">
        <w:rPr>
          <w:sz w:val="20"/>
          <w:szCs w:val="20"/>
        </w:rPr>
        <w:t xml:space="preserve"> </w:t>
      </w:r>
      <w:r w:rsidRPr="00D22715">
        <w:t xml:space="preserve"> </w:t>
      </w:r>
    </w:p>
  </w:footnote>
  <w:footnote w:id="7">
    <w:p w14:paraId="2B0547E0" w14:textId="52AD3D70" w:rsidR="00314855" w:rsidRPr="00D22715" w:rsidRDefault="00314855" w:rsidP="00314855">
      <w:pPr>
        <w:rPr>
          <w:rFonts w:ascii="Arial" w:hAnsi="Arial" w:cs="Arial"/>
          <w:lang w:val="en-US"/>
        </w:rPr>
      </w:pPr>
      <w:r w:rsidRPr="00D22715">
        <w:rPr>
          <w:rStyle w:val="FootnoteReference"/>
          <w:rFonts w:ascii="Arial" w:hAnsi="Arial" w:cs="Arial"/>
        </w:rPr>
        <w:footnoteRef/>
      </w:r>
      <w:r w:rsidRPr="00D22715">
        <w:rPr>
          <w:rFonts w:ascii="Arial" w:hAnsi="Arial" w:cs="Arial"/>
        </w:rPr>
        <w:t xml:space="preserve"> </w:t>
      </w:r>
      <w:r w:rsidRPr="00D22715">
        <w:rPr>
          <w:rFonts w:ascii="Arial" w:eastAsia="Arial" w:hAnsi="Arial" w:cs="Arial"/>
          <w:sz w:val="20"/>
          <w:szCs w:val="20"/>
          <w:lang w:eastAsia="en-US"/>
        </w:rPr>
        <w:t>Idem, Article 1</w:t>
      </w:r>
      <w:r w:rsidR="006F45C0" w:rsidRPr="00D22715">
        <w:rPr>
          <w:rFonts w:ascii="Arial" w:eastAsia="Arial" w:hAnsi="Arial" w:cs="Arial"/>
          <w:sz w:val="20"/>
          <w:szCs w:val="20"/>
          <w:lang w:eastAsia="en-US"/>
        </w:rPr>
        <w:t>t</w:t>
      </w:r>
      <w:r w:rsidRPr="00D22715">
        <w:rPr>
          <w:rFonts w:ascii="Arial" w:eastAsia="Arial" w:hAnsi="Arial" w:cs="Arial"/>
          <w:sz w:val="20"/>
          <w:szCs w:val="20"/>
          <w:lang w:eastAsia="en-US"/>
        </w:rPr>
        <w:t xml:space="preserve"> says “Papua native is a person originating from the Melanesian race group, comprising native ethnic groups in Papua Province and/or a person accepted and acknowledged as a Papua native by the Papua </w:t>
      </w:r>
      <w:proofErr w:type="spellStart"/>
      <w:r w:rsidRPr="00D22715">
        <w:rPr>
          <w:rFonts w:ascii="Arial" w:eastAsia="Arial" w:hAnsi="Arial" w:cs="Arial"/>
          <w:sz w:val="20"/>
          <w:szCs w:val="20"/>
          <w:lang w:eastAsia="en-US"/>
        </w:rPr>
        <w:t>adat</w:t>
      </w:r>
      <w:proofErr w:type="spellEnd"/>
      <w:r w:rsidRPr="00D22715">
        <w:rPr>
          <w:rFonts w:ascii="Arial" w:eastAsia="Arial" w:hAnsi="Arial" w:cs="Arial"/>
          <w:sz w:val="20"/>
          <w:szCs w:val="20"/>
          <w:lang w:eastAsia="en-US"/>
        </w:rPr>
        <w:t xml:space="preserve"> </w:t>
      </w:r>
      <w:r w:rsidR="00E27CBD" w:rsidRPr="00D22715">
        <w:rPr>
          <w:rFonts w:ascii="Arial" w:eastAsia="Arial" w:hAnsi="Arial" w:cs="Arial"/>
          <w:sz w:val="20"/>
          <w:szCs w:val="20"/>
          <w:lang w:eastAsia="en-US"/>
        </w:rPr>
        <w:t>community. “</w:t>
      </w:r>
      <w:r w:rsidRPr="00D22715">
        <w:rPr>
          <w:rFonts w:ascii="Arial" w:eastAsia="Arial" w:hAnsi="Arial" w:cs="Arial"/>
          <w:sz w:val="20"/>
          <w:szCs w:val="20"/>
          <w:lang w:eastAsia="en-US"/>
        </w:rPr>
        <w:t xml:space="preserve"> </w:t>
      </w:r>
    </w:p>
  </w:footnote>
  <w:footnote w:id="8">
    <w:p w14:paraId="04A329DB" w14:textId="3500C80D" w:rsidR="00314855" w:rsidRPr="00D22715" w:rsidRDefault="00314855" w:rsidP="00314855">
      <w:pPr>
        <w:pStyle w:val="FootnoteText"/>
        <w:rPr>
          <w:lang w:val="en-US"/>
        </w:rPr>
      </w:pPr>
      <w:r w:rsidRPr="00D22715">
        <w:rPr>
          <w:rStyle w:val="FootnoteReference"/>
        </w:rPr>
        <w:footnoteRef/>
      </w:r>
      <w:r w:rsidRPr="00D22715">
        <w:t xml:space="preserve"> </w:t>
      </w:r>
      <w:r w:rsidRPr="00D22715">
        <w:rPr>
          <w:sz w:val="20"/>
          <w:szCs w:val="20"/>
        </w:rPr>
        <w:t>Idem, Article 5.2.</w:t>
      </w:r>
      <w:r w:rsidRPr="00D22715">
        <w:t xml:space="preserve"> </w:t>
      </w:r>
      <w:r w:rsidR="00B51637" w:rsidRPr="00D22715">
        <w:t>“</w:t>
      </w:r>
      <w:r w:rsidR="00B51637" w:rsidRPr="00D22715">
        <w:rPr>
          <w:sz w:val="20"/>
          <w:szCs w:val="20"/>
        </w:rPr>
        <w:t xml:space="preserve">In executing the Special Autonomy in the Papua </w:t>
      </w:r>
      <w:proofErr w:type="gramStart"/>
      <w:r w:rsidR="00B51637" w:rsidRPr="00D22715">
        <w:rPr>
          <w:sz w:val="20"/>
          <w:szCs w:val="20"/>
        </w:rPr>
        <w:t>Province</w:t>
      </w:r>
      <w:proofErr w:type="gramEnd"/>
      <w:r w:rsidR="00B51637" w:rsidRPr="00D22715">
        <w:rPr>
          <w:sz w:val="20"/>
          <w:szCs w:val="20"/>
        </w:rPr>
        <w:t xml:space="preserve"> a Papua People's Assembly shall be formed which is the cultural representation of the Papua natives with certain authorities to protect the rights of the Papua natives, based on respect to customs (</w:t>
      </w:r>
      <w:proofErr w:type="spellStart"/>
      <w:r w:rsidR="00B51637" w:rsidRPr="00D22715">
        <w:rPr>
          <w:sz w:val="20"/>
          <w:szCs w:val="20"/>
        </w:rPr>
        <w:t>adat</w:t>
      </w:r>
      <w:proofErr w:type="spellEnd"/>
      <w:r w:rsidR="00B51637" w:rsidRPr="00D22715">
        <w:rPr>
          <w:sz w:val="20"/>
          <w:szCs w:val="20"/>
        </w:rPr>
        <w:t>) and culture, empowerment of women and stabilization of a harmonious religious life.</w:t>
      </w:r>
      <w:r w:rsidR="00583A01" w:rsidRPr="00D22715">
        <w:rPr>
          <w:sz w:val="20"/>
          <w:szCs w:val="20"/>
        </w:rPr>
        <w:t>”</w:t>
      </w:r>
    </w:p>
  </w:footnote>
  <w:footnote w:id="9">
    <w:p w14:paraId="5FAF25BC" w14:textId="4419BCF9" w:rsidR="00C23F93" w:rsidRPr="00D22715" w:rsidRDefault="00C23F93">
      <w:pPr>
        <w:pStyle w:val="FootnoteText"/>
      </w:pPr>
      <w:r w:rsidRPr="00D22715">
        <w:rPr>
          <w:rStyle w:val="FootnoteReference"/>
        </w:rPr>
        <w:footnoteRef/>
      </w:r>
      <w:r w:rsidRPr="00D22715">
        <w:t xml:space="preserve"> </w:t>
      </w:r>
      <w:r w:rsidR="005C38B4" w:rsidRPr="00D22715">
        <w:rPr>
          <w:sz w:val="20"/>
          <w:szCs w:val="20"/>
          <w:lang w:val="en-US"/>
        </w:rPr>
        <w:t xml:space="preserve">Decision </w:t>
      </w:r>
      <w:r w:rsidR="00070826" w:rsidRPr="00D22715">
        <w:rPr>
          <w:sz w:val="20"/>
          <w:szCs w:val="20"/>
          <w:lang w:val="en-US"/>
        </w:rPr>
        <w:t>No</w:t>
      </w:r>
      <w:r w:rsidR="002F6A03" w:rsidRPr="00D22715">
        <w:rPr>
          <w:sz w:val="20"/>
          <w:szCs w:val="20"/>
          <w:lang w:val="en-US"/>
        </w:rPr>
        <w:t xml:space="preserve">. </w:t>
      </w:r>
      <w:r w:rsidR="00D07EC2" w:rsidRPr="00D22715">
        <w:rPr>
          <w:sz w:val="20"/>
          <w:szCs w:val="20"/>
          <w:lang w:val="en-US"/>
        </w:rPr>
        <w:t xml:space="preserve">35/PUU-X/2012 </w:t>
      </w:r>
      <w:r w:rsidR="002F6A03" w:rsidRPr="00D22715">
        <w:rPr>
          <w:sz w:val="20"/>
          <w:szCs w:val="20"/>
          <w:lang w:val="en-US"/>
        </w:rPr>
        <w:t>of the Indonesian Constitutional Court</w:t>
      </w:r>
      <w:r w:rsidR="00A4229E" w:rsidRPr="00D22715">
        <w:rPr>
          <w:sz w:val="20"/>
          <w:szCs w:val="20"/>
          <w:lang w:val="en-US"/>
        </w:rPr>
        <w:t xml:space="preserve">. </w:t>
      </w:r>
      <w:r w:rsidR="00EF21CA" w:rsidRPr="00D22715">
        <w:rPr>
          <w:sz w:val="20"/>
          <w:szCs w:val="20"/>
          <w:lang w:val="en-US"/>
        </w:rPr>
        <w:t xml:space="preserve"> </w:t>
      </w:r>
      <w:r w:rsidR="00473B33">
        <w:rPr>
          <w:sz w:val="20"/>
          <w:szCs w:val="20"/>
          <w:lang w:val="en-US"/>
        </w:rPr>
        <w:t>The</w:t>
      </w:r>
      <w:r w:rsidR="00D92810" w:rsidRPr="00D22715">
        <w:rPr>
          <w:sz w:val="20"/>
          <w:szCs w:val="20"/>
          <w:lang w:val="en-US"/>
        </w:rPr>
        <w:t xml:space="preserve"> </w:t>
      </w:r>
      <w:r w:rsidR="00A4229E" w:rsidRPr="00D22715">
        <w:rPr>
          <w:sz w:val="20"/>
          <w:szCs w:val="20"/>
          <w:lang w:val="en-US"/>
        </w:rPr>
        <w:t xml:space="preserve">unofficial translation </w:t>
      </w:r>
      <w:r w:rsidR="00473B33">
        <w:rPr>
          <w:sz w:val="20"/>
          <w:szCs w:val="20"/>
          <w:lang w:val="en-US"/>
        </w:rPr>
        <w:t xml:space="preserve">is accessible </w:t>
      </w:r>
      <w:r w:rsidR="00A4229E" w:rsidRPr="00D22715">
        <w:rPr>
          <w:sz w:val="20"/>
          <w:szCs w:val="20"/>
          <w:lang w:val="en-US"/>
        </w:rPr>
        <w:t xml:space="preserve">at </w:t>
      </w:r>
      <w:hyperlink r:id="rId3" w:history="1">
        <w:r w:rsidR="00421208" w:rsidRPr="00D22715">
          <w:rPr>
            <w:sz w:val="20"/>
            <w:szCs w:val="20"/>
            <w:lang w:val="en-US"/>
          </w:rPr>
          <w:t>https://www.forestpeoples.org/sites/default/files/news/2013/05/Constitutional_Court_Ruling_Indonesia_16_May_2013_English.pdf</w:t>
        </w:r>
      </w:hyperlink>
      <w:r w:rsidR="00421208" w:rsidRPr="00D22715">
        <w:rPr>
          <w:sz w:val="20"/>
          <w:szCs w:val="20"/>
          <w:lang w:val="en-US"/>
        </w:rPr>
        <w:t>.</w:t>
      </w:r>
      <w:r w:rsidR="00421208" w:rsidRPr="00D22715">
        <w:t xml:space="preserve"> </w:t>
      </w:r>
    </w:p>
  </w:footnote>
  <w:footnote w:id="10">
    <w:p w14:paraId="5D4798B4" w14:textId="77777777" w:rsidR="00F2604F" w:rsidRPr="00D22715" w:rsidRDefault="00822532">
      <w:pPr>
        <w:pStyle w:val="FootnoteText"/>
        <w:rPr>
          <w:sz w:val="20"/>
          <w:szCs w:val="20"/>
          <w:lang w:val="en-US"/>
        </w:rPr>
      </w:pPr>
      <w:r w:rsidRPr="00D22715">
        <w:rPr>
          <w:rStyle w:val="FootnoteReference"/>
          <w:sz w:val="20"/>
          <w:szCs w:val="20"/>
        </w:rPr>
        <w:footnoteRef/>
      </w:r>
      <w:r w:rsidRPr="00D22715">
        <w:rPr>
          <w:sz w:val="20"/>
          <w:szCs w:val="20"/>
        </w:rPr>
        <w:t xml:space="preserve"> Concluding observations on the </w:t>
      </w:r>
      <w:proofErr w:type="spellStart"/>
      <w:r w:rsidRPr="00D22715">
        <w:rPr>
          <w:sz w:val="20"/>
          <w:szCs w:val="20"/>
        </w:rPr>
        <w:t>intial</w:t>
      </w:r>
      <w:proofErr w:type="spellEnd"/>
      <w:r w:rsidRPr="00D22715">
        <w:rPr>
          <w:sz w:val="20"/>
          <w:szCs w:val="20"/>
        </w:rPr>
        <w:t xml:space="preserve"> report of Indonesia, Committee on Economic, Social and Cultural Rights, 19 June 2014, E/C.12/IDN/CO/1, </w:t>
      </w:r>
      <w:r w:rsidRPr="00D22715">
        <w:rPr>
          <w:sz w:val="20"/>
          <w:szCs w:val="20"/>
          <w:lang w:val="en-US"/>
        </w:rPr>
        <w:t>paras. 38-39</w:t>
      </w:r>
      <w:r w:rsidR="00F2604F" w:rsidRPr="00D22715">
        <w:rPr>
          <w:sz w:val="20"/>
          <w:szCs w:val="20"/>
          <w:lang w:val="en-US"/>
        </w:rPr>
        <w:t>.</w:t>
      </w:r>
    </w:p>
  </w:footnote>
  <w:footnote w:id="11">
    <w:p w14:paraId="756FA715" w14:textId="1478FC5A" w:rsidR="00887FAD" w:rsidRPr="00D22715" w:rsidRDefault="00887FAD" w:rsidP="00887FAD">
      <w:pPr>
        <w:pStyle w:val="FootnoteText"/>
        <w:rPr>
          <w:lang w:val="en-GB"/>
        </w:rPr>
      </w:pPr>
      <w:r w:rsidRPr="00D22715">
        <w:rPr>
          <w:rStyle w:val="FootnoteReference"/>
        </w:rPr>
        <w:footnoteRef/>
      </w:r>
      <w:r w:rsidRPr="00D22715">
        <w:t xml:space="preserve"> </w:t>
      </w:r>
      <w:r w:rsidR="009A6F6C">
        <w:rPr>
          <w:sz w:val="20"/>
          <w:szCs w:val="20"/>
        </w:rPr>
        <w:t xml:space="preserve">UN Committee </w:t>
      </w:r>
      <w:r w:rsidR="00403B3F">
        <w:rPr>
          <w:sz w:val="20"/>
          <w:szCs w:val="20"/>
        </w:rPr>
        <w:t xml:space="preserve">on the </w:t>
      </w:r>
      <w:r w:rsidR="00AE611C">
        <w:rPr>
          <w:sz w:val="20"/>
          <w:szCs w:val="20"/>
        </w:rPr>
        <w:t>Elimination of Racial Discrimination, l</w:t>
      </w:r>
      <w:r w:rsidRPr="00D22715">
        <w:rPr>
          <w:sz w:val="20"/>
          <w:szCs w:val="20"/>
        </w:rPr>
        <w:t>etter of the Committee on the Elimination of Racial Discrimination to the Government of Indonesia, 30 April 2021, CERD/EWUAP/103rd Session/2021/MJ/CS/</w:t>
      </w:r>
      <w:proofErr w:type="spellStart"/>
      <w:r w:rsidRPr="00D22715">
        <w:rPr>
          <w:sz w:val="20"/>
          <w:szCs w:val="20"/>
        </w:rPr>
        <w:t>ks</w:t>
      </w:r>
      <w:proofErr w:type="spellEnd"/>
      <w:r w:rsidRPr="00D22715">
        <w:rPr>
          <w:sz w:val="20"/>
          <w:szCs w:val="20"/>
        </w:rPr>
        <w:t xml:space="preserve">. </w:t>
      </w:r>
    </w:p>
  </w:footnote>
  <w:footnote w:id="12">
    <w:p w14:paraId="04722065" w14:textId="0CC7DB1B" w:rsidR="00822532" w:rsidRPr="00D22715" w:rsidRDefault="00822532">
      <w:pPr>
        <w:pStyle w:val="FootnoteText"/>
        <w:rPr>
          <w:sz w:val="20"/>
          <w:szCs w:val="20"/>
          <w:lang w:val="en-US"/>
        </w:rPr>
      </w:pPr>
      <w:r w:rsidRPr="00D22715">
        <w:rPr>
          <w:rStyle w:val="FootnoteReference"/>
          <w:sz w:val="20"/>
          <w:szCs w:val="20"/>
        </w:rPr>
        <w:footnoteRef/>
      </w:r>
      <w:r w:rsidRPr="00D22715">
        <w:rPr>
          <w:sz w:val="20"/>
          <w:szCs w:val="20"/>
        </w:rPr>
        <w:t xml:space="preserve"> Indigenous and Tribal Peoples Convention, </w:t>
      </w:r>
      <w:r w:rsidR="426148F3" w:rsidRPr="00D22715">
        <w:rPr>
          <w:sz w:val="20"/>
          <w:szCs w:val="20"/>
        </w:rPr>
        <w:t xml:space="preserve">International Labor Organization, </w:t>
      </w:r>
      <w:r w:rsidRPr="00D22715">
        <w:rPr>
          <w:sz w:val="20"/>
          <w:szCs w:val="20"/>
        </w:rPr>
        <w:t xml:space="preserve">1989 (No. 169), </w:t>
      </w:r>
      <w:r w:rsidRPr="00D22715">
        <w:rPr>
          <w:sz w:val="20"/>
          <w:szCs w:val="20"/>
          <w:lang w:val="en-US"/>
        </w:rPr>
        <w:t>Article 1(2)</w:t>
      </w:r>
    </w:p>
  </w:footnote>
  <w:footnote w:id="13">
    <w:p w14:paraId="140A4F27" w14:textId="69E198F3" w:rsidR="00822532" w:rsidRPr="00D22715" w:rsidRDefault="00822532" w:rsidP="004A31AF">
      <w:pPr>
        <w:pStyle w:val="FootnoteText"/>
        <w:rPr>
          <w:sz w:val="20"/>
          <w:szCs w:val="20"/>
        </w:rPr>
      </w:pPr>
      <w:r w:rsidRPr="00D22715">
        <w:rPr>
          <w:rStyle w:val="FootnoteReference"/>
          <w:sz w:val="20"/>
          <w:szCs w:val="20"/>
        </w:rPr>
        <w:footnoteRef/>
      </w:r>
      <w:r w:rsidRPr="00D22715">
        <w:rPr>
          <w:sz w:val="20"/>
          <w:szCs w:val="20"/>
        </w:rPr>
        <w:t xml:space="preserve"> </w:t>
      </w:r>
      <w:r w:rsidR="00D9692D">
        <w:rPr>
          <w:sz w:val="20"/>
          <w:szCs w:val="20"/>
        </w:rPr>
        <w:t xml:space="preserve">UN Committee on the Elimination against Racial Discrimination, </w:t>
      </w:r>
      <w:r w:rsidRPr="00D22715">
        <w:rPr>
          <w:sz w:val="20"/>
          <w:szCs w:val="20"/>
        </w:rPr>
        <w:t>General Recommendation VIII Concerning the Interpretation and Application of Article 1, Paragraphs 1 and 4 of the Convention Identification with a Particular Racial or Ethnic Group, Adopted at the Thirty-eighth session of the Committee on the Elimination of Racial Discrimination, on 22 August 1990</w:t>
      </w:r>
    </w:p>
    <w:p w14:paraId="3FE934E3" w14:textId="6A8B57BE" w:rsidR="00822532" w:rsidRPr="00D22715" w:rsidRDefault="00822532" w:rsidP="004A31AF">
      <w:pPr>
        <w:pStyle w:val="FootnoteText"/>
        <w:rPr>
          <w:sz w:val="20"/>
          <w:szCs w:val="20"/>
        </w:rPr>
      </w:pPr>
      <w:r w:rsidRPr="00D22715">
        <w:rPr>
          <w:sz w:val="20"/>
          <w:szCs w:val="20"/>
        </w:rPr>
        <w:t>(Contained in Document A/45/18)</w:t>
      </w:r>
    </w:p>
  </w:footnote>
  <w:footnote w:id="14">
    <w:p w14:paraId="6E85775D" w14:textId="55891633" w:rsidR="00822532" w:rsidRPr="00D22715" w:rsidRDefault="00822532">
      <w:pPr>
        <w:pStyle w:val="FootnoteText"/>
        <w:rPr>
          <w:lang w:val="en-US"/>
        </w:rPr>
      </w:pPr>
      <w:r w:rsidRPr="00D22715">
        <w:rPr>
          <w:rStyle w:val="FootnoteReference"/>
          <w:sz w:val="20"/>
          <w:szCs w:val="20"/>
        </w:rPr>
        <w:footnoteRef/>
      </w:r>
      <w:r w:rsidR="426148F3" w:rsidRPr="00D22715">
        <w:rPr>
          <w:sz w:val="20"/>
          <w:szCs w:val="20"/>
        </w:rPr>
        <w:t xml:space="preserve"> UN Declaration on the Rights of Indigenous Peoples, Resolution Adopted by the General Assembly on 13 September 2007, </w:t>
      </w:r>
      <w:r w:rsidR="426148F3" w:rsidRPr="00D22715">
        <w:rPr>
          <w:sz w:val="20"/>
          <w:szCs w:val="20"/>
          <w:lang w:val="en-US"/>
        </w:rPr>
        <w:t>Article 33</w:t>
      </w:r>
    </w:p>
  </w:footnote>
  <w:footnote w:id="15">
    <w:p w14:paraId="2FCB5BE5" w14:textId="46C63EFE" w:rsidR="002E019F" w:rsidRPr="00D22715" w:rsidRDefault="002E019F">
      <w:pPr>
        <w:pStyle w:val="FootnoteText"/>
      </w:pPr>
      <w:r w:rsidRPr="00D22715">
        <w:rPr>
          <w:rStyle w:val="FootnoteReference"/>
        </w:rPr>
        <w:footnoteRef/>
      </w:r>
      <w:r w:rsidRPr="00D22715">
        <w:t xml:space="preserve"> </w:t>
      </w:r>
      <w:r w:rsidRPr="00D22715">
        <w:rPr>
          <w:sz w:val="20"/>
          <w:szCs w:val="20"/>
        </w:rPr>
        <w:t xml:space="preserve"> </w:t>
      </w:r>
      <w:r w:rsidR="00FC60FC" w:rsidRPr="00D22715">
        <w:rPr>
          <w:sz w:val="20"/>
          <w:szCs w:val="20"/>
        </w:rPr>
        <w:t>UN Human Rights Council</w:t>
      </w:r>
      <w:r w:rsidR="001178DC" w:rsidRPr="00D22715">
        <w:rPr>
          <w:sz w:val="20"/>
          <w:szCs w:val="20"/>
        </w:rPr>
        <w:t xml:space="preserve"> 45</w:t>
      </w:r>
      <w:r w:rsidR="001178DC" w:rsidRPr="00D22715">
        <w:rPr>
          <w:sz w:val="20"/>
          <w:szCs w:val="20"/>
          <w:vertAlign w:val="superscript"/>
        </w:rPr>
        <w:t>th</w:t>
      </w:r>
      <w:r w:rsidR="001178DC" w:rsidRPr="00D22715">
        <w:rPr>
          <w:sz w:val="20"/>
          <w:szCs w:val="20"/>
        </w:rPr>
        <w:t xml:space="preserve"> Session,</w:t>
      </w:r>
      <w:r w:rsidR="00DC1040" w:rsidRPr="00D22715">
        <w:rPr>
          <w:sz w:val="20"/>
          <w:szCs w:val="20"/>
        </w:rPr>
        <w:t xml:space="preserve"> Oral Statement of </w:t>
      </w:r>
      <w:r w:rsidR="00FC60FC" w:rsidRPr="00D22715">
        <w:rPr>
          <w:sz w:val="20"/>
          <w:szCs w:val="20"/>
        </w:rPr>
        <w:t xml:space="preserve">the Indonesian delegation </w:t>
      </w:r>
      <w:r w:rsidR="00DC1040" w:rsidRPr="00D22715">
        <w:rPr>
          <w:sz w:val="20"/>
          <w:szCs w:val="20"/>
        </w:rPr>
        <w:t>during the interactive dialogue with the Expert Mechanism on the Rights of Indigenous Peoples (EMRIP)</w:t>
      </w:r>
      <w:r w:rsidR="000A1FCA" w:rsidRPr="00D22715">
        <w:rPr>
          <w:sz w:val="20"/>
          <w:szCs w:val="20"/>
        </w:rPr>
        <w:t>. The</w:t>
      </w:r>
      <w:r w:rsidR="00FC60FC" w:rsidRPr="00D22715">
        <w:rPr>
          <w:sz w:val="20"/>
          <w:szCs w:val="20"/>
        </w:rPr>
        <w:t xml:space="preserve"> statement </w:t>
      </w:r>
      <w:r w:rsidR="426148F3" w:rsidRPr="00D22715">
        <w:rPr>
          <w:sz w:val="20"/>
          <w:szCs w:val="20"/>
        </w:rPr>
        <w:t>reaffirmed</w:t>
      </w:r>
      <w:r w:rsidR="000A1FCA" w:rsidRPr="00D22715">
        <w:rPr>
          <w:sz w:val="20"/>
          <w:szCs w:val="20"/>
        </w:rPr>
        <w:t xml:space="preserve"> </w:t>
      </w:r>
      <w:r w:rsidR="00654BB7" w:rsidRPr="00D22715">
        <w:rPr>
          <w:sz w:val="20"/>
          <w:szCs w:val="20"/>
        </w:rPr>
        <w:t xml:space="preserve">that UNDRIP is not applicable </w:t>
      </w:r>
      <w:r w:rsidR="000C434A" w:rsidRPr="00D22715">
        <w:rPr>
          <w:sz w:val="20"/>
          <w:szCs w:val="20"/>
        </w:rPr>
        <w:t xml:space="preserve">in the context of Indonesia. </w:t>
      </w:r>
    </w:p>
  </w:footnote>
  <w:footnote w:id="16">
    <w:p w14:paraId="4DB55292" w14:textId="54B7C252" w:rsidR="00C07F20" w:rsidRPr="00DD542D" w:rsidRDefault="00C07F20" w:rsidP="00DD542D">
      <w:pPr>
        <w:pStyle w:val="FootnoteText"/>
        <w:rPr>
          <w:sz w:val="20"/>
          <w:szCs w:val="20"/>
        </w:rPr>
      </w:pPr>
      <w:r w:rsidRPr="00D22715">
        <w:rPr>
          <w:rStyle w:val="FootnoteReference"/>
        </w:rPr>
        <w:footnoteRef/>
      </w:r>
      <w:r w:rsidRPr="00D22715">
        <w:rPr>
          <w:lang w:val="en-GB"/>
        </w:rPr>
        <w:t xml:space="preserve"> </w:t>
      </w:r>
      <w:r w:rsidR="00DD542D" w:rsidRPr="00DD542D">
        <w:rPr>
          <w:sz w:val="20"/>
          <w:szCs w:val="20"/>
        </w:rPr>
        <w:t>Forest and Society</w:t>
      </w:r>
      <w:r w:rsidR="00DD542D">
        <w:rPr>
          <w:sz w:val="20"/>
          <w:szCs w:val="20"/>
        </w:rPr>
        <w:t xml:space="preserve">, </w:t>
      </w:r>
      <w:r w:rsidR="00DD542D" w:rsidRPr="00DD542D">
        <w:rPr>
          <w:sz w:val="20"/>
          <w:szCs w:val="20"/>
        </w:rPr>
        <w:t>Vol. 5(1): 23-31, April 2021</w:t>
      </w:r>
      <w:r w:rsidR="00DD542D">
        <w:rPr>
          <w:sz w:val="20"/>
          <w:szCs w:val="20"/>
        </w:rPr>
        <w:t xml:space="preserve">. Accessible at </w:t>
      </w:r>
      <w:hyperlink r:id="rId4" w:history="1">
        <w:r w:rsidR="00D05A66" w:rsidRPr="00761D81">
          <w:rPr>
            <w:rStyle w:val="Hyperlink"/>
            <w:sz w:val="20"/>
            <w:szCs w:val="20"/>
          </w:rPr>
          <w:t>https://journal.unhas.ac.id/index.php/fs/article/view/11343</w:t>
        </w:r>
      </w:hyperlink>
      <w:r w:rsidR="00D05A66">
        <w:rPr>
          <w:sz w:val="20"/>
          <w:szCs w:val="20"/>
        </w:rPr>
        <w:t xml:space="preserve"> </w:t>
      </w:r>
    </w:p>
  </w:footnote>
  <w:footnote w:id="17">
    <w:p w14:paraId="1A0545EC" w14:textId="5269C1AE" w:rsidR="00F64964" w:rsidRPr="00D22715" w:rsidRDefault="00F64964" w:rsidP="00E558C5">
      <w:pPr>
        <w:rPr>
          <w:rFonts w:ascii="Arial" w:hAnsi="Arial" w:cs="Arial"/>
          <w:lang w:val="en-US"/>
        </w:rPr>
      </w:pPr>
      <w:r w:rsidRPr="00D22715">
        <w:rPr>
          <w:rStyle w:val="FootnoteReference"/>
          <w:rFonts w:ascii="Arial" w:hAnsi="Arial" w:cs="Arial"/>
        </w:rPr>
        <w:footnoteRef/>
      </w:r>
      <w:r w:rsidRPr="00D22715">
        <w:rPr>
          <w:rFonts w:ascii="Arial" w:hAnsi="Arial" w:cs="Arial"/>
        </w:rPr>
        <w:t xml:space="preserve"> </w:t>
      </w:r>
      <w:r w:rsidRPr="00D22715">
        <w:rPr>
          <w:rFonts w:ascii="Arial" w:hAnsi="Arial" w:cs="Arial"/>
          <w:color w:val="000000"/>
          <w:sz w:val="20"/>
          <w:szCs w:val="20"/>
        </w:rPr>
        <w:t xml:space="preserve"> Indonesian Human Rights </w:t>
      </w:r>
      <w:r w:rsidR="00C5142D" w:rsidRPr="00D22715">
        <w:rPr>
          <w:rFonts w:ascii="Arial" w:hAnsi="Arial" w:cs="Arial"/>
          <w:color w:val="000000"/>
          <w:sz w:val="20"/>
          <w:szCs w:val="20"/>
        </w:rPr>
        <w:t>Commission</w:t>
      </w:r>
      <w:r w:rsidRPr="00D22715">
        <w:rPr>
          <w:rFonts w:ascii="Arial" w:hAnsi="Arial" w:cs="Arial"/>
          <w:color w:val="000000"/>
          <w:sz w:val="20"/>
          <w:szCs w:val="20"/>
        </w:rPr>
        <w:t xml:space="preserve">, </w:t>
      </w:r>
      <w:r w:rsidRPr="00D22715">
        <w:rPr>
          <w:rFonts w:ascii="Arial" w:hAnsi="Arial" w:cs="Arial"/>
          <w:i/>
          <w:iCs/>
          <w:color w:val="000000"/>
          <w:sz w:val="20"/>
          <w:szCs w:val="20"/>
        </w:rPr>
        <w:t>“National Inquiry on the Rights of Indigenous People on Their Territory in the Forest Zone: Book II Indigenous Women’s Rights Violations in the Forest Management”</w:t>
      </w:r>
      <w:r w:rsidRPr="00D22715">
        <w:rPr>
          <w:rFonts w:ascii="Arial" w:hAnsi="Arial" w:cs="Arial"/>
          <w:color w:val="000000"/>
          <w:sz w:val="20"/>
          <w:szCs w:val="20"/>
        </w:rPr>
        <w:t xml:space="preserve">, </w:t>
      </w:r>
      <w:r w:rsidR="008E128E" w:rsidRPr="00D22715">
        <w:rPr>
          <w:rFonts w:ascii="Arial" w:hAnsi="Arial" w:cs="Arial"/>
          <w:color w:val="000000"/>
          <w:sz w:val="20"/>
          <w:szCs w:val="20"/>
          <w:lang w:val="en-US"/>
        </w:rPr>
        <w:t>December 2015</w:t>
      </w:r>
      <w:r w:rsidR="00A95977" w:rsidRPr="00D22715">
        <w:rPr>
          <w:rFonts w:ascii="Arial" w:hAnsi="Arial" w:cs="Arial"/>
          <w:color w:val="000000"/>
          <w:sz w:val="20"/>
          <w:szCs w:val="20"/>
          <w:lang w:val="en-US"/>
        </w:rPr>
        <w:t>, s</w:t>
      </w:r>
      <w:r w:rsidR="00D02F13" w:rsidRPr="00D22715">
        <w:rPr>
          <w:rFonts w:ascii="Arial" w:hAnsi="Arial" w:cs="Arial"/>
          <w:color w:val="000000"/>
          <w:sz w:val="20"/>
          <w:szCs w:val="20"/>
          <w:lang w:val="en-US"/>
        </w:rPr>
        <w:t xml:space="preserve">ee https://www.komnasham.go.id/files/1475132149$1$8R632$.pdf </w:t>
      </w:r>
      <w:r w:rsidR="008E128E" w:rsidRPr="00D22715">
        <w:rPr>
          <w:rFonts w:ascii="Arial" w:hAnsi="Arial" w:cs="Arial"/>
          <w:color w:val="000000"/>
          <w:sz w:val="20"/>
          <w:szCs w:val="20"/>
          <w:lang w:val="en-US"/>
        </w:rPr>
        <w:t xml:space="preserve">; see also </w:t>
      </w:r>
      <w:r w:rsidRPr="00D22715">
        <w:rPr>
          <w:rFonts w:ascii="Arial" w:hAnsi="Arial" w:cs="Arial"/>
          <w:color w:val="000000"/>
          <w:sz w:val="20"/>
          <w:szCs w:val="20"/>
        </w:rPr>
        <w:t xml:space="preserve">Asia Justice and Rights, </w:t>
      </w:r>
      <w:r w:rsidRPr="00D22715">
        <w:rPr>
          <w:rFonts w:ascii="Arial" w:hAnsi="Arial" w:cs="Arial"/>
          <w:i/>
          <w:iCs/>
          <w:color w:val="000000"/>
          <w:sz w:val="20"/>
          <w:szCs w:val="20"/>
        </w:rPr>
        <w:t>“All the Birds are Gone”</w:t>
      </w:r>
      <w:r w:rsidRPr="00D22715">
        <w:rPr>
          <w:rFonts w:ascii="Arial" w:hAnsi="Arial" w:cs="Arial"/>
          <w:color w:val="000000"/>
          <w:sz w:val="20"/>
          <w:szCs w:val="20"/>
        </w:rPr>
        <w:t xml:space="preserve"> </w:t>
      </w:r>
      <w:r w:rsidR="00BA5E43" w:rsidRPr="00D22715">
        <w:rPr>
          <w:rFonts w:ascii="Arial" w:hAnsi="Arial" w:cs="Arial"/>
          <w:color w:val="000000"/>
          <w:sz w:val="20"/>
          <w:szCs w:val="20"/>
          <w:lang w:val="en-US"/>
        </w:rPr>
        <w:t xml:space="preserve">at </w:t>
      </w:r>
      <w:hyperlink r:id="rId5" w:history="1">
        <w:r w:rsidR="00BA5E43" w:rsidRPr="00D22715">
          <w:rPr>
            <w:rStyle w:val="Hyperlink"/>
            <w:rFonts w:ascii="Arial" w:hAnsi="Arial" w:cs="Arial"/>
            <w:sz w:val="20"/>
            <w:szCs w:val="20"/>
            <w:lang w:val="en-US"/>
          </w:rPr>
          <w:t>https://asia-ajar.org/2021/03/all-the-birds-are-gone-indigenous-women-speak-out-against-forest-loss-in-papua/</w:t>
        </w:r>
      </w:hyperlink>
      <w:r w:rsidR="00BA5E43" w:rsidRPr="00D22715">
        <w:rPr>
          <w:rFonts w:ascii="Arial" w:hAnsi="Arial" w:cs="Arial"/>
          <w:color w:val="000000"/>
          <w:sz w:val="20"/>
          <w:szCs w:val="20"/>
          <w:lang w:val="en-US"/>
        </w:rPr>
        <w:t xml:space="preserve"> </w:t>
      </w:r>
    </w:p>
  </w:footnote>
  <w:footnote w:id="18">
    <w:p w14:paraId="7121F959" w14:textId="06FAD6E5" w:rsidR="00822532" w:rsidRPr="00D22715" w:rsidRDefault="00822532" w:rsidP="00822532">
      <w:pPr>
        <w:pStyle w:val="FootnoteText"/>
        <w:rPr>
          <w:color w:val="524E4E"/>
          <w:sz w:val="21"/>
          <w:szCs w:val="21"/>
        </w:rPr>
      </w:pPr>
      <w:r w:rsidRPr="00D22715">
        <w:rPr>
          <w:color w:val="524E4E"/>
          <w:sz w:val="21"/>
          <w:szCs w:val="21"/>
          <w:vertAlign w:val="superscript"/>
        </w:rPr>
        <w:footnoteRef/>
      </w:r>
      <w:r w:rsidRPr="00D22715">
        <w:rPr>
          <w:color w:val="524E4E"/>
          <w:sz w:val="21"/>
          <w:szCs w:val="21"/>
          <w:vertAlign w:val="superscript"/>
        </w:rPr>
        <w:t xml:space="preserve"> </w:t>
      </w:r>
      <w:r w:rsidR="004D61E5" w:rsidRPr="00FA2370">
        <w:rPr>
          <w:sz w:val="20"/>
          <w:szCs w:val="20"/>
        </w:rPr>
        <w:t xml:space="preserve">The Conversation, </w:t>
      </w:r>
      <w:r w:rsidR="004D61E5" w:rsidRPr="00FA2370">
        <w:rPr>
          <w:i/>
          <w:iCs/>
          <w:sz w:val="20"/>
          <w:szCs w:val="20"/>
        </w:rPr>
        <w:t xml:space="preserve">In West Papua, oil palm expansion undermines the relations of indigenous </w:t>
      </w:r>
      <w:proofErr w:type="spellStart"/>
      <w:r w:rsidR="004D61E5" w:rsidRPr="00FA2370">
        <w:rPr>
          <w:i/>
          <w:iCs/>
          <w:sz w:val="20"/>
          <w:szCs w:val="20"/>
        </w:rPr>
        <w:t>Marind</w:t>
      </w:r>
      <w:proofErr w:type="spellEnd"/>
      <w:r w:rsidR="004D61E5" w:rsidRPr="00FA2370">
        <w:rPr>
          <w:i/>
          <w:iCs/>
          <w:sz w:val="20"/>
          <w:szCs w:val="20"/>
        </w:rPr>
        <w:t xml:space="preserve"> people to forest plants and animals</w:t>
      </w:r>
      <w:r w:rsidR="00210D66" w:rsidRPr="00FA2370">
        <w:rPr>
          <w:sz w:val="20"/>
          <w:szCs w:val="20"/>
        </w:rPr>
        <w:t>. News article, a</w:t>
      </w:r>
      <w:r w:rsidR="008E696A" w:rsidRPr="00FA2370">
        <w:rPr>
          <w:sz w:val="20"/>
          <w:szCs w:val="20"/>
        </w:rPr>
        <w:t>ccessible at</w:t>
      </w:r>
      <w:r w:rsidRPr="00FA2370">
        <w:rPr>
          <w:sz w:val="20"/>
          <w:szCs w:val="20"/>
        </w:rPr>
        <w:t xml:space="preserve"> </w:t>
      </w:r>
      <w:hyperlink r:id="rId6" w:history="1">
        <w:r w:rsidRPr="00FA2370">
          <w:rPr>
            <w:sz w:val="20"/>
            <w:szCs w:val="20"/>
          </w:rPr>
          <w:t>https://theconversation.com/in-west-papua-oil-palm-expansion-undermines-the-relations-of-indigenous-marind-people-to-forest-plants-and-animals-124885</w:t>
        </w:r>
      </w:hyperlink>
      <w:r w:rsidR="009B2158">
        <w:rPr>
          <w:color w:val="524E4E"/>
          <w:sz w:val="21"/>
          <w:szCs w:val="21"/>
        </w:rPr>
        <w:t xml:space="preserve"> </w:t>
      </w:r>
    </w:p>
  </w:footnote>
  <w:footnote w:id="19">
    <w:p w14:paraId="2A4410EF" w14:textId="4137A910" w:rsidR="00822532" w:rsidRPr="00D22715" w:rsidRDefault="00822532">
      <w:pPr>
        <w:pStyle w:val="FootnoteText"/>
        <w:rPr>
          <w:sz w:val="20"/>
          <w:szCs w:val="20"/>
          <w:lang w:val="en-US"/>
        </w:rPr>
      </w:pPr>
      <w:r w:rsidRPr="00D22715">
        <w:rPr>
          <w:rStyle w:val="FootnoteReference"/>
          <w:sz w:val="20"/>
          <w:szCs w:val="20"/>
        </w:rPr>
        <w:footnoteRef/>
      </w:r>
      <w:r w:rsidRPr="00D22715">
        <w:rPr>
          <w:sz w:val="20"/>
          <w:szCs w:val="20"/>
        </w:rPr>
        <w:t xml:space="preserve"> </w:t>
      </w:r>
      <w:r w:rsidR="00FD5D7F" w:rsidRPr="00D22715">
        <w:rPr>
          <w:sz w:val="20"/>
          <w:szCs w:val="20"/>
        </w:rPr>
        <w:t xml:space="preserve">UN Committee on Economic, Social and Cultural Rights, </w:t>
      </w:r>
      <w:r w:rsidR="00580E24" w:rsidRPr="00D22715">
        <w:rPr>
          <w:sz w:val="20"/>
          <w:szCs w:val="20"/>
        </w:rPr>
        <w:t xml:space="preserve">Concluding observations on the </w:t>
      </w:r>
      <w:r w:rsidR="00FD5D7F" w:rsidRPr="00D22715">
        <w:rPr>
          <w:sz w:val="20"/>
          <w:szCs w:val="20"/>
        </w:rPr>
        <w:t>initial</w:t>
      </w:r>
      <w:r w:rsidR="00580E24" w:rsidRPr="00D22715">
        <w:rPr>
          <w:sz w:val="20"/>
          <w:szCs w:val="20"/>
        </w:rPr>
        <w:t xml:space="preserve"> report of Indonesia, 19 June 2014, E/C.12/IDN/CO/1, </w:t>
      </w:r>
      <w:r w:rsidRPr="00D22715">
        <w:rPr>
          <w:sz w:val="20"/>
          <w:szCs w:val="20"/>
          <w:lang w:val="en-US"/>
        </w:rPr>
        <w:t>para. 27</w:t>
      </w:r>
    </w:p>
  </w:footnote>
  <w:footnote w:id="20">
    <w:p w14:paraId="65CD97A9" w14:textId="1EBE5591" w:rsidR="00044BBC" w:rsidRPr="00D22715" w:rsidRDefault="00044BBC" w:rsidP="00044BBC">
      <w:pPr>
        <w:pStyle w:val="FootnoteText"/>
        <w:rPr>
          <w:sz w:val="20"/>
          <w:szCs w:val="20"/>
          <w:lang w:val="en-US"/>
        </w:rPr>
      </w:pPr>
      <w:r w:rsidRPr="00D22715">
        <w:rPr>
          <w:rStyle w:val="FootnoteReference"/>
          <w:sz w:val="20"/>
          <w:szCs w:val="20"/>
        </w:rPr>
        <w:footnoteRef/>
      </w:r>
      <w:r w:rsidRPr="00D22715">
        <w:rPr>
          <w:sz w:val="20"/>
          <w:szCs w:val="20"/>
        </w:rPr>
        <w:t xml:space="preserve"> </w:t>
      </w:r>
      <w:r w:rsidR="00645DB5" w:rsidRPr="00D22715">
        <w:rPr>
          <w:sz w:val="20"/>
          <w:szCs w:val="20"/>
          <w:lang w:val="en-US"/>
        </w:rPr>
        <w:t xml:space="preserve">UN Committee on Economic, Social and Cultural Rights, </w:t>
      </w:r>
      <w:r w:rsidRPr="00D22715">
        <w:rPr>
          <w:bCs/>
          <w:sz w:val="20"/>
          <w:szCs w:val="20"/>
          <w:lang w:val="en-US"/>
        </w:rPr>
        <w:t>General comment No. 24 (2017) on State obligations under the International Covenant on Economic, Social and Cultural Rights in the context of business activities</w:t>
      </w:r>
      <w:r w:rsidRPr="00D22715">
        <w:rPr>
          <w:sz w:val="20"/>
          <w:szCs w:val="20"/>
          <w:lang w:val="en-US"/>
        </w:rPr>
        <w:t>, 10 August 2017, E/C.12/GC/24, para. 8</w:t>
      </w:r>
    </w:p>
  </w:footnote>
  <w:footnote w:id="21">
    <w:p w14:paraId="633C3D5F" w14:textId="77777777" w:rsidR="00822532" w:rsidRPr="00D22715" w:rsidRDefault="00822532">
      <w:pPr>
        <w:pStyle w:val="FootnoteText"/>
        <w:rPr>
          <w:sz w:val="20"/>
          <w:szCs w:val="20"/>
          <w:lang w:val="en-US"/>
        </w:rPr>
      </w:pPr>
      <w:r w:rsidRPr="00D22715">
        <w:rPr>
          <w:rStyle w:val="FootnoteReference"/>
          <w:sz w:val="20"/>
          <w:szCs w:val="20"/>
        </w:rPr>
        <w:footnoteRef/>
      </w:r>
      <w:r w:rsidRPr="00D22715">
        <w:rPr>
          <w:sz w:val="20"/>
          <w:szCs w:val="20"/>
        </w:rPr>
        <w:t xml:space="preserve"> </w:t>
      </w:r>
      <w:r w:rsidRPr="00D22715">
        <w:rPr>
          <w:sz w:val="20"/>
          <w:szCs w:val="20"/>
          <w:lang w:val="en-US"/>
        </w:rPr>
        <w:t xml:space="preserve">Law No. 7/2017; See also: Indonesia Country Data, International </w:t>
      </w:r>
      <w:proofErr w:type="gramStart"/>
      <w:r w:rsidRPr="00D22715">
        <w:rPr>
          <w:sz w:val="20"/>
          <w:szCs w:val="20"/>
          <w:lang w:val="en-US"/>
        </w:rPr>
        <w:t>IDEA,  https://www.idea.int/data-tools/data/gender-quotas/country-view/142/35</w:t>
      </w:r>
      <w:proofErr w:type="gramEnd"/>
    </w:p>
  </w:footnote>
  <w:footnote w:id="22">
    <w:p w14:paraId="51A97177" w14:textId="6FD870DE" w:rsidR="07444C2F" w:rsidRPr="009B2158" w:rsidRDefault="07444C2F" w:rsidP="07444C2F">
      <w:pPr>
        <w:rPr>
          <w:rFonts w:ascii="Arial" w:eastAsia="Arial" w:hAnsi="Arial" w:cs="Arial"/>
          <w:sz w:val="20"/>
          <w:szCs w:val="20"/>
          <w:lang w:val="en-US" w:eastAsia="en-US"/>
        </w:rPr>
      </w:pPr>
      <w:r w:rsidRPr="07444C2F">
        <w:rPr>
          <w:rStyle w:val="FootnoteReference"/>
          <w:rFonts w:ascii="Arial" w:hAnsi="Arial" w:cs="Arial"/>
        </w:rPr>
        <w:footnoteRef/>
      </w:r>
      <w:r w:rsidRPr="07444C2F">
        <w:rPr>
          <w:rFonts w:ascii="Arial" w:hAnsi="Arial" w:cs="Arial"/>
        </w:rPr>
        <w:t xml:space="preserve"> </w:t>
      </w:r>
      <w:r w:rsidRPr="009B2158">
        <w:rPr>
          <w:rFonts w:ascii="Arial" w:eastAsia="Arial" w:hAnsi="Arial" w:cs="Arial"/>
          <w:sz w:val="20"/>
          <w:szCs w:val="20"/>
          <w:lang w:val="en-US" w:eastAsia="en-US"/>
        </w:rPr>
        <w:t>Indonesian Elections Commission</w:t>
      </w:r>
      <w:r w:rsidR="009B2158">
        <w:rPr>
          <w:rFonts w:ascii="Arial" w:eastAsia="Arial" w:hAnsi="Arial" w:cs="Arial"/>
          <w:sz w:val="20"/>
          <w:szCs w:val="20"/>
          <w:lang w:val="en-US" w:eastAsia="en-US"/>
        </w:rPr>
        <w:t xml:space="preserve">, Decision </w:t>
      </w:r>
      <w:r w:rsidR="009B2158" w:rsidRPr="009B2158">
        <w:rPr>
          <w:rFonts w:ascii="Arial" w:eastAsia="Arial" w:hAnsi="Arial" w:cs="Arial"/>
          <w:sz w:val="20"/>
          <w:szCs w:val="20"/>
          <w:lang w:val="en-US" w:eastAsia="en-US"/>
        </w:rPr>
        <w:t xml:space="preserve">No. 810//PL.02.6-Kpt/06/KPU/IV/2019 </w:t>
      </w:r>
      <w:r w:rsidR="00B513B7">
        <w:rPr>
          <w:rFonts w:ascii="Arial" w:eastAsia="Arial" w:hAnsi="Arial" w:cs="Arial"/>
          <w:sz w:val="20"/>
          <w:szCs w:val="20"/>
          <w:lang w:val="en-US" w:eastAsia="en-US"/>
        </w:rPr>
        <w:t xml:space="preserve">on the </w:t>
      </w:r>
      <w:r w:rsidR="002048D0" w:rsidRPr="00C17837">
        <w:rPr>
          <w:rFonts w:ascii="Arial" w:eastAsia="Arial" w:hAnsi="Arial" w:cs="Arial"/>
          <w:i/>
          <w:iCs/>
          <w:sz w:val="20"/>
          <w:szCs w:val="20"/>
          <w:lang w:val="en-US" w:eastAsia="en-US"/>
        </w:rPr>
        <w:t xml:space="preserve">Guidelines for the Implementation of Voting with the </w:t>
      </w:r>
      <w:proofErr w:type="spellStart"/>
      <w:r w:rsidR="002048D0" w:rsidRPr="00C17837">
        <w:rPr>
          <w:rFonts w:ascii="Arial" w:eastAsia="Arial" w:hAnsi="Arial" w:cs="Arial"/>
          <w:i/>
          <w:iCs/>
          <w:sz w:val="20"/>
          <w:szCs w:val="20"/>
          <w:lang w:val="en-US" w:eastAsia="en-US"/>
        </w:rPr>
        <w:t>Noken</w:t>
      </w:r>
      <w:proofErr w:type="spellEnd"/>
      <w:r w:rsidR="002048D0" w:rsidRPr="00C17837">
        <w:rPr>
          <w:rFonts w:ascii="Arial" w:eastAsia="Arial" w:hAnsi="Arial" w:cs="Arial"/>
          <w:i/>
          <w:iCs/>
          <w:sz w:val="20"/>
          <w:szCs w:val="20"/>
          <w:lang w:val="en-US" w:eastAsia="en-US"/>
        </w:rPr>
        <w:t>/Ikat System in Papua Province in the 2019 General Election</w:t>
      </w:r>
      <w:r w:rsidR="00C17837">
        <w:rPr>
          <w:rFonts w:ascii="Arial" w:eastAsia="Arial" w:hAnsi="Arial" w:cs="Arial"/>
          <w:sz w:val="20"/>
          <w:szCs w:val="20"/>
          <w:lang w:val="en-US" w:eastAsia="en-US"/>
        </w:rPr>
        <w:t xml:space="preserve">. Accessible at </w:t>
      </w:r>
      <w:hyperlink r:id="rId7">
        <w:r w:rsidRPr="009B2158">
          <w:rPr>
            <w:rFonts w:ascii="Arial" w:eastAsia="Arial" w:hAnsi="Arial" w:cs="Arial"/>
            <w:sz w:val="20"/>
            <w:szCs w:val="20"/>
            <w:lang w:val="en-US" w:eastAsia="en-US"/>
          </w:rPr>
          <w:t>https://jdih.kpu.go.id/data/data_abstrakkepkpu/ABS%20810%20THN%202019.pdf</w:t>
        </w:r>
      </w:hyperlink>
      <w:r w:rsidRPr="009B2158">
        <w:rPr>
          <w:rFonts w:ascii="Arial" w:eastAsia="Arial" w:hAnsi="Arial" w:cs="Arial"/>
          <w:sz w:val="20"/>
          <w:szCs w:val="20"/>
          <w:lang w:val="en-US" w:eastAsia="en-US"/>
        </w:rPr>
        <w:t xml:space="preserve">  and </w:t>
      </w:r>
      <w:hyperlink r:id="rId8">
        <w:r w:rsidRPr="009B2158">
          <w:rPr>
            <w:rFonts w:ascii="Arial" w:eastAsia="Arial" w:hAnsi="Arial" w:cs="Arial"/>
            <w:sz w:val="20"/>
            <w:szCs w:val="20"/>
            <w:lang w:val="en-US" w:eastAsia="en-US"/>
          </w:rPr>
          <w:t>https://jdih.kpu.go.id/data/data_kepkpu/KPT%20810%20THN%202019.pdf</w:t>
        </w:r>
      </w:hyperlink>
    </w:p>
  </w:footnote>
  <w:footnote w:id="23">
    <w:p w14:paraId="190B4220" w14:textId="1B8D532E" w:rsidR="00822532" w:rsidRPr="00297806" w:rsidRDefault="00822532" w:rsidP="003F179C">
      <w:pPr>
        <w:pStyle w:val="FootnoteText"/>
        <w:rPr>
          <w:color w:val="524E4E"/>
          <w:sz w:val="20"/>
          <w:szCs w:val="20"/>
          <w:lang w:val="en-US"/>
        </w:rPr>
      </w:pPr>
      <w:r w:rsidRPr="00D22715">
        <w:rPr>
          <w:color w:val="524E4E"/>
          <w:sz w:val="20"/>
          <w:szCs w:val="20"/>
          <w:vertAlign w:val="superscript"/>
        </w:rPr>
        <w:footnoteRef/>
      </w:r>
      <w:r w:rsidRPr="009B2158">
        <w:rPr>
          <w:sz w:val="20"/>
          <w:szCs w:val="20"/>
          <w:lang w:val="en-US"/>
        </w:rPr>
        <w:t xml:space="preserve"> </w:t>
      </w:r>
      <w:r w:rsidR="00252A29" w:rsidRPr="009B2158">
        <w:rPr>
          <w:sz w:val="20"/>
          <w:szCs w:val="20"/>
          <w:lang w:val="en-US"/>
        </w:rPr>
        <w:t xml:space="preserve">Jagat Papua, </w:t>
      </w:r>
      <w:r w:rsidR="00297806" w:rsidRPr="009B2158">
        <w:rPr>
          <w:i/>
          <w:iCs/>
          <w:sz w:val="20"/>
          <w:szCs w:val="20"/>
          <w:lang w:val="en-US"/>
        </w:rPr>
        <w:t xml:space="preserve">Women representation in Papua Barat Parliamentarian Provincial Province </w:t>
      </w:r>
      <w:r w:rsidR="00196FFF" w:rsidRPr="009B2158">
        <w:rPr>
          <w:i/>
          <w:iCs/>
          <w:sz w:val="20"/>
          <w:szCs w:val="20"/>
          <w:lang w:val="en-US"/>
        </w:rPr>
        <w:t>should have strategic roles.</w:t>
      </w:r>
      <w:r w:rsidR="00196FFF" w:rsidRPr="009B2158">
        <w:rPr>
          <w:sz w:val="20"/>
          <w:szCs w:val="20"/>
          <w:lang w:val="en-US"/>
        </w:rPr>
        <w:t xml:space="preserve"> News article</w:t>
      </w:r>
      <w:r w:rsidR="00210D66" w:rsidRPr="009B2158">
        <w:rPr>
          <w:sz w:val="20"/>
          <w:szCs w:val="20"/>
          <w:lang w:val="en-US"/>
        </w:rPr>
        <w:t>,</w:t>
      </w:r>
      <w:r w:rsidR="00196FFF" w:rsidRPr="009B2158">
        <w:rPr>
          <w:sz w:val="20"/>
          <w:szCs w:val="20"/>
          <w:lang w:val="en-US"/>
        </w:rPr>
        <w:t xml:space="preserve"> </w:t>
      </w:r>
      <w:r w:rsidR="00210D66" w:rsidRPr="009B2158">
        <w:rPr>
          <w:sz w:val="20"/>
          <w:szCs w:val="20"/>
          <w:lang w:val="en-US"/>
        </w:rPr>
        <w:t>a</w:t>
      </w:r>
      <w:r w:rsidR="00196FFF" w:rsidRPr="009B2158">
        <w:rPr>
          <w:sz w:val="20"/>
          <w:szCs w:val="20"/>
          <w:lang w:val="en-US"/>
        </w:rPr>
        <w:t>ccessible at</w:t>
      </w:r>
      <w:r w:rsidRPr="009B2158">
        <w:rPr>
          <w:sz w:val="20"/>
          <w:szCs w:val="20"/>
          <w:lang w:val="en-US"/>
        </w:rPr>
        <w:t xml:space="preserve"> </w:t>
      </w:r>
      <w:hyperlink r:id="rId9" w:history="1">
        <w:r w:rsidRPr="009B2158">
          <w:rPr>
            <w:sz w:val="20"/>
            <w:szCs w:val="20"/>
            <w:lang w:val="en-US"/>
          </w:rPr>
          <w:t>https://www.jagatpapua.com/keterwakilan-perempuan-di-dpr-papua-barat-perlu-diberi-peran-strategis/</w:t>
        </w:r>
      </w:hyperlink>
    </w:p>
  </w:footnote>
  <w:footnote w:id="24">
    <w:p w14:paraId="3C1BA9B4" w14:textId="15BD7B02" w:rsidR="001814F0" w:rsidRPr="00D22715" w:rsidRDefault="001814F0">
      <w:pPr>
        <w:pStyle w:val="FootnoteText"/>
      </w:pPr>
      <w:r w:rsidRPr="00D22715">
        <w:rPr>
          <w:rStyle w:val="FootnoteReference"/>
        </w:rPr>
        <w:footnoteRef/>
      </w:r>
      <w:r w:rsidRPr="00D22715">
        <w:t xml:space="preserve"> </w:t>
      </w:r>
      <w:r w:rsidR="009A218A" w:rsidRPr="009B2158">
        <w:rPr>
          <w:sz w:val="20"/>
          <w:szCs w:val="20"/>
          <w:lang w:val="en-US"/>
        </w:rPr>
        <w:t xml:space="preserve">According to our information, there were 748 women candidates for the 2019 </w:t>
      </w:r>
      <w:r w:rsidR="00C4269C" w:rsidRPr="009B2158">
        <w:rPr>
          <w:sz w:val="20"/>
          <w:szCs w:val="20"/>
          <w:lang w:val="en-US"/>
        </w:rPr>
        <w:t>Papua Province parliamentarian elections.</w:t>
      </w:r>
      <w:r w:rsidR="003D25E4" w:rsidRPr="009B2158">
        <w:rPr>
          <w:sz w:val="20"/>
          <w:szCs w:val="20"/>
          <w:lang w:val="en-US"/>
        </w:rPr>
        <w:t xml:space="preserve"> Only 8 </w:t>
      </w:r>
      <w:r w:rsidR="004D095D" w:rsidRPr="009B2158">
        <w:rPr>
          <w:sz w:val="20"/>
          <w:szCs w:val="20"/>
          <w:lang w:val="en-US"/>
        </w:rPr>
        <w:t xml:space="preserve">women </w:t>
      </w:r>
      <w:r w:rsidR="003D25E4" w:rsidRPr="009B2158">
        <w:rPr>
          <w:sz w:val="20"/>
          <w:szCs w:val="20"/>
          <w:lang w:val="en-US"/>
        </w:rPr>
        <w:t xml:space="preserve">out of 748 </w:t>
      </w:r>
      <w:r w:rsidR="007A1212" w:rsidRPr="009B2158">
        <w:rPr>
          <w:sz w:val="20"/>
          <w:szCs w:val="20"/>
          <w:lang w:val="en-US"/>
        </w:rPr>
        <w:t xml:space="preserve">women candidates </w:t>
      </w:r>
      <w:r w:rsidR="003D25E4" w:rsidRPr="009B2158">
        <w:rPr>
          <w:sz w:val="20"/>
          <w:szCs w:val="20"/>
          <w:lang w:val="en-US"/>
        </w:rPr>
        <w:t xml:space="preserve">were elected. </w:t>
      </w:r>
    </w:p>
  </w:footnote>
  <w:footnote w:id="25">
    <w:p w14:paraId="5FF48C95" w14:textId="422D3E21" w:rsidR="00822532" w:rsidRPr="00D22715" w:rsidRDefault="00822532" w:rsidP="003F179C">
      <w:pPr>
        <w:pStyle w:val="FootnoteText"/>
        <w:rPr>
          <w:color w:val="524E4E"/>
          <w:sz w:val="21"/>
          <w:szCs w:val="21"/>
        </w:rPr>
      </w:pPr>
      <w:r w:rsidRPr="00D22715">
        <w:rPr>
          <w:color w:val="524E4E"/>
          <w:sz w:val="20"/>
          <w:szCs w:val="20"/>
          <w:vertAlign w:val="superscript"/>
        </w:rPr>
        <w:footnoteRef/>
      </w:r>
      <w:r w:rsidRPr="00D22715">
        <w:rPr>
          <w:color w:val="524E4E"/>
          <w:sz w:val="20"/>
          <w:szCs w:val="20"/>
        </w:rPr>
        <w:t xml:space="preserve"> </w:t>
      </w:r>
      <w:r w:rsidR="00A9718D" w:rsidRPr="009B2158">
        <w:rPr>
          <w:sz w:val="20"/>
          <w:szCs w:val="20"/>
          <w:lang w:val="en-US"/>
        </w:rPr>
        <w:t xml:space="preserve">Papua </w:t>
      </w:r>
      <w:r w:rsidR="00955CB8" w:rsidRPr="009B2158">
        <w:rPr>
          <w:sz w:val="20"/>
          <w:szCs w:val="20"/>
          <w:lang w:val="en-US"/>
        </w:rPr>
        <w:t xml:space="preserve">Provincial Parliament, </w:t>
      </w:r>
      <w:r w:rsidR="002632A6" w:rsidRPr="009B2158">
        <w:rPr>
          <w:i/>
          <w:iCs/>
          <w:sz w:val="20"/>
          <w:szCs w:val="20"/>
          <w:lang w:val="en-US"/>
        </w:rPr>
        <w:t>M</w:t>
      </w:r>
      <w:r w:rsidRPr="009B2158">
        <w:rPr>
          <w:i/>
          <w:iCs/>
          <w:sz w:val="20"/>
          <w:szCs w:val="20"/>
          <w:lang w:val="en-US"/>
        </w:rPr>
        <w:t>embers of Provincial Parliament of Papua Province</w:t>
      </w:r>
      <w:r w:rsidR="00955CB8" w:rsidRPr="009B2158">
        <w:rPr>
          <w:sz w:val="20"/>
          <w:szCs w:val="20"/>
          <w:lang w:val="en-US"/>
        </w:rPr>
        <w:t xml:space="preserve">. </w:t>
      </w:r>
      <w:r w:rsidR="002632A6" w:rsidRPr="009B2158">
        <w:rPr>
          <w:sz w:val="20"/>
          <w:szCs w:val="20"/>
          <w:lang w:val="en-US"/>
        </w:rPr>
        <w:t>Accessible</w:t>
      </w:r>
      <w:r w:rsidRPr="009B2158">
        <w:rPr>
          <w:sz w:val="20"/>
          <w:szCs w:val="20"/>
          <w:lang w:val="en-US"/>
        </w:rPr>
        <w:t xml:space="preserve"> at </w:t>
      </w:r>
      <w:hyperlink r:id="rId10" w:history="1">
        <w:r w:rsidRPr="009B2158">
          <w:rPr>
            <w:sz w:val="20"/>
            <w:szCs w:val="20"/>
            <w:lang w:val="en-US"/>
          </w:rPr>
          <w:t>https://dpr-papua.go.id/profil-anggota-dprp-masa-jabatan-2019-2</w:t>
        </w:r>
        <w:r w:rsidRPr="009B2158">
          <w:rPr>
            <w:sz w:val="20"/>
            <w:szCs w:val="20"/>
            <w:lang w:val="en-US"/>
          </w:rPr>
          <w:t>0</w:t>
        </w:r>
        <w:r w:rsidRPr="009B2158">
          <w:rPr>
            <w:sz w:val="20"/>
            <w:szCs w:val="20"/>
            <w:lang w:val="en-US"/>
          </w:rPr>
          <w:t>24/</w:t>
        </w:r>
      </w:hyperlink>
      <w:r w:rsidR="00ED7CE3">
        <w:rPr>
          <w:color w:val="524E4E"/>
          <w:sz w:val="20"/>
          <w:szCs w:val="20"/>
        </w:rPr>
        <w:t xml:space="preserve"> </w:t>
      </w:r>
      <w:r w:rsidR="002632A6">
        <w:rPr>
          <w:color w:val="524E4E"/>
          <w:sz w:val="20"/>
          <w:szCs w:val="20"/>
        </w:rPr>
        <w:t xml:space="preserve"> </w:t>
      </w:r>
    </w:p>
  </w:footnote>
  <w:footnote w:id="26">
    <w:p w14:paraId="43C20A7E" w14:textId="09FCCC10" w:rsidR="00822532" w:rsidRPr="000E1F21" w:rsidRDefault="00822532" w:rsidP="003F179C">
      <w:pPr>
        <w:pStyle w:val="FootnoteText"/>
        <w:rPr>
          <w:color w:val="524E4E"/>
          <w:sz w:val="21"/>
          <w:szCs w:val="21"/>
          <w:lang w:val="en-US"/>
        </w:rPr>
      </w:pPr>
      <w:r w:rsidRPr="00D22715">
        <w:rPr>
          <w:color w:val="524E4E"/>
          <w:sz w:val="21"/>
          <w:szCs w:val="21"/>
          <w:vertAlign w:val="superscript"/>
        </w:rPr>
        <w:footnoteRef/>
      </w:r>
      <w:r w:rsidRPr="000E1F21">
        <w:rPr>
          <w:color w:val="524E4E"/>
          <w:sz w:val="21"/>
          <w:szCs w:val="21"/>
          <w:vertAlign w:val="superscript"/>
          <w:lang w:val="en-US"/>
        </w:rPr>
        <w:t xml:space="preserve"> </w:t>
      </w:r>
      <w:proofErr w:type="spellStart"/>
      <w:r w:rsidR="00ED7CE3" w:rsidRPr="009B2158">
        <w:rPr>
          <w:sz w:val="20"/>
          <w:szCs w:val="20"/>
          <w:lang w:val="en-US"/>
        </w:rPr>
        <w:t>Jubi</w:t>
      </w:r>
      <w:proofErr w:type="spellEnd"/>
      <w:r w:rsidR="00ED7CE3" w:rsidRPr="000E1F21">
        <w:rPr>
          <w:color w:val="524E4E"/>
          <w:sz w:val="21"/>
          <w:szCs w:val="21"/>
          <w:lang w:val="en-US"/>
        </w:rPr>
        <w:t>, W</w:t>
      </w:r>
      <w:r w:rsidR="00ED7CE3" w:rsidRPr="009B2158">
        <w:rPr>
          <w:i/>
          <w:iCs/>
          <w:sz w:val="20"/>
          <w:szCs w:val="20"/>
          <w:lang w:val="en-US"/>
        </w:rPr>
        <w:t>omen</w:t>
      </w:r>
      <w:r w:rsidR="000E1F21" w:rsidRPr="009B2158">
        <w:rPr>
          <w:i/>
          <w:iCs/>
          <w:sz w:val="20"/>
          <w:szCs w:val="20"/>
          <w:lang w:val="en-US"/>
        </w:rPr>
        <w:t xml:space="preserve"> representation in the parliament is </w:t>
      </w:r>
      <w:r w:rsidR="00500CEA" w:rsidRPr="009B2158">
        <w:rPr>
          <w:i/>
          <w:iCs/>
          <w:sz w:val="20"/>
          <w:szCs w:val="20"/>
          <w:lang w:val="en-US"/>
        </w:rPr>
        <w:t xml:space="preserve">only a complimentary to </w:t>
      </w:r>
      <w:r w:rsidR="00127724" w:rsidRPr="009B2158">
        <w:rPr>
          <w:i/>
          <w:iCs/>
          <w:sz w:val="20"/>
          <w:szCs w:val="20"/>
          <w:lang w:val="en-US"/>
        </w:rPr>
        <w:t xml:space="preserve">political parties. </w:t>
      </w:r>
      <w:r w:rsidR="00127724" w:rsidRPr="009B2158">
        <w:rPr>
          <w:sz w:val="20"/>
          <w:szCs w:val="20"/>
          <w:lang w:val="en-US"/>
        </w:rPr>
        <w:t xml:space="preserve">News article, accessible at </w:t>
      </w:r>
      <w:hyperlink r:id="rId11" w:history="1">
        <w:r w:rsidR="00127724" w:rsidRPr="00761D81">
          <w:rPr>
            <w:rStyle w:val="Hyperlink"/>
            <w:sz w:val="21"/>
            <w:szCs w:val="21"/>
            <w:lang w:val="en-US"/>
          </w:rPr>
          <w:t>https://jubi.co.id/keterwakilan-perempuan-di-parlemen-papua-hanya-jadi-pelengkap-loloskan-parpol/</w:t>
        </w:r>
      </w:hyperlink>
      <w:r w:rsidRPr="000E1F21">
        <w:rPr>
          <w:color w:val="524E4E"/>
          <w:sz w:val="21"/>
          <w:szCs w:val="21"/>
          <w:lang w:val="en-US"/>
        </w:rPr>
        <w:t xml:space="preserve">  </w:t>
      </w:r>
    </w:p>
  </w:footnote>
  <w:footnote w:id="27">
    <w:p w14:paraId="06195FDD" w14:textId="393D198E" w:rsidR="00822532" w:rsidRPr="00D22715" w:rsidRDefault="00822532" w:rsidP="003F179C">
      <w:pPr>
        <w:pStyle w:val="FootnoteText"/>
      </w:pPr>
      <w:r w:rsidRPr="00D22715">
        <w:rPr>
          <w:rStyle w:val="FootnoteReference"/>
        </w:rPr>
        <w:footnoteRef/>
      </w:r>
      <w:r w:rsidRPr="00D22715">
        <w:t xml:space="preserve"> </w:t>
      </w:r>
      <w:r w:rsidR="005F58BE" w:rsidRPr="009B2158">
        <w:rPr>
          <w:sz w:val="20"/>
          <w:szCs w:val="20"/>
          <w:lang w:val="en-US"/>
        </w:rPr>
        <w:t xml:space="preserve">Government of Papua Province, </w:t>
      </w:r>
      <w:r w:rsidR="005F58BE" w:rsidRPr="009B2158">
        <w:rPr>
          <w:i/>
          <w:iCs/>
          <w:sz w:val="20"/>
          <w:szCs w:val="20"/>
          <w:lang w:val="en-US"/>
        </w:rPr>
        <w:t>List of the Head of Regencies in Papua Province</w:t>
      </w:r>
      <w:r w:rsidR="005F58BE" w:rsidRPr="009B2158">
        <w:rPr>
          <w:sz w:val="20"/>
          <w:szCs w:val="20"/>
          <w:lang w:val="en-US"/>
        </w:rPr>
        <w:t xml:space="preserve">. Accessible at </w:t>
      </w:r>
      <w:r w:rsidRPr="009B2158">
        <w:rPr>
          <w:sz w:val="20"/>
          <w:szCs w:val="20"/>
          <w:lang w:val="en-US"/>
        </w:rPr>
        <w:t xml:space="preserve">the list of head of regencies in Papua Province at </w:t>
      </w:r>
      <w:hyperlink r:id="rId12" w:history="1">
        <w:r w:rsidRPr="009B2158">
          <w:rPr>
            <w:sz w:val="20"/>
            <w:szCs w:val="20"/>
            <w:lang w:val="en-US"/>
          </w:rPr>
          <w:t>https://www.papua.go.id/view-detail-listkab-all/daftar-kabupaten.html</w:t>
        </w:r>
      </w:hyperlink>
      <w:r w:rsidR="009B2158">
        <w:rPr>
          <w:sz w:val="20"/>
          <w:szCs w:val="20"/>
          <w:lang w:val="en-US"/>
        </w:rPr>
        <w:t xml:space="preserve"> </w:t>
      </w:r>
      <w:r w:rsidRPr="009B2158">
        <w:rPr>
          <w:sz w:val="20"/>
          <w:szCs w:val="20"/>
          <w:lang w:val="en-US"/>
        </w:rPr>
        <w:t xml:space="preserve"> </w:t>
      </w:r>
    </w:p>
  </w:footnote>
  <w:footnote w:id="28">
    <w:p w14:paraId="167F5DD5" w14:textId="5BFCAB13" w:rsidR="00822532" w:rsidRPr="00D22715" w:rsidRDefault="00822532" w:rsidP="003F179C">
      <w:pPr>
        <w:pStyle w:val="FootnoteText"/>
      </w:pPr>
      <w:r w:rsidRPr="00D22715">
        <w:rPr>
          <w:rStyle w:val="FootnoteReference"/>
        </w:rPr>
        <w:footnoteRef/>
      </w:r>
      <w:r w:rsidRPr="00D22715">
        <w:t xml:space="preserve"> </w:t>
      </w:r>
      <w:r w:rsidR="005B2765" w:rsidRPr="009B2158">
        <w:rPr>
          <w:sz w:val="20"/>
          <w:szCs w:val="20"/>
          <w:lang w:val="en-US"/>
        </w:rPr>
        <w:t>Government of Papua</w:t>
      </w:r>
      <w:r w:rsidR="00860FBE" w:rsidRPr="009B2158">
        <w:rPr>
          <w:sz w:val="20"/>
          <w:szCs w:val="20"/>
          <w:lang w:val="en-US"/>
        </w:rPr>
        <w:t xml:space="preserve"> Barat</w:t>
      </w:r>
      <w:r w:rsidR="005B2765" w:rsidRPr="009B2158">
        <w:rPr>
          <w:sz w:val="20"/>
          <w:szCs w:val="20"/>
          <w:lang w:val="en-US"/>
        </w:rPr>
        <w:t xml:space="preserve"> Province, </w:t>
      </w:r>
      <w:r w:rsidR="00860FBE" w:rsidRPr="009B2158">
        <w:rPr>
          <w:i/>
          <w:iCs/>
          <w:sz w:val="20"/>
          <w:szCs w:val="20"/>
          <w:lang w:val="en-US"/>
        </w:rPr>
        <w:t>List of the Head of Regencies in Papua Barat Province</w:t>
      </w:r>
      <w:r w:rsidR="00860FBE" w:rsidRPr="009B2158">
        <w:rPr>
          <w:sz w:val="20"/>
          <w:szCs w:val="20"/>
          <w:lang w:val="en-US"/>
        </w:rPr>
        <w:t xml:space="preserve">. Accessible </w:t>
      </w:r>
      <w:r w:rsidRPr="009B2158">
        <w:rPr>
          <w:sz w:val="20"/>
          <w:szCs w:val="20"/>
          <w:lang w:val="en-US"/>
        </w:rPr>
        <w:t>at https://id.wikipedia.org/wiki/Daftar_bupati_dan_wali_kota_di_Papua_Barat</w:t>
      </w:r>
    </w:p>
  </w:footnote>
  <w:footnote w:id="29">
    <w:p w14:paraId="0F87A4A5" w14:textId="0989BBCB" w:rsidR="00822532" w:rsidRPr="00D22715" w:rsidRDefault="00822532">
      <w:pPr>
        <w:pStyle w:val="FootnoteText"/>
        <w:rPr>
          <w:sz w:val="20"/>
          <w:szCs w:val="20"/>
          <w:lang w:val="en-US"/>
        </w:rPr>
      </w:pPr>
      <w:r w:rsidRPr="00D22715">
        <w:rPr>
          <w:rStyle w:val="FootnoteReference"/>
          <w:sz w:val="20"/>
          <w:szCs w:val="20"/>
        </w:rPr>
        <w:footnoteRef/>
      </w:r>
      <w:r w:rsidRPr="00D22715">
        <w:rPr>
          <w:sz w:val="20"/>
          <w:szCs w:val="20"/>
        </w:rPr>
        <w:t xml:space="preserve"> </w:t>
      </w:r>
      <w:r w:rsidRPr="00D22715">
        <w:rPr>
          <w:sz w:val="20"/>
          <w:szCs w:val="20"/>
          <w:lang w:val="en-US"/>
        </w:rPr>
        <w:t xml:space="preserve">General Recommendation No. 23: Political and public life, Adopted by the Committee on the Elimination of Discrimination Against Women, Sixteenth session (1997), para. 15, </w:t>
      </w:r>
      <w:hyperlink r:id="rId13" w:history="1">
        <w:r w:rsidRPr="00D22715">
          <w:rPr>
            <w:rStyle w:val="Hyperlink"/>
            <w:sz w:val="20"/>
            <w:szCs w:val="20"/>
            <w:lang w:val="en-US"/>
          </w:rPr>
          <w:t>https://tbinternet.ohchr.org/Treaties/CEDAW/Shared%20Documents/1_Global/INT_CEDAW_GEC_4736_E.pdf</w:t>
        </w:r>
      </w:hyperlink>
      <w:r w:rsidRPr="00D22715">
        <w:rPr>
          <w:sz w:val="20"/>
          <w:szCs w:val="20"/>
          <w:lang w:val="en-US"/>
        </w:rPr>
        <w:t xml:space="preserve"> </w:t>
      </w:r>
    </w:p>
  </w:footnote>
  <w:footnote w:id="30">
    <w:p w14:paraId="74E81EE1" w14:textId="195C1D3B" w:rsidR="00822532" w:rsidRPr="00D22715" w:rsidRDefault="00822532">
      <w:pPr>
        <w:pStyle w:val="FootnoteText"/>
        <w:rPr>
          <w:lang w:val="en-US"/>
        </w:rPr>
      </w:pPr>
      <w:r w:rsidRPr="00D22715">
        <w:rPr>
          <w:rStyle w:val="FootnoteReference"/>
        </w:rPr>
        <w:footnoteRef/>
      </w:r>
      <w:r w:rsidR="0BFA7823" w:rsidRPr="00D22715">
        <w:t xml:space="preserve"> </w:t>
      </w:r>
      <w:r w:rsidR="00034CC3" w:rsidRPr="00034CC3">
        <w:rPr>
          <w:sz w:val="20"/>
          <w:szCs w:val="20"/>
          <w:lang w:val="en-US"/>
        </w:rPr>
        <w:t>The Diplomat,</w:t>
      </w:r>
      <w:r w:rsidR="00034CC3" w:rsidRPr="007070BE">
        <w:t xml:space="preserve"> </w:t>
      </w:r>
      <w:r w:rsidR="00470E84" w:rsidRPr="007070BE">
        <w:rPr>
          <w:i/>
          <w:iCs/>
          <w:sz w:val="21"/>
          <w:szCs w:val="21"/>
        </w:rPr>
        <w:t>Indonesia Deploys Forces to Troubled Papua Region</w:t>
      </w:r>
      <w:r w:rsidR="00034CC3" w:rsidRPr="007070BE">
        <w:rPr>
          <w:sz w:val="21"/>
          <w:szCs w:val="21"/>
        </w:rPr>
        <w:t>. News article, a</w:t>
      </w:r>
      <w:r w:rsidR="00B33644" w:rsidRPr="007070BE">
        <w:rPr>
          <w:sz w:val="21"/>
          <w:szCs w:val="21"/>
        </w:rPr>
        <w:t xml:space="preserve">ccessible at </w:t>
      </w:r>
      <w:r w:rsidR="0BFA7823" w:rsidRPr="007070BE">
        <w:rPr>
          <w:sz w:val="21"/>
          <w:szCs w:val="21"/>
        </w:rPr>
        <w:t xml:space="preserve"> </w:t>
      </w:r>
      <w:hyperlink r:id="rId14" w:history="1">
        <w:r w:rsidR="00273A65" w:rsidRPr="00D22715">
          <w:rPr>
            <w:rStyle w:val="Hyperlink"/>
            <w:sz w:val="21"/>
            <w:szCs w:val="21"/>
          </w:rPr>
          <w:t>https://thediplomat.com/2021/05/indonesia-deploys-special-forces-to-troubled-papua-region/</w:t>
        </w:r>
      </w:hyperlink>
      <w:r w:rsidR="00273A65" w:rsidRPr="00D22715">
        <w:rPr>
          <w:color w:val="524E4E"/>
          <w:sz w:val="21"/>
          <w:szCs w:val="21"/>
        </w:rPr>
        <w:t xml:space="preserve"> </w:t>
      </w:r>
    </w:p>
  </w:footnote>
  <w:footnote w:id="31">
    <w:p w14:paraId="607CD70B" w14:textId="33ED0565" w:rsidR="00822532" w:rsidRPr="00D22715" w:rsidRDefault="00822532" w:rsidP="000932A1">
      <w:pPr>
        <w:pStyle w:val="FootnoteText"/>
        <w:rPr>
          <w:color w:val="524E4E"/>
          <w:sz w:val="21"/>
          <w:szCs w:val="21"/>
        </w:rPr>
      </w:pPr>
      <w:r w:rsidRPr="00D22715">
        <w:rPr>
          <w:rStyle w:val="FootnoteReference"/>
        </w:rPr>
        <w:footnoteRef/>
      </w:r>
      <w:r w:rsidRPr="00D22715">
        <w:t xml:space="preserve"> </w:t>
      </w:r>
      <w:r w:rsidR="0068614E" w:rsidRPr="00D22715">
        <w:rPr>
          <w:color w:val="524E4E"/>
          <w:sz w:val="21"/>
          <w:szCs w:val="21"/>
        </w:rPr>
        <w:t>I</w:t>
      </w:r>
      <w:r w:rsidR="0068614E" w:rsidRPr="00DB69B0">
        <w:rPr>
          <w:sz w:val="20"/>
          <w:szCs w:val="20"/>
          <w:lang w:val="en-US"/>
        </w:rPr>
        <w:t>nternational Coalition for Papu</w:t>
      </w:r>
      <w:r w:rsidR="006128DA" w:rsidRPr="00DB69B0">
        <w:rPr>
          <w:sz w:val="20"/>
          <w:szCs w:val="20"/>
          <w:lang w:val="en-US"/>
        </w:rPr>
        <w:t xml:space="preserve">a, </w:t>
      </w:r>
      <w:r w:rsidR="006128DA" w:rsidRPr="00DB69B0">
        <w:rPr>
          <w:i/>
          <w:iCs/>
          <w:sz w:val="20"/>
          <w:szCs w:val="20"/>
          <w:lang w:val="en-US"/>
        </w:rPr>
        <w:t xml:space="preserve">Human Rights and </w:t>
      </w:r>
      <w:r w:rsidR="003C66F6" w:rsidRPr="00DB69B0">
        <w:rPr>
          <w:i/>
          <w:iCs/>
          <w:sz w:val="20"/>
          <w:szCs w:val="20"/>
          <w:lang w:val="en-US"/>
        </w:rPr>
        <w:t>Conflict Escalation in West Papua, 2019</w:t>
      </w:r>
      <w:r w:rsidR="00034CC3" w:rsidRPr="00DB69B0">
        <w:rPr>
          <w:i/>
          <w:iCs/>
          <w:sz w:val="20"/>
          <w:szCs w:val="20"/>
          <w:lang w:val="en-US"/>
        </w:rPr>
        <w:t xml:space="preserve">. </w:t>
      </w:r>
      <w:r w:rsidR="000932A1" w:rsidRPr="00DB69B0">
        <w:rPr>
          <w:i/>
          <w:iCs/>
          <w:sz w:val="20"/>
          <w:szCs w:val="20"/>
          <w:lang w:val="en-US"/>
        </w:rPr>
        <w:t>The sixth report of the International Coalition for Papua (ICP) provides</w:t>
      </w:r>
      <w:r w:rsidR="00B860F7" w:rsidRPr="00DB69B0">
        <w:rPr>
          <w:i/>
          <w:iCs/>
          <w:sz w:val="20"/>
          <w:szCs w:val="20"/>
          <w:lang w:val="en-US"/>
        </w:rPr>
        <w:t xml:space="preserve"> </w:t>
      </w:r>
      <w:r w:rsidR="000932A1" w:rsidRPr="00DB69B0">
        <w:rPr>
          <w:i/>
          <w:iCs/>
          <w:sz w:val="20"/>
          <w:szCs w:val="20"/>
          <w:lang w:val="en-US"/>
        </w:rPr>
        <w:t>an analysis of violations from January 2017 until December 2018</w:t>
      </w:r>
      <w:r w:rsidR="00B860F7" w:rsidRPr="00DB69B0">
        <w:rPr>
          <w:i/>
          <w:iCs/>
          <w:sz w:val="20"/>
          <w:szCs w:val="20"/>
          <w:lang w:val="en-US"/>
        </w:rPr>
        <w:t xml:space="preserve"> </w:t>
      </w:r>
      <w:r w:rsidR="000932A1" w:rsidRPr="00DB69B0">
        <w:rPr>
          <w:i/>
          <w:iCs/>
          <w:sz w:val="20"/>
          <w:szCs w:val="20"/>
          <w:lang w:val="en-US"/>
        </w:rPr>
        <w:t>and an overview of developments in 2019</w:t>
      </w:r>
      <w:r w:rsidR="00716322" w:rsidRPr="00DB69B0">
        <w:rPr>
          <w:sz w:val="20"/>
          <w:szCs w:val="20"/>
          <w:lang w:val="en-US"/>
        </w:rPr>
        <w:t xml:space="preserve">. </w:t>
      </w:r>
      <w:r w:rsidR="00DB69B0" w:rsidRPr="00DB69B0">
        <w:rPr>
          <w:sz w:val="20"/>
          <w:szCs w:val="20"/>
          <w:lang w:val="en-US"/>
        </w:rPr>
        <w:t>Accessible</w:t>
      </w:r>
      <w:r w:rsidR="00716322" w:rsidRPr="00DB69B0">
        <w:rPr>
          <w:sz w:val="20"/>
          <w:szCs w:val="20"/>
          <w:lang w:val="en-US"/>
        </w:rPr>
        <w:t xml:space="preserve"> at </w:t>
      </w:r>
      <w:hyperlink r:id="rId15" w:history="1">
        <w:r w:rsidR="00716322" w:rsidRPr="00D22715">
          <w:rPr>
            <w:rStyle w:val="Hyperlink"/>
            <w:sz w:val="21"/>
            <w:szCs w:val="21"/>
          </w:rPr>
          <w:t>https://humanrightspapua.org/images/docs/HumanRightsPapua2019-ICP.pdf</w:t>
        </w:r>
      </w:hyperlink>
      <w:r w:rsidR="00FC628E" w:rsidRPr="00D22715">
        <w:rPr>
          <w:color w:val="524E4E"/>
          <w:sz w:val="21"/>
          <w:szCs w:val="21"/>
        </w:rPr>
        <w:t xml:space="preserve"> </w:t>
      </w:r>
    </w:p>
  </w:footnote>
  <w:footnote w:id="32">
    <w:p w14:paraId="4F422EAF" w14:textId="66DA4AE5" w:rsidR="00A65453" w:rsidRPr="00D22715" w:rsidRDefault="00A65453" w:rsidP="00A65453">
      <w:pPr>
        <w:pStyle w:val="FootnoteText"/>
        <w:rPr>
          <w:lang w:val="en-US"/>
        </w:rPr>
      </w:pPr>
      <w:r w:rsidRPr="00D22715">
        <w:rPr>
          <w:rStyle w:val="FootnoteReference"/>
        </w:rPr>
        <w:footnoteRef/>
      </w:r>
      <w:r w:rsidRPr="00D22715">
        <w:t xml:space="preserve"> </w:t>
      </w:r>
      <w:r w:rsidR="009478D4" w:rsidRPr="007070BE">
        <w:rPr>
          <w:sz w:val="21"/>
          <w:szCs w:val="21"/>
        </w:rPr>
        <w:t xml:space="preserve">Radio New Zealand, </w:t>
      </w:r>
      <w:r w:rsidR="009478D4" w:rsidRPr="007070BE">
        <w:rPr>
          <w:i/>
          <w:iCs/>
          <w:sz w:val="21"/>
          <w:szCs w:val="21"/>
        </w:rPr>
        <w:t>Indonesian govt neglecting Papuans displaced by conflict: researcher</w:t>
      </w:r>
      <w:r w:rsidR="00411CFC" w:rsidRPr="007070BE">
        <w:rPr>
          <w:sz w:val="21"/>
          <w:szCs w:val="21"/>
        </w:rPr>
        <w:t>. News article, a</w:t>
      </w:r>
      <w:r w:rsidR="00CD359B" w:rsidRPr="007070BE">
        <w:rPr>
          <w:sz w:val="21"/>
          <w:szCs w:val="21"/>
        </w:rPr>
        <w:t xml:space="preserve">ccessible </w:t>
      </w:r>
      <w:r w:rsidR="00CD359B">
        <w:rPr>
          <w:color w:val="524E4E"/>
          <w:sz w:val="21"/>
          <w:szCs w:val="21"/>
        </w:rPr>
        <w:t xml:space="preserve">at </w:t>
      </w:r>
      <w:hyperlink r:id="rId16" w:history="1">
        <w:r w:rsidR="009478D4" w:rsidRPr="00761D81">
          <w:rPr>
            <w:rStyle w:val="Hyperlink"/>
            <w:sz w:val="21"/>
            <w:szCs w:val="21"/>
          </w:rPr>
          <w:t>https://www.rnz.co.nz/international/pacific-news/396527/indonesian-govt-neglecting-papuans-displaced-by-conflict-researcher</w:t>
        </w:r>
      </w:hyperlink>
      <w:r w:rsidR="0055051A">
        <w:rPr>
          <w:color w:val="524E4E"/>
          <w:sz w:val="21"/>
          <w:szCs w:val="21"/>
        </w:rPr>
        <w:t xml:space="preserve"> </w:t>
      </w:r>
      <w:r w:rsidR="00B33644" w:rsidRPr="00D22715">
        <w:rPr>
          <w:color w:val="524E4E"/>
          <w:sz w:val="21"/>
          <w:szCs w:val="21"/>
        </w:rPr>
        <w:t xml:space="preserve"> </w:t>
      </w:r>
      <w:r w:rsidRPr="00D22715">
        <w:t xml:space="preserve"> </w:t>
      </w:r>
    </w:p>
  </w:footnote>
  <w:footnote w:id="33">
    <w:p w14:paraId="1A6366B5" w14:textId="0F618A24" w:rsidR="00A65453" w:rsidRPr="00D22715" w:rsidRDefault="00A65453" w:rsidP="00A65453">
      <w:pPr>
        <w:pStyle w:val="FootnoteText"/>
      </w:pPr>
      <w:r w:rsidRPr="00D22715">
        <w:rPr>
          <w:rStyle w:val="FootnoteReference"/>
        </w:rPr>
        <w:footnoteRef/>
      </w:r>
      <w:r w:rsidRPr="00D22715">
        <w:t xml:space="preserve"> </w:t>
      </w:r>
      <w:r w:rsidR="00E458BD" w:rsidRPr="007070BE">
        <w:rPr>
          <w:sz w:val="21"/>
          <w:szCs w:val="21"/>
        </w:rPr>
        <w:t>United Nations Human Righ</w:t>
      </w:r>
      <w:r w:rsidR="00297117" w:rsidRPr="007070BE">
        <w:rPr>
          <w:sz w:val="21"/>
          <w:szCs w:val="21"/>
        </w:rPr>
        <w:t>t</w:t>
      </w:r>
      <w:r w:rsidR="00E458BD" w:rsidRPr="007070BE">
        <w:rPr>
          <w:sz w:val="21"/>
          <w:szCs w:val="21"/>
        </w:rPr>
        <w:t>s Council</w:t>
      </w:r>
      <w:r w:rsidR="00E458BD" w:rsidRPr="007070BE">
        <w:t xml:space="preserve">, </w:t>
      </w:r>
      <w:r w:rsidR="00297117" w:rsidRPr="007070BE">
        <w:rPr>
          <w:sz w:val="21"/>
          <w:szCs w:val="21"/>
        </w:rPr>
        <w:t>C</w:t>
      </w:r>
      <w:r w:rsidRPr="007070BE">
        <w:rPr>
          <w:sz w:val="21"/>
          <w:szCs w:val="21"/>
        </w:rPr>
        <w:t>ommunication of a group of special procedure mandate holders to the Government of Indonesia, AL IDN 1/2020 which expressed concerns over the internal displacement in West Papua due to the arm conflicts, including concern over the food shortage in the shelter.</w:t>
      </w:r>
      <w:r w:rsidRPr="007070B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3D1"/>
    <w:multiLevelType w:val="hybridMultilevel"/>
    <w:tmpl w:val="EE34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6F24"/>
    <w:multiLevelType w:val="hybridMultilevel"/>
    <w:tmpl w:val="2B8C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05391"/>
    <w:multiLevelType w:val="multilevel"/>
    <w:tmpl w:val="57F82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D66867"/>
    <w:multiLevelType w:val="multilevel"/>
    <w:tmpl w:val="1D78E6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3E925C4"/>
    <w:multiLevelType w:val="multilevel"/>
    <w:tmpl w:val="0C429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AE5A05"/>
    <w:multiLevelType w:val="multilevel"/>
    <w:tmpl w:val="769CD6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BA2385C"/>
    <w:multiLevelType w:val="multilevel"/>
    <w:tmpl w:val="A14EB8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E5F790E"/>
    <w:multiLevelType w:val="hybridMultilevel"/>
    <w:tmpl w:val="A2F64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7F78DD"/>
    <w:multiLevelType w:val="multilevel"/>
    <w:tmpl w:val="FB6864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8"/>
  </w:num>
  <w:num w:numId="4">
    <w:abstractNumId w:val="5"/>
  </w:num>
  <w:num w:numId="5">
    <w:abstractNumId w:val="6"/>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10"/>
    <w:rsid w:val="00010136"/>
    <w:rsid w:val="0002537C"/>
    <w:rsid w:val="00034CC3"/>
    <w:rsid w:val="00043ACD"/>
    <w:rsid w:val="00044BBC"/>
    <w:rsid w:val="00054986"/>
    <w:rsid w:val="00060925"/>
    <w:rsid w:val="0006200F"/>
    <w:rsid w:val="00064105"/>
    <w:rsid w:val="00066816"/>
    <w:rsid w:val="0006692E"/>
    <w:rsid w:val="00070826"/>
    <w:rsid w:val="00072025"/>
    <w:rsid w:val="0007429F"/>
    <w:rsid w:val="00082208"/>
    <w:rsid w:val="00091145"/>
    <w:rsid w:val="000913E6"/>
    <w:rsid w:val="000932A1"/>
    <w:rsid w:val="00094D16"/>
    <w:rsid w:val="000A1FCA"/>
    <w:rsid w:val="000B4451"/>
    <w:rsid w:val="000C3944"/>
    <w:rsid w:val="000C434A"/>
    <w:rsid w:val="000D20FE"/>
    <w:rsid w:val="000D2212"/>
    <w:rsid w:val="000E1F21"/>
    <w:rsid w:val="00112078"/>
    <w:rsid w:val="001138D0"/>
    <w:rsid w:val="00114BA7"/>
    <w:rsid w:val="001178DC"/>
    <w:rsid w:val="00123A80"/>
    <w:rsid w:val="00127724"/>
    <w:rsid w:val="001464D8"/>
    <w:rsid w:val="0016449F"/>
    <w:rsid w:val="001814F0"/>
    <w:rsid w:val="0018196B"/>
    <w:rsid w:val="001858EA"/>
    <w:rsid w:val="00195C03"/>
    <w:rsid w:val="00196FFF"/>
    <w:rsid w:val="001A0F39"/>
    <w:rsid w:val="001A703C"/>
    <w:rsid w:val="001B7AF8"/>
    <w:rsid w:val="001C21B0"/>
    <w:rsid w:val="001C66CA"/>
    <w:rsid w:val="001C7707"/>
    <w:rsid w:val="001D078F"/>
    <w:rsid w:val="001D63CC"/>
    <w:rsid w:val="001E0211"/>
    <w:rsid w:val="001E1B77"/>
    <w:rsid w:val="001E275D"/>
    <w:rsid w:val="001E5915"/>
    <w:rsid w:val="001E7289"/>
    <w:rsid w:val="002048D0"/>
    <w:rsid w:val="00210D66"/>
    <w:rsid w:val="0021139F"/>
    <w:rsid w:val="0021151B"/>
    <w:rsid w:val="002125A6"/>
    <w:rsid w:val="002156D1"/>
    <w:rsid w:val="00215B44"/>
    <w:rsid w:val="00217A73"/>
    <w:rsid w:val="00221018"/>
    <w:rsid w:val="00226186"/>
    <w:rsid w:val="002341F6"/>
    <w:rsid w:val="002450A1"/>
    <w:rsid w:val="00252A29"/>
    <w:rsid w:val="00262A91"/>
    <w:rsid w:val="002632A6"/>
    <w:rsid w:val="00263A36"/>
    <w:rsid w:val="00273A65"/>
    <w:rsid w:val="0029169B"/>
    <w:rsid w:val="00294137"/>
    <w:rsid w:val="00294AAA"/>
    <w:rsid w:val="00295370"/>
    <w:rsid w:val="00297117"/>
    <w:rsid w:val="00297806"/>
    <w:rsid w:val="002A0149"/>
    <w:rsid w:val="002B5C5F"/>
    <w:rsid w:val="002C6A3F"/>
    <w:rsid w:val="002E019F"/>
    <w:rsid w:val="002E2F43"/>
    <w:rsid w:val="002E4113"/>
    <w:rsid w:val="002E4FA3"/>
    <w:rsid w:val="002F6A03"/>
    <w:rsid w:val="00304C9F"/>
    <w:rsid w:val="0030593B"/>
    <w:rsid w:val="0031169B"/>
    <w:rsid w:val="00314855"/>
    <w:rsid w:val="003208B7"/>
    <w:rsid w:val="0032498D"/>
    <w:rsid w:val="00326CA4"/>
    <w:rsid w:val="0033741E"/>
    <w:rsid w:val="00340B3D"/>
    <w:rsid w:val="00343A81"/>
    <w:rsid w:val="00344109"/>
    <w:rsid w:val="00345DA9"/>
    <w:rsid w:val="00345E3C"/>
    <w:rsid w:val="00350476"/>
    <w:rsid w:val="003620A5"/>
    <w:rsid w:val="00371CC7"/>
    <w:rsid w:val="00375FA9"/>
    <w:rsid w:val="00376E0D"/>
    <w:rsid w:val="00377247"/>
    <w:rsid w:val="003845B0"/>
    <w:rsid w:val="00391E67"/>
    <w:rsid w:val="003A52DD"/>
    <w:rsid w:val="003C15E4"/>
    <w:rsid w:val="003C66F6"/>
    <w:rsid w:val="003D1E68"/>
    <w:rsid w:val="003D25E4"/>
    <w:rsid w:val="003D3C0A"/>
    <w:rsid w:val="003E109C"/>
    <w:rsid w:val="003E204A"/>
    <w:rsid w:val="003F179C"/>
    <w:rsid w:val="003F2B2C"/>
    <w:rsid w:val="00403203"/>
    <w:rsid w:val="00403B3F"/>
    <w:rsid w:val="00411875"/>
    <w:rsid w:val="00411CFC"/>
    <w:rsid w:val="00421208"/>
    <w:rsid w:val="004277FA"/>
    <w:rsid w:val="00431CFB"/>
    <w:rsid w:val="00440ED1"/>
    <w:rsid w:val="00447751"/>
    <w:rsid w:val="00451F8C"/>
    <w:rsid w:val="00452E9B"/>
    <w:rsid w:val="004603AA"/>
    <w:rsid w:val="00470E84"/>
    <w:rsid w:val="00473B33"/>
    <w:rsid w:val="00474F01"/>
    <w:rsid w:val="004769B4"/>
    <w:rsid w:val="0048283C"/>
    <w:rsid w:val="004A31AF"/>
    <w:rsid w:val="004B0D2D"/>
    <w:rsid w:val="004C551D"/>
    <w:rsid w:val="004D095D"/>
    <w:rsid w:val="004D61E5"/>
    <w:rsid w:val="004E2C14"/>
    <w:rsid w:val="004E4DA6"/>
    <w:rsid w:val="004E553E"/>
    <w:rsid w:val="004E7CA8"/>
    <w:rsid w:val="004F54D0"/>
    <w:rsid w:val="004F5685"/>
    <w:rsid w:val="00500CEA"/>
    <w:rsid w:val="005021A8"/>
    <w:rsid w:val="00506D6C"/>
    <w:rsid w:val="005112BE"/>
    <w:rsid w:val="0051393E"/>
    <w:rsid w:val="0051681A"/>
    <w:rsid w:val="0055051A"/>
    <w:rsid w:val="0055158B"/>
    <w:rsid w:val="00551849"/>
    <w:rsid w:val="00575F9C"/>
    <w:rsid w:val="00580E24"/>
    <w:rsid w:val="00581586"/>
    <w:rsid w:val="00583A01"/>
    <w:rsid w:val="00586182"/>
    <w:rsid w:val="00595848"/>
    <w:rsid w:val="005A42D0"/>
    <w:rsid w:val="005A517C"/>
    <w:rsid w:val="005B15DE"/>
    <w:rsid w:val="005B2765"/>
    <w:rsid w:val="005C2C11"/>
    <w:rsid w:val="005C38B4"/>
    <w:rsid w:val="005DDBA5"/>
    <w:rsid w:val="005F58BE"/>
    <w:rsid w:val="00601111"/>
    <w:rsid w:val="006012D5"/>
    <w:rsid w:val="006128DA"/>
    <w:rsid w:val="00621920"/>
    <w:rsid w:val="00626E11"/>
    <w:rsid w:val="00631C93"/>
    <w:rsid w:val="006351CB"/>
    <w:rsid w:val="00644832"/>
    <w:rsid w:val="00645DB5"/>
    <w:rsid w:val="00654BB7"/>
    <w:rsid w:val="00684C33"/>
    <w:rsid w:val="00685756"/>
    <w:rsid w:val="0068614E"/>
    <w:rsid w:val="006C3040"/>
    <w:rsid w:val="006C39AB"/>
    <w:rsid w:val="006C7778"/>
    <w:rsid w:val="006D0CE3"/>
    <w:rsid w:val="006D56A1"/>
    <w:rsid w:val="006E2D09"/>
    <w:rsid w:val="006F45C0"/>
    <w:rsid w:val="00700D56"/>
    <w:rsid w:val="00704EBA"/>
    <w:rsid w:val="00705B43"/>
    <w:rsid w:val="007070BE"/>
    <w:rsid w:val="00711E9C"/>
    <w:rsid w:val="00712C56"/>
    <w:rsid w:val="00716322"/>
    <w:rsid w:val="00717D94"/>
    <w:rsid w:val="00721520"/>
    <w:rsid w:val="00721DBA"/>
    <w:rsid w:val="00735767"/>
    <w:rsid w:val="00740571"/>
    <w:rsid w:val="007433E6"/>
    <w:rsid w:val="00747AB0"/>
    <w:rsid w:val="007656B2"/>
    <w:rsid w:val="00765A38"/>
    <w:rsid w:val="00771333"/>
    <w:rsid w:val="00775028"/>
    <w:rsid w:val="00777EA3"/>
    <w:rsid w:val="007A1212"/>
    <w:rsid w:val="007A4629"/>
    <w:rsid w:val="007B0354"/>
    <w:rsid w:val="007B12F5"/>
    <w:rsid w:val="007B7FDB"/>
    <w:rsid w:val="007C6E02"/>
    <w:rsid w:val="007E20D5"/>
    <w:rsid w:val="007F20C0"/>
    <w:rsid w:val="007F6DF0"/>
    <w:rsid w:val="00806E40"/>
    <w:rsid w:val="00812D8F"/>
    <w:rsid w:val="00815AB1"/>
    <w:rsid w:val="00822532"/>
    <w:rsid w:val="00833D93"/>
    <w:rsid w:val="00834634"/>
    <w:rsid w:val="0083464B"/>
    <w:rsid w:val="0083521F"/>
    <w:rsid w:val="008425C7"/>
    <w:rsid w:val="00845A16"/>
    <w:rsid w:val="00845D9A"/>
    <w:rsid w:val="00860FBE"/>
    <w:rsid w:val="0086407E"/>
    <w:rsid w:val="00864825"/>
    <w:rsid w:val="00867E36"/>
    <w:rsid w:val="00887FAD"/>
    <w:rsid w:val="00895CA0"/>
    <w:rsid w:val="008B3AAA"/>
    <w:rsid w:val="008B6B35"/>
    <w:rsid w:val="008C1574"/>
    <w:rsid w:val="008D5464"/>
    <w:rsid w:val="008E128E"/>
    <w:rsid w:val="008E33B2"/>
    <w:rsid w:val="008E696A"/>
    <w:rsid w:val="00914659"/>
    <w:rsid w:val="00922111"/>
    <w:rsid w:val="009225F5"/>
    <w:rsid w:val="00923203"/>
    <w:rsid w:val="009244AE"/>
    <w:rsid w:val="009355F9"/>
    <w:rsid w:val="009372C5"/>
    <w:rsid w:val="00937EF4"/>
    <w:rsid w:val="009478D4"/>
    <w:rsid w:val="009503A3"/>
    <w:rsid w:val="00952ADE"/>
    <w:rsid w:val="00955CB8"/>
    <w:rsid w:val="00956A7C"/>
    <w:rsid w:val="00966ABF"/>
    <w:rsid w:val="009764B0"/>
    <w:rsid w:val="009801C6"/>
    <w:rsid w:val="009831C9"/>
    <w:rsid w:val="0098537A"/>
    <w:rsid w:val="009A218A"/>
    <w:rsid w:val="009A69E3"/>
    <w:rsid w:val="009A6ACA"/>
    <w:rsid w:val="009A6F6C"/>
    <w:rsid w:val="009B2158"/>
    <w:rsid w:val="009B4B26"/>
    <w:rsid w:val="009C0C42"/>
    <w:rsid w:val="009C36DA"/>
    <w:rsid w:val="009C6DEF"/>
    <w:rsid w:val="009D2795"/>
    <w:rsid w:val="009D48F7"/>
    <w:rsid w:val="009F54BB"/>
    <w:rsid w:val="00A00D1E"/>
    <w:rsid w:val="00A04970"/>
    <w:rsid w:val="00A23BBF"/>
    <w:rsid w:val="00A37510"/>
    <w:rsid w:val="00A378F9"/>
    <w:rsid w:val="00A4229E"/>
    <w:rsid w:val="00A42305"/>
    <w:rsid w:val="00A438CF"/>
    <w:rsid w:val="00A6267A"/>
    <w:rsid w:val="00A65453"/>
    <w:rsid w:val="00A66B3E"/>
    <w:rsid w:val="00A77D76"/>
    <w:rsid w:val="00A86290"/>
    <w:rsid w:val="00A92C2D"/>
    <w:rsid w:val="00A95977"/>
    <w:rsid w:val="00A9718D"/>
    <w:rsid w:val="00AA00C3"/>
    <w:rsid w:val="00AA1E1C"/>
    <w:rsid w:val="00AA2D85"/>
    <w:rsid w:val="00AB6849"/>
    <w:rsid w:val="00AD70C3"/>
    <w:rsid w:val="00AE446E"/>
    <w:rsid w:val="00AE611C"/>
    <w:rsid w:val="00B00BC9"/>
    <w:rsid w:val="00B100F9"/>
    <w:rsid w:val="00B20612"/>
    <w:rsid w:val="00B22A6C"/>
    <w:rsid w:val="00B3216C"/>
    <w:rsid w:val="00B33644"/>
    <w:rsid w:val="00B42C30"/>
    <w:rsid w:val="00B42C71"/>
    <w:rsid w:val="00B42FFB"/>
    <w:rsid w:val="00B513B7"/>
    <w:rsid w:val="00B51637"/>
    <w:rsid w:val="00B51D14"/>
    <w:rsid w:val="00B53860"/>
    <w:rsid w:val="00B54DE3"/>
    <w:rsid w:val="00B56375"/>
    <w:rsid w:val="00B575E0"/>
    <w:rsid w:val="00B71E36"/>
    <w:rsid w:val="00B860F7"/>
    <w:rsid w:val="00B95207"/>
    <w:rsid w:val="00BA22BF"/>
    <w:rsid w:val="00BA5E43"/>
    <w:rsid w:val="00BA65A8"/>
    <w:rsid w:val="00BA7CAE"/>
    <w:rsid w:val="00BB1CA6"/>
    <w:rsid w:val="00BC06C3"/>
    <w:rsid w:val="00BC4F07"/>
    <w:rsid w:val="00BD0EFB"/>
    <w:rsid w:val="00BD26FA"/>
    <w:rsid w:val="00BD65DC"/>
    <w:rsid w:val="00BD69A4"/>
    <w:rsid w:val="00BE11AD"/>
    <w:rsid w:val="00BE1ED5"/>
    <w:rsid w:val="00BE6BED"/>
    <w:rsid w:val="00BF3044"/>
    <w:rsid w:val="00C0354C"/>
    <w:rsid w:val="00C03892"/>
    <w:rsid w:val="00C07F20"/>
    <w:rsid w:val="00C0F7C8"/>
    <w:rsid w:val="00C17837"/>
    <w:rsid w:val="00C23F93"/>
    <w:rsid w:val="00C3779F"/>
    <w:rsid w:val="00C40C52"/>
    <w:rsid w:val="00C40E74"/>
    <w:rsid w:val="00C4269C"/>
    <w:rsid w:val="00C46023"/>
    <w:rsid w:val="00C5142D"/>
    <w:rsid w:val="00C52AC5"/>
    <w:rsid w:val="00C55193"/>
    <w:rsid w:val="00C67A83"/>
    <w:rsid w:val="00C71578"/>
    <w:rsid w:val="00C84C30"/>
    <w:rsid w:val="00C87E29"/>
    <w:rsid w:val="00C930B0"/>
    <w:rsid w:val="00C96E0F"/>
    <w:rsid w:val="00C97E8B"/>
    <w:rsid w:val="00CA1ABB"/>
    <w:rsid w:val="00CB036D"/>
    <w:rsid w:val="00CB76AC"/>
    <w:rsid w:val="00CD359B"/>
    <w:rsid w:val="00CE14EB"/>
    <w:rsid w:val="00CE2FEF"/>
    <w:rsid w:val="00CE60D1"/>
    <w:rsid w:val="00CF0A17"/>
    <w:rsid w:val="00D003F3"/>
    <w:rsid w:val="00D02F13"/>
    <w:rsid w:val="00D05A66"/>
    <w:rsid w:val="00D07EC2"/>
    <w:rsid w:val="00D10FE6"/>
    <w:rsid w:val="00D11495"/>
    <w:rsid w:val="00D15085"/>
    <w:rsid w:val="00D15C52"/>
    <w:rsid w:val="00D214F8"/>
    <w:rsid w:val="00D22715"/>
    <w:rsid w:val="00D24CE3"/>
    <w:rsid w:val="00D271F1"/>
    <w:rsid w:val="00D30646"/>
    <w:rsid w:val="00D36862"/>
    <w:rsid w:val="00D60A96"/>
    <w:rsid w:val="00D63407"/>
    <w:rsid w:val="00D75150"/>
    <w:rsid w:val="00D903E9"/>
    <w:rsid w:val="00D92810"/>
    <w:rsid w:val="00D95A92"/>
    <w:rsid w:val="00D9692D"/>
    <w:rsid w:val="00D97D25"/>
    <w:rsid w:val="00DB69B0"/>
    <w:rsid w:val="00DC1040"/>
    <w:rsid w:val="00DC2E2B"/>
    <w:rsid w:val="00DD542D"/>
    <w:rsid w:val="00DE34FF"/>
    <w:rsid w:val="00DE3DF2"/>
    <w:rsid w:val="00E05AC2"/>
    <w:rsid w:val="00E14EBA"/>
    <w:rsid w:val="00E26F1D"/>
    <w:rsid w:val="00E27CBD"/>
    <w:rsid w:val="00E33A92"/>
    <w:rsid w:val="00E458BD"/>
    <w:rsid w:val="00E47BE8"/>
    <w:rsid w:val="00E47CD6"/>
    <w:rsid w:val="00E548D5"/>
    <w:rsid w:val="00E558C5"/>
    <w:rsid w:val="00E70F04"/>
    <w:rsid w:val="00E74031"/>
    <w:rsid w:val="00E75492"/>
    <w:rsid w:val="00E80BCA"/>
    <w:rsid w:val="00E86789"/>
    <w:rsid w:val="00E87438"/>
    <w:rsid w:val="00E95324"/>
    <w:rsid w:val="00EA1CAD"/>
    <w:rsid w:val="00EA6356"/>
    <w:rsid w:val="00EB1ABE"/>
    <w:rsid w:val="00EB53B4"/>
    <w:rsid w:val="00EC442C"/>
    <w:rsid w:val="00ED7CE3"/>
    <w:rsid w:val="00EE224E"/>
    <w:rsid w:val="00EF21CA"/>
    <w:rsid w:val="00EF2A25"/>
    <w:rsid w:val="00F01E7B"/>
    <w:rsid w:val="00F05FA3"/>
    <w:rsid w:val="00F07A69"/>
    <w:rsid w:val="00F145A9"/>
    <w:rsid w:val="00F20BB2"/>
    <w:rsid w:val="00F217A6"/>
    <w:rsid w:val="00F224C0"/>
    <w:rsid w:val="00F2604F"/>
    <w:rsid w:val="00F32945"/>
    <w:rsid w:val="00F433FA"/>
    <w:rsid w:val="00F606CA"/>
    <w:rsid w:val="00F64964"/>
    <w:rsid w:val="00F745E3"/>
    <w:rsid w:val="00F830B0"/>
    <w:rsid w:val="00F902D4"/>
    <w:rsid w:val="00F94DA2"/>
    <w:rsid w:val="00F96A9F"/>
    <w:rsid w:val="00FA16F7"/>
    <w:rsid w:val="00FA2370"/>
    <w:rsid w:val="00FA2FBF"/>
    <w:rsid w:val="00FA352D"/>
    <w:rsid w:val="00FB7A21"/>
    <w:rsid w:val="00FC0252"/>
    <w:rsid w:val="00FC60FC"/>
    <w:rsid w:val="00FC628E"/>
    <w:rsid w:val="00FC76BA"/>
    <w:rsid w:val="00FD5D7F"/>
    <w:rsid w:val="00FD771C"/>
    <w:rsid w:val="00FE06C6"/>
    <w:rsid w:val="00FF1348"/>
    <w:rsid w:val="00FF19F2"/>
    <w:rsid w:val="00FF1C96"/>
    <w:rsid w:val="00FF3DB6"/>
    <w:rsid w:val="0123D0D9"/>
    <w:rsid w:val="014D10DF"/>
    <w:rsid w:val="017AED0A"/>
    <w:rsid w:val="01972A5A"/>
    <w:rsid w:val="02178CF5"/>
    <w:rsid w:val="024095DB"/>
    <w:rsid w:val="02612C55"/>
    <w:rsid w:val="02BE3BAD"/>
    <w:rsid w:val="02DAFB31"/>
    <w:rsid w:val="0309507A"/>
    <w:rsid w:val="0333BCF8"/>
    <w:rsid w:val="0338E9E1"/>
    <w:rsid w:val="033C9301"/>
    <w:rsid w:val="038AB5F2"/>
    <w:rsid w:val="040FB1D8"/>
    <w:rsid w:val="0504A93A"/>
    <w:rsid w:val="058FEAE9"/>
    <w:rsid w:val="064413C2"/>
    <w:rsid w:val="0698F709"/>
    <w:rsid w:val="07444C2F"/>
    <w:rsid w:val="0748DDAD"/>
    <w:rsid w:val="074C4C56"/>
    <w:rsid w:val="07BBBD18"/>
    <w:rsid w:val="07D2D28F"/>
    <w:rsid w:val="07F06C2D"/>
    <w:rsid w:val="08C480A6"/>
    <w:rsid w:val="08F6B98A"/>
    <w:rsid w:val="08F9640E"/>
    <w:rsid w:val="09124183"/>
    <w:rsid w:val="09408296"/>
    <w:rsid w:val="09547F13"/>
    <w:rsid w:val="0989D7B6"/>
    <w:rsid w:val="0A24FFDA"/>
    <w:rsid w:val="0A83B760"/>
    <w:rsid w:val="0AC87C3F"/>
    <w:rsid w:val="0B4B95C7"/>
    <w:rsid w:val="0B8104EA"/>
    <w:rsid w:val="0B952582"/>
    <w:rsid w:val="0BB96C30"/>
    <w:rsid w:val="0BBABC0D"/>
    <w:rsid w:val="0BF72FD7"/>
    <w:rsid w:val="0BFA7823"/>
    <w:rsid w:val="0C80FD4F"/>
    <w:rsid w:val="0CD83AE2"/>
    <w:rsid w:val="0CEA1CF5"/>
    <w:rsid w:val="0D132102"/>
    <w:rsid w:val="0D13F73A"/>
    <w:rsid w:val="0D735C21"/>
    <w:rsid w:val="0D8BF84B"/>
    <w:rsid w:val="0DC929E0"/>
    <w:rsid w:val="0DEBEF87"/>
    <w:rsid w:val="0DF4932B"/>
    <w:rsid w:val="0E2BCDEA"/>
    <w:rsid w:val="0E32D69C"/>
    <w:rsid w:val="0E451D77"/>
    <w:rsid w:val="0EB2774C"/>
    <w:rsid w:val="0ED972D1"/>
    <w:rsid w:val="0EE165B2"/>
    <w:rsid w:val="0EF04950"/>
    <w:rsid w:val="0F740ED5"/>
    <w:rsid w:val="1030A1DA"/>
    <w:rsid w:val="10994ED9"/>
    <w:rsid w:val="10D997A3"/>
    <w:rsid w:val="116E37A1"/>
    <w:rsid w:val="1193D151"/>
    <w:rsid w:val="128DEB59"/>
    <w:rsid w:val="129D7559"/>
    <w:rsid w:val="12A68CE0"/>
    <w:rsid w:val="1310260D"/>
    <w:rsid w:val="1395A831"/>
    <w:rsid w:val="139D85F3"/>
    <w:rsid w:val="139EBED8"/>
    <w:rsid w:val="13E14B06"/>
    <w:rsid w:val="13FCBFAC"/>
    <w:rsid w:val="14425EA5"/>
    <w:rsid w:val="1456F437"/>
    <w:rsid w:val="1469DDCE"/>
    <w:rsid w:val="1497739B"/>
    <w:rsid w:val="14F710D9"/>
    <w:rsid w:val="14FA9FC4"/>
    <w:rsid w:val="15194C43"/>
    <w:rsid w:val="1591085F"/>
    <w:rsid w:val="159D04D4"/>
    <w:rsid w:val="15A39535"/>
    <w:rsid w:val="15A5187D"/>
    <w:rsid w:val="15ADFCB1"/>
    <w:rsid w:val="15BB4599"/>
    <w:rsid w:val="1603322A"/>
    <w:rsid w:val="164B87B7"/>
    <w:rsid w:val="166741A6"/>
    <w:rsid w:val="16B1998C"/>
    <w:rsid w:val="16DE2DF8"/>
    <w:rsid w:val="1713B096"/>
    <w:rsid w:val="185A6301"/>
    <w:rsid w:val="18DA1A81"/>
    <w:rsid w:val="1A1074F1"/>
    <w:rsid w:val="1A1BB251"/>
    <w:rsid w:val="1A4A256F"/>
    <w:rsid w:val="1A96A442"/>
    <w:rsid w:val="1AE3EF9D"/>
    <w:rsid w:val="1B46F54F"/>
    <w:rsid w:val="1BF88577"/>
    <w:rsid w:val="1C4DC611"/>
    <w:rsid w:val="1C5ABE37"/>
    <w:rsid w:val="1CAD14DA"/>
    <w:rsid w:val="1CD0A4D0"/>
    <w:rsid w:val="1DA837EE"/>
    <w:rsid w:val="1E75CD08"/>
    <w:rsid w:val="1FE48159"/>
    <w:rsid w:val="2009F7D3"/>
    <w:rsid w:val="200CFE7B"/>
    <w:rsid w:val="202FDEF9"/>
    <w:rsid w:val="20756B60"/>
    <w:rsid w:val="2113D79E"/>
    <w:rsid w:val="21243827"/>
    <w:rsid w:val="2171B343"/>
    <w:rsid w:val="21CDE5E4"/>
    <w:rsid w:val="221561BF"/>
    <w:rsid w:val="24625EE1"/>
    <w:rsid w:val="24775BF3"/>
    <w:rsid w:val="24A8AC95"/>
    <w:rsid w:val="24F053A4"/>
    <w:rsid w:val="24F57165"/>
    <w:rsid w:val="2556F0EF"/>
    <w:rsid w:val="2560F542"/>
    <w:rsid w:val="2579C919"/>
    <w:rsid w:val="257FC46B"/>
    <w:rsid w:val="25BF45F9"/>
    <w:rsid w:val="25D61FEF"/>
    <w:rsid w:val="260CA9EE"/>
    <w:rsid w:val="262DBC88"/>
    <w:rsid w:val="264E0E6B"/>
    <w:rsid w:val="267745E6"/>
    <w:rsid w:val="26DA88C9"/>
    <w:rsid w:val="27602A67"/>
    <w:rsid w:val="27BB054E"/>
    <w:rsid w:val="2812579B"/>
    <w:rsid w:val="289D9041"/>
    <w:rsid w:val="29251B89"/>
    <w:rsid w:val="2A1CA6E1"/>
    <w:rsid w:val="2A74B5C2"/>
    <w:rsid w:val="2A794000"/>
    <w:rsid w:val="2B43E5E7"/>
    <w:rsid w:val="2B57773E"/>
    <w:rsid w:val="2B5A7C63"/>
    <w:rsid w:val="2B869FCF"/>
    <w:rsid w:val="2C8BB888"/>
    <w:rsid w:val="2D107844"/>
    <w:rsid w:val="2D1D2D3B"/>
    <w:rsid w:val="2D90F824"/>
    <w:rsid w:val="2D958F6B"/>
    <w:rsid w:val="2D9D1453"/>
    <w:rsid w:val="2DF567EB"/>
    <w:rsid w:val="2E117BF5"/>
    <w:rsid w:val="2E2644E9"/>
    <w:rsid w:val="2E2D8DA2"/>
    <w:rsid w:val="2EC0B7A4"/>
    <w:rsid w:val="2F7D2C66"/>
    <w:rsid w:val="2F91CEAF"/>
    <w:rsid w:val="2F9A60AE"/>
    <w:rsid w:val="2FF87812"/>
    <w:rsid w:val="313DA828"/>
    <w:rsid w:val="314E0506"/>
    <w:rsid w:val="3187C4C3"/>
    <w:rsid w:val="3211F732"/>
    <w:rsid w:val="321CC24F"/>
    <w:rsid w:val="3252419B"/>
    <w:rsid w:val="325A642B"/>
    <w:rsid w:val="32C0E036"/>
    <w:rsid w:val="33D76B76"/>
    <w:rsid w:val="33DA5350"/>
    <w:rsid w:val="33EEF272"/>
    <w:rsid w:val="34033B9B"/>
    <w:rsid w:val="34A24973"/>
    <w:rsid w:val="34A81D2C"/>
    <w:rsid w:val="34A9D514"/>
    <w:rsid w:val="352FBAC3"/>
    <w:rsid w:val="359204ED"/>
    <w:rsid w:val="36F805B1"/>
    <w:rsid w:val="371BC6F7"/>
    <w:rsid w:val="375632F1"/>
    <w:rsid w:val="37A4BC5B"/>
    <w:rsid w:val="37DA622C"/>
    <w:rsid w:val="3821B210"/>
    <w:rsid w:val="3831BDB8"/>
    <w:rsid w:val="38E93579"/>
    <w:rsid w:val="3A4C4DB3"/>
    <w:rsid w:val="3A4FEF2A"/>
    <w:rsid w:val="3AA93E0F"/>
    <w:rsid w:val="3AD6C0FB"/>
    <w:rsid w:val="3B8AE9D4"/>
    <w:rsid w:val="3BCD25B2"/>
    <w:rsid w:val="3BE8699D"/>
    <w:rsid w:val="3BF0911C"/>
    <w:rsid w:val="3C7C3569"/>
    <w:rsid w:val="3CB8DC5E"/>
    <w:rsid w:val="3CC5CEC5"/>
    <w:rsid w:val="3CCAD20B"/>
    <w:rsid w:val="3CDF9CF9"/>
    <w:rsid w:val="3D3F3020"/>
    <w:rsid w:val="3D76518C"/>
    <w:rsid w:val="3DFD8B8D"/>
    <w:rsid w:val="3E140D75"/>
    <w:rsid w:val="3E55B5F8"/>
    <w:rsid w:val="3EAE2F0C"/>
    <w:rsid w:val="3F5DB34B"/>
    <w:rsid w:val="3F6BD317"/>
    <w:rsid w:val="403370B7"/>
    <w:rsid w:val="4046CDBB"/>
    <w:rsid w:val="409BBCB2"/>
    <w:rsid w:val="40BB4B53"/>
    <w:rsid w:val="40F49D8C"/>
    <w:rsid w:val="412C6A82"/>
    <w:rsid w:val="41F17812"/>
    <w:rsid w:val="424272AC"/>
    <w:rsid w:val="42592C4F"/>
    <w:rsid w:val="426148F3"/>
    <w:rsid w:val="427D28CA"/>
    <w:rsid w:val="4286A800"/>
    <w:rsid w:val="42A9FAF1"/>
    <w:rsid w:val="42AD7D18"/>
    <w:rsid w:val="42DE4141"/>
    <w:rsid w:val="42EEE761"/>
    <w:rsid w:val="42F018AA"/>
    <w:rsid w:val="4318F281"/>
    <w:rsid w:val="437942D4"/>
    <w:rsid w:val="439826C8"/>
    <w:rsid w:val="439B8384"/>
    <w:rsid w:val="43EE6FFB"/>
    <w:rsid w:val="442B5220"/>
    <w:rsid w:val="448BA4CA"/>
    <w:rsid w:val="44A72249"/>
    <w:rsid w:val="452A8C95"/>
    <w:rsid w:val="45727461"/>
    <w:rsid w:val="457F5978"/>
    <w:rsid w:val="45E12F96"/>
    <w:rsid w:val="45E19BB3"/>
    <w:rsid w:val="469E7A18"/>
    <w:rsid w:val="46CF3012"/>
    <w:rsid w:val="46E16803"/>
    <w:rsid w:val="46E87B1F"/>
    <w:rsid w:val="47719E7A"/>
    <w:rsid w:val="47BD9630"/>
    <w:rsid w:val="47E89479"/>
    <w:rsid w:val="48854F4A"/>
    <w:rsid w:val="48DCD9E3"/>
    <w:rsid w:val="49540DDC"/>
    <w:rsid w:val="496FFD5D"/>
    <w:rsid w:val="49F8EFFC"/>
    <w:rsid w:val="4A0E7BA7"/>
    <w:rsid w:val="4B155252"/>
    <w:rsid w:val="4B30DD9A"/>
    <w:rsid w:val="4B562262"/>
    <w:rsid w:val="4DF026C8"/>
    <w:rsid w:val="4E96A9F6"/>
    <w:rsid w:val="4EB7E94B"/>
    <w:rsid w:val="4ED60F7F"/>
    <w:rsid w:val="4F2963DE"/>
    <w:rsid w:val="4F3C5B93"/>
    <w:rsid w:val="4FDC23CD"/>
    <w:rsid w:val="50AFD776"/>
    <w:rsid w:val="511E2318"/>
    <w:rsid w:val="5126B33D"/>
    <w:rsid w:val="5151AD8B"/>
    <w:rsid w:val="518A9E14"/>
    <w:rsid w:val="51C95E40"/>
    <w:rsid w:val="5212230F"/>
    <w:rsid w:val="5213A20F"/>
    <w:rsid w:val="521862F6"/>
    <w:rsid w:val="5239CA55"/>
    <w:rsid w:val="524E22D4"/>
    <w:rsid w:val="52813723"/>
    <w:rsid w:val="5294E02B"/>
    <w:rsid w:val="530C53D6"/>
    <w:rsid w:val="5353B0AA"/>
    <w:rsid w:val="536E7EA2"/>
    <w:rsid w:val="537C468C"/>
    <w:rsid w:val="538907E3"/>
    <w:rsid w:val="53F2826C"/>
    <w:rsid w:val="53FFF464"/>
    <w:rsid w:val="5493F751"/>
    <w:rsid w:val="54AFCC30"/>
    <w:rsid w:val="54D8610B"/>
    <w:rsid w:val="54DE6417"/>
    <w:rsid w:val="54E38ACD"/>
    <w:rsid w:val="557A838B"/>
    <w:rsid w:val="55F6D4F1"/>
    <w:rsid w:val="566AA000"/>
    <w:rsid w:val="56709567"/>
    <w:rsid w:val="567B6296"/>
    <w:rsid w:val="568DF787"/>
    <w:rsid w:val="56D9E863"/>
    <w:rsid w:val="577D2794"/>
    <w:rsid w:val="57837C81"/>
    <w:rsid w:val="57F570F2"/>
    <w:rsid w:val="58689479"/>
    <w:rsid w:val="58FDE34A"/>
    <w:rsid w:val="59284892"/>
    <w:rsid w:val="5946D470"/>
    <w:rsid w:val="595EB057"/>
    <w:rsid w:val="59B50269"/>
    <w:rsid w:val="59CA8A88"/>
    <w:rsid w:val="5A06095E"/>
    <w:rsid w:val="5A2E354F"/>
    <w:rsid w:val="5A56402F"/>
    <w:rsid w:val="5AB10C24"/>
    <w:rsid w:val="5AF49313"/>
    <w:rsid w:val="5B340220"/>
    <w:rsid w:val="5B36A3E4"/>
    <w:rsid w:val="5B506574"/>
    <w:rsid w:val="5C85EFA4"/>
    <w:rsid w:val="5CB3785E"/>
    <w:rsid w:val="5CCE4FF1"/>
    <w:rsid w:val="5CD100A5"/>
    <w:rsid w:val="5CF0B953"/>
    <w:rsid w:val="5DA69E5C"/>
    <w:rsid w:val="5DF62917"/>
    <w:rsid w:val="5E09BB53"/>
    <w:rsid w:val="5E6DDB24"/>
    <w:rsid w:val="5EBFBCD3"/>
    <w:rsid w:val="5EC86E55"/>
    <w:rsid w:val="5F023472"/>
    <w:rsid w:val="5FC74345"/>
    <w:rsid w:val="603360B7"/>
    <w:rsid w:val="604452EE"/>
    <w:rsid w:val="6057B2DA"/>
    <w:rsid w:val="60E0854F"/>
    <w:rsid w:val="614B1711"/>
    <w:rsid w:val="61949883"/>
    <w:rsid w:val="62ACB15B"/>
    <w:rsid w:val="62AFC952"/>
    <w:rsid w:val="6317CE8F"/>
    <w:rsid w:val="63659C03"/>
    <w:rsid w:val="63A53101"/>
    <w:rsid w:val="644C63FC"/>
    <w:rsid w:val="6498F328"/>
    <w:rsid w:val="6535A3B0"/>
    <w:rsid w:val="65BD5F85"/>
    <w:rsid w:val="662842A9"/>
    <w:rsid w:val="665ADFEA"/>
    <w:rsid w:val="672FCB6A"/>
    <w:rsid w:val="679B40C5"/>
    <w:rsid w:val="6871FAFD"/>
    <w:rsid w:val="697B77AD"/>
    <w:rsid w:val="69A1FB67"/>
    <w:rsid w:val="69DE2B37"/>
    <w:rsid w:val="6A204B11"/>
    <w:rsid w:val="6A926A7D"/>
    <w:rsid w:val="6B0561CC"/>
    <w:rsid w:val="6B182583"/>
    <w:rsid w:val="6B3ED6FC"/>
    <w:rsid w:val="6B866605"/>
    <w:rsid w:val="6BFB1CFD"/>
    <w:rsid w:val="6C10A1B8"/>
    <w:rsid w:val="6C2D8CF9"/>
    <w:rsid w:val="6C5BA87F"/>
    <w:rsid w:val="6C663EF9"/>
    <w:rsid w:val="6CA60D72"/>
    <w:rsid w:val="6D11F869"/>
    <w:rsid w:val="6D59E725"/>
    <w:rsid w:val="6DD4F3E1"/>
    <w:rsid w:val="6E7BC1DB"/>
    <w:rsid w:val="6EB3A736"/>
    <w:rsid w:val="6F63E04C"/>
    <w:rsid w:val="6F8FD166"/>
    <w:rsid w:val="702017AF"/>
    <w:rsid w:val="70857A09"/>
    <w:rsid w:val="70C51D4E"/>
    <w:rsid w:val="70ED0A01"/>
    <w:rsid w:val="70FCBD96"/>
    <w:rsid w:val="71034657"/>
    <w:rsid w:val="713DC00A"/>
    <w:rsid w:val="7162D77C"/>
    <w:rsid w:val="71BAAD73"/>
    <w:rsid w:val="72993810"/>
    <w:rsid w:val="72A72A8C"/>
    <w:rsid w:val="72E993C8"/>
    <w:rsid w:val="733C4000"/>
    <w:rsid w:val="73ACA3CD"/>
    <w:rsid w:val="748FEDCE"/>
    <w:rsid w:val="74A517AF"/>
    <w:rsid w:val="755D51AC"/>
    <w:rsid w:val="76369023"/>
    <w:rsid w:val="774120DA"/>
    <w:rsid w:val="77691C63"/>
    <w:rsid w:val="783FD4F9"/>
    <w:rsid w:val="786FAA2D"/>
    <w:rsid w:val="78B9873C"/>
    <w:rsid w:val="78B9CF05"/>
    <w:rsid w:val="793F74AA"/>
    <w:rsid w:val="79AE00ED"/>
    <w:rsid w:val="79BA7FE8"/>
    <w:rsid w:val="79C4DBE0"/>
    <w:rsid w:val="79DF883F"/>
    <w:rsid w:val="7A7BE8EB"/>
    <w:rsid w:val="7AD59288"/>
    <w:rsid w:val="7BFC9050"/>
    <w:rsid w:val="7BFF53D6"/>
    <w:rsid w:val="7C0FF697"/>
    <w:rsid w:val="7C45E9E6"/>
    <w:rsid w:val="7C7A4C83"/>
    <w:rsid w:val="7CC43AB0"/>
    <w:rsid w:val="7CCCC406"/>
    <w:rsid w:val="7CED8102"/>
    <w:rsid w:val="7D1B8E4F"/>
    <w:rsid w:val="7D6AE13B"/>
    <w:rsid w:val="7DB3FB75"/>
    <w:rsid w:val="7E144027"/>
    <w:rsid w:val="7E5D9589"/>
    <w:rsid w:val="7EB03936"/>
    <w:rsid w:val="7EED896A"/>
    <w:rsid w:val="7F2E2DC2"/>
    <w:rsid w:val="7F3D0387"/>
    <w:rsid w:val="7F882C3F"/>
    <w:rsid w:val="7F97A859"/>
    <w:rsid w:val="7FEEC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3EAB1"/>
  <w15:docId w15:val="{360F1069-66FF-41E9-8AE7-F692F159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6A1"/>
    <w:pPr>
      <w:spacing w:line="240" w:lineRule="auto"/>
    </w:pPr>
    <w:rPr>
      <w:rFonts w:ascii="Times New Roman" w:eastAsia="Times New Roman" w:hAnsi="Times New Roman" w:cs="Times New Roman"/>
      <w:sz w:val="24"/>
      <w:szCs w:val="24"/>
      <w:lang w:eastAsia="en-GB"/>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CommentText">
    <w:name w:val="annotation text"/>
    <w:basedOn w:val="Normal"/>
    <w:link w:val="CommentTextChar"/>
    <w:uiPriority w:val="99"/>
    <w:unhideWhenUsed/>
    <w:rPr>
      <w:rFonts w:ascii="Arial" w:eastAsia="Arial" w:hAnsi="Arial" w:cs="Arial"/>
      <w:lang w:eastAsia="en-US"/>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75F9C"/>
    <w:rPr>
      <w:rFonts w:ascii="Lucida Grande" w:eastAsia="Arial"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575F9C"/>
    <w:rPr>
      <w:rFonts w:ascii="Lucida Grande" w:hAnsi="Lucida Grande" w:cs="Lucida Grande"/>
      <w:sz w:val="18"/>
      <w:szCs w:val="18"/>
    </w:rPr>
  </w:style>
  <w:style w:type="paragraph" w:styleId="FootnoteText">
    <w:name w:val="footnote text"/>
    <w:basedOn w:val="Normal"/>
    <w:link w:val="FootnoteTextChar"/>
    <w:uiPriority w:val="99"/>
    <w:unhideWhenUsed/>
    <w:rsid w:val="00294AAA"/>
    <w:rPr>
      <w:rFonts w:ascii="Arial" w:eastAsia="Arial" w:hAnsi="Arial" w:cs="Arial"/>
      <w:lang w:eastAsia="en-US"/>
    </w:rPr>
  </w:style>
  <w:style w:type="character" w:customStyle="1" w:styleId="FootnoteTextChar">
    <w:name w:val="Footnote Text Char"/>
    <w:basedOn w:val="DefaultParagraphFont"/>
    <w:link w:val="FootnoteText"/>
    <w:uiPriority w:val="99"/>
    <w:rsid w:val="00294AAA"/>
    <w:rPr>
      <w:sz w:val="24"/>
      <w:szCs w:val="24"/>
    </w:rPr>
  </w:style>
  <w:style w:type="character" w:styleId="FootnoteReference">
    <w:name w:val="footnote reference"/>
    <w:basedOn w:val="DefaultParagraphFont"/>
    <w:uiPriority w:val="99"/>
    <w:unhideWhenUsed/>
    <w:rsid w:val="00294AAA"/>
    <w:rPr>
      <w:vertAlign w:val="superscript"/>
    </w:rPr>
  </w:style>
  <w:style w:type="character" w:styleId="Hyperlink">
    <w:name w:val="Hyperlink"/>
    <w:basedOn w:val="DefaultParagraphFont"/>
    <w:uiPriority w:val="99"/>
    <w:unhideWhenUsed/>
    <w:rsid w:val="00294AA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0354C"/>
    <w:rPr>
      <w:b/>
      <w:bCs/>
      <w:sz w:val="20"/>
      <w:szCs w:val="20"/>
    </w:rPr>
  </w:style>
  <w:style w:type="character" w:customStyle="1" w:styleId="CommentSubjectChar">
    <w:name w:val="Comment Subject Char"/>
    <w:basedOn w:val="CommentTextChar"/>
    <w:link w:val="CommentSubject"/>
    <w:uiPriority w:val="99"/>
    <w:semiHidden/>
    <w:rsid w:val="00C0354C"/>
    <w:rPr>
      <w:b/>
      <w:bCs/>
      <w:sz w:val="20"/>
      <w:szCs w:val="20"/>
    </w:rPr>
  </w:style>
  <w:style w:type="paragraph" w:styleId="ListParagraph">
    <w:name w:val="List Paragraph"/>
    <w:basedOn w:val="Normal"/>
    <w:uiPriority w:val="34"/>
    <w:qFormat/>
    <w:rsid w:val="003F179C"/>
    <w:pPr>
      <w:ind w:left="720"/>
      <w:contextualSpacing/>
    </w:pPr>
    <w:rPr>
      <w:rFonts w:asciiTheme="minorHAnsi" w:eastAsiaTheme="minorEastAsia" w:hAnsiTheme="minorHAnsi" w:cstheme="minorBidi"/>
      <w:lang w:val="en-US" w:eastAsia="en-US"/>
    </w:rPr>
  </w:style>
  <w:style w:type="paragraph" w:styleId="Footer">
    <w:name w:val="footer"/>
    <w:basedOn w:val="Normal"/>
    <w:link w:val="FooterChar"/>
    <w:uiPriority w:val="99"/>
    <w:unhideWhenUsed/>
    <w:rsid w:val="00CB76AC"/>
    <w:pPr>
      <w:tabs>
        <w:tab w:val="center" w:pos="4320"/>
        <w:tab w:val="right" w:pos="8640"/>
      </w:tabs>
    </w:pPr>
    <w:rPr>
      <w:rFonts w:ascii="Arial" w:eastAsia="Arial" w:hAnsi="Arial" w:cs="Arial"/>
      <w:sz w:val="22"/>
      <w:szCs w:val="22"/>
      <w:lang w:eastAsia="en-US"/>
    </w:rPr>
  </w:style>
  <w:style w:type="character" w:customStyle="1" w:styleId="FooterChar">
    <w:name w:val="Footer Char"/>
    <w:basedOn w:val="DefaultParagraphFont"/>
    <w:link w:val="Footer"/>
    <w:uiPriority w:val="99"/>
    <w:rsid w:val="00CB76AC"/>
  </w:style>
  <w:style w:type="character" w:styleId="PageNumber">
    <w:name w:val="page number"/>
    <w:basedOn w:val="DefaultParagraphFont"/>
    <w:uiPriority w:val="99"/>
    <w:semiHidden/>
    <w:unhideWhenUsed/>
    <w:rsid w:val="00CB76AC"/>
  </w:style>
  <w:style w:type="paragraph" w:styleId="Header">
    <w:name w:val="header"/>
    <w:basedOn w:val="Normal"/>
    <w:link w:val="HeaderChar"/>
    <w:uiPriority w:val="99"/>
    <w:semiHidden/>
    <w:unhideWhenUsed/>
    <w:rsid w:val="00BC06C3"/>
    <w:pPr>
      <w:tabs>
        <w:tab w:val="center" w:pos="4513"/>
        <w:tab w:val="right" w:pos="9026"/>
      </w:tabs>
    </w:pPr>
    <w:rPr>
      <w:rFonts w:ascii="Arial" w:eastAsia="Arial" w:hAnsi="Arial" w:cs="Arial"/>
      <w:sz w:val="22"/>
      <w:szCs w:val="22"/>
      <w:lang w:eastAsia="en-US"/>
    </w:rPr>
  </w:style>
  <w:style w:type="character" w:customStyle="1" w:styleId="HeaderChar">
    <w:name w:val="Header Char"/>
    <w:basedOn w:val="DefaultParagraphFont"/>
    <w:link w:val="Header"/>
    <w:uiPriority w:val="99"/>
    <w:semiHidden/>
    <w:rsid w:val="00BC06C3"/>
  </w:style>
  <w:style w:type="character" w:styleId="UnresolvedMention">
    <w:name w:val="Unresolved Mention"/>
    <w:basedOn w:val="DefaultParagraphFont"/>
    <w:uiPriority w:val="99"/>
    <w:semiHidden/>
    <w:unhideWhenUsed/>
    <w:rsid w:val="00421208"/>
    <w:rPr>
      <w:color w:val="605E5C"/>
      <w:shd w:val="clear" w:color="auto" w:fill="E1DFDD"/>
    </w:rPr>
  </w:style>
  <w:style w:type="paragraph" w:styleId="Revision">
    <w:name w:val="Revision"/>
    <w:hidden/>
    <w:uiPriority w:val="99"/>
    <w:semiHidden/>
    <w:rsid w:val="0007429F"/>
    <w:pPr>
      <w:spacing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62A91"/>
    <w:pPr>
      <w:spacing w:before="100" w:beforeAutospacing="1" w:after="100" w:afterAutospacing="1"/>
    </w:pPr>
    <w:rPr>
      <w:lang w:val="en-GB"/>
    </w:rPr>
  </w:style>
  <w:style w:type="character" w:styleId="FollowedHyperlink">
    <w:name w:val="FollowedHyperlink"/>
    <w:basedOn w:val="DefaultParagraphFont"/>
    <w:uiPriority w:val="99"/>
    <w:semiHidden/>
    <w:unhideWhenUsed/>
    <w:rsid w:val="00812D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2117">
      <w:bodyDiv w:val="1"/>
      <w:marLeft w:val="0"/>
      <w:marRight w:val="0"/>
      <w:marTop w:val="0"/>
      <w:marBottom w:val="0"/>
      <w:divBdr>
        <w:top w:val="none" w:sz="0" w:space="0" w:color="auto"/>
        <w:left w:val="none" w:sz="0" w:space="0" w:color="auto"/>
        <w:bottom w:val="none" w:sz="0" w:space="0" w:color="auto"/>
        <w:right w:val="none" w:sz="0" w:space="0" w:color="auto"/>
      </w:divBdr>
    </w:div>
    <w:div w:id="62146918">
      <w:bodyDiv w:val="1"/>
      <w:marLeft w:val="0"/>
      <w:marRight w:val="0"/>
      <w:marTop w:val="0"/>
      <w:marBottom w:val="0"/>
      <w:divBdr>
        <w:top w:val="none" w:sz="0" w:space="0" w:color="auto"/>
        <w:left w:val="none" w:sz="0" w:space="0" w:color="auto"/>
        <w:bottom w:val="none" w:sz="0" w:space="0" w:color="auto"/>
        <w:right w:val="none" w:sz="0" w:space="0" w:color="auto"/>
      </w:divBdr>
    </w:div>
    <w:div w:id="255066852">
      <w:bodyDiv w:val="1"/>
      <w:marLeft w:val="0"/>
      <w:marRight w:val="0"/>
      <w:marTop w:val="0"/>
      <w:marBottom w:val="0"/>
      <w:divBdr>
        <w:top w:val="none" w:sz="0" w:space="0" w:color="auto"/>
        <w:left w:val="none" w:sz="0" w:space="0" w:color="auto"/>
        <w:bottom w:val="none" w:sz="0" w:space="0" w:color="auto"/>
        <w:right w:val="none" w:sz="0" w:space="0" w:color="auto"/>
      </w:divBdr>
    </w:div>
    <w:div w:id="365641985">
      <w:bodyDiv w:val="1"/>
      <w:marLeft w:val="0"/>
      <w:marRight w:val="0"/>
      <w:marTop w:val="0"/>
      <w:marBottom w:val="0"/>
      <w:divBdr>
        <w:top w:val="none" w:sz="0" w:space="0" w:color="auto"/>
        <w:left w:val="none" w:sz="0" w:space="0" w:color="auto"/>
        <w:bottom w:val="none" w:sz="0" w:space="0" w:color="auto"/>
        <w:right w:val="none" w:sz="0" w:space="0" w:color="auto"/>
      </w:divBdr>
    </w:div>
    <w:div w:id="485319691">
      <w:bodyDiv w:val="1"/>
      <w:marLeft w:val="0"/>
      <w:marRight w:val="0"/>
      <w:marTop w:val="0"/>
      <w:marBottom w:val="0"/>
      <w:divBdr>
        <w:top w:val="none" w:sz="0" w:space="0" w:color="auto"/>
        <w:left w:val="none" w:sz="0" w:space="0" w:color="auto"/>
        <w:bottom w:val="none" w:sz="0" w:space="0" w:color="auto"/>
        <w:right w:val="none" w:sz="0" w:space="0" w:color="auto"/>
      </w:divBdr>
    </w:div>
    <w:div w:id="503666961">
      <w:bodyDiv w:val="1"/>
      <w:marLeft w:val="0"/>
      <w:marRight w:val="0"/>
      <w:marTop w:val="0"/>
      <w:marBottom w:val="0"/>
      <w:divBdr>
        <w:top w:val="none" w:sz="0" w:space="0" w:color="auto"/>
        <w:left w:val="none" w:sz="0" w:space="0" w:color="auto"/>
        <w:bottom w:val="none" w:sz="0" w:space="0" w:color="auto"/>
        <w:right w:val="none" w:sz="0" w:space="0" w:color="auto"/>
      </w:divBdr>
    </w:div>
    <w:div w:id="711853294">
      <w:bodyDiv w:val="1"/>
      <w:marLeft w:val="0"/>
      <w:marRight w:val="0"/>
      <w:marTop w:val="0"/>
      <w:marBottom w:val="0"/>
      <w:divBdr>
        <w:top w:val="none" w:sz="0" w:space="0" w:color="auto"/>
        <w:left w:val="none" w:sz="0" w:space="0" w:color="auto"/>
        <w:bottom w:val="none" w:sz="0" w:space="0" w:color="auto"/>
        <w:right w:val="none" w:sz="0" w:space="0" w:color="auto"/>
      </w:divBdr>
    </w:div>
    <w:div w:id="745763425">
      <w:bodyDiv w:val="1"/>
      <w:marLeft w:val="0"/>
      <w:marRight w:val="0"/>
      <w:marTop w:val="0"/>
      <w:marBottom w:val="0"/>
      <w:divBdr>
        <w:top w:val="none" w:sz="0" w:space="0" w:color="auto"/>
        <w:left w:val="none" w:sz="0" w:space="0" w:color="auto"/>
        <w:bottom w:val="none" w:sz="0" w:space="0" w:color="auto"/>
        <w:right w:val="none" w:sz="0" w:space="0" w:color="auto"/>
      </w:divBdr>
    </w:div>
    <w:div w:id="1033926038">
      <w:bodyDiv w:val="1"/>
      <w:marLeft w:val="0"/>
      <w:marRight w:val="0"/>
      <w:marTop w:val="0"/>
      <w:marBottom w:val="0"/>
      <w:divBdr>
        <w:top w:val="none" w:sz="0" w:space="0" w:color="auto"/>
        <w:left w:val="none" w:sz="0" w:space="0" w:color="auto"/>
        <w:bottom w:val="none" w:sz="0" w:space="0" w:color="auto"/>
        <w:right w:val="none" w:sz="0" w:space="0" w:color="auto"/>
      </w:divBdr>
    </w:div>
    <w:div w:id="1436514835">
      <w:bodyDiv w:val="1"/>
      <w:marLeft w:val="0"/>
      <w:marRight w:val="0"/>
      <w:marTop w:val="0"/>
      <w:marBottom w:val="0"/>
      <w:divBdr>
        <w:top w:val="none" w:sz="0" w:space="0" w:color="auto"/>
        <w:left w:val="none" w:sz="0" w:space="0" w:color="auto"/>
        <w:bottom w:val="none" w:sz="0" w:space="0" w:color="auto"/>
        <w:right w:val="none" w:sz="0" w:space="0" w:color="auto"/>
      </w:divBdr>
    </w:div>
    <w:div w:id="1505824087">
      <w:bodyDiv w:val="1"/>
      <w:marLeft w:val="0"/>
      <w:marRight w:val="0"/>
      <w:marTop w:val="0"/>
      <w:marBottom w:val="0"/>
      <w:divBdr>
        <w:top w:val="none" w:sz="0" w:space="0" w:color="auto"/>
        <w:left w:val="none" w:sz="0" w:space="0" w:color="auto"/>
        <w:bottom w:val="none" w:sz="0" w:space="0" w:color="auto"/>
        <w:right w:val="none" w:sz="0" w:space="0" w:color="auto"/>
      </w:divBdr>
    </w:div>
    <w:div w:id="1523200942">
      <w:bodyDiv w:val="1"/>
      <w:marLeft w:val="0"/>
      <w:marRight w:val="0"/>
      <w:marTop w:val="0"/>
      <w:marBottom w:val="0"/>
      <w:divBdr>
        <w:top w:val="none" w:sz="0" w:space="0" w:color="auto"/>
        <w:left w:val="none" w:sz="0" w:space="0" w:color="auto"/>
        <w:bottom w:val="none" w:sz="0" w:space="0" w:color="auto"/>
        <w:right w:val="none" w:sz="0" w:space="0" w:color="auto"/>
      </w:divBdr>
    </w:div>
    <w:div w:id="1573003519">
      <w:bodyDiv w:val="1"/>
      <w:marLeft w:val="0"/>
      <w:marRight w:val="0"/>
      <w:marTop w:val="0"/>
      <w:marBottom w:val="0"/>
      <w:divBdr>
        <w:top w:val="none" w:sz="0" w:space="0" w:color="auto"/>
        <w:left w:val="none" w:sz="0" w:space="0" w:color="auto"/>
        <w:bottom w:val="none" w:sz="0" w:space="0" w:color="auto"/>
        <w:right w:val="none" w:sz="0" w:space="0" w:color="auto"/>
      </w:divBdr>
    </w:div>
    <w:div w:id="1579830124">
      <w:bodyDiv w:val="1"/>
      <w:marLeft w:val="0"/>
      <w:marRight w:val="0"/>
      <w:marTop w:val="0"/>
      <w:marBottom w:val="0"/>
      <w:divBdr>
        <w:top w:val="none" w:sz="0" w:space="0" w:color="auto"/>
        <w:left w:val="none" w:sz="0" w:space="0" w:color="auto"/>
        <w:bottom w:val="none" w:sz="0" w:space="0" w:color="auto"/>
        <w:right w:val="none" w:sz="0" w:space="0" w:color="auto"/>
      </w:divBdr>
    </w:div>
    <w:div w:id="1689065945">
      <w:bodyDiv w:val="1"/>
      <w:marLeft w:val="0"/>
      <w:marRight w:val="0"/>
      <w:marTop w:val="0"/>
      <w:marBottom w:val="0"/>
      <w:divBdr>
        <w:top w:val="none" w:sz="0" w:space="0" w:color="auto"/>
        <w:left w:val="none" w:sz="0" w:space="0" w:color="auto"/>
        <w:bottom w:val="none" w:sz="0" w:space="0" w:color="auto"/>
        <w:right w:val="none" w:sz="0" w:space="0" w:color="auto"/>
      </w:divBdr>
    </w:div>
    <w:div w:id="1745834558">
      <w:bodyDiv w:val="1"/>
      <w:marLeft w:val="0"/>
      <w:marRight w:val="0"/>
      <w:marTop w:val="0"/>
      <w:marBottom w:val="0"/>
      <w:divBdr>
        <w:top w:val="none" w:sz="0" w:space="0" w:color="auto"/>
        <w:left w:val="none" w:sz="0" w:space="0" w:color="auto"/>
        <w:bottom w:val="none" w:sz="0" w:space="0" w:color="auto"/>
        <w:right w:val="none" w:sz="0" w:space="0" w:color="auto"/>
      </w:divBdr>
    </w:div>
    <w:div w:id="1766222128">
      <w:bodyDiv w:val="1"/>
      <w:marLeft w:val="0"/>
      <w:marRight w:val="0"/>
      <w:marTop w:val="0"/>
      <w:marBottom w:val="0"/>
      <w:divBdr>
        <w:top w:val="none" w:sz="0" w:space="0" w:color="auto"/>
        <w:left w:val="none" w:sz="0" w:space="0" w:color="auto"/>
        <w:bottom w:val="none" w:sz="0" w:space="0" w:color="auto"/>
        <w:right w:val="none" w:sz="0" w:space="0" w:color="auto"/>
      </w:divBdr>
    </w:div>
    <w:div w:id="1914198304">
      <w:bodyDiv w:val="1"/>
      <w:marLeft w:val="0"/>
      <w:marRight w:val="0"/>
      <w:marTop w:val="0"/>
      <w:marBottom w:val="0"/>
      <w:divBdr>
        <w:top w:val="none" w:sz="0" w:space="0" w:color="auto"/>
        <w:left w:val="none" w:sz="0" w:space="0" w:color="auto"/>
        <w:bottom w:val="none" w:sz="0" w:space="0" w:color="auto"/>
        <w:right w:val="none" w:sz="0" w:space="0" w:color="auto"/>
      </w:divBdr>
    </w:div>
    <w:div w:id="1931160479">
      <w:bodyDiv w:val="1"/>
      <w:marLeft w:val="0"/>
      <w:marRight w:val="0"/>
      <w:marTop w:val="0"/>
      <w:marBottom w:val="0"/>
      <w:divBdr>
        <w:top w:val="none" w:sz="0" w:space="0" w:color="auto"/>
        <w:left w:val="none" w:sz="0" w:space="0" w:color="auto"/>
        <w:bottom w:val="none" w:sz="0" w:space="0" w:color="auto"/>
        <w:right w:val="none" w:sz="0" w:space="0" w:color="auto"/>
      </w:divBdr>
    </w:div>
    <w:div w:id="1942763797">
      <w:bodyDiv w:val="1"/>
      <w:marLeft w:val="0"/>
      <w:marRight w:val="0"/>
      <w:marTop w:val="0"/>
      <w:marBottom w:val="0"/>
      <w:divBdr>
        <w:top w:val="none" w:sz="0" w:space="0" w:color="auto"/>
        <w:left w:val="none" w:sz="0" w:space="0" w:color="auto"/>
        <w:bottom w:val="none" w:sz="0" w:space="0" w:color="auto"/>
        <w:right w:val="none" w:sz="0" w:space="0" w:color="auto"/>
      </w:divBdr>
    </w:div>
    <w:div w:id="2021931758">
      <w:bodyDiv w:val="1"/>
      <w:marLeft w:val="0"/>
      <w:marRight w:val="0"/>
      <w:marTop w:val="0"/>
      <w:marBottom w:val="0"/>
      <w:divBdr>
        <w:top w:val="none" w:sz="0" w:space="0" w:color="auto"/>
        <w:left w:val="none" w:sz="0" w:space="0" w:color="auto"/>
        <w:bottom w:val="none" w:sz="0" w:space="0" w:color="auto"/>
        <w:right w:val="none" w:sz="0" w:space="0" w:color="auto"/>
      </w:divBdr>
    </w:div>
    <w:div w:id="2143233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jdih.kpu.go.id/data/data_kepkpu/KPT%252520810%252520THN%2525202019.pdf" TargetMode="External"/><Relationship Id="rId13" Type="http://schemas.openxmlformats.org/officeDocument/2006/relationships/hyperlink" Target="https://tbinternet.ohchr.org/Treaties/CEDAW/Shared%20Documents/1_Global/INT_CEDAW_GEC_4736_E.pdf" TargetMode="External"/><Relationship Id="rId3" Type="http://schemas.openxmlformats.org/officeDocument/2006/relationships/hyperlink" Target="https://www.forestpeoples.org/sites/default/files/news/2013/05/Constitutional_Court_Ruling_Indonesia_16_May_2013_English.pdf" TargetMode="External"/><Relationship Id="rId7" Type="http://schemas.openxmlformats.org/officeDocument/2006/relationships/hyperlink" Target="https://jdih.kpu.go.id/data/data_abstrakkepkpu/ABS%252520810%252520THN%2525202019.pdf" TargetMode="External"/><Relationship Id="rId12" Type="http://schemas.openxmlformats.org/officeDocument/2006/relationships/hyperlink" Target="https://www.papua.go.id/view-detail-listkab-all/daftar-kabupaten.html" TargetMode="External"/><Relationship Id="rId2" Type="http://schemas.openxmlformats.org/officeDocument/2006/relationships/hyperlink" Target="https://www.ilo.org/dyn/natlex/natlex4.detail?p_lang=&amp;p_isn=84431" TargetMode="External"/><Relationship Id="rId16" Type="http://schemas.openxmlformats.org/officeDocument/2006/relationships/hyperlink" Target="https://www.rnz.co.nz/international/pacific-news/396527/indonesian-govt-neglecting-papuans-displaced-by-conflict-researcher" TargetMode="External"/><Relationship Id="rId1" Type="http://schemas.openxmlformats.org/officeDocument/2006/relationships/hyperlink" Target="https://www.constituteproject.org/constitution/Indonesia_2002.pdf?lang=en" TargetMode="External"/><Relationship Id="rId6" Type="http://schemas.openxmlformats.org/officeDocument/2006/relationships/hyperlink" Target="https://theconversation.com/in-west-papua-oil-palm-expansion-undermines-the-relations-of-indigenous-marind-people-to-forest-plants-and-animals-124885" TargetMode="External"/><Relationship Id="rId11" Type="http://schemas.openxmlformats.org/officeDocument/2006/relationships/hyperlink" Target="https://jubi.co.id/keterwakilan-perempuan-di-parlemen-papua-hanya-jadi-pelengkap-loloskan-parpol/" TargetMode="External"/><Relationship Id="rId5" Type="http://schemas.openxmlformats.org/officeDocument/2006/relationships/hyperlink" Target="https://asia-ajar.org/2021/03/all-the-birds-are-gone-indigenous-women-speak-out-against-forest-loss-in-papua/" TargetMode="External"/><Relationship Id="rId15" Type="http://schemas.openxmlformats.org/officeDocument/2006/relationships/hyperlink" Target="https://humanrightspapua.org/images/docs/HumanRightsPapua2019-ICP.pdf" TargetMode="External"/><Relationship Id="rId10" Type="http://schemas.openxmlformats.org/officeDocument/2006/relationships/hyperlink" Target="https://dpr-papua.go.id/profil-anggota-dprp-masa-jabatan-2019-2024/" TargetMode="External"/><Relationship Id="rId4" Type="http://schemas.openxmlformats.org/officeDocument/2006/relationships/hyperlink" Target="https://journal.unhas.ac.id/index.php/fs/article/view/11343" TargetMode="External"/><Relationship Id="rId9" Type="http://schemas.openxmlformats.org/officeDocument/2006/relationships/hyperlink" Target="https://www.jagatpapua.com/keterwakilan-perempuan-di-dpr-papua-barat-perlu-diberi-peran-strategis/" TargetMode="External"/><Relationship Id="rId14" Type="http://schemas.openxmlformats.org/officeDocument/2006/relationships/hyperlink" Target="https://thediplomat.com/2021/05/indonesia-deploys-special-forces-to-troubled-papua-re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0D0E6-BB2E-420C-A8A3-3EC8D21F3CB0}">
  <ds:schemaRefs>
    <ds:schemaRef ds:uri="http://schemas.microsoft.com/office/2006/metadata/properties"/>
    <ds:schemaRef ds:uri="http://schemas.microsoft.com/office/infopath/2007/PartnerControls"/>
    <ds:schemaRef ds:uri="http://schemas.microsoft.com/sharepoint/v3"/>
    <ds:schemaRef ds:uri="63551598-73e7-4116-9c96-da7493a2a1ab"/>
  </ds:schemaRefs>
</ds:datastoreItem>
</file>

<file path=customXml/itemProps2.xml><?xml version="1.0" encoding="utf-8"?>
<ds:datastoreItem xmlns:ds="http://schemas.openxmlformats.org/officeDocument/2006/customXml" ds:itemID="{5DCB90A7-DF78-45AF-BECE-37AE0A1A1FCF}">
  <ds:schemaRefs>
    <ds:schemaRef ds:uri="http://schemas.microsoft.com/sharepoint/v3/contenttype/forms"/>
  </ds:schemaRefs>
</ds:datastoreItem>
</file>

<file path=customXml/itemProps3.xml><?xml version="1.0" encoding="utf-8"?>
<ds:datastoreItem xmlns:ds="http://schemas.openxmlformats.org/officeDocument/2006/customXml" ds:itemID="{1928DD79-7943-4E17-8BA4-E3DBA5013EBC}">
  <ds:schemaRefs>
    <ds:schemaRef ds:uri="http://schemas.openxmlformats.org/officeDocument/2006/bibliography"/>
  </ds:schemaRefs>
</ds:datastoreItem>
</file>

<file path=customXml/itemProps4.xml><?xml version="1.0" encoding="utf-8"?>
<ds:datastoreItem xmlns:ds="http://schemas.openxmlformats.org/officeDocument/2006/customXml" ds:itemID="{6A0F733A-D1AF-4B37-8E27-ADD9627A2E85}"/>
</file>

<file path=docProps/app.xml><?xml version="1.0" encoding="utf-8"?>
<Properties xmlns="http://schemas.openxmlformats.org/officeDocument/2006/extended-properties" xmlns:vt="http://schemas.openxmlformats.org/officeDocument/2006/docPropsVTypes">
  <Template>Normal.dotm</Template>
  <TotalTime>1</TotalTime>
  <Pages>6</Pages>
  <Words>1760</Words>
  <Characters>10037</Characters>
  <Application>Microsoft Office Word</Application>
  <DocSecurity>0</DocSecurity>
  <Lines>83</Lines>
  <Paragraphs>23</Paragraphs>
  <ScaleCrop>false</ScaleCrop>
  <Company/>
  <LinksUpToDate>false</LinksUpToDate>
  <CharactersWithSpaces>11774</CharactersWithSpaces>
  <SharedDoc>false</SharedDoc>
  <HLinks>
    <vt:vector size="96" baseType="variant">
      <vt:variant>
        <vt:i4>3932214</vt:i4>
      </vt:variant>
      <vt:variant>
        <vt:i4>45</vt:i4>
      </vt:variant>
      <vt:variant>
        <vt:i4>0</vt:i4>
      </vt:variant>
      <vt:variant>
        <vt:i4>5</vt:i4>
      </vt:variant>
      <vt:variant>
        <vt:lpwstr>https://www.rnz.co.nz/international/pacific-news/396527/indonesian-govt-neglecting-papuans-displaced-by-conflict-researcher</vt:lpwstr>
      </vt:variant>
      <vt:variant>
        <vt:lpwstr/>
      </vt:variant>
      <vt:variant>
        <vt:i4>5832731</vt:i4>
      </vt:variant>
      <vt:variant>
        <vt:i4>42</vt:i4>
      </vt:variant>
      <vt:variant>
        <vt:i4>0</vt:i4>
      </vt:variant>
      <vt:variant>
        <vt:i4>5</vt:i4>
      </vt:variant>
      <vt:variant>
        <vt:lpwstr>https://humanrightspapua.org/images/docs/HumanRightsPapua2019-ICP.pdf</vt:lpwstr>
      </vt:variant>
      <vt:variant>
        <vt:lpwstr/>
      </vt:variant>
      <vt:variant>
        <vt:i4>2883690</vt:i4>
      </vt:variant>
      <vt:variant>
        <vt:i4>39</vt:i4>
      </vt:variant>
      <vt:variant>
        <vt:i4>0</vt:i4>
      </vt:variant>
      <vt:variant>
        <vt:i4>5</vt:i4>
      </vt:variant>
      <vt:variant>
        <vt:lpwstr>https://thediplomat.com/2021/05/indonesia-deploys-special-forces-to-troubled-papua-region/</vt:lpwstr>
      </vt:variant>
      <vt:variant>
        <vt:lpwstr/>
      </vt:variant>
      <vt:variant>
        <vt:i4>4980783</vt:i4>
      </vt:variant>
      <vt:variant>
        <vt:i4>36</vt:i4>
      </vt:variant>
      <vt:variant>
        <vt:i4>0</vt:i4>
      </vt:variant>
      <vt:variant>
        <vt:i4>5</vt:i4>
      </vt:variant>
      <vt:variant>
        <vt:lpwstr>https://tbinternet.ohchr.org/Treaties/CEDAW/Shared Documents/1_Global/INT_CEDAW_GEC_4736_E.pdf</vt:lpwstr>
      </vt:variant>
      <vt:variant>
        <vt:lpwstr/>
      </vt:variant>
      <vt:variant>
        <vt:i4>131141</vt:i4>
      </vt:variant>
      <vt:variant>
        <vt:i4>33</vt:i4>
      </vt:variant>
      <vt:variant>
        <vt:i4>0</vt:i4>
      </vt:variant>
      <vt:variant>
        <vt:i4>5</vt:i4>
      </vt:variant>
      <vt:variant>
        <vt:lpwstr>https://www.papua.go.id/view-detail-listkab-all/daftar-kabupaten.html</vt:lpwstr>
      </vt:variant>
      <vt:variant>
        <vt:lpwstr/>
      </vt:variant>
      <vt:variant>
        <vt:i4>5767172</vt:i4>
      </vt:variant>
      <vt:variant>
        <vt:i4>30</vt:i4>
      </vt:variant>
      <vt:variant>
        <vt:i4>0</vt:i4>
      </vt:variant>
      <vt:variant>
        <vt:i4>5</vt:i4>
      </vt:variant>
      <vt:variant>
        <vt:lpwstr>https://jubi.co.id/keterwakilan-perempuan-di-parlemen-papua-hanya-jadi-pelengkap-loloskan-parpol/</vt:lpwstr>
      </vt:variant>
      <vt:variant>
        <vt:lpwstr/>
      </vt:variant>
      <vt:variant>
        <vt:i4>2883687</vt:i4>
      </vt:variant>
      <vt:variant>
        <vt:i4>27</vt:i4>
      </vt:variant>
      <vt:variant>
        <vt:i4>0</vt:i4>
      </vt:variant>
      <vt:variant>
        <vt:i4>5</vt:i4>
      </vt:variant>
      <vt:variant>
        <vt:lpwstr>https://dpr-papua.go.id/profil-anggota-dprp-masa-jabatan-2019-2024/</vt:lpwstr>
      </vt:variant>
      <vt:variant>
        <vt:lpwstr/>
      </vt:variant>
      <vt:variant>
        <vt:i4>7929957</vt:i4>
      </vt:variant>
      <vt:variant>
        <vt:i4>24</vt:i4>
      </vt:variant>
      <vt:variant>
        <vt:i4>0</vt:i4>
      </vt:variant>
      <vt:variant>
        <vt:i4>5</vt:i4>
      </vt:variant>
      <vt:variant>
        <vt:lpwstr>https://www.jagatpapua.com/keterwakilan-perempuan-di-dpr-papua-barat-perlu-diberi-peran-strategis/</vt:lpwstr>
      </vt:variant>
      <vt:variant>
        <vt:lpwstr/>
      </vt:variant>
      <vt:variant>
        <vt:i4>7733336</vt:i4>
      </vt:variant>
      <vt:variant>
        <vt:i4>21</vt:i4>
      </vt:variant>
      <vt:variant>
        <vt:i4>0</vt:i4>
      </vt:variant>
      <vt:variant>
        <vt:i4>5</vt:i4>
      </vt:variant>
      <vt:variant>
        <vt:lpwstr>https://jdih.kpu.go.id/data/data_kepkpu/KPT%252520810%252520THN%2525202019.pdf</vt:lpwstr>
      </vt:variant>
      <vt:variant>
        <vt:lpwstr/>
      </vt:variant>
      <vt:variant>
        <vt:i4>1703985</vt:i4>
      </vt:variant>
      <vt:variant>
        <vt:i4>18</vt:i4>
      </vt:variant>
      <vt:variant>
        <vt:i4>0</vt:i4>
      </vt:variant>
      <vt:variant>
        <vt:i4>5</vt:i4>
      </vt:variant>
      <vt:variant>
        <vt:lpwstr>https://jdih.kpu.go.id/data/data_abstrakkepkpu/ABS%252520810%252520THN%2525202019.pdf</vt:lpwstr>
      </vt:variant>
      <vt:variant>
        <vt:lpwstr/>
      </vt:variant>
      <vt:variant>
        <vt:i4>1638469</vt:i4>
      </vt:variant>
      <vt:variant>
        <vt:i4>15</vt:i4>
      </vt:variant>
      <vt:variant>
        <vt:i4>0</vt:i4>
      </vt:variant>
      <vt:variant>
        <vt:i4>5</vt:i4>
      </vt:variant>
      <vt:variant>
        <vt:lpwstr>https://bisnis.tempo.co/read/751969/perempuan-adat-paling-rentan-terkena-dampak-konflik/full&amp;view=ok</vt:lpwstr>
      </vt:variant>
      <vt:variant>
        <vt:lpwstr/>
      </vt:variant>
      <vt:variant>
        <vt:i4>655380</vt:i4>
      </vt:variant>
      <vt:variant>
        <vt:i4>12</vt:i4>
      </vt:variant>
      <vt:variant>
        <vt:i4>0</vt:i4>
      </vt:variant>
      <vt:variant>
        <vt:i4>5</vt:i4>
      </vt:variant>
      <vt:variant>
        <vt:lpwstr>https://theconversation.com/in-west-papua-oil-palm-expansion-undermines-the-relations-of-indigenous-marind-people-to-forest-plants-and-animals-124885</vt:lpwstr>
      </vt:variant>
      <vt:variant>
        <vt:lpwstr/>
      </vt:variant>
      <vt:variant>
        <vt:i4>1245254</vt:i4>
      </vt:variant>
      <vt:variant>
        <vt:i4>9</vt:i4>
      </vt:variant>
      <vt:variant>
        <vt:i4>0</vt:i4>
      </vt:variant>
      <vt:variant>
        <vt:i4>5</vt:i4>
      </vt:variant>
      <vt:variant>
        <vt:lpwstr>https://asia-ajar.org/2021/03/all-the-birds-are-gone-indigenous-women-speak-out-against-forest-loss-in-papua/</vt:lpwstr>
      </vt:variant>
      <vt:variant>
        <vt:lpwstr/>
      </vt:variant>
      <vt:variant>
        <vt:i4>5963834</vt:i4>
      </vt:variant>
      <vt:variant>
        <vt:i4>6</vt:i4>
      </vt:variant>
      <vt:variant>
        <vt:i4>0</vt:i4>
      </vt:variant>
      <vt:variant>
        <vt:i4>5</vt:i4>
      </vt:variant>
      <vt:variant>
        <vt:lpwstr>https://www.forestpeoples.org/sites/default/files/news/2013/05/Constitutional_Court_Ruling_Indonesia_16_May_2013_English.pdf</vt:lpwstr>
      </vt:variant>
      <vt:variant>
        <vt:lpwstr/>
      </vt:variant>
      <vt:variant>
        <vt:i4>1048595</vt:i4>
      </vt:variant>
      <vt:variant>
        <vt:i4>3</vt:i4>
      </vt:variant>
      <vt:variant>
        <vt:i4>0</vt:i4>
      </vt:variant>
      <vt:variant>
        <vt:i4>5</vt:i4>
      </vt:variant>
      <vt:variant>
        <vt:lpwstr>https://www.ilo.org/dyn/natlex/natlex4.detail?p_lang=&amp;p_isn=84431</vt:lpwstr>
      </vt:variant>
      <vt:variant>
        <vt:lpwstr/>
      </vt:variant>
      <vt:variant>
        <vt:i4>4653183</vt:i4>
      </vt:variant>
      <vt:variant>
        <vt:i4>0</vt:i4>
      </vt:variant>
      <vt:variant>
        <vt:i4>0</vt:i4>
      </vt:variant>
      <vt:variant>
        <vt:i4>5</vt:i4>
      </vt:variant>
      <vt:variant>
        <vt:lpwstr>https://www.constituteproject.org/constitution/Indonesia_2002.pdf?lang=en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 Tjahjono</dc:creator>
  <cp:keywords/>
  <cp:lastModifiedBy>Budi Tjahjono</cp:lastModifiedBy>
  <cp:revision>2</cp:revision>
  <dcterms:created xsi:type="dcterms:W3CDTF">2021-06-18T16:05:00Z</dcterms:created>
  <dcterms:modified xsi:type="dcterms:W3CDTF">2021-06-18T16:05:00Z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