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52E607" w14:textId="77777777" w:rsidR="00B55247" w:rsidRPr="003037DB" w:rsidRDefault="00B55247" w:rsidP="00613AE8">
      <w:pPr>
        <w:spacing w:line="23" w:lineRule="atLeast"/>
        <w:jc w:val="center"/>
        <w:rPr>
          <w:rFonts w:cstheme="minorHAnsi"/>
          <w:sz w:val="24"/>
          <w:szCs w:val="24"/>
        </w:rPr>
      </w:pPr>
      <w:r w:rsidRPr="003037DB">
        <w:rPr>
          <w:rFonts w:cstheme="minorHAnsi"/>
          <w:sz w:val="24"/>
          <w:szCs w:val="24"/>
        </w:rPr>
        <w:t>Submission to the CEDAW Committee on the right of indigenous women and girls</w:t>
      </w:r>
    </w:p>
    <w:p w14:paraId="024F5C69" w14:textId="77777777" w:rsidR="00B55247" w:rsidRPr="003037DB" w:rsidRDefault="00B55247" w:rsidP="00613AE8">
      <w:pPr>
        <w:spacing w:line="23" w:lineRule="atLeast"/>
        <w:jc w:val="center"/>
        <w:rPr>
          <w:rFonts w:cstheme="minorHAnsi"/>
          <w:sz w:val="24"/>
          <w:szCs w:val="24"/>
        </w:rPr>
      </w:pPr>
      <w:r w:rsidRPr="003037DB">
        <w:rPr>
          <w:rFonts w:cstheme="minorHAnsi"/>
          <w:sz w:val="24"/>
          <w:szCs w:val="24"/>
        </w:rPr>
        <w:t>to effective participation, consultation and consent</w:t>
      </w:r>
    </w:p>
    <w:p w14:paraId="3998CEA9" w14:textId="77777777" w:rsidR="00B55247" w:rsidRPr="003037DB" w:rsidRDefault="00B55247" w:rsidP="00613AE8">
      <w:pPr>
        <w:spacing w:line="23" w:lineRule="atLeast"/>
        <w:jc w:val="center"/>
        <w:rPr>
          <w:rFonts w:cstheme="minorHAnsi"/>
          <w:sz w:val="24"/>
          <w:szCs w:val="24"/>
        </w:rPr>
      </w:pPr>
      <w:r w:rsidRPr="003037DB">
        <w:rPr>
          <w:rFonts w:cstheme="minorHAnsi"/>
          <w:sz w:val="24"/>
          <w:szCs w:val="24"/>
        </w:rPr>
        <w:t>in the context of extractive industries</w:t>
      </w:r>
    </w:p>
    <w:p w14:paraId="363CEACF" w14:textId="77777777" w:rsidR="00B55247" w:rsidRPr="003037DB" w:rsidRDefault="00B55247" w:rsidP="00613AE8">
      <w:pPr>
        <w:spacing w:line="23" w:lineRule="atLeast"/>
        <w:jc w:val="center"/>
        <w:rPr>
          <w:rFonts w:cstheme="minorHAnsi"/>
          <w:sz w:val="24"/>
          <w:szCs w:val="24"/>
        </w:rPr>
      </w:pPr>
    </w:p>
    <w:p w14:paraId="5A08E7A1" w14:textId="77777777" w:rsidR="00B55247" w:rsidRPr="003037DB" w:rsidRDefault="00B55247" w:rsidP="00613AE8">
      <w:pPr>
        <w:spacing w:line="23" w:lineRule="atLeast"/>
        <w:jc w:val="center"/>
        <w:rPr>
          <w:rFonts w:cstheme="minorHAnsi"/>
          <w:bCs/>
          <w:sz w:val="24"/>
          <w:szCs w:val="24"/>
        </w:rPr>
      </w:pPr>
      <w:r w:rsidRPr="003037DB">
        <w:rPr>
          <w:rFonts w:cstheme="minorHAnsi"/>
          <w:bCs/>
          <w:sz w:val="24"/>
          <w:szCs w:val="24"/>
        </w:rPr>
        <w:t>Submitted by:</w:t>
      </w:r>
    </w:p>
    <w:p w14:paraId="22AB02ED" w14:textId="77777777" w:rsidR="00B55247" w:rsidRPr="003037DB" w:rsidRDefault="00B55247" w:rsidP="00613AE8">
      <w:pPr>
        <w:spacing w:line="23" w:lineRule="atLeast"/>
        <w:jc w:val="center"/>
        <w:rPr>
          <w:rFonts w:cstheme="minorHAnsi"/>
          <w:bCs/>
          <w:sz w:val="24"/>
          <w:szCs w:val="24"/>
        </w:rPr>
      </w:pPr>
    </w:p>
    <w:p w14:paraId="159C061B" w14:textId="7D411468" w:rsidR="00B55247" w:rsidRPr="003037DB" w:rsidRDefault="00B55247" w:rsidP="00613AE8">
      <w:pPr>
        <w:spacing w:line="23" w:lineRule="atLeast"/>
        <w:jc w:val="center"/>
        <w:rPr>
          <w:rFonts w:cstheme="minorHAnsi"/>
          <w:bCs/>
          <w:sz w:val="24"/>
          <w:szCs w:val="24"/>
        </w:rPr>
      </w:pPr>
      <w:r w:rsidRPr="003037DB">
        <w:rPr>
          <w:rFonts w:cstheme="minorHAnsi"/>
          <w:bCs/>
          <w:sz w:val="24"/>
          <w:szCs w:val="24"/>
        </w:rPr>
        <w:t>Development by Unity and Brotherl</w:t>
      </w:r>
      <w:r w:rsidR="00D962AD" w:rsidRPr="003037DB">
        <w:rPr>
          <w:rFonts w:cstheme="minorHAnsi"/>
          <w:bCs/>
          <w:sz w:val="24"/>
          <w:szCs w:val="24"/>
        </w:rPr>
        <w:t>y Action for the Future (DUBAF) and</w:t>
      </w:r>
    </w:p>
    <w:p w14:paraId="4CCFC13E" w14:textId="77777777" w:rsidR="00A6003C" w:rsidRDefault="00B55247" w:rsidP="00613AE8">
      <w:pPr>
        <w:spacing w:line="23" w:lineRule="atLeast"/>
        <w:jc w:val="center"/>
        <w:rPr>
          <w:rFonts w:cstheme="minorHAnsi"/>
          <w:bCs/>
          <w:sz w:val="24"/>
          <w:szCs w:val="24"/>
        </w:rPr>
      </w:pPr>
      <w:r w:rsidRPr="003037DB">
        <w:rPr>
          <w:rFonts w:cstheme="minorHAnsi"/>
          <w:bCs/>
          <w:sz w:val="24"/>
          <w:szCs w:val="24"/>
        </w:rPr>
        <w:t>Center for International Human Rights (CIHR)</w:t>
      </w:r>
      <w:r w:rsidR="00D962AD" w:rsidRPr="003037DB">
        <w:rPr>
          <w:rFonts w:cstheme="minorHAnsi"/>
          <w:bCs/>
          <w:sz w:val="24"/>
          <w:szCs w:val="24"/>
        </w:rPr>
        <w:t xml:space="preserve"> of </w:t>
      </w:r>
    </w:p>
    <w:p w14:paraId="1ECAA308" w14:textId="4DC9ABC7" w:rsidR="00B55247" w:rsidRPr="003037DB" w:rsidRDefault="00D962AD" w:rsidP="00613AE8">
      <w:pPr>
        <w:spacing w:line="23" w:lineRule="atLeast"/>
        <w:jc w:val="center"/>
        <w:rPr>
          <w:rFonts w:cstheme="minorHAnsi"/>
          <w:bCs/>
          <w:sz w:val="24"/>
          <w:szCs w:val="24"/>
        </w:rPr>
      </w:pPr>
      <w:r w:rsidRPr="003037DB">
        <w:rPr>
          <w:rFonts w:cstheme="minorHAnsi"/>
          <w:bCs/>
          <w:sz w:val="24"/>
          <w:szCs w:val="24"/>
        </w:rPr>
        <w:t xml:space="preserve">Northwestern University </w:t>
      </w:r>
      <w:r w:rsidR="00B55247" w:rsidRPr="003037DB">
        <w:rPr>
          <w:rFonts w:cstheme="minorHAnsi"/>
          <w:bCs/>
          <w:sz w:val="24"/>
          <w:szCs w:val="24"/>
        </w:rPr>
        <w:t>Pritzker School of Law</w:t>
      </w:r>
    </w:p>
    <w:p w14:paraId="16017F01" w14:textId="10394121" w:rsidR="00D962AD" w:rsidRPr="003037DB" w:rsidRDefault="00D962AD" w:rsidP="00613AE8">
      <w:pPr>
        <w:spacing w:line="23" w:lineRule="atLeast"/>
        <w:jc w:val="center"/>
        <w:rPr>
          <w:rFonts w:cstheme="minorHAnsi"/>
          <w:bCs/>
          <w:sz w:val="24"/>
          <w:szCs w:val="24"/>
        </w:rPr>
      </w:pPr>
    </w:p>
    <w:p w14:paraId="3500421D" w14:textId="15F09E03" w:rsidR="00274F9D" w:rsidRPr="003037DB" w:rsidRDefault="00D962AD" w:rsidP="00613AE8">
      <w:pPr>
        <w:spacing w:line="23" w:lineRule="atLeast"/>
        <w:jc w:val="center"/>
        <w:rPr>
          <w:rFonts w:cstheme="minorHAnsi"/>
          <w:bCs/>
          <w:sz w:val="24"/>
          <w:szCs w:val="24"/>
        </w:rPr>
      </w:pPr>
      <w:r w:rsidRPr="003037DB">
        <w:rPr>
          <w:rFonts w:cstheme="minorHAnsi"/>
          <w:bCs/>
          <w:sz w:val="24"/>
          <w:szCs w:val="24"/>
        </w:rPr>
        <w:t>18 June 2021</w:t>
      </w:r>
    </w:p>
    <w:p w14:paraId="308CF770" w14:textId="23F85DB6" w:rsidR="00274F9D" w:rsidRPr="003037DB" w:rsidRDefault="00274F9D" w:rsidP="00613AE8">
      <w:pPr>
        <w:spacing w:line="23" w:lineRule="atLeast"/>
        <w:jc w:val="center"/>
        <w:rPr>
          <w:rFonts w:cstheme="minorHAnsi"/>
          <w:bCs/>
          <w:sz w:val="24"/>
          <w:szCs w:val="24"/>
        </w:rPr>
      </w:pPr>
      <w:r w:rsidRPr="003037DB">
        <w:rPr>
          <w:rFonts w:cstheme="minorHAnsi"/>
          <w:bCs/>
          <w:sz w:val="24"/>
          <w:szCs w:val="24"/>
        </w:rPr>
        <w:t>____________________________</w:t>
      </w:r>
    </w:p>
    <w:p w14:paraId="3A5281C8" w14:textId="77777777" w:rsidR="002E53AE" w:rsidRPr="003037DB" w:rsidRDefault="002E53AE" w:rsidP="00613AE8">
      <w:pPr>
        <w:spacing w:line="23" w:lineRule="atLeast"/>
        <w:jc w:val="both"/>
        <w:rPr>
          <w:rFonts w:cstheme="minorHAnsi"/>
          <w:bCs/>
          <w:sz w:val="24"/>
          <w:szCs w:val="24"/>
        </w:rPr>
      </w:pPr>
    </w:p>
    <w:p w14:paraId="0A49A276" w14:textId="77777777" w:rsidR="002E53AE" w:rsidRPr="003037DB" w:rsidRDefault="002E53AE" w:rsidP="00613AE8">
      <w:pPr>
        <w:spacing w:line="23" w:lineRule="atLeast"/>
        <w:jc w:val="both"/>
        <w:rPr>
          <w:rFonts w:cstheme="minorHAnsi"/>
          <w:sz w:val="24"/>
          <w:szCs w:val="24"/>
        </w:rPr>
      </w:pPr>
      <w:r w:rsidRPr="003037DB">
        <w:rPr>
          <w:rFonts w:cstheme="minorHAnsi"/>
          <w:sz w:val="24"/>
          <w:szCs w:val="24"/>
        </w:rPr>
        <w:t xml:space="preserve">This submission is offered to highlight the particular importance of the right of indigenous women and girls to effective participation, consultation and consent in the context of extractive activities, and to urge the Committee to address this issue in its upcoming General Recommendation.  </w:t>
      </w:r>
    </w:p>
    <w:p w14:paraId="45EA4350" w14:textId="77777777" w:rsidR="002E53AE" w:rsidRPr="003037DB" w:rsidRDefault="002E53AE" w:rsidP="00613AE8">
      <w:pPr>
        <w:spacing w:line="23" w:lineRule="atLeast"/>
        <w:jc w:val="both"/>
        <w:rPr>
          <w:rFonts w:cstheme="minorHAnsi"/>
          <w:sz w:val="24"/>
          <w:szCs w:val="24"/>
        </w:rPr>
      </w:pPr>
    </w:p>
    <w:p w14:paraId="4725219D" w14:textId="1BD4EC0B" w:rsidR="002E53AE" w:rsidRPr="003037DB" w:rsidRDefault="002E53AE" w:rsidP="00613AE8">
      <w:pPr>
        <w:spacing w:line="23" w:lineRule="atLeast"/>
        <w:jc w:val="both"/>
        <w:rPr>
          <w:rFonts w:cstheme="minorHAnsi"/>
          <w:sz w:val="24"/>
          <w:szCs w:val="24"/>
        </w:rPr>
      </w:pPr>
      <w:r w:rsidRPr="003037DB">
        <w:rPr>
          <w:rFonts w:cstheme="minorHAnsi"/>
          <w:sz w:val="24"/>
          <w:szCs w:val="24"/>
        </w:rPr>
        <w:t>Throughout the world, indigenous women and girls are severely impacted by extractive activities taking place on their ancestral lands.  Indigenous communities lose access to land used for mining, and the</w:t>
      </w:r>
      <w:r w:rsidR="009F1231" w:rsidRPr="003037DB">
        <w:rPr>
          <w:rFonts w:cstheme="minorHAnsi"/>
          <w:sz w:val="24"/>
          <w:szCs w:val="24"/>
        </w:rPr>
        <w:t>ir remaining</w:t>
      </w:r>
      <w:r w:rsidRPr="003037DB">
        <w:rPr>
          <w:rFonts w:cstheme="minorHAnsi"/>
          <w:sz w:val="24"/>
          <w:szCs w:val="24"/>
        </w:rPr>
        <w:t xml:space="preserve"> land</w:t>
      </w:r>
      <w:r w:rsidR="009F1231" w:rsidRPr="003037DB">
        <w:rPr>
          <w:rFonts w:cstheme="minorHAnsi"/>
          <w:sz w:val="24"/>
          <w:szCs w:val="24"/>
        </w:rPr>
        <w:t>s</w:t>
      </w:r>
      <w:r w:rsidR="005C21C5">
        <w:rPr>
          <w:rFonts w:cstheme="minorHAnsi"/>
          <w:sz w:val="24"/>
          <w:szCs w:val="24"/>
        </w:rPr>
        <w:t xml:space="preserve"> can be poisoned</w:t>
      </w:r>
      <w:r w:rsidRPr="003037DB">
        <w:rPr>
          <w:rFonts w:cstheme="minorHAnsi"/>
          <w:sz w:val="24"/>
          <w:szCs w:val="24"/>
        </w:rPr>
        <w:t xml:space="preserve"> by toxic contamination of the water and soil on which indigenous life depends.  This contamination can </w:t>
      </w:r>
      <w:r w:rsidR="009F1231" w:rsidRPr="003037DB">
        <w:rPr>
          <w:rFonts w:cstheme="minorHAnsi"/>
          <w:sz w:val="24"/>
          <w:szCs w:val="24"/>
        </w:rPr>
        <w:t>cause</w:t>
      </w:r>
      <w:r w:rsidRPr="003037DB">
        <w:rPr>
          <w:rFonts w:cstheme="minorHAnsi"/>
          <w:sz w:val="24"/>
          <w:szCs w:val="24"/>
        </w:rPr>
        <w:t xml:space="preserve"> frequent and severe health problems, high rates of miscarriage, stillbirth, infant mortality and congenital disabilities, the withering of crops and the death of livestock.  The risk of toxic contamination is particularly great when mines are poorly managed and government regulatory oversight is insufficient or non-existent. </w:t>
      </w:r>
    </w:p>
    <w:p w14:paraId="76875DCC" w14:textId="77777777" w:rsidR="002E53AE" w:rsidRPr="003037DB" w:rsidRDefault="002E53AE" w:rsidP="00613AE8">
      <w:pPr>
        <w:spacing w:line="23" w:lineRule="atLeast"/>
        <w:jc w:val="both"/>
        <w:rPr>
          <w:rFonts w:cstheme="minorHAnsi"/>
          <w:sz w:val="24"/>
          <w:szCs w:val="24"/>
        </w:rPr>
      </w:pPr>
    </w:p>
    <w:p w14:paraId="42264C2D" w14:textId="77777777" w:rsidR="002E53AE" w:rsidRPr="003037DB" w:rsidRDefault="002E53AE" w:rsidP="00613AE8">
      <w:pPr>
        <w:spacing w:line="23" w:lineRule="atLeast"/>
        <w:jc w:val="both"/>
        <w:rPr>
          <w:rFonts w:cstheme="minorHAnsi"/>
          <w:sz w:val="24"/>
          <w:szCs w:val="24"/>
        </w:rPr>
      </w:pPr>
      <w:r w:rsidRPr="003037DB">
        <w:rPr>
          <w:rFonts w:cstheme="minorHAnsi"/>
          <w:sz w:val="24"/>
          <w:szCs w:val="24"/>
        </w:rPr>
        <w:t xml:space="preserve">Because of the gravity of these impacts, it is particularly important that there be full respect for the right of indigenous women and girls to </w:t>
      </w:r>
      <w:r w:rsidRPr="003037DB">
        <w:rPr>
          <w:rFonts w:cstheme="minorHAnsi"/>
          <w:i/>
          <w:sz w:val="24"/>
          <w:szCs w:val="24"/>
        </w:rPr>
        <w:t>effective</w:t>
      </w:r>
      <w:r w:rsidRPr="003037DB">
        <w:rPr>
          <w:rFonts w:cstheme="minorHAnsi"/>
          <w:sz w:val="24"/>
          <w:szCs w:val="24"/>
        </w:rPr>
        <w:t xml:space="preserve"> participation, consultation and consent in all decisions about extractive activities.  Sham opportunities to participate, consult and consent are not sufficient.  To be </w:t>
      </w:r>
      <w:r w:rsidRPr="003037DB">
        <w:rPr>
          <w:rFonts w:cstheme="minorHAnsi"/>
          <w:i/>
          <w:sz w:val="24"/>
          <w:szCs w:val="24"/>
        </w:rPr>
        <w:t>effective</w:t>
      </w:r>
      <w:r w:rsidRPr="003037DB">
        <w:rPr>
          <w:rFonts w:cstheme="minorHAnsi"/>
          <w:sz w:val="24"/>
          <w:szCs w:val="24"/>
        </w:rPr>
        <w:t xml:space="preserve">, participation, consultation and consent must comply with the principle of free, prior and informed consent (FPIC).   </w:t>
      </w:r>
    </w:p>
    <w:p w14:paraId="524537EF" w14:textId="77777777" w:rsidR="002E53AE" w:rsidRPr="003037DB" w:rsidRDefault="002E53AE" w:rsidP="00613AE8">
      <w:pPr>
        <w:spacing w:line="23" w:lineRule="atLeast"/>
        <w:jc w:val="both"/>
        <w:rPr>
          <w:rFonts w:cstheme="minorHAnsi"/>
          <w:sz w:val="24"/>
          <w:szCs w:val="24"/>
        </w:rPr>
      </w:pPr>
      <w:r w:rsidRPr="003037DB">
        <w:rPr>
          <w:rFonts w:cstheme="minorHAnsi"/>
          <w:sz w:val="24"/>
          <w:szCs w:val="24"/>
        </w:rPr>
        <w:t xml:space="preserve"> </w:t>
      </w:r>
    </w:p>
    <w:p w14:paraId="6F42A518" w14:textId="043B13E7" w:rsidR="002E53AE" w:rsidRPr="003037DB" w:rsidRDefault="002E53AE" w:rsidP="00613AE8">
      <w:pPr>
        <w:spacing w:line="23" w:lineRule="atLeast"/>
        <w:jc w:val="both"/>
        <w:rPr>
          <w:rFonts w:cstheme="minorHAnsi"/>
          <w:sz w:val="24"/>
          <w:szCs w:val="24"/>
        </w:rPr>
      </w:pPr>
      <w:r w:rsidRPr="003037DB">
        <w:rPr>
          <w:rFonts w:cstheme="minorHAnsi"/>
          <w:sz w:val="24"/>
          <w:szCs w:val="24"/>
        </w:rPr>
        <w:t xml:space="preserve">This submission draws on the experience of the indigenous Guji women and girls who live near the Lega Dembi gold mine in the Oromia Region of Ethiopia.   Their experience provides an illustrative example of the harms caused by extractive activities when indigenous women and girls are </w:t>
      </w:r>
      <w:r w:rsidRPr="003037DB">
        <w:rPr>
          <w:rFonts w:cstheme="minorHAnsi"/>
          <w:i/>
          <w:sz w:val="24"/>
          <w:szCs w:val="24"/>
        </w:rPr>
        <w:t>not</w:t>
      </w:r>
      <w:r w:rsidRPr="003037DB">
        <w:rPr>
          <w:rFonts w:cstheme="minorHAnsi"/>
          <w:sz w:val="24"/>
          <w:szCs w:val="24"/>
        </w:rPr>
        <w:t xml:space="preserve"> accorded their right to effective participation, consultation and consent in all decisions about a mine.  </w:t>
      </w:r>
    </w:p>
    <w:p w14:paraId="697732D9" w14:textId="77777777" w:rsidR="00274F9D" w:rsidRPr="003037DB" w:rsidRDefault="00274F9D" w:rsidP="00613AE8">
      <w:pPr>
        <w:spacing w:line="23" w:lineRule="atLeast"/>
        <w:jc w:val="both"/>
        <w:rPr>
          <w:rFonts w:cstheme="minorHAnsi"/>
          <w:sz w:val="24"/>
          <w:szCs w:val="24"/>
        </w:rPr>
      </w:pPr>
    </w:p>
    <w:p w14:paraId="34C69AE9" w14:textId="72479B64" w:rsidR="00F10ADB" w:rsidRPr="003037DB" w:rsidRDefault="002E53AE" w:rsidP="00613AE8">
      <w:pPr>
        <w:spacing w:line="23" w:lineRule="atLeast"/>
        <w:jc w:val="both"/>
        <w:rPr>
          <w:rFonts w:cstheme="minorHAnsi"/>
          <w:b/>
          <w:sz w:val="24"/>
          <w:szCs w:val="24"/>
        </w:rPr>
      </w:pPr>
      <w:r w:rsidRPr="003037DB">
        <w:rPr>
          <w:rFonts w:cstheme="minorHAnsi"/>
          <w:sz w:val="24"/>
          <w:szCs w:val="24"/>
        </w:rPr>
        <w:t>DUBAF</w:t>
      </w:r>
      <w:r w:rsidRPr="003037DB">
        <w:rPr>
          <w:rFonts w:cstheme="minorHAnsi"/>
          <w:sz w:val="24"/>
          <w:szCs w:val="24"/>
          <w:vertAlign w:val="superscript"/>
        </w:rPr>
        <w:footnoteReference w:id="1"/>
      </w:r>
      <w:r w:rsidRPr="003037DB">
        <w:rPr>
          <w:rFonts w:cstheme="minorHAnsi"/>
          <w:sz w:val="24"/>
          <w:szCs w:val="24"/>
        </w:rPr>
        <w:t xml:space="preserve"> </w:t>
      </w:r>
      <w:r w:rsidR="00D962AD" w:rsidRPr="003037DB">
        <w:rPr>
          <w:rFonts w:cstheme="minorHAnsi"/>
          <w:sz w:val="24"/>
          <w:szCs w:val="24"/>
        </w:rPr>
        <w:t>is an Ethiopian NGO</w:t>
      </w:r>
      <w:r w:rsidRPr="003037DB">
        <w:rPr>
          <w:rFonts w:cstheme="minorHAnsi"/>
          <w:sz w:val="24"/>
          <w:szCs w:val="24"/>
        </w:rPr>
        <w:t xml:space="preserve"> whose members and leaders are indigenous Guji people and whose primary mission is to improve life for the Guji community.  CIHR</w:t>
      </w:r>
      <w:r w:rsidRPr="003037DB">
        <w:rPr>
          <w:rFonts w:cstheme="minorHAnsi"/>
          <w:sz w:val="24"/>
          <w:szCs w:val="24"/>
          <w:vertAlign w:val="superscript"/>
        </w:rPr>
        <w:footnoteReference w:id="2"/>
      </w:r>
      <w:r w:rsidRPr="003037DB">
        <w:rPr>
          <w:rFonts w:cstheme="minorHAnsi"/>
          <w:sz w:val="24"/>
          <w:szCs w:val="24"/>
        </w:rPr>
        <w:t xml:space="preserve"> is an academic and </w:t>
      </w:r>
      <w:r w:rsidRPr="003037DB">
        <w:rPr>
          <w:rFonts w:cstheme="minorHAnsi"/>
          <w:sz w:val="24"/>
          <w:szCs w:val="24"/>
        </w:rPr>
        <w:lastRenderedPageBreak/>
        <w:t xml:space="preserve">advocacy organization that, since 2018, </w:t>
      </w:r>
      <w:r w:rsidR="00D962AD" w:rsidRPr="003037DB">
        <w:rPr>
          <w:rFonts w:cstheme="minorHAnsi"/>
          <w:sz w:val="24"/>
          <w:szCs w:val="24"/>
        </w:rPr>
        <w:t xml:space="preserve">has worked with DUBAF </w:t>
      </w:r>
      <w:r w:rsidRPr="003037DB">
        <w:rPr>
          <w:rFonts w:cstheme="minorHAnsi"/>
          <w:sz w:val="24"/>
          <w:szCs w:val="24"/>
        </w:rPr>
        <w:t xml:space="preserve">in advocating for the rights of </w:t>
      </w:r>
      <w:r w:rsidR="00F01DE4">
        <w:rPr>
          <w:rFonts w:cstheme="minorHAnsi"/>
          <w:sz w:val="24"/>
          <w:szCs w:val="24"/>
        </w:rPr>
        <w:t xml:space="preserve">the </w:t>
      </w:r>
      <w:r w:rsidRPr="003037DB">
        <w:rPr>
          <w:rFonts w:cstheme="minorHAnsi"/>
          <w:sz w:val="24"/>
          <w:szCs w:val="24"/>
        </w:rPr>
        <w:t xml:space="preserve">indigenous </w:t>
      </w:r>
      <w:r w:rsidR="00F01DE4">
        <w:rPr>
          <w:rFonts w:cstheme="minorHAnsi"/>
          <w:sz w:val="24"/>
          <w:szCs w:val="24"/>
        </w:rPr>
        <w:t xml:space="preserve">Guji </w:t>
      </w:r>
      <w:r w:rsidRPr="003037DB">
        <w:rPr>
          <w:rFonts w:cstheme="minorHAnsi"/>
          <w:sz w:val="24"/>
          <w:szCs w:val="24"/>
        </w:rPr>
        <w:t>people impacted by the Lega Dembi mine.</w:t>
      </w:r>
    </w:p>
    <w:p w14:paraId="1F56E24C" w14:textId="77777777" w:rsidR="00F10ADB" w:rsidRPr="003037DB" w:rsidRDefault="00F10ADB" w:rsidP="00613AE8">
      <w:pPr>
        <w:spacing w:line="23" w:lineRule="atLeast"/>
        <w:jc w:val="both"/>
        <w:rPr>
          <w:rFonts w:cstheme="minorHAnsi"/>
          <w:b/>
          <w:sz w:val="24"/>
          <w:szCs w:val="24"/>
        </w:rPr>
      </w:pPr>
    </w:p>
    <w:p w14:paraId="03095859" w14:textId="1A4D3780" w:rsidR="006827F3" w:rsidRPr="003037DB" w:rsidRDefault="00496F0F" w:rsidP="00613AE8">
      <w:pPr>
        <w:spacing w:line="23" w:lineRule="atLeast"/>
        <w:jc w:val="both"/>
        <w:rPr>
          <w:rFonts w:cstheme="minorHAnsi"/>
          <w:b/>
          <w:sz w:val="24"/>
          <w:szCs w:val="24"/>
        </w:rPr>
      </w:pPr>
      <w:r w:rsidRPr="003037DB">
        <w:rPr>
          <w:rFonts w:cstheme="minorHAnsi"/>
          <w:b/>
          <w:sz w:val="24"/>
          <w:szCs w:val="24"/>
        </w:rPr>
        <w:t xml:space="preserve">I.  </w:t>
      </w:r>
      <w:r w:rsidRPr="003037DB">
        <w:rPr>
          <w:rFonts w:cstheme="minorHAnsi"/>
          <w:b/>
          <w:sz w:val="24"/>
          <w:szCs w:val="24"/>
        </w:rPr>
        <w:tab/>
      </w:r>
      <w:r w:rsidR="006827F3" w:rsidRPr="003037DB">
        <w:rPr>
          <w:rFonts w:cstheme="minorHAnsi"/>
          <w:b/>
          <w:sz w:val="24"/>
          <w:szCs w:val="24"/>
        </w:rPr>
        <w:t>The example of the Lega Dembi gold m</w:t>
      </w:r>
      <w:r w:rsidRPr="003037DB">
        <w:rPr>
          <w:rFonts w:cstheme="minorHAnsi"/>
          <w:b/>
          <w:sz w:val="24"/>
          <w:szCs w:val="24"/>
        </w:rPr>
        <w:t xml:space="preserve">ine:  </w:t>
      </w:r>
    </w:p>
    <w:p w14:paraId="4D021E68" w14:textId="3CD80185" w:rsidR="00F62381" w:rsidRPr="003037DB" w:rsidRDefault="006827F3" w:rsidP="00613AE8">
      <w:pPr>
        <w:spacing w:line="23" w:lineRule="atLeast"/>
        <w:jc w:val="both"/>
        <w:rPr>
          <w:rFonts w:cstheme="minorHAnsi"/>
          <w:b/>
          <w:sz w:val="24"/>
          <w:szCs w:val="24"/>
        </w:rPr>
      </w:pPr>
      <w:r w:rsidRPr="003037DB">
        <w:rPr>
          <w:rFonts w:cstheme="minorHAnsi"/>
          <w:b/>
          <w:sz w:val="24"/>
          <w:szCs w:val="24"/>
        </w:rPr>
        <w:tab/>
      </w:r>
      <w:r w:rsidR="001A017B" w:rsidRPr="003037DB">
        <w:rPr>
          <w:rFonts w:cstheme="minorHAnsi"/>
          <w:b/>
          <w:sz w:val="24"/>
          <w:szCs w:val="24"/>
        </w:rPr>
        <w:t xml:space="preserve">Violations of the rights of </w:t>
      </w:r>
      <w:r w:rsidRPr="003037DB">
        <w:rPr>
          <w:rFonts w:cstheme="minorHAnsi"/>
          <w:b/>
          <w:sz w:val="24"/>
          <w:szCs w:val="24"/>
        </w:rPr>
        <w:t xml:space="preserve">indigenous </w:t>
      </w:r>
      <w:r w:rsidR="001A017B" w:rsidRPr="003037DB">
        <w:rPr>
          <w:rFonts w:cstheme="minorHAnsi"/>
          <w:b/>
          <w:sz w:val="24"/>
          <w:szCs w:val="24"/>
        </w:rPr>
        <w:t xml:space="preserve">Guji women and </w:t>
      </w:r>
      <w:r w:rsidRPr="003037DB">
        <w:rPr>
          <w:rFonts w:cstheme="minorHAnsi"/>
          <w:b/>
          <w:sz w:val="24"/>
          <w:szCs w:val="24"/>
        </w:rPr>
        <w:t>girls</w:t>
      </w:r>
    </w:p>
    <w:p w14:paraId="45BF1B6A" w14:textId="77777777" w:rsidR="00FC1C1B" w:rsidRPr="003037DB" w:rsidRDefault="00FC1C1B" w:rsidP="00613AE8">
      <w:pPr>
        <w:spacing w:line="23" w:lineRule="atLeast"/>
        <w:jc w:val="both"/>
        <w:rPr>
          <w:rFonts w:cstheme="minorHAnsi"/>
          <w:b/>
          <w:sz w:val="24"/>
          <w:szCs w:val="24"/>
        </w:rPr>
      </w:pPr>
    </w:p>
    <w:p w14:paraId="7DF9746E" w14:textId="06749930" w:rsidR="00496F0F" w:rsidRPr="003037DB" w:rsidRDefault="00496F0F" w:rsidP="00613AE8">
      <w:pPr>
        <w:spacing w:line="23" w:lineRule="atLeast"/>
        <w:jc w:val="both"/>
        <w:rPr>
          <w:rFonts w:cstheme="minorHAnsi"/>
          <w:b/>
          <w:sz w:val="24"/>
          <w:szCs w:val="24"/>
        </w:rPr>
      </w:pPr>
      <w:r w:rsidRPr="003037DB">
        <w:rPr>
          <w:rFonts w:cstheme="minorHAnsi"/>
          <w:b/>
          <w:sz w:val="24"/>
          <w:szCs w:val="24"/>
        </w:rPr>
        <w:t xml:space="preserve">A. </w:t>
      </w:r>
      <w:r w:rsidR="00E26018" w:rsidRPr="003037DB">
        <w:rPr>
          <w:rFonts w:cstheme="minorHAnsi"/>
          <w:b/>
          <w:sz w:val="24"/>
          <w:szCs w:val="24"/>
        </w:rPr>
        <w:tab/>
      </w:r>
      <w:r w:rsidRPr="003037DB">
        <w:rPr>
          <w:rFonts w:cstheme="minorHAnsi"/>
          <w:b/>
          <w:sz w:val="24"/>
          <w:szCs w:val="24"/>
        </w:rPr>
        <w:t>Background Information</w:t>
      </w:r>
    </w:p>
    <w:p w14:paraId="748BDEC2" w14:textId="77777777" w:rsidR="00496F0F" w:rsidRPr="003037DB" w:rsidRDefault="00496F0F" w:rsidP="00613AE8">
      <w:pPr>
        <w:spacing w:line="23" w:lineRule="atLeast"/>
        <w:jc w:val="both"/>
        <w:rPr>
          <w:rFonts w:cstheme="minorHAnsi"/>
          <w:sz w:val="24"/>
          <w:szCs w:val="24"/>
        </w:rPr>
      </w:pPr>
    </w:p>
    <w:p w14:paraId="08645AB7" w14:textId="415BCC25" w:rsidR="00F62381" w:rsidRPr="003037DB" w:rsidRDefault="00B054EB" w:rsidP="00613AE8">
      <w:pPr>
        <w:spacing w:line="23" w:lineRule="atLeast"/>
        <w:jc w:val="both"/>
        <w:rPr>
          <w:rFonts w:cstheme="minorHAnsi"/>
          <w:sz w:val="24"/>
          <w:szCs w:val="24"/>
        </w:rPr>
      </w:pPr>
      <w:r w:rsidRPr="003037DB">
        <w:rPr>
          <w:rFonts w:cstheme="minorHAnsi"/>
          <w:sz w:val="24"/>
          <w:szCs w:val="24"/>
        </w:rPr>
        <w:t xml:space="preserve">The Lega Dembi mine is a gold mine in the Shakiso District of </w:t>
      </w:r>
      <w:r w:rsidR="009F1231" w:rsidRPr="003037DB">
        <w:rPr>
          <w:rFonts w:cstheme="minorHAnsi"/>
          <w:sz w:val="24"/>
          <w:szCs w:val="24"/>
        </w:rPr>
        <w:t>Ethiopia’s</w:t>
      </w:r>
      <w:r w:rsidRPr="003037DB">
        <w:rPr>
          <w:rFonts w:cstheme="minorHAnsi"/>
          <w:sz w:val="24"/>
          <w:szCs w:val="24"/>
        </w:rPr>
        <w:t xml:space="preserve"> Oromia Regional State</w:t>
      </w:r>
      <w:r w:rsidR="009F1231" w:rsidRPr="003037DB">
        <w:rPr>
          <w:rFonts w:cstheme="minorHAnsi"/>
          <w:sz w:val="24"/>
          <w:szCs w:val="24"/>
        </w:rPr>
        <w:t xml:space="preserve">. </w:t>
      </w:r>
      <w:r w:rsidRPr="003037DB">
        <w:rPr>
          <w:rFonts w:cstheme="minorHAnsi"/>
          <w:sz w:val="24"/>
          <w:szCs w:val="24"/>
        </w:rPr>
        <w:t xml:space="preserve"> For centuries, indigenous Guji people have pursued an agro-pastoral way of life in this area, raising livestock and farming on their ancestral lands. In 1998, Ethiopia granted a 20-year mining license to MIDROC, </w:t>
      </w:r>
      <w:r w:rsidR="009F1231" w:rsidRPr="003037DB">
        <w:rPr>
          <w:rFonts w:cstheme="minorHAnsi"/>
          <w:sz w:val="24"/>
          <w:szCs w:val="24"/>
        </w:rPr>
        <w:t xml:space="preserve">a company </w:t>
      </w:r>
      <w:r w:rsidRPr="003037DB">
        <w:rPr>
          <w:rFonts w:cstheme="minorHAnsi"/>
          <w:sz w:val="24"/>
          <w:szCs w:val="24"/>
        </w:rPr>
        <w:t xml:space="preserve">whose owner, through his various businesses, is the largest private employer in Ethiopia. </w:t>
      </w:r>
      <w:r w:rsidR="00496F0F" w:rsidRPr="003037DB">
        <w:rPr>
          <w:rFonts w:cstheme="minorHAnsi"/>
          <w:sz w:val="24"/>
          <w:szCs w:val="24"/>
        </w:rPr>
        <w:t xml:space="preserve"> </w:t>
      </w:r>
      <w:r w:rsidR="009F1231" w:rsidRPr="003037DB">
        <w:rPr>
          <w:rFonts w:cstheme="minorHAnsi"/>
          <w:sz w:val="24"/>
          <w:szCs w:val="24"/>
        </w:rPr>
        <w:t>Despite</w:t>
      </w:r>
      <w:r w:rsidRPr="003037DB">
        <w:rPr>
          <w:rFonts w:cstheme="minorHAnsi"/>
          <w:sz w:val="24"/>
          <w:szCs w:val="24"/>
        </w:rPr>
        <w:t xml:space="preserve"> the mine</w:t>
      </w:r>
      <w:r w:rsidR="009F1231" w:rsidRPr="003037DB">
        <w:rPr>
          <w:rFonts w:cstheme="minorHAnsi"/>
          <w:sz w:val="24"/>
          <w:szCs w:val="24"/>
        </w:rPr>
        <w:t>’s</w:t>
      </w:r>
      <w:r w:rsidRPr="003037DB">
        <w:rPr>
          <w:rFonts w:cstheme="minorHAnsi"/>
          <w:sz w:val="24"/>
          <w:szCs w:val="24"/>
        </w:rPr>
        <w:t xml:space="preserve"> severe</w:t>
      </w:r>
      <w:r w:rsidR="009F1231" w:rsidRPr="003037DB">
        <w:rPr>
          <w:rFonts w:cstheme="minorHAnsi"/>
          <w:sz w:val="24"/>
          <w:szCs w:val="24"/>
        </w:rPr>
        <w:t xml:space="preserve"> impact on </w:t>
      </w:r>
      <w:r w:rsidRPr="003037DB">
        <w:rPr>
          <w:rFonts w:cstheme="minorHAnsi"/>
          <w:sz w:val="24"/>
          <w:szCs w:val="24"/>
        </w:rPr>
        <w:t>the health and well-being of the Guji community</w:t>
      </w:r>
      <w:r w:rsidR="009F1231" w:rsidRPr="003037DB">
        <w:rPr>
          <w:rFonts w:cstheme="minorHAnsi"/>
          <w:sz w:val="24"/>
          <w:szCs w:val="24"/>
        </w:rPr>
        <w:t xml:space="preserve"> and</w:t>
      </w:r>
      <w:r w:rsidRPr="003037DB">
        <w:rPr>
          <w:rFonts w:cstheme="minorHAnsi"/>
          <w:sz w:val="24"/>
          <w:szCs w:val="24"/>
        </w:rPr>
        <w:t xml:space="preserve"> despite widespread community opposition, in April 2018 the State renewed the mine’s license for an additional ten years.</w:t>
      </w:r>
      <w:r w:rsidR="009F1231" w:rsidRPr="003037DB">
        <w:rPr>
          <w:rFonts w:cstheme="minorHAnsi"/>
          <w:sz w:val="24"/>
          <w:szCs w:val="24"/>
        </w:rPr>
        <w:t xml:space="preserve"> </w:t>
      </w:r>
      <w:r w:rsidRPr="003037DB">
        <w:rPr>
          <w:rFonts w:cstheme="minorHAnsi"/>
          <w:sz w:val="24"/>
          <w:szCs w:val="24"/>
        </w:rPr>
        <w:t xml:space="preserve"> This decision sparked massive protests, which led the State to suspend MIDROC’s license pending what were promised to be independent assessments of its environmental, health and socio-economic impacts. </w:t>
      </w:r>
    </w:p>
    <w:p w14:paraId="40311A76" w14:textId="77777777" w:rsidR="00F62381" w:rsidRPr="003037DB" w:rsidRDefault="00F62381" w:rsidP="00613AE8">
      <w:pPr>
        <w:spacing w:line="23" w:lineRule="atLeast"/>
        <w:jc w:val="both"/>
        <w:rPr>
          <w:rFonts w:cstheme="minorHAnsi"/>
          <w:sz w:val="24"/>
          <w:szCs w:val="24"/>
        </w:rPr>
      </w:pPr>
    </w:p>
    <w:p w14:paraId="2ECD01A5" w14:textId="77822765" w:rsidR="00B054EB" w:rsidRPr="003037DB" w:rsidRDefault="00F62381" w:rsidP="00613AE8">
      <w:pPr>
        <w:spacing w:line="23" w:lineRule="atLeast"/>
        <w:jc w:val="both"/>
        <w:rPr>
          <w:rFonts w:cstheme="minorHAnsi"/>
          <w:sz w:val="24"/>
          <w:szCs w:val="24"/>
        </w:rPr>
      </w:pPr>
      <w:r w:rsidRPr="003037DB">
        <w:rPr>
          <w:rFonts w:cstheme="minorHAnsi"/>
          <w:sz w:val="24"/>
          <w:szCs w:val="24"/>
        </w:rPr>
        <w:t xml:space="preserve">During the period of the license suspension, the CEDAW Committee </w:t>
      </w:r>
      <w:r w:rsidR="00496F0F" w:rsidRPr="003037DB">
        <w:rPr>
          <w:rFonts w:cstheme="minorHAnsi"/>
          <w:sz w:val="24"/>
          <w:szCs w:val="24"/>
        </w:rPr>
        <w:t xml:space="preserve">took note of the Lega Dembi situation and </w:t>
      </w:r>
      <w:r w:rsidRPr="003037DB">
        <w:rPr>
          <w:rFonts w:cstheme="minorHAnsi"/>
          <w:sz w:val="24"/>
          <w:szCs w:val="24"/>
        </w:rPr>
        <w:t>issued the following Concluding Observations to Ethiopia:</w:t>
      </w:r>
      <w:r w:rsidR="00B054EB" w:rsidRPr="003037DB">
        <w:rPr>
          <w:rFonts w:cstheme="minorHAnsi"/>
          <w:sz w:val="24"/>
          <w:szCs w:val="24"/>
        </w:rPr>
        <w:t xml:space="preserve"> </w:t>
      </w:r>
    </w:p>
    <w:p w14:paraId="64CF78FD" w14:textId="06615F6D" w:rsidR="00E643E9" w:rsidRPr="003037DB" w:rsidRDefault="00E643E9" w:rsidP="00613AE8">
      <w:pPr>
        <w:spacing w:line="23" w:lineRule="atLeast"/>
        <w:jc w:val="both"/>
        <w:rPr>
          <w:rFonts w:cstheme="minorHAnsi"/>
          <w:sz w:val="24"/>
          <w:szCs w:val="24"/>
        </w:rPr>
      </w:pPr>
    </w:p>
    <w:p w14:paraId="256F2C14" w14:textId="314F5503" w:rsidR="00E643E9" w:rsidRPr="003037DB" w:rsidRDefault="00E643E9" w:rsidP="00613AE8">
      <w:pPr>
        <w:spacing w:line="23" w:lineRule="atLeast"/>
        <w:ind w:left="720" w:right="720"/>
        <w:jc w:val="both"/>
        <w:rPr>
          <w:rFonts w:cstheme="minorHAnsi"/>
          <w:sz w:val="24"/>
          <w:szCs w:val="24"/>
        </w:rPr>
      </w:pPr>
      <w:r w:rsidRPr="003037DB">
        <w:rPr>
          <w:rFonts w:cstheme="minorHAnsi"/>
          <w:sz w:val="24"/>
          <w:szCs w:val="24"/>
        </w:rPr>
        <w:t>“45.  The Committee notes that the State party temporarily closed the Lega Dembi mine in the Oromia region and is assessing the impact . . ..  It is concerned, however about the grave health, environmental and socioeconomic impact of the operations of the mine on Guji rural women and their families.</w:t>
      </w:r>
    </w:p>
    <w:p w14:paraId="104DBDDA" w14:textId="77777777" w:rsidR="00E643E9" w:rsidRPr="003037DB" w:rsidRDefault="00E643E9" w:rsidP="00613AE8">
      <w:pPr>
        <w:spacing w:line="23" w:lineRule="atLeast"/>
        <w:ind w:left="720" w:right="720"/>
        <w:jc w:val="both"/>
        <w:rPr>
          <w:rFonts w:cstheme="minorHAnsi"/>
          <w:sz w:val="24"/>
          <w:szCs w:val="24"/>
        </w:rPr>
      </w:pPr>
    </w:p>
    <w:p w14:paraId="01FA5FFF" w14:textId="207909AC" w:rsidR="009C2D25" w:rsidRPr="003037DB" w:rsidRDefault="00E643E9" w:rsidP="00613AE8">
      <w:pPr>
        <w:spacing w:line="23" w:lineRule="atLeast"/>
        <w:ind w:left="720" w:right="720"/>
        <w:jc w:val="both"/>
        <w:rPr>
          <w:rFonts w:cstheme="minorHAnsi"/>
          <w:sz w:val="24"/>
          <w:szCs w:val="24"/>
        </w:rPr>
      </w:pPr>
      <w:r w:rsidRPr="003037DB">
        <w:rPr>
          <w:rFonts w:cstheme="minorHAnsi"/>
          <w:sz w:val="24"/>
          <w:szCs w:val="24"/>
        </w:rPr>
        <w:t xml:space="preserve">46.  </w:t>
      </w:r>
      <w:r w:rsidR="00B054EB" w:rsidRPr="003037DB">
        <w:rPr>
          <w:rFonts w:cstheme="minorHAnsi"/>
          <w:b/>
          <w:sz w:val="24"/>
          <w:szCs w:val="24"/>
        </w:rPr>
        <w:t>The Committee recommends that the State party ensure full transparency and independence during the assessment process, including by publishing the results and sharing them with the Guji people, address the environmental and health damage caused and provide adequate reparations and compensation to the victims.</w:t>
      </w:r>
      <w:r w:rsidR="009C2D25" w:rsidRPr="003037DB">
        <w:rPr>
          <w:rFonts w:cstheme="minorHAnsi"/>
          <w:sz w:val="24"/>
          <w:szCs w:val="24"/>
        </w:rPr>
        <w:t>”</w:t>
      </w:r>
      <w:r w:rsidR="009C2D25" w:rsidRPr="003037DB">
        <w:rPr>
          <w:rStyle w:val="FootnoteReference"/>
          <w:rFonts w:cstheme="minorHAnsi"/>
          <w:sz w:val="24"/>
          <w:szCs w:val="24"/>
        </w:rPr>
        <w:footnoteReference w:id="3"/>
      </w:r>
    </w:p>
    <w:p w14:paraId="4DBAAE59" w14:textId="77777777" w:rsidR="0075001F" w:rsidRPr="003037DB" w:rsidRDefault="0075001F" w:rsidP="00613AE8">
      <w:pPr>
        <w:spacing w:line="23" w:lineRule="atLeast"/>
        <w:jc w:val="both"/>
        <w:rPr>
          <w:rFonts w:cstheme="minorHAnsi"/>
          <w:sz w:val="24"/>
          <w:szCs w:val="24"/>
        </w:rPr>
      </w:pPr>
    </w:p>
    <w:p w14:paraId="24C8B4D5" w14:textId="15A59BB6" w:rsidR="00865A4D" w:rsidRPr="003037DB" w:rsidRDefault="00B054EB" w:rsidP="00613AE8">
      <w:pPr>
        <w:spacing w:line="23" w:lineRule="atLeast"/>
        <w:jc w:val="both"/>
        <w:rPr>
          <w:rFonts w:cstheme="minorHAnsi"/>
          <w:sz w:val="24"/>
          <w:szCs w:val="24"/>
        </w:rPr>
      </w:pPr>
      <w:r w:rsidRPr="003037DB">
        <w:rPr>
          <w:rFonts w:cstheme="minorHAnsi"/>
          <w:sz w:val="24"/>
          <w:szCs w:val="24"/>
        </w:rPr>
        <w:t xml:space="preserve">To date, Ethiopia has </w:t>
      </w:r>
      <w:r w:rsidR="009F1231" w:rsidRPr="003037DB">
        <w:rPr>
          <w:rFonts w:cstheme="minorHAnsi"/>
          <w:sz w:val="24"/>
          <w:szCs w:val="24"/>
        </w:rPr>
        <w:t>ignored</w:t>
      </w:r>
      <w:r w:rsidRPr="003037DB">
        <w:rPr>
          <w:rFonts w:cstheme="minorHAnsi"/>
          <w:sz w:val="24"/>
          <w:szCs w:val="24"/>
        </w:rPr>
        <w:t xml:space="preserve"> these recommendations. </w:t>
      </w:r>
    </w:p>
    <w:p w14:paraId="14BFC92A" w14:textId="77777777" w:rsidR="00865A4D" w:rsidRPr="003037DB" w:rsidRDefault="00865A4D" w:rsidP="00613AE8">
      <w:pPr>
        <w:spacing w:line="23" w:lineRule="atLeast"/>
        <w:jc w:val="both"/>
        <w:rPr>
          <w:rFonts w:cstheme="minorHAnsi"/>
          <w:sz w:val="24"/>
          <w:szCs w:val="24"/>
        </w:rPr>
      </w:pPr>
    </w:p>
    <w:p w14:paraId="7EC6976D" w14:textId="413DEEA3" w:rsidR="00865A4D" w:rsidRPr="003037DB" w:rsidRDefault="00865A4D" w:rsidP="00613AE8">
      <w:pPr>
        <w:spacing w:line="23" w:lineRule="atLeast"/>
        <w:jc w:val="both"/>
        <w:rPr>
          <w:rFonts w:cstheme="minorHAnsi"/>
          <w:sz w:val="24"/>
          <w:szCs w:val="24"/>
        </w:rPr>
      </w:pPr>
      <w:r w:rsidRPr="003037DB">
        <w:rPr>
          <w:rFonts w:cstheme="minorHAnsi"/>
          <w:sz w:val="24"/>
          <w:szCs w:val="24"/>
        </w:rPr>
        <w:tab/>
        <w:t xml:space="preserve">*  There still has been no independent assessment of the mine’s environmental impact.  Instead, a </w:t>
      </w:r>
      <w:r w:rsidR="0069301E" w:rsidRPr="003037DB">
        <w:rPr>
          <w:rFonts w:cstheme="minorHAnsi"/>
          <w:sz w:val="24"/>
          <w:szCs w:val="24"/>
        </w:rPr>
        <w:t xml:space="preserve">team of Canadian </w:t>
      </w:r>
      <w:r w:rsidRPr="003037DB">
        <w:rPr>
          <w:rFonts w:cstheme="minorHAnsi"/>
          <w:sz w:val="24"/>
          <w:szCs w:val="24"/>
        </w:rPr>
        <w:t xml:space="preserve">experts only reviewed pre-existing environmental impact data </w:t>
      </w:r>
      <w:r w:rsidR="00193875" w:rsidRPr="003037DB">
        <w:rPr>
          <w:rFonts w:cstheme="minorHAnsi"/>
          <w:sz w:val="24"/>
          <w:szCs w:val="24"/>
        </w:rPr>
        <w:t xml:space="preserve">provided by </w:t>
      </w:r>
      <w:r w:rsidR="00ED5BF3" w:rsidRPr="003037DB">
        <w:rPr>
          <w:rFonts w:cstheme="minorHAnsi"/>
          <w:sz w:val="24"/>
          <w:szCs w:val="24"/>
        </w:rPr>
        <w:t>MIDROC and the G</w:t>
      </w:r>
      <w:r w:rsidRPr="003037DB">
        <w:rPr>
          <w:rFonts w:cstheme="minorHAnsi"/>
          <w:sz w:val="24"/>
          <w:szCs w:val="24"/>
        </w:rPr>
        <w:t>overnment.</w:t>
      </w:r>
    </w:p>
    <w:p w14:paraId="284363A8" w14:textId="77777777" w:rsidR="00865A4D" w:rsidRPr="003037DB" w:rsidRDefault="00865A4D" w:rsidP="00613AE8">
      <w:pPr>
        <w:spacing w:line="23" w:lineRule="atLeast"/>
        <w:jc w:val="both"/>
        <w:rPr>
          <w:rFonts w:cstheme="minorHAnsi"/>
          <w:sz w:val="24"/>
          <w:szCs w:val="24"/>
        </w:rPr>
      </w:pPr>
    </w:p>
    <w:p w14:paraId="48B612D7" w14:textId="4CFE0942" w:rsidR="00865A4D" w:rsidRPr="003037DB" w:rsidRDefault="00865A4D" w:rsidP="00613AE8">
      <w:pPr>
        <w:spacing w:line="23" w:lineRule="atLeast"/>
        <w:jc w:val="both"/>
        <w:rPr>
          <w:rFonts w:cstheme="minorHAnsi"/>
          <w:sz w:val="24"/>
          <w:szCs w:val="24"/>
        </w:rPr>
      </w:pPr>
      <w:r w:rsidRPr="003037DB">
        <w:rPr>
          <w:rFonts w:cstheme="minorHAnsi"/>
          <w:sz w:val="24"/>
          <w:szCs w:val="24"/>
        </w:rPr>
        <w:lastRenderedPageBreak/>
        <w:tab/>
        <w:t xml:space="preserve">* There has been no transparency.  </w:t>
      </w:r>
      <w:r w:rsidR="00ED5BF3" w:rsidRPr="003037DB">
        <w:rPr>
          <w:rFonts w:cstheme="minorHAnsi"/>
          <w:sz w:val="24"/>
          <w:szCs w:val="24"/>
        </w:rPr>
        <w:t>The G</w:t>
      </w:r>
      <w:r w:rsidR="00DA5879" w:rsidRPr="003037DB">
        <w:rPr>
          <w:rFonts w:cstheme="minorHAnsi"/>
          <w:sz w:val="24"/>
          <w:szCs w:val="24"/>
        </w:rPr>
        <w:t xml:space="preserve">overnment refuses to make public any of the existing environmental impact data, including the conclusions reached by the </w:t>
      </w:r>
      <w:r w:rsidR="0069301E" w:rsidRPr="003037DB">
        <w:rPr>
          <w:rFonts w:cstheme="minorHAnsi"/>
          <w:sz w:val="24"/>
          <w:szCs w:val="24"/>
        </w:rPr>
        <w:t>Canadian experts.</w:t>
      </w:r>
      <w:r w:rsidR="00DA5879" w:rsidRPr="003037DB">
        <w:rPr>
          <w:rFonts w:cstheme="minorHAnsi"/>
          <w:sz w:val="24"/>
          <w:szCs w:val="24"/>
        </w:rPr>
        <w:t xml:space="preserve">   </w:t>
      </w:r>
      <w:r w:rsidR="00ED5BF3" w:rsidRPr="003037DB">
        <w:rPr>
          <w:rFonts w:cstheme="minorHAnsi"/>
          <w:sz w:val="24"/>
          <w:szCs w:val="24"/>
        </w:rPr>
        <w:t>The G</w:t>
      </w:r>
      <w:r w:rsidR="00DA5879" w:rsidRPr="003037DB">
        <w:rPr>
          <w:rFonts w:cstheme="minorHAnsi"/>
          <w:sz w:val="24"/>
          <w:szCs w:val="24"/>
        </w:rPr>
        <w:t xml:space="preserve">overnment also refuses to make public the report of a community health study conducted during the mine suspension period by </w:t>
      </w:r>
      <w:r w:rsidRPr="003037DB">
        <w:rPr>
          <w:rFonts w:cstheme="minorHAnsi"/>
          <w:sz w:val="24"/>
          <w:szCs w:val="24"/>
        </w:rPr>
        <w:t xml:space="preserve">the Ethiopian Public Health Institute in cooperation with </w:t>
      </w:r>
      <w:r w:rsidR="0069301E" w:rsidRPr="003037DB">
        <w:rPr>
          <w:rFonts w:cstheme="minorHAnsi"/>
          <w:sz w:val="24"/>
          <w:szCs w:val="24"/>
        </w:rPr>
        <w:t xml:space="preserve">the </w:t>
      </w:r>
      <w:r w:rsidRPr="003037DB">
        <w:rPr>
          <w:rFonts w:cstheme="minorHAnsi"/>
          <w:sz w:val="24"/>
          <w:szCs w:val="24"/>
        </w:rPr>
        <w:t xml:space="preserve">Canadian experts.  </w:t>
      </w:r>
    </w:p>
    <w:p w14:paraId="23F4A3CE" w14:textId="2114E6E2" w:rsidR="00DA5879" w:rsidRPr="003037DB" w:rsidRDefault="00DA5879" w:rsidP="00613AE8">
      <w:pPr>
        <w:spacing w:line="23" w:lineRule="atLeast"/>
        <w:jc w:val="both"/>
        <w:rPr>
          <w:rFonts w:cstheme="minorHAnsi"/>
          <w:sz w:val="24"/>
          <w:szCs w:val="24"/>
        </w:rPr>
      </w:pPr>
    </w:p>
    <w:p w14:paraId="39EA2AD2" w14:textId="6E55CDC6" w:rsidR="00DA5879" w:rsidRPr="003037DB" w:rsidRDefault="00DA5879" w:rsidP="00613AE8">
      <w:pPr>
        <w:spacing w:line="23" w:lineRule="atLeast"/>
        <w:jc w:val="both"/>
        <w:rPr>
          <w:rFonts w:cstheme="minorHAnsi"/>
          <w:sz w:val="24"/>
          <w:szCs w:val="24"/>
        </w:rPr>
      </w:pPr>
      <w:r w:rsidRPr="003037DB">
        <w:rPr>
          <w:rFonts w:cstheme="minorHAnsi"/>
          <w:sz w:val="24"/>
          <w:szCs w:val="24"/>
        </w:rPr>
        <w:tab/>
        <w:t xml:space="preserve">*  </w:t>
      </w:r>
      <w:r w:rsidR="0069301E" w:rsidRPr="003037DB">
        <w:rPr>
          <w:rFonts w:cstheme="minorHAnsi"/>
          <w:sz w:val="24"/>
          <w:szCs w:val="24"/>
        </w:rPr>
        <w:t>T</w:t>
      </w:r>
      <w:r w:rsidRPr="003037DB">
        <w:rPr>
          <w:rFonts w:cstheme="minorHAnsi"/>
          <w:sz w:val="24"/>
          <w:szCs w:val="24"/>
        </w:rPr>
        <w:t>here has been no opportunity for the Guji community, including women and girls, to enjoy their right to effective participation, consultation and consent with respect to decisions about the mine.</w:t>
      </w:r>
    </w:p>
    <w:p w14:paraId="50E7A85A" w14:textId="41AD5254" w:rsidR="00DA5879" w:rsidRPr="003037DB" w:rsidRDefault="00DA5879" w:rsidP="00613AE8">
      <w:pPr>
        <w:spacing w:line="23" w:lineRule="atLeast"/>
        <w:jc w:val="both"/>
        <w:rPr>
          <w:rFonts w:cstheme="minorHAnsi"/>
          <w:sz w:val="24"/>
          <w:szCs w:val="24"/>
        </w:rPr>
      </w:pPr>
    </w:p>
    <w:p w14:paraId="313C4825" w14:textId="6340D5AC" w:rsidR="00DA5879" w:rsidRPr="003037DB" w:rsidRDefault="00DA5879" w:rsidP="00613AE8">
      <w:pPr>
        <w:spacing w:line="23" w:lineRule="atLeast"/>
        <w:jc w:val="both"/>
        <w:rPr>
          <w:rFonts w:cstheme="minorHAnsi"/>
          <w:sz w:val="24"/>
          <w:szCs w:val="24"/>
        </w:rPr>
      </w:pPr>
      <w:r w:rsidRPr="003037DB">
        <w:rPr>
          <w:rFonts w:cstheme="minorHAnsi"/>
          <w:sz w:val="24"/>
          <w:szCs w:val="24"/>
        </w:rPr>
        <w:tab/>
        <w:t xml:space="preserve">*  The environmental contamination has not been remedied, and victims to date have received no compensation.  </w:t>
      </w:r>
    </w:p>
    <w:p w14:paraId="2C656802" w14:textId="77777777" w:rsidR="00865A4D" w:rsidRPr="003037DB" w:rsidRDefault="00865A4D" w:rsidP="00613AE8">
      <w:pPr>
        <w:spacing w:line="23" w:lineRule="atLeast"/>
        <w:jc w:val="both"/>
        <w:rPr>
          <w:rFonts w:cstheme="minorHAnsi"/>
          <w:sz w:val="24"/>
          <w:szCs w:val="24"/>
        </w:rPr>
      </w:pPr>
    </w:p>
    <w:p w14:paraId="17F09755" w14:textId="79C2A8D8" w:rsidR="00934829" w:rsidRPr="003037DB" w:rsidRDefault="00B054EB" w:rsidP="00613AE8">
      <w:pPr>
        <w:spacing w:line="23" w:lineRule="atLeast"/>
        <w:jc w:val="both"/>
        <w:rPr>
          <w:rFonts w:cstheme="minorHAnsi"/>
          <w:sz w:val="24"/>
          <w:szCs w:val="24"/>
        </w:rPr>
      </w:pPr>
      <w:r w:rsidRPr="003037DB">
        <w:rPr>
          <w:rFonts w:cstheme="minorHAnsi"/>
          <w:sz w:val="24"/>
          <w:szCs w:val="24"/>
        </w:rPr>
        <w:t>Nevertheless, in February 2021 the Government allowed MIDROC to resume mining at Lega Dembi.</w:t>
      </w:r>
    </w:p>
    <w:p w14:paraId="2373D426" w14:textId="77777777" w:rsidR="00E643E9" w:rsidRPr="003037DB" w:rsidRDefault="00E643E9" w:rsidP="00613AE8">
      <w:pPr>
        <w:spacing w:line="23" w:lineRule="atLeast"/>
        <w:jc w:val="both"/>
        <w:rPr>
          <w:rFonts w:cstheme="minorHAnsi"/>
          <w:sz w:val="24"/>
          <w:szCs w:val="24"/>
        </w:rPr>
      </w:pPr>
    </w:p>
    <w:p w14:paraId="32C0FBA8" w14:textId="7C748847" w:rsidR="00E26018" w:rsidRPr="003037DB" w:rsidRDefault="00E26018" w:rsidP="00613AE8">
      <w:pPr>
        <w:spacing w:line="23" w:lineRule="atLeast"/>
        <w:jc w:val="both"/>
        <w:rPr>
          <w:rFonts w:cstheme="minorHAnsi"/>
          <w:b/>
          <w:bCs/>
          <w:iCs/>
          <w:sz w:val="24"/>
          <w:szCs w:val="24"/>
        </w:rPr>
      </w:pPr>
      <w:r w:rsidRPr="003037DB">
        <w:rPr>
          <w:rFonts w:cstheme="minorHAnsi"/>
          <w:b/>
          <w:bCs/>
          <w:iCs/>
          <w:sz w:val="24"/>
          <w:szCs w:val="24"/>
        </w:rPr>
        <w:t xml:space="preserve">B.  </w:t>
      </w:r>
      <w:r w:rsidRPr="003037DB">
        <w:rPr>
          <w:rFonts w:cstheme="minorHAnsi"/>
          <w:b/>
          <w:bCs/>
          <w:iCs/>
          <w:sz w:val="24"/>
          <w:szCs w:val="24"/>
        </w:rPr>
        <w:tab/>
        <w:t xml:space="preserve">Toxic contamination of the environment </w:t>
      </w:r>
    </w:p>
    <w:p w14:paraId="1D9D08ED" w14:textId="77777777" w:rsidR="00FC1C1B" w:rsidRPr="003037DB" w:rsidRDefault="00FC1C1B" w:rsidP="00613AE8">
      <w:pPr>
        <w:spacing w:line="23" w:lineRule="atLeast"/>
        <w:jc w:val="both"/>
        <w:rPr>
          <w:rFonts w:cstheme="minorHAnsi"/>
          <w:b/>
          <w:bCs/>
          <w:iCs/>
          <w:sz w:val="24"/>
          <w:szCs w:val="24"/>
        </w:rPr>
      </w:pPr>
    </w:p>
    <w:p w14:paraId="20D1E88D" w14:textId="76CB9127" w:rsidR="00E26018" w:rsidRPr="003037DB" w:rsidRDefault="002C7E34" w:rsidP="00613AE8">
      <w:pPr>
        <w:spacing w:line="23" w:lineRule="atLeast"/>
        <w:jc w:val="both"/>
        <w:rPr>
          <w:rFonts w:cstheme="minorHAnsi"/>
          <w:sz w:val="24"/>
          <w:szCs w:val="24"/>
        </w:rPr>
      </w:pPr>
      <w:r w:rsidRPr="003037DB">
        <w:rPr>
          <w:rFonts w:cstheme="minorHAnsi"/>
          <w:sz w:val="24"/>
          <w:szCs w:val="24"/>
        </w:rPr>
        <w:t>Due to poor mine management and an absence of government regulatory oversight,</w:t>
      </w:r>
      <w:r w:rsidRPr="003037DB">
        <w:rPr>
          <w:rStyle w:val="FootnoteReference"/>
          <w:rFonts w:cstheme="minorHAnsi"/>
          <w:sz w:val="24"/>
          <w:szCs w:val="24"/>
        </w:rPr>
        <w:footnoteReference w:id="4"/>
      </w:r>
      <w:r w:rsidR="00E643E9" w:rsidRPr="003037DB">
        <w:rPr>
          <w:rFonts w:cstheme="minorHAnsi"/>
          <w:sz w:val="24"/>
          <w:szCs w:val="24"/>
        </w:rPr>
        <w:t xml:space="preserve"> </w:t>
      </w:r>
      <w:r w:rsidRPr="003037DB">
        <w:rPr>
          <w:rFonts w:cstheme="minorHAnsi"/>
          <w:sz w:val="24"/>
          <w:szCs w:val="24"/>
        </w:rPr>
        <w:t xml:space="preserve">Lega Dembi has produced massive environmental contamination. </w:t>
      </w:r>
      <w:r w:rsidR="00E643E9" w:rsidRPr="003037DB">
        <w:rPr>
          <w:rFonts w:cstheme="minorHAnsi"/>
          <w:sz w:val="24"/>
          <w:szCs w:val="24"/>
        </w:rPr>
        <w:t xml:space="preserve"> </w:t>
      </w:r>
      <w:r w:rsidRPr="003037DB">
        <w:rPr>
          <w:rFonts w:cstheme="minorHAnsi"/>
          <w:sz w:val="24"/>
          <w:szCs w:val="24"/>
        </w:rPr>
        <w:t>Studies have documented dangerous levels of mercury, arsenic</w:t>
      </w:r>
      <w:r w:rsidR="00B74FBE" w:rsidRPr="003037DB">
        <w:rPr>
          <w:rFonts w:cstheme="minorHAnsi"/>
          <w:sz w:val="24"/>
          <w:szCs w:val="24"/>
        </w:rPr>
        <w:t xml:space="preserve"> a</w:t>
      </w:r>
      <w:r w:rsidRPr="003037DB">
        <w:rPr>
          <w:rFonts w:cstheme="minorHAnsi"/>
          <w:sz w:val="24"/>
          <w:szCs w:val="24"/>
        </w:rPr>
        <w:t xml:space="preserve">nd cyanide in the soil and water in the area near Lega </w:t>
      </w:r>
      <w:r w:rsidR="00E37719" w:rsidRPr="003037DB">
        <w:rPr>
          <w:rFonts w:cstheme="minorHAnsi"/>
          <w:sz w:val="24"/>
          <w:szCs w:val="24"/>
        </w:rPr>
        <w:t>Dembi.</w:t>
      </w:r>
      <w:r w:rsidR="00E37719" w:rsidRPr="003037DB">
        <w:rPr>
          <w:rStyle w:val="FootnoteReference"/>
          <w:rFonts w:cstheme="minorHAnsi"/>
          <w:sz w:val="24"/>
          <w:szCs w:val="24"/>
        </w:rPr>
        <w:footnoteReference w:id="5"/>
      </w:r>
      <w:r w:rsidR="00E37719" w:rsidRPr="003037DB">
        <w:rPr>
          <w:rFonts w:cstheme="minorHAnsi"/>
          <w:sz w:val="24"/>
          <w:szCs w:val="24"/>
        </w:rPr>
        <w:t xml:space="preserve"> </w:t>
      </w:r>
      <w:r w:rsidR="00E643E9" w:rsidRPr="003037DB">
        <w:rPr>
          <w:rFonts w:cstheme="minorHAnsi"/>
          <w:sz w:val="24"/>
          <w:szCs w:val="24"/>
        </w:rPr>
        <w:t xml:space="preserve"> </w:t>
      </w:r>
      <w:r w:rsidR="00425415" w:rsidRPr="003037DB">
        <w:rPr>
          <w:rFonts w:cstheme="minorHAnsi"/>
          <w:sz w:val="24"/>
          <w:szCs w:val="24"/>
        </w:rPr>
        <w:t>Exposure to mercury “</w:t>
      </w:r>
      <w:r w:rsidR="00E26018" w:rsidRPr="003037DB">
        <w:rPr>
          <w:rFonts w:cstheme="minorHAnsi"/>
          <w:sz w:val="24"/>
          <w:szCs w:val="24"/>
        </w:rPr>
        <w:t xml:space="preserve">can affect almost all organs in the body, often leading to kidney failure, lung damage, or brain diseases. </w:t>
      </w:r>
      <w:r w:rsidR="00425415" w:rsidRPr="003037DB">
        <w:rPr>
          <w:rFonts w:cstheme="minorHAnsi"/>
          <w:sz w:val="24"/>
          <w:szCs w:val="24"/>
        </w:rPr>
        <w:t xml:space="preserve"> </w:t>
      </w:r>
      <w:r w:rsidR="00E26018" w:rsidRPr="003037DB">
        <w:rPr>
          <w:rFonts w:cstheme="minorHAnsi"/>
          <w:sz w:val="24"/>
          <w:szCs w:val="24"/>
        </w:rPr>
        <w:t>Prolonged exposure at lower levels can result in weakness, fatigue, loss of weight, and gastrointestinal disturbances.</w:t>
      </w:r>
      <w:r w:rsidR="00425415" w:rsidRPr="003037DB">
        <w:rPr>
          <w:rFonts w:cstheme="minorHAnsi"/>
          <w:sz w:val="24"/>
          <w:szCs w:val="24"/>
        </w:rPr>
        <w:t>”</w:t>
      </w:r>
      <w:r w:rsidR="00425415" w:rsidRPr="003037DB">
        <w:rPr>
          <w:rStyle w:val="FootnoteReference"/>
          <w:rFonts w:cstheme="minorHAnsi"/>
          <w:sz w:val="24"/>
          <w:szCs w:val="24"/>
        </w:rPr>
        <w:footnoteReference w:id="6"/>
      </w:r>
      <w:r w:rsidR="00425415" w:rsidRPr="003037DB">
        <w:rPr>
          <w:rFonts w:cstheme="minorHAnsi"/>
          <w:sz w:val="24"/>
          <w:szCs w:val="24"/>
        </w:rPr>
        <w:t xml:space="preserve">  Cyanide, too, is highly toxic: </w:t>
      </w:r>
      <w:r w:rsidR="00F01DE4">
        <w:rPr>
          <w:rFonts w:cstheme="minorHAnsi"/>
          <w:sz w:val="24"/>
          <w:szCs w:val="24"/>
        </w:rPr>
        <w:t xml:space="preserve"> </w:t>
      </w:r>
      <w:r w:rsidR="00425415" w:rsidRPr="003037DB">
        <w:rPr>
          <w:rFonts w:cstheme="minorHAnsi"/>
          <w:sz w:val="24"/>
          <w:szCs w:val="24"/>
        </w:rPr>
        <w:t>it can cause respiratory failure and hear</w:t>
      </w:r>
      <w:r w:rsidR="005C21C5">
        <w:rPr>
          <w:rFonts w:cstheme="minorHAnsi"/>
          <w:sz w:val="24"/>
          <w:szCs w:val="24"/>
        </w:rPr>
        <w:t>t, brain</w:t>
      </w:r>
      <w:r w:rsidR="00425415" w:rsidRPr="003037DB">
        <w:rPr>
          <w:rFonts w:cstheme="minorHAnsi"/>
          <w:sz w:val="24"/>
          <w:szCs w:val="24"/>
        </w:rPr>
        <w:t xml:space="preserve"> and nerve damage, and it can be lethal.</w:t>
      </w:r>
      <w:r w:rsidR="00425415" w:rsidRPr="003037DB">
        <w:rPr>
          <w:rFonts w:cstheme="minorHAnsi"/>
          <w:sz w:val="24"/>
          <w:szCs w:val="24"/>
          <w:vertAlign w:val="superscript"/>
        </w:rPr>
        <w:footnoteReference w:id="7"/>
      </w:r>
      <w:r w:rsidR="00425415" w:rsidRPr="003037DB">
        <w:rPr>
          <w:rFonts w:cstheme="minorHAnsi"/>
          <w:sz w:val="24"/>
          <w:szCs w:val="24"/>
        </w:rPr>
        <w:t xml:space="preserve">  </w:t>
      </w:r>
    </w:p>
    <w:p w14:paraId="7ECB4971" w14:textId="77777777" w:rsidR="00117206" w:rsidRPr="003037DB" w:rsidRDefault="00117206" w:rsidP="00613AE8">
      <w:pPr>
        <w:spacing w:line="23" w:lineRule="atLeast"/>
        <w:jc w:val="both"/>
        <w:rPr>
          <w:rFonts w:cstheme="minorHAnsi"/>
          <w:sz w:val="24"/>
          <w:szCs w:val="24"/>
        </w:rPr>
      </w:pPr>
    </w:p>
    <w:p w14:paraId="2E9D6BC3" w14:textId="5667FD0D" w:rsidR="00C0236A" w:rsidRPr="003037DB" w:rsidRDefault="00E37719" w:rsidP="00613AE8">
      <w:pPr>
        <w:spacing w:line="23" w:lineRule="atLeast"/>
        <w:jc w:val="both"/>
        <w:rPr>
          <w:rFonts w:cstheme="minorHAnsi"/>
          <w:sz w:val="24"/>
          <w:szCs w:val="24"/>
        </w:rPr>
      </w:pPr>
      <w:r w:rsidRPr="003037DB">
        <w:rPr>
          <w:rFonts w:cstheme="minorHAnsi"/>
          <w:sz w:val="24"/>
          <w:szCs w:val="24"/>
        </w:rPr>
        <w:t>Exposure</w:t>
      </w:r>
      <w:r w:rsidR="009E5054" w:rsidRPr="003037DB">
        <w:rPr>
          <w:rFonts w:cstheme="minorHAnsi"/>
          <w:sz w:val="24"/>
          <w:szCs w:val="24"/>
        </w:rPr>
        <w:t xml:space="preserve"> to these toxins is </w:t>
      </w:r>
      <w:r w:rsidRPr="003037DB">
        <w:rPr>
          <w:rFonts w:cstheme="minorHAnsi"/>
          <w:sz w:val="24"/>
          <w:szCs w:val="24"/>
        </w:rPr>
        <w:t xml:space="preserve">extremely dangerous to </w:t>
      </w:r>
      <w:r w:rsidR="003A4F44" w:rsidRPr="003037DB">
        <w:rPr>
          <w:rFonts w:cstheme="minorHAnsi"/>
          <w:sz w:val="24"/>
          <w:szCs w:val="24"/>
        </w:rPr>
        <w:t>women</w:t>
      </w:r>
      <w:r w:rsidR="000E37FE" w:rsidRPr="003037DB">
        <w:rPr>
          <w:rFonts w:cstheme="minorHAnsi"/>
          <w:sz w:val="24"/>
          <w:szCs w:val="24"/>
        </w:rPr>
        <w:t>’s</w:t>
      </w:r>
      <w:r w:rsidRPr="003037DB">
        <w:rPr>
          <w:rFonts w:cstheme="minorHAnsi"/>
          <w:sz w:val="24"/>
          <w:szCs w:val="24"/>
        </w:rPr>
        <w:t xml:space="preserve"> </w:t>
      </w:r>
      <w:r w:rsidR="00896E81" w:rsidRPr="003037DB">
        <w:rPr>
          <w:rFonts w:cstheme="minorHAnsi"/>
          <w:sz w:val="24"/>
          <w:szCs w:val="24"/>
        </w:rPr>
        <w:t xml:space="preserve">reproductive </w:t>
      </w:r>
      <w:r w:rsidR="00117206" w:rsidRPr="003037DB">
        <w:rPr>
          <w:rFonts w:cstheme="minorHAnsi"/>
          <w:sz w:val="24"/>
          <w:szCs w:val="24"/>
        </w:rPr>
        <w:t xml:space="preserve">health.  </w:t>
      </w:r>
      <w:r w:rsidRPr="003037DB">
        <w:rPr>
          <w:rFonts w:cstheme="minorHAnsi"/>
          <w:sz w:val="24"/>
          <w:szCs w:val="24"/>
        </w:rPr>
        <w:t>“Exposure to mercury – even small amounts – . . . is a threat to the development of the child in utero and early in life.”</w:t>
      </w:r>
      <w:r w:rsidR="00FF5C25" w:rsidRPr="003037DB">
        <w:rPr>
          <w:rStyle w:val="FootnoteReference"/>
          <w:rFonts w:cstheme="minorHAnsi"/>
          <w:sz w:val="24"/>
          <w:szCs w:val="24"/>
        </w:rPr>
        <w:footnoteReference w:id="8"/>
      </w:r>
      <w:r w:rsidR="00117206" w:rsidRPr="003037DB">
        <w:rPr>
          <w:rFonts w:cstheme="minorHAnsi"/>
          <w:sz w:val="24"/>
          <w:szCs w:val="24"/>
        </w:rPr>
        <w:t xml:space="preserve"> </w:t>
      </w:r>
      <w:r w:rsidRPr="003037DB">
        <w:rPr>
          <w:rFonts w:cstheme="minorHAnsi"/>
          <w:sz w:val="24"/>
          <w:szCs w:val="24"/>
        </w:rPr>
        <w:t xml:space="preserve"> Even low-level exposure can cause “spontaneous abortion, stillbirth, congenital anomalies, pre-term birth and low birth weight.”</w:t>
      </w:r>
      <w:r w:rsidR="00FF5C25" w:rsidRPr="003037DB">
        <w:rPr>
          <w:rStyle w:val="FootnoteReference"/>
          <w:rFonts w:cstheme="minorHAnsi"/>
          <w:sz w:val="24"/>
          <w:szCs w:val="24"/>
        </w:rPr>
        <w:footnoteReference w:id="9"/>
      </w:r>
      <w:r w:rsidRPr="003037DB">
        <w:rPr>
          <w:rFonts w:cstheme="minorHAnsi"/>
          <w:sz w:val="24"/>
          <w:szCs w:val="24"/>
        </w:rPr>
        <w:t xml:space="preserve"> </w:t>
      </w:r>
      <w:r w:rsidR="00117206" w:rsidRPr="003037DB">
        <w:rPr>
          <w:rFonts w:cstheme="minorHAnsi"/>
          <w:sz w:val="24"/>
          <w:szCs w:val="24"/>
        </w:rPr>
        <w:t xml:space="preserve"> </w:t>
      </w:r>
      <w:r w:rsidRPr="003037DB">
        <w:rPr>
          <w:rFonts w:cstheme="minorHAnsi"/>
          <w:sz w:val="24"/>
          <w:szCs w:val="24"/>
        </w:rPr>
        <w:t>Exposure to arsenic can lead to adverse pregnancy outcomes and infant mortality, with impacts on child health.</w:t>
      </w:r>
      <w:r w:rsidR="002729E5" w:rsidRPr="003037DB">
        <w:rPr>
          <w:rStyle w:val="FootnoteReference"/>
          <w:rFonts w:cstheme="minorHAnsi"/>
          <w:sz w:val="24"/>
          <w:szCs w:val="24"/>
        </w:rPr>
        <w:footnoteReference w:id="10"/>
      </w:r>
      <w:r w:rsidRPr="003037DB">
        <w:rPr>
          <w:rFonts w:cstheme="minorHAnsi"/>
          <w:sz w:val="24"/>
          <w:szCs w:val="24"/>
        </w:rPr>
        <w:t xml:space="preserve"> “In utero </w:t>
      </w:r>
      <w:r w:rsidRPr="003037DB">
        <w:rPr>
          <w:rFonts w:cstheme="minorHAnsi"/>
          <w:sz w:val="24"/>
          <w:szCs w:val="24"/>
        </w:rPr>
        <w:lastRenderedPageBreak/>
        <w:t>and early childhood exposure [to arsenic] has been linked to negative impacts on cognitive development.”</w:t>
      </w:r>
      <w:r w:rsidR="002729E5" w:rsidRPr="003037DB">
        <w:rPr>
          <w:rStyle w:val="FootnoteReference"/>
          <w:rFonts w:cstheme="minorHAnsi"/>
          <w:sz w:val="24"/>
          <w:szCs w:val="24"/>
        </w:rPr>
        <w:footnoteReference w:id="11"/>
      </w:r>
      <w:r w:rsidRPr="003037DB">
        <w:rPr>
          <w:rFonts w:cstheme="minorHAnsi"/>
          <w:sz w:val="24"/>
          <w:szCs w:val="24"/>
        </w:rPr>
        <w:t xml:space="preserve"> </w:t>
      </w:r>
      <w:r w:rsidR="0069301E" w:rsidRPr="003037DB">
        <w:rPr>
          <w:rFonts w:cstheme="minorHAnsi"/>
          <w:sz w:val="24"/>
          <w:szCs w:val="24"/>
        </w:rPr>
        <w:t>Animal s</w:t>
      </w:r>
      <w:r w:rsidRPr="003037DB">
        <w:rPr>
          <w:rFonts w:cstheme="minorHAnsi"/>
          <w:sz w:val="24"/>
          <w:szCs w:val="24"/>
        </w:rPr>
        <w:t>tudies showing increased birth defects and other reproductive problems after exposure to cyanide</w:t>
      </w:r>
      <w:r w:rsidR="00C664A8" w:rsidRPr="003037DB">
        <w:rPr>
          <w:rStyle w:val="FootnoteReference"/>
          <w:rFonts w:cstheme="minorHAnsi"/>
          <w:sz w:val="24"/>
          <w:szCs w:val="24"/>
        </w:rPr>
        <w:footnoteReference w:id="12"/>
      </w:r>
      <w:r w:rsidRPr="003037DB">
        <w:rPr>
          <w:rFonts w:cstheme="minorHAnsi"/>
          <w:sz w:val="24"/>
          <w:szCs w:val="24"/>
        </w:rPr>
        <w:t xml:space="preserve"> have led experts to advise that cyanide be treated as a possible teratogen in humans as well.</w:t>
      </w:r>
      <w:r w:rsidR="00C664A8" w:rsidRPr="003037DB">
        <w:rPr>
          <w:rStyle w:val="FootnoteReference"/>
          <w:rFonts w:cstheme="minorHAnsi"/>
          <w:sz w:val="24"/>
          <w:szCs w:val="24"/>
        </w:rPr>
        <w:footnoteReference w:id="13"/>
      </w:r>
    </w:p>
    <w:p w14:paraId="657B7127" w14:textId="5F6E5053" w:rsidR="009E5054" w:rsidRPr="003037DB" w:rsidRDefault="009E5054" w:rsidP="00613AE8">
      <w:pPr>
        <w:spacing w:line="23" w:lineRule="atLeast"/>
        <w:jc w:val="both"/>
        <w:rPr>
          <w:rFonts w:cstheme="minorHAnsi"/>
          <w:sz w:val="24"/>
          <w:szCs w:val="24"/>
        </w:rPr>
      </w:pPr>
    </w:p>
    <w:p w14:paraId="260C617C" w14:textId="6BEDFE9A" w:rsidR="009E5054" w:rsidRPr="003037DB" w:rsidRDefault="009E5054" w:rsidP="00613AE8">
      <w:pPr>
        <w:spacing w:line="23" w:lineRule="atLeast"/>
        <w:jc w:val="both"/>
        <w:rPr>
          <w:rFonts w:cstheme="minorHAnsi"/>
          <w:b/>
          <w:sz w:val="24"/>
          <w:szCs w:val="24"/>
        </w:rPr>
      </w:pPr>
      <w:r w:rsidRPr="003037DB">
        <w:rPr>
          <w:rFonts w:cstheme="minorHAnsi"/>
          <w:b/>
          <w:sz w:val="24"/>
          <w:szCs w:val="24"/>
        </w:rPr>
        <w:t xml:space="preserve">C.  </w:t>
      </w:r>
      <w:r w:rsidRPr="003037DB">
        <w:rPr>
          <w:rFonts w:cstheme="minorHAnsi"/>
          <w:b/>
          <w:sz w:val="24"/>
          <w:szCs w:val="24"/>
        </w:rPr>
        <w:tab/>
        <w:t>Impact of toxic contamination on Guji women and girls</w:t>
      </w:r>
    </w:p>
    <w:p w14:paraId="12007257" w14:textId="77777777" w:rsidR="00117206" w:rsidRPr="003037DB" w:rsidRDefault="00117206" w:rsidP="00613AE8">
      <w:pPr>
        <w:spacing w:line="23" w:lineRule="atLeast"/>
        <w:jc w:val="both"/>
        <w:rPr>
          <w:rFonts w:cstheme="minorHAnsi"/>
          <w:sz w:val="24"/>
          <w:szCs w:val="24"/>
        </w:rPr>
      </w:pPr>
    </w:p>
    <w:p w14:paraId="649CD2D7" w14:textId="735717FD" w:rsidR="00117206" w:rsidRPr="003037DB" w:rsidRDefault="009E5054" w:rsidP="00613AE8">
      <w:pPr>
        <w:spacing w:line="23" w:lineRule="atLeast"/>
        <w:jc w:val="both"/>
        <w:rPr>
          <w:rFonts w:cstheme="minorHAnsi"/>
          <w:sz w:val="24"/>
          <w:szCs w:val="24"/>
        </w:rPr>
      </w:pPr>
      <w:r w:rsidRPr="003037DB">
        <w:rPr>
          <w:rFonts w:cstheme="minorHAnsi"/>
          <w:sz w:val="24"/>
          <w:szCs w:val="24"/>
        </w:rPr>
        <w:t xml:space="preserve">Toxic contamination from Lega Dembi has </w:t>
      </w:r>
      <w:r w:rsidR="002B40D5" w:rsidRPr="003037DB">
        <w:rPr>
          <w:rFonts w:cstheme="minorHAnsi"/>
          <w:sz w:val="24"/>
          <w:szCs w:val="24"/>
        </w:rPr>
        <w:t xml:space="preserve">violated the rights of Guji </w:t>
      </w:r>
      <w:r w:rsidRPr="003037DB">
        <w:rPr>
          <w:rFonts w:cstheme="minorHAnsi"/>
          <w:sz w:val="24"/>
          <w:szCs w:val="24"/>
        </w:rPr>
        <w:t>women and girls</w:t>
      </w:r>
      <w:r w:rsidR="002B40D5" w:rsidRPr="003037DB">
        <w:rPr>
          <w:rFonts w:cstheme="minorHAnsi"/>
          <w:sz w:val="24"/>
          <w:szCs w:val="24"/>
        </w:rPr>
        <w:t xml:space="preserve"> to life, health, clean water, food, and education.</w:t>
      </w:r>
      <w:r w:rsidR="0069301E" w:rsidRPr="003037DB">
        <w:rPr>
          <w:rFonts w:cstheme="minorHAnsi"/>
          <w:sz w:val="24"/>
          <w:szCs w:val="24"/>
        </w:rPr>
        <w:t xml:space="preserve"> </w:t>
      </w:r>
      <w:r w:rsidR="002B40D5" w:rsidRPr="003037DB">
        <w:rPr>
          <w:rFonts w:cstheme="minorHAnsi"/>
          <w:sz w:val="24"/>
          <w:szCs w:val="24"/>
        </w:rPr>
        <w:t xml:space="preserve"> Women have suffered uncommonly high rates of miscarriage</w:t>
      </w:r>
      <w:r w:rsidR="00117206" w:rsidRPr="003037DB">
        <w:rPr>
          <w:rFonts w:cstheme="minorHAnsi"/>
          <w:sz w:val="24"/>
          <w:szCs w:val="24"/>
        </w:rPr>
        <w:t xml:space="preserve">, </w:t>
      </w:r>
      <w:r w:rsidR="00BF242F">
        <w:rPr>
          <w:rFonts w:cstheme="minorHAnsi"/>
          <w:sz w:val="24"/>
          <w:szCs w:val="24"/>
        </w:rPr>
        <w:t>stillbirth</w:t>
      </w:r>
      <w:r w:rsidR="00117206" w:rsidRPr="003037DB">
        <w:rPr>
          <w:rFonts w:cstheme="minorHAnsi"/>
          <w:sz w:val="24"/>
          <w:szCs w:val="24"/>
        </w:rPr>
        <w:t xml:space="preserve"> and infant mortality, and many children</w:t>
      </w:r>
      <w:r w:rsidR="002B40D5" w:rsidRPr="003037DB">
        <w:rPr>
          <w:rFonts w:cstheme="minorHAnsi"/>
          <w:sz w:val="24"/>
          <w:szCs w:val="24"/>
        </w:rPr>
        <w:t xml:space="preserve"> have been born with severe physical and developmental disabilities that shorten life expectancy and compromise quality of life, including deformed limbs, paralysis and mental incapacity.</w:t>
      </w:r>
      <w:r w:rsidR="00117206" w:rsidRPr="003037DB">
        <w:rPr>
          <w:rFonts w:cstheme="minorHAnsi"/>
          <w:sz w:val="24"/>
          <w:szCs w:val="24"/>
        </w:rPr>
        <w:t xml:space="preserve"> </w:t>
      </w:r>
      <w:r w:rsidRPr="003037DB">
        <w:rPr>
          <w:rFonts w:cstheme="minorHAnsi"/>
          <w:sz w:val="24"/>
          <w:szCs w:val="24"/>
        </w:rPr>
        <w:t xml:space="preserve"> </w:t>
      </w:r>
      <w:r w:rsidR="00117206" w:rsidRPr="003037DB">
        <w:rPr>
          <w:rFonts w:cstheme="minorHAnsi"/>
          <w:sz w:val="24"/>
          <w:szCs w:val="24"/>
        </w:rPr>
        <w:t>As primary care</w:t>
      </w:r>
      <w:r w:rsidR="00BC1715" w:rsidRPr="003037DB">
        <w:rPr>
          <w:rFonts w:cstheme="minorHAnsi"/>
          <w:sz w:val="24"/>
          <w:szCs w:val="24"/>
        </w:rPr>
        <w:t xml:space="preserve">givers, women have borne a large share of the burden of caring for children born with </w:t>
      </w:r>
      <w:r w:rsidRPr="003037DB">
        <w:rPr>
          <w:rFonts w:cstheme="minorHAnsi"/>
          <w:sz w:val="24"/>
          <w:szCs w:val="24"/>
        </w:rPr>
        <w:t xml:space="preserve">these </w:t>
      </w:r>
      <w:r w:rsidR="00BC1715" w:rsidRPr="003037DB">
        <w:rPr>
          <w:rFonts w:cstheme="minorHAnsi"/>
          <w:sz w:val="24"/>
          <w:szCs w:val="24"/>
        </w:rPr>
        <w:t>profound disabilities</w:t>
      </w:r>
      <w:r w:rsidRPr="003037DB">
        <w:rPr>
          <w:rFonts w:cstheme="minorHAnsi"/>
          <w:sz w:val="24"/>
          <w:szCs w:val="24"/>
        </w:rPr>
        <w:t>.</w:t>
      </w:r>
      <w:r w:rsidR="00117206" w:rsidRPr="003037DB">
        <w:rPr>
          <w:rFonts w:cstheme="minorHAnsi"/>
          <w:sz w:val="24"/>
          <w:szCs w:val="24"/>
        </w:rPr>
        <w:t xml:space="preserve">  </w:t>
      </w:r>
      <w:r w:rsidRPr="003037DB">
        <w:rPr>
          <w:rFonts w:cstheme="minorHAnsi"/>
          <w:sz w:val="24"/>
          <w:szCs w:val="24"/>
        </w:rPr>
        <w:t xml:space="preserve">People’s livelihoods and </w:t>
      </w:r>
      <w:r w:rsidR="00314F0D" w:rsidRPr="003037DB">
        <w:rPr>
          <w:rFonts w:cstheme="minorHAnsi"/>
          <w:sz w:val="24"/>
          <w:szCs w:val="24"/>
        </w:rPr>
        <w:t xml:space="preserve">food supply </w:t>
      </w:r>
      <w:r w:rsidRPr="003037DB">
        <w:rPr>
          <w:rFonts w:cstheme="minorHAnsi"/>
          <w:sz w:val="24"/>
          <w:szCs w:val="24"/>
        </w:rPr>
        <w:t xml:space="preserve">have also </w:t>
      </w:r>
      <w:r w:rsidR="007D47EE" w:rsidRPr="003037DB">
        <w:rPr>
          <w:rFonts w:cstheme="minorHAnsi"/>
          <w:sz w:val="24"/>
          <w:szCs w:val="24"/>
        </w:rPr>
        <w:t xml:space="preserve">been </w:t>
      </w:r>
      <w:r w:rsidR="0069301E" w:rsidRPr="003037DB">
        <w:rPr>
          <w:rFonts w:cstheme="minorHAnsi"/>
          <w:sz w:val="24"/>
          <w:szCs w:val="24"/>
        </w:rPr>
        <w:t>compromised.</w:t>
      </w:r>
      <w:r w:rsidR="007D47EE" w:rsidRPr="003037DB">
        <w:rPr>
          <w:rFonts w:cstheme="minorHAnsi"/>
          <w:sz w:val="24"/>
          <w:szCs w:val="24"/>
        </w:rPr>
        <w:t xml:space="preserve"> </w:t>
      </w:r>
      <w:r w:rsidRPr="003037DB">
        <w:rPr>
          <w:rFonts w:cstheme="minorHAnsi"/>
          <w:sz w:val="24"/>
          <w:szCs w:val="24"/>
        </w:rPr>
        <w:t xml:space="preserve"> L</w:t>
      </w:r>
      <w:r w:rsidR="00FC1B97" w:rsidRPr="003037DB">
        <w:rPr>
          <w:rFonts w:cstheme="minorHAnsi"/>
          <w:sz w:val="24"/>
          <w:szCs w:val="24"/>
        </w:rPr>
        <w:t>ivestock have died</w:t>
      </w:r>
      <w:r w:rsidR="0069301E" w:rsidRPr="003037DB">
        <w:rPr>
          <w:rFonts w:cstheme="minorHAnsi"/>
          <w:sz w:val="24"/>
          <w:szCs w:val="24"/>
        </w:rPr>
        <w:t>,</w:t>
      </w:r>
      <w:r w:rsidR="00314F0D" w:rsidRPr="003037DB">
        <w:rPr>
          <w:rFonts w:cstheme="minorHAnsi"/>
          <w:sz w:val="24"/>
          <w:szCs w:val="24"/>
        </w:rPr>
        <w:t xml:space="preserve"> </w:t>
      </w:r>
      <w:r w:rsidRPr="003037DB">
        <w:rPr>
          <w:rFonts w:cstheme="minorHAnsi"/>
          <w:sz w:val="24"/>
          <w:szCs w:val="24"/>
        </w:rPr>
        <w:t xml:space="preserve">crop yields have </w:t>
      </w:r>
      <w:r w:rsidR="006C13C5" w:rsidRPr="003037DB">
        <w:rPr>
          <w:rFonts w:cstheme="minorHAnsi"/>
          <w:sz w:val="24"/>
          <w:szCs w:val="24"/>
        </w:rPr>
        <w:t>fallen,</w:t>
      </w:r>
      <w:r w:rsidRPr="003037DB">
        <w:rPr>
          <w:rFonts w:cstheme="minorHAnsi"/>
          <w:sz w:val="24"/>
          <w:szCs w:val="24"/>
        </w:rPr>
        <w:t xml:space="preserve"> and </w:t>
      </w:r>
      <w:r w:rsidR="00996798" w:rsidRPr="003037DB">
        <w:rPr>
          <w:rFonts w:cstheme="minorHAnsi"/>
          <w:sz w:val="24"/>
          <w:szCs w:val="24"/>
        </w:rPr>
        <w:t xml:space="preserve">locally grown </w:t>
      </w:r>
      <w:r w:rsidRPr="003037DB">
        <w:rPr>
          <w:rFonts w:cstheme="minorHAnsi"/>
          <w:sz w:val="24"/>
          <w:szCs w:val="24"/>
        </w:rPr>
        <w:t xml:space="preserve">food </w:t>
      </w:r>
      <w:r w:rsidR="00314F0D" w:rsidRPr="003037DB">
        <w:rPr>
          <w:rFonts w:cstheme="minorHAnsi"/>
          <w:sz w:val="24"/>
          <w:szCs w:val="24"/>
        </w:rPr>
        <w:t xml:space="preserve">has </w:t>
      </w:r>
      <w:r w:rsidR="00996798" w:rsidRPr="003037DB">
        <w:rPr>
          <w:rFonts w:cstheme="minorHAnsi"/>
          <w:sz w:val="24"/>
          <w:szCs w:val="24"/>
        </w:rPr>
        <w:t>sickened those who eat it</w:t>
      </w:r>
      <w:r w:rsidR="00314F0D" w:rsidRPr="003037DB">
        <w:rPr>
          <w:rFonts w:cstheme="minorHAnsi"/>
          <w:sz w:val="24"/>
          <w:szCs w:val="24"/>
        </w:rPr>
        <w:t>.</w:t>
      </w:r>
      <w:r w:rsidRPr="003037DB">
        <w:rPr>
          <w:rFonts w:cstheme="minorHAnsi"/>
          <w:sz w:val="24"/>
          <w:szCs w:val="24"/>
        </w:rPr>
        <w:t xml:space="preserve"> </w:t>
      </w:r>
      <w:r w:rsidR="00FC1B97" w:rsidRPr="003037DB">
        <w:rPr>
          <w:rFonts w:cstheme="minorHAnsi"/>
          <w:sz w:val="24"/>
          <w:szCs w:val="24"/>
        </w:rPr>
        <w:t xml:space="preserve"> </w:t>
      </w:r>
      <w:r w:rsidR="00A80A9C" w:rsidRPr="003037DB">
        <w:rPr>
          <w:rFonts w:cstheme="minorHAnsi"/>
          <w:sz w:val="24"/>
          <w:szCs w:val="24"/>
        </w:rPr>
        <w:t xml:space="preserve">Women, children and men have suffered </w:t>
      </w:r>
      <w:r w:rsidR="00996798" w:rsidRPr="003037DB">
        <w:rPr>
          <w:rFonts w:cstheme="minorHAnsi"/>
          <w:sz w:val="24"/>
          <w:szCs w:val="24"/>
        </w:rPr>
        <w:t>numerous</w:t>
      </w:r>
      <w:r w:rsidR="00A80A9C" w:rsidRPr="003037DB">
        <w:rPr>
          <w:rFonts w:cstheme="minorHAnsi"/>
          <w:sz w:val="24"/>
          <w:szCs w:val="24"/>
        </w:rPr>
        <w:t xml:space="preserve"> health problems, including headaches, difficulty waking up in the morning, joint pain, back pain, stomach problems, and skin problems including rashes, itching and burning</w:t>
      </w:r>
      <w:r w:rsidR="00314F0D" w:rsidRPr="003037DB">
        <w:rPr>
          <w:rFonts w:cstheme="minorHAnsi"/>
          <w:sz w:val="24"/>
          <w:szCs w:val="24"/>
        </w:rPr>
        <w:t>.  Children with disabilities have lost access to education</w:t>
      </w:r>
      <w:r w:rsidR="00996798" w:rsidRPr="003037DB">
        <w:rPr>
          <w:rFonts w:cstheme="minorHAnsi"/>
          <w:sz w:val="24"/>
          <w:szCs w:val="24"/>
        </w:rPr>
        <w:t>, as t</w:t>
      </w:r>
      <w:r w:rsidR="00314F0D" w:rsidRPr="003037DB">
        <w:rPr>
          <w:rFonts w:cstheme="minorHAnsi"/>
          <w:sz w:val="24"/>
          <w:szCs w:val="24"/>
        </w:rPr>
        <w:t xml:space="preserve">hose with deformed legs cannot walk the distance to schools, and schools lack the resources to educate children with severe disabilities.  </w:t>
      </w:r>
    </w:p>
    <w:p w14:paraId="115EA18D" w14:textId="77777777" w:rsidR="006827F3" w:rsidRPr="003037DB" w:rsidRDefault="006827F3" w:rsidP="00613AE8">
      <w:pPr>
        <w:spacing w:line="23" w:lineRule="atLeast"/>
        <w:jc w:val="both"/>
        <w:rPr>
          <w:rFonts w:cstheme="minorHAnsi"/>
          <w:b/>
          <w:bCs/>
          <w:i/>
          <w:iCs/>
          <w:sz w:val="24"/>
          <w:szCs w:val="24"/>
        </w:rPr>
      </w:pPr>
    </w:p>
    <w:p w14:paraId="173C1A7C" w14:textId="4E00D7AB" w:rsidR="00BA2D0D" w:rsidRPr="003037DB" w:rsidRDefault="00117206" w:rsidP="00613AE8">
      <w:pPr>
        <w:spacing w:line="23" w:lineRule="atLeast"/>
        <w:jc w:val="both"/>
        <w:rPr>
          <w:rFonts w:cstheme="minorHAnsi"/>
          <w:b/>
          <w:bCs/>
          <w:i/>
          <w:iCs/>
          <w:sz w:val="24"/>
          <w:szCs w:val="24"/>
        </w:rPr>
      </w:pPr>
      <w:r w:rsidRPr="003037DB">
        <w:rPr>
          <w:rFonts w:cstheme="minorHAnsi"/>
          <w:b/>
          <w:bCs/>
          <w:i/>
          <w:iCs/>
          <w:sz w:val="24"/>
          <w:szCs w:val="24"/>
        </w:rPr>
        <w:tab/>
      </w:r>
      <w:r w:rsidR="00BA2D0D" w:rsidRPr="003037DB">
        <w:rPr>
          <w:rFonts w:cstheme="minorHAnsi"/>
          <w:b/>
          <w:bCs/>
          <w:i/>
          <w:iCs/>
          <w:sz w:val="24"/>
          <w:szCs w:val="24"/>
        </w:rPr>
        <w:t>Testimonies of community members</w:t>
      </w:r>
      <w:r w:rsidR="00BA2D0D" w:rsidRPr="003037DB">
        <w:rPr>
          <w:rStyle w:val="FootnoteReference"/>
          <w:rFonts w:cstheme="minorHAnsi"/>
          <w:sz w:val="24"/>
          <w:szCs w:val="24"/>
        </w:rPr>
        <w:footnoteReference w:id="14"/>
      </w:r>
    </w:p>
    <w:p w14:paraId="48665C3A" w14:textId="77777777" w:rsidR="00117206" w:rsidRPr="003037DB" w:rsidRDefault="00117206" w:rsidP="00613AE8">
      <w:pPr>
        <w:spacing w:line="23" w:lineRule="atLeast"/>
        <w:jc w:val="both"/>
        <w:rPr>
          <w:rFonts w:cstheme="minorHAnsi"/>
          <w:sz w:val="24"/>
          <w:szCs w:val="24"/>
        </w:rPr>
      </w:pPr>
    </w:p>
    <w:p w14:paraId="110B52A9" w14:textId="2529054E" w:rsidR="001E4A69" w:rsidRPr="003037DB" w:rsidRDefault="00BA2D0D" w:rsidP="00613AE8">
      <w:pPr>
        <w:spacing w:line="23" w:lineRule="atLeast"/>
        <w:jc w:val="both"/>
        <w:rPr>
          <w:rFonts w:cstheme="minorHAnsi"/>
          <w:sz w:val="24"/>
          <w:szCs w:val="24"/>
        </w:rPr>
      </w:pPr>
      <w:r w:rsidRPr="003037DB">
        <w:rPr>
          <w:rFonts w:cstheme="minorHAnsi"/>
          <w:sz w:val="24"/>
          <w:szCs w:val="24"/>
        </w:rPr>
        <w:t>Aida and her family live a five-minute walk from Lega Dembi.</w:t>
      </w:r>
      <w:r w:rsidR="00BF242F">
        <w:rPr>
          <w:rFonts w:cstheme="minorHAnsi"/>
          <w:sz w:val="24"/>
          <w:szCs w:val="24"/>
        </w:rPr>
        <w:t xml:space="preserve"> </w:t>
      </w:r>
      <w:r w:rsidRPr="003037DB">
        <w:rPr>
          <w:rFonts w:cstheme="minorHAnsi"/>
          <w:sz w:val="24"/>
          <w:szCs w:val="24"/>
        </w:rPr>
        <w:t xml:space="preserve"> Three times, Aida miscarried at about four months into the pregnancy.</w:t>
      </w:r>
      <w:r w:rsidR="00996798" w:rsidRPr="003037DB">
        <w:rPr>
          <w:rFonts w:cstheme="minorHAnsi"/>
          <w:sz w:val="24"/>
          <w:szCs w:val="24"/>
        </w:rPr>
        <w:t xml:space="preserve"> </w:t>
      </w:r>
      <w:r w:rsidRPr="003037DB">
        <w:rPr>
          <w:rFonts w:cstheme="minorHAnsi"/>
          <w:sz w:val="24"/>
          <w:szCs w:val="24"/>
        </w:rPr>
        <w:t xml:space="preserve"> She has headaches and sometimes has trouble eating. Her husband, Negasi, has joint pain and struggles to get up in the morning.</w:t>
      </w:r>
      <w:r w:rsidR="00996798" w:rsidRPr="003037DB">
        <w:rPr>
          <w:rFonts w:cstheme="minorHAnsi"/>
          <w:sz w:val="24"/>
          <w:szCs w:val="24"/>
        </w:rPr>
        <w:t xml:space="preserve"> </w:t>
      </w:r>
      <w:r w:rsidRPr="003037DB">
        <w:rPr>
          <w:rFonts w:cstheme="minorHAnsi"/>
          <w:sz w:val="24"/>
          <w:szCs w:val="24"/>
        </w:rPr>
        <w:t xml:space="preserve"> Seven-year-old Kofi has severe vision problems that prevent him from attending school. </w:t>
      </w:r>
      <w:r w:rsidR="00996798" w:rsidRPr="003037DB">
        <w:rPr>
          <w:rFonts w:cstheme="minorHAnsi"/>
          <w:sz w:val="24"/>
          <w:szCs w:val="24"/>
        </w:rPr>
        <w:t xml:space="preserve"> </w:t>
      </w:r>
      <w:r w:rsidRPr="003037DB">
        <w:rPr>
          <w:rFonts w:cstheme="minorHAnsi"/>
          <w:sz w:val="24"/>
          <w:szCs w:val="24"/>
        </w:rPr>
        <w:t xml:space="preserve">Sometimes he cries because of the burning in his eyes, sometimes he has difficulty eating, and sometimes he cannot physically move. </w:t>
      </w:r>
      <w:r w:rsidR="00996798" w:rsidRPr="003037DB">
        <w:rPr>
          <w:rFonts w:cstheme="minorHAnsi"/>
          <w:sz w:val="24"/>
          <w:szCs w:val="24"/>
        </w:rPr>
        <w:t xml:space="preserve"> </w:t>
      </w:r>
      <w:r w:rsidRPr="003037DB">
        <w:rPr>
          <w:rFonts w:cstheme="minorHAnsi"/>
          <w:sz w:val="24"/>
          <w:szCs w:val="24"/>
        </w:rPr>
        <w:t xml:space="preserve">His two younger siblings have frequent skin problems. </w:t>
      </w:r>
      <w:r w:rsidR="00996798" w:rsidRPr="003037DB">
        <w:rPr>
          <w:rFonts w:cstheme="minorHAnsi"/>
          <w:sz w:val="24"/>
          <w:szCs w:val="24"/>
        </w:rPr>
        <w:t xml:space="preserve"> </w:t>
      </w:r>
      <w:r w:rsidRPr="003037DB">
        <w:rPr>
          <w:rFonts w:cstheme="minorHAnsi"/>
          <w:sz w:val="24"/>
          <w:szCs w:val="24"/>
        </w:rPr>
        <w:t xml:space="preserve">The family lost six cattle that had drunk contaminated water, and they have had to sell other cattle to pay for the children’s medical treatments. </w:t>
      </w:r>
      <w:r w:rsidR="00996798" w:rsidRPr="003037DB">
        <w:rPr>
          <w:rFonts w:cstheme="minorHAnsi"/>
          <w:sz w:val="24"/>
          <w:szCs w:val="24"/>
        </w:rPr>
        <w:t xml:space="preserve"> </w:t>
      </w:r>
      <w:r w:rsidR="00BF242F">
        <w:rPr>
          <w:rFonts w:cstheme="minorHAnsi"/>
          <w:sz w:val="24"/>
          <w:szCs w:val="24"/>
        </w:rPr>
        <w:t xml:space="preserve">They now </w:t>
      </w:r>
      <w:r w:rsidRPr="003037DB">
        <w:rPr>
          <w:rFonts w:cstheme="minorHAnsi"/>
          <w:sz w:val="24"/>
          <w:szCs w:val="24"/>
        </w:rPr>
        <w:t xml:space="preserve">often </w:t>
      </w:r>
      <w:r w:rsidR="00BF242F">
        <w:rPr>
          <w:rFonts w:cstheme="minorHAnsi"/>
          <w:sz w:val="24"/>
          <w:szCs w:val="24"/>
        </w:rPr>
        <w:t xml:space="preserve">are </w:t>
      </w:r>
      <w:r w:rsidRPr="003037DB">
        <w:rPr>
          <w:rFonts w:cstheme="minorHAnsi"/>
          <w:sz w:val="24"/>
          <w:szCs w:val="24"/>
        </w:rPr>
        <w:t>forced to buy food, because their crops no longer produce enough for the family’s needs</w:t>
      </w:r>
      <w:r w:rsidR="00376F7E" w:rsidRPr="003037DB">
        <w:rPr>
          <w:rFonts w:cstheme="minorHAnsi"/>
          <w:sz w:val="24"/>
          <w:szCs w:val="24"/>
        </w:rPr>
        <w:t>.</w:t>
      </w:r>
    </w:p>
    <w:p w14:paraId="34F9A119" w14:textId="77777777" w:rsidR="00117206" w:rsidRPr="003037DB" w:rsidRDefault="00117206" w:rsidP="00613AE8">
      <w:pPr>
        <w:spacing w:line="23" w:lineRule="atLeast"/>
        <w:jc w:val="both"/>
        <w:rPr>
          <w:rFonts w:cstheme="minorHAnsi"/>
          <w:sz w:val="24"/>
          <w:szCs w:val="24"/>
        </w:rPr>
      </w:pPr>
    </w:p>
    <w:p w14:paraId="5598FD92" w14:textId="4E54BC28" w:rsidR="007346F7" w:rsidRPr="003037DB" w:rsidRDefault="007346F7" w:rsidP="00613AE8">
      <w:pPr>
        <w:spacing w:line="23" w:lineRule="atLeast"/>
        <w:jc w:val="both"/>
        <w:rPr>
          <w:rFonts w:cstheme="minorHAnsi"/>
          <w:sz w:val="24"/>
          <w:szCs w:val="24"/>
        </w:rPr>
      </w:pPr>
      <w:r w:rsidRPr="003037DB">
        <w:rPr>
          <w:rFonts w:cstheme="minorHAnsi"/>
          <w:sz w:val="24"/>
          <w:szCs w:val="24"/>
        </w:rPr>
        <w:t xml:space="preserve">Ife and her family, who live a 20-minute walk from the mine, also have suffered.  Dust from mining explosions gave Ife headaches during her pregnancy with her son Abraham.  Abraham was born with a deformed leg and </w:t>
      </w:r>
      <w:r w:rsidR="005C21C5">
        <w:rPr>
          <w:rFonts w:cstheme="minorHAnsi"/>
          <w:sz w:val="24"/>
          <w:szCs w:val="24"/>
        </w:rPr>
        <w:t xml:space="preserve">deformed </w:t>
      </w:r>
      <w:r w:rsidRPr="003037DB">
        <w:rPr>
          <w:rFonts w:cstheme="minorHAnsi"/>
          <w:sz w:val="24"/>
          <w:szCs w:val="24"/>
        </w:rPr>
        <w:t xml:space="preserve">feet, which keep him from going to school as he cannot walk that far.  His four older siblings struggle in school and do not play like other children.  Ife’s husband, Kaleb, suffers from joint pain and sometimes struggles to stand upright.  The family has lost crops and ten cattle; some of these cows died instantly after </w:t>
      </w:r>
      <w:r w:rsidRPr="003037DB">
        <w:rPr>
          <w:rFonts w:cstheme="minorHAnsi"/>
          <w:sz w:val="24"/>
          <w:szCs w:val="24"/>
        </w:rPr>
        <w:lastRenderedPageBreak/>
        <w:t>drinking the contaminated water.  The parents now sometimes have to do da</w:t>
      </w:r>
      <w:r w:rsidR="00BF242F">
        <w:rPr>
          <w:rFonts w:cstheme="minorHAnsi"/>
          <w:sz w:val="24"/>
          <w:szCs w:val="24"/>
        </w:rPr>
        <w:t>y labor to get money for food.</w:t>
      </w:r>
    </w:p>
    <w:p w14:paraId="7E9D5E2B" w14:textId="10495287" w:rsidR="00FC1C1B" w:rsidRPr="003037DB" w:rsidRDefault="00FC1C1B" w:rsidP="00613AE8">
      <w:pPr>
        <w:spacing w:line="23" w:lineRule="atLeast"/>
        <w:jc w:val="both"/>
        <w:rPr>
          <w:rFonts w:cstheme="minorHAnsi"/>
          <w:sz w:val="24"/>
          <w:szCs w:val="24"/>
        </w:rPr>
      </w:pPr>
    </w:p>
    <w:p w14:paraId="67EFB478" w14:textId="54D9BC0E" w:rsidR="00FC1C1B" w:rsidRPr="003037DB" w:rsidRDefault="00FC1C1B" w:rsidP="00613AE8">
      <w:pPr>
        <w:spacing w:line="23" w:lineRule="atLeast"/>
        <w:jc w:val="both"/>
        <w:rPr>
          <w:rFonts w:cstheme="minorHAnsi"/>
          <w:sz w:val="24"/>
          <w:szCs w:val="24"/>
        </w:rPr>
      </w:pPr>
      <w:r w:rsidRPr="003037DB">
        <w:rPr>
          <w:rFonts w:cstheme="minorHAnsi"/>
          <w:sz w:val="24"/>
          <w:szCs w:val="24"/>
        </w:rPr>
        <w:t xml:space="preserve">Ayyantu’s family lives a ten-minute walk downstream from the mine.  When she was pregnant with her daughter Kedija, Ayyantu drank from the nearby water and ate from her family’s crops.  Kedija, now nine, was born with paralysis.  She cannot use her hands, feed herself, or walk; one of her parents must constantly be with her.  Her brother Hirko developed a tumor on his back before his second birthday.   The parents, too, have health problems.  Ayyantu wants more children, but she has not been able to conceive. The family has lost more than half of its livestock, its crops of maize, teff and wheat have become less productive, and eating what they grow gives Ayyantu stomach problems. </w:t>
      </w:r>
    </w:p>
    <w:p w14:paraId="69449ACF" w14:textId="77777777" w:rsidR="007346F7" w:rsidRPr="003037DB" w:rsidRDefault="007346F7" w:rsidP="00613AE8">
      <w:pPr>
        <w:spacing w:line="23" w:lineRule="atLeast"/>
        <w:jc w:val="both"/>
        <w:rPr>
          <w:rFonts w:cstheme="minorHAnsi"/>
          <w:sz w:val="24"/>
          <w:szCs w:val="24"/>
        </w:rPr>
      </w:pPr>
      <w:r w:rsidRPr="003037DB">
        <w:rPr>
          <w:rFonts w:cstheme="minorHAnsi"/>
          <w:sz w:val="24"/>
          <w:szCs w:val="24"/>
        </w:rPr>
        <w:t xml:space="preserve"> </w:t>
      </w:r>
    </w:p>
    <w:p w14:paraId="344D48C4" w14:textId="119E9668" w:rsidR="007346F7" w:rsidRPr="003037DB" w:rsidRDefault="007346F7" w:rsidP="00613AE8">
      <w:pPr>
        <w:spacing w:line="23" w:lineRule="atLeast"/>
        <w:jc w:val="both"/>
        <w:rPr>
          <w:rFonts w:cstheme="minorHAnsi"/>
          <w:sz w:val="24"/>
          <w:szCs w:val="24"/>
        </w:rPr>
      </w:pPr>
      <w:r w:rsidRPr="003037DB">
        <w:rPr>
          <w:rFonts w:cstheme="minorHAnsi"/>
          <w:noProof/>
          <w:sz w:val="24"/>
          <w:szCs w:val="24"/>
        </w:rPr>
        <w:drawing>
          <wp:anchor distT="0" distB="0" distL="114300" distR="114300" simplePos="0" relativeHeight="251661312" behindDoc="0" locked="0" layoutInCell="1" allowOverlap="0" wp14:anchorId="53C55D4C" wp14:editId="10491EFE">
            <wp:simplePos x="0" y="0"/>
            <wp:positionH relativeFrom="column">
              <wp:posOffset>3655695</wp:posOffset>
            </wp:positionH>
            <wp:positionV relativeFrom="paragraph">
              <wp:posOffset>67945</wp:posOffset>
            </wp:positionV>
            <wp:extent cx="2066925" cy="1743075"/>
            <wp:effectExtent l="0" t="0" r="9525" b="9525"/>
            <wp:wrapSquare wrapText="bothSides"/>
            <wp:docPr id="1" name="Picture 1" descr="A picture containing person, indoor, mamm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person, indoor, mammal&#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6925" cy="1743075"/>
                    </a:xfrm>
                    <a:prstGeom prst="rect">
                      <a:avLst/>
                    </a:prstGeom>
                    <a:noFill/>
                  </pic:spPr>
                </pic:pic>
              </a:graphicData>
            </a:graphic>
            <wp14:sizeRelH relativeFrom="page">
              <wp14:pctWidth>0</wp14:pctWidth>
            </wp14:sizeRelH>
            <wp14:sizeRelV relativeFrom="page">
              <wp14:pctHeight>0</wp14:pctHeight>
            </wp14:sizeRelV>
          </wp:anchor>
        </w:drawing>
      </w:r>
      <w:r w:rsidRPr="003037DB">
        <w:rPr>
          <w:rFonts w:cstheme="minorHAnsi"/>
          <w:sz w:val="24"/>
          <w:szCs w:val="24"/>
        </w:rPr>
        <w:t xml:space="preserve">Kiyya and Gadaa live a half-hour walk from the mine.  They lost two children when Kiyya suffered two late-term miscarriages.  Their five-year-old daughter Caaltuu was born with limb deformities that limit her ability to walk.  This means she cannot go to school, because the school is a long walk away.  Although she can talk, she has trouble with comprehension.  Her older brother and parents suffer headaches and other ailments.  Their crops have not done well, and their oxen now have such weak bones that they cannot plow the land.  Previously </w:t>
      </w:r>
      <w:r w:rsidR="00DF5F74" w:rsidRPr="003037DB">
        <w:rPr>
          <w:rFonts w:cstheme="minorHAnsi"/>
          <w:sz w:val="24"/>
          <w:szCs w:val="24"/>
        </w:rPr>
        <w:t>self-sufficient</w:t>
      </w:r>
      <w:r w:rsidRPr="003037DB">
        <w:rPr>
          <w:rFonts w:cstheme="minorHAnsi"/>
          <w:sz w:val="24"/>
          <w:szCs w:val="24"/>
        </w:rPr>
        <w:t xml:space="preserve">, the parents have had to turn to day labor to buy food for the family.   </w:t>
      </w:r>
    </w:p>
    <w:p w14:paraId="11E7D4BE" w14:textId="0CC4CD8D" w:rsidR="007346F7" w:rsidRPr="003037DB" w:rsidRDefault="007346F7" w:rsidP="00613AE8">
      <w:pPr>
        <w:spacing w:line="23" w:lineRule="atLeast"/>
        <w:jc w:val="both"/>
        <w:rPr>
          <w:rFonts w:cstheme="minorHAnsi"/>
          <w:sz w:val="24"/>
          <w:szCs w:val="24"/>
        </w:rPr>
      </w:pPr>
    </w:p>
    <w:p w14:paraId="05D948A1" w14:textId="77777777" w:rsidR="007346F7" w:rsidRPr="003037DB" w:rsidRDefault="007346F7" w:rsidP="00613AE8">
      <w:pPr>
        <w:spacing w:line="23" w:lineRule="atLeast"/>
        <w:jc w:val="both"/>
        <w:rPr>
          <w:rFonts w:cstheme="minorHAnsi"/>
          <w:sz w:val="24"/>
          <w:szCs w:val="24"/>
        </w:rPr>
      </w:pPr>
      <w:r w:rsidRPr="003037DB">
        <w:rPr>
          <w:rFonts w:cstheme="minorHAnsi"/>
          <w:sz w:val="24"/>
          <w:szCs w:val="24"/>
        </w:rPr>
        <w:t xml:space="preserve">The New Humanitarian (TNH) reported similar testimonies, obtained in early 2020, from local people: </w:t>
      </w:r>
    </w:p>
    <w:p w14:paraId="7BC40687" w14:textId="77777777" w:rsidR="007346F7" w:rsidRPr="003037DB" w:rsidRDefault="007346F7" w:rsidP="00613AE8">
      <w:pPr>
        <w:spacing w:line="23" w:lineRule="atLeast"/>
        <w:jc w:val="both"/>
        <w:rPr>
          <w:rFonts w:cstheme="minorHAnsi"/>
          <w:sz w:val="24"/>
          <w:szCs w:val="24"/>
        </w:rPr>
      </w:pPr>
      <w:r w:rsidRPr="003037DB">
        <w:rPr>
          <w:rFonts w:cstheme="minorHAnsi"/>
          <w:sz w:val="24"/>
          <w:szCs w:val="24"/>
        </w:rPr>
        <w:t xml:space="preserve"> </w:t>
      </w:r>
    </w:p>
    <w:p w14:paraId="2A3B522B" w14:textId="77777777" w:rsidR="007346F7" w:rsidRPr="003037DB" w:rsidRDefault="007346F7" w:rsidP="00613AE8">
      <w:pPr>
        <w:spacing w:line="23" w:lineRule="atLeast"/>
        <w:jc w:val="both"/>
        <w:rPr>
          <w:rFonts w:cstheme="minorHAnsi"/>
          <w:sz w:val="24"/>
          <w:szCs w:val="24"/>
        </w:rPr>
      </w:pPr>
      <w:r w:rsidRPr="003037DB">
        <w:rPr>
          <w:rFonts w:cstheme="minorHAnsi"/>
          <w:sz w:val="24"/>
          <w:szCs w:val="24"/>
        </w:rPr>
        <w:t>“‘We are the walking dead,’ Dembela Megersa told The New Humanitarian, describing the unaccountable pain in his back that has afflicted him for years.  His 25-year-old wife, Jibo Buno, sitting beside him, recounted the misery of five miscarriages in as many years, followed by a stillbirth. The lifeless baby’s body was mangled by deformity when she delivered it seven months into her sixth pregnancy, she said.”</w:t>
      </w:r>
      <w:r w:rsidRPr="003037DB">
        <w:rPr>
          <w:rFonts w:cstheme="minorHAnsi"/>
          <w:sz w:val="24"/>
          <w:szCs w:val="24"/>
          <w:vertAlign w:val="superscript"/>
        </w:rPr>
        <w:footnoteReference w:id="15"/>
      </w:r>
      <w:r w:rsidRPr="003037DB">
        <w:rPr>
          <w:rFonts w:cstheme="minorHAnsi"/>
          <w:sz w:val="24"/>
          <w:szCs w:val="24"/>
        </w:rPr>
        <w:t xml:space="preserve">   </w:t>
      </w:r>
    </w:p>
    <w:p w14:paraId="40CC0F77" w14:textId="77777777" w:rsidR="007346F7" w:rsidRPr="003037DB" w:rsidRDefault="007346F7" w:rsidP="00613AE8">
      <w:pPr>
        <w:spacing w:line="23" w:lineRule="atLeast"/>
        <w:jc w:val="both"/>
        <w:rPr>
          <w:rFonts w:cstheme="minorHAnsi"/>
          <w:sz w:val="24"/>
          <w:szCs w:val="24"/>
        </w:rPr>
      </w:pPr>
      <w:r w:rsidRPr="003037DB">
        <w:rPr>
          <w:rFonts w:cstheme="minorHAnsi"/>
          <w:sz w:val="24"/>
          <w:szCs w:val="24"/>
        </w:rPr>
        <w:t xml:space="preserve"> </w:t>
      </w:r>
    </w:p>
    <w:p w14:paraId="6F7A2BE2" w14:textId="140DD91C" w:rsidR="007346F7" w:rsidRPr="003037DB" w:rsidRDefault="007346F7" w:rsidP="00613AE8">
      <w:pPr>
        <w:spacing w:line="23" w:lineRule="atLeast"/>
        <w:jc w:val="both"/>
        <w:rPr>
          <w:rFonts w:cstheme="minorHAnsi"/>
          <w:sz w:val="24"/>
          <w:szCs w:val="24"/>
        </w:rPr>
      </w:pPr>
      <w:r w:rsidRPr="003037DB">
        <w:rPr>
          <w:rFonts w:cstheme="minorHAnsi"/>
          <w:sz w:val="24"/>
          <w:szCs w:val="24"/>
        </w:rPr>
        <w:t>Kifle Hirbaye explained that his “seven year-old daughter’s growth is so stunted, and her limbs so badly deformed, she cannot attend school.</w:t>
      </w:r>
      <w:r w:rsidR="00BF242F">
        <w:rPr>
          <w:rFonts w:cstheme="minorHAnsi"/>
          <w:sz w:val="24"/>
          <w:szCs w:val="24"/>
        </w:rPr>
        <w:t>”</w:t>
      </w:r>
      <w:r w:rsidRPr="003037DB">
        <w:rPr>
          <w:rFonts w:cstheme="minorHAnsi"/>
          <w:sz w:val="24"/>
          <w:szCs w:val="24"/>
          <w:vertAlign w:val="superscript"/>
        </w:rPr>
        <w:footnoteReference w:id="16"/>
      </w:r>
      <w:r w:rsidRPr="003037DB">
        <w:rPr>
          <w:rFonts w:cstheme="minorHAnsi"/>
          <w:sz w:val="24"/>
          <w:szCs w:val="24"/>
        </w:rPr>
        <w:t xml:space="preserve">  Wakjira Meko was only two months old when TNH visited the village near the mine where his family lives; born with severe birth defects, he died shortly thereafter.</w:t>
      </w:r>
      <w:r w:rsidRPr="003037DB">
        <w:rPr>
          <w:rFonts w:cstheme="minorHAnsi"/>
          <w:sz w:val="24"/>
          <w:szCs w:val="24"/>
          <w:vertAlign w:val="superscript"/>
        </w:rPr>
        <w:footnoteReference w:id="17"/>
      </w:r>
      <w:r w:rsidRPr="003037DB">
        <w:rPr>
          <w:rFonts w:cstheme="minorHAnsi"/>
          <w:sz w:val="24"/>
          <w:szCs w:val="24"/>
        </w:rPr>
        <w:t xml:space="preserve"> </w:t>
      </w:r>
    </w:p>
    <w:p w14:paraId="3CF26D45" w14:textId="77777777" w:rsidR="007346F7" w:rsidRPr="003037DB" w:rsidRDefault="007346F7" w:rsidP="00613AE8">
      <w:pPr>
        <w:spacing w:line="23" w:lineRule="atLeast"/>
        <w:jc w:val="both"/>
        <w:rPr>
          <w:rFonts w:cstheme="minorHAnsi"/>
          <w:sz w:val="24"/>
          <w:szCs w:val="24"/>
        </w:rPr>
      </w:pPr>
      <w:r w:rsidRPr="003037DB">
        <w:rPr>
          <w:rFonts w:cstheme="minorHAnsi"/>
          <w:sz w:val="24"/>
          <w:szCs w:val="24"/>
        </w:rPr>
        <w:t xml:space="preserve"> </w:t>
      </w:r>
    </w:p>
    <w:p w14:paraId="3B56C6C2" w14:textId="5C049205" w:rsidR="007346F7" w:rsidRPr="003037DB" w:rsidRDefault="007346F7" w:rsidP="00613AE8">
      <w:pPr>
        <w:spacing w:line="23" w:lineRule="atLeast"/>
        <w:jc w:val="both"/>
        <w:rPr>
          <w:rFonts w:cstheme="minorHAnsi"/>
          <w:sz w:val="24"/>
          <w:szCs w:val="24"/>
        </w:rPr>
      </w:pPr>
      <w:r w:rsidRPr="003037DB">
        <w:rPr>
          <w:rFonts w:cstheme="minorHAnsi"/>
          <w:sz w:val="24"/>
          <w:szCs w:val="24"/>
        </w:rPr>
        <w:t>These are not isolated examples.  Area residents for years have complained of the very high number of health problems, miscarriages, and children born with disabilities.  “Mothers are having miscarriages every single day,” a health care worker from the Shakiso area reported.</w:t>
      </w:r>
      <w:r w:rsidRPr="003037DB">
        <w:rPr>
          <w:rFonts w:cstheme="minorHAnsi"/>
          <w:sz w:val="24"/>
          <w:szCs w:val="24"/>
          <w:vertAlign w:val="superscript"/>
        </w:rPr>
        <w:footnoteReference w:id="18"/>
      </w:r>
      <w:r w:rsidRPr="003037DB">
        <w:rPr>
          <w:rFonts w:cstheme="minorHAnsi"/>
          <w:sz w:val="24"/>
          <w:szCs w:val="24"/>
        </w:rPr>
        <w:t xml:space="preserve">  “I am not seeing this in other places, only around the mining site.”</w:t>
      </w:r>
      <w:r w:rsidRPr="003037DB">
        <w:rPr>
          <w:rFonts w:cstheme="minorHAnsi"/>
          <w:sz w:val="24"/>
          <w:szCs w:val="24"/>
          <w:vertAlign w:val="superscript"/>
        </w:rPr>
        <w:footnoteReference w:id="19"/>
      </w:r>
    </w:p>
    <w:p w14:paraId="3662A00F" w14:textId="52ED6675" w:rsidR="00DA5879" w:rsidRPr="003037DB" w:rsidRDefault="00DA5879" w:rsidP="00613AE8">
      <w:pPr>
        <w:spacing w:line="23" w:lineRule="atLeast"/>
        <w:jc w:val="both"/>
        <w:rPr>
          <w:rFonts w:cstheme="minorHAnsi"/>
          <w:sz w:val="24"/>
          <w:szCs w:val="24"/>
        </w:rPr>
      </w:pPr>
    </w:p>
    <w:p w14:paraId="66AACDAD" w14:textId="5650E997" w:rsidR="00DA5879" w:rsidRPr="003037DB" w:rsidRDefault="00193875" w:rsidP="00613AE8">
      <w:pPr>
        <w:spacing w:line="23" w:lineRule="atLeast"/>
        <w:jc w:val="both"/>
        <w:rPr>
          <w:rFonts w:cstheme="minorHAnsi"/>
          <w:b/>
          <w:i/>
          <w:sz w:val="24"/>
          <w:szCs w:val="24"/>
        </w:rPr>
      </w:pPr>
      <w:r w:rsidRPr="003037DB">
        <w:rPr>
          <w:rFonts w:cstheme="minorHAnsi"/>
          <w:b/>
          <w:i/>
          <w:sz w:val="24"/>
          <w:szCs w:val="24"/>
        </w:rPr>
        <w:tab/>
      </w:r>
      <w:r w:rsidR="00DA5879" w:rsidRPr="003037DB">
        <w:rPr>
          <w:rFonts w:cstheme="minorHAnsi"/>
          <w:b/>
          <w:i/>
          <w:sz w:val="24"/>
          <w:szCs w:val="24"/>
        </w:rPr>
        <w:t>Information from reports the Government refuses to make public</w:t>
      </w:r>
    </w:p>
    <w:p w14:paraId="41A148D4" w14:textId="77777777" w:rsidR="00DA5879" w:rsidRPr="003037DB" w:rsidRDefault="00DA5879" w:rsidP="00613AE8">
      <w:pPr>
        <w:spacing w:line="23" w:lineRule="atLeast"/>
        <w:jc w:val="both"/>
        <w:rPr>
          <w:rFonts w:cstheme="minorHAnsi"/>
          <w:sz w:val="24"/>
          <w:szCs w:val="24"/>
        </w:rPr>
      </w:pPr>
    </w:p>
    <w:p w14:paraId="6373C4D4" w14:textId="77777777" w:rsidR="00DA5879" w:rsidRPr="003037DB" w:rsidRDefault="00DA5879" w:rsidP="00613AE8">
      <w:pPr>
        <w:spacing w:line="23" w:lineRule="atLeast"/>
        <w:jc w:val="both"/>
        <w:rPr>
          <w:rFonts w:cstheme="minorHAnsi"/>
          <w:sz w:val="24"/>
          <w:szCs w:val="24"/>
        </w:rPr>
      </w:pPr>
      <w:r w:rsidRPr="003037DB">
        <w:rPr>
          <w:rFonts w:cstheme="minorHAnsi"/>
          <w:sz w:val="24"/>
          <w:szCs w:val="24"/>
        </w:rPr>
        <w:t>These testimonies, we believe, have been corroborated by the community health assessment that the Government refuses to make public.  The Ethiopian Public Health Institute, in consultation with Canadian experts provided by the Canadian International Resources and Development Institute (CIRDI), surveyed nearly 3,000 households in the Lega Dembi area.  Using a detailed questionnaire, survey workers interviewed households and recorded the villagers’ responses.  To persuade the community to cooperate, researchers promised that the study results would be shared with the community; with this assurance, nearly all households agreed to participate, sharing a great deal of highly personal information.</w:t>
      </w:r>
    </w:p>
    <w:p w14:paraId="6B52F4B8" w14:textId="77777777" w:rsidR="00DA5879" w:rsidRPr="003037DB" w:rsidRDefault="00DA5879" w:rsidP="00613AE8">
      <w:pPr>
        <w:spacing w:line="23" w:lineRule="atLeast"/>
        <w:jc w:val="both"/>
        <w:rPr>
          <w:rFonts w:cstheme="minorHAnsi"/>
          <w:sz w:val="24"/>
          <w:szCs w:val="24"/>
        </w:rPr>
      </w:pPr>
    </w:p>
    <w:p w14:paraId="688332C6" w14:textId="77777777" w:rsidR="00DA5879" w:rsidRPr="003037DB" w:rsidRDefault="00DA5879" w:rsidP="00613AE8">
      <w:pPr>
        <w:spacing w:line="23" w:lineRule="atLeast"/>
        <w:jc w:val="both"/>
        <w:rPr>
          <w:rFonts w:cstheme="minorHAnsi"/>
          <w:sz w:val="24"/>
          <w:szCs w:val="24"/>
        </w:rPr>
      </w:pPr>
      <w:r w:rsidRPr="003037DB">
        <w:rPr>
          <w:rFonts w:cstheme="minorHAnsi"/>
          <w:sz w:val="24"/>
          <w:szCs w:val="24"/>
        </w:rPr>
        <w:t>According to reporting by The New Humanitarian, the results of this still-secret study are damning.  The communities near the mine were found to have “the highest rate of birth defects measured in Ethiopia.”</w:t>
      </w:r>
      <w:r w:rsidRPr="003037DB">
        <w:rPr>
          <w:rFonts w:cstheme="minorHAnsi"/>
          <w:sz w:val="24"/>
          <w:szCs w:val="24"/>
          <w:vertAlign w:val="superscript"/>
        </w:rPr>
        <w:footnoteReference w:id="20"/>
      </w:r>
      <w:r w:rsidRPr="003037DB">
        <w:rPr>
          <w:rFonts w:cstheme="minorHAnsi"/>
          <w:sz w:val="24"/>
          <w:szCs w:val="24"/>
        </w:rPr>
        <w:t>  Within the Lega Dembi area, the “highest incidence of defects was closest to the mine.”</w:t>
      </w:r>
      <w:r w:rsidRPr="003037DB">
        <w:rPr>
          <w:rFonts w:cstheme="minorHAnsi"/>
          <w:sz w:val="24"/>
          <w:szCs w:val="24"/>
          <w:vertAlign w:val="superscript"/>
        </w:rPr>
        <w:footnoteReference w:id="21"/>
      </w:r>
      <w:r w:rsidRPr="003037DB">
        <w:rPr>
          <w:rFonts w:cstheme="minorHAnsi"/>
          <w:sz w:val="24"/>
          <w:szCs w:val="24"/>
        </w:rPr>
        <w:t xml:space="preserve">  The study “showed that the ages of children born with defects aligned with the years in which Midroc was operating.”</w:t>
      </w:r>
      <w:r w:rsidRPr="003037DB">
        <w:rPr>
          <w:rFonts w:cstheme="minorHAnsi"/>
          <w:sz w:val="24"/>
          <w:szCs w:val="24"/>
          <w:vertAlign w:val="superscript"/>
        </w:rPr>
        <w:footnoteReference w:id="22"/>
      </w:r>
    </w:p>
    <w:p w14:paraId="0C3FC08E" w14:textId="77777777" w:rsidR="00DA5879" w:rsidRPr="003037DB" w:rsidRDefault="00DA5879" w:rsidP="00613AE8">
      <w:pPr>
        <w:spacing w:line="23" w:lineRule="atLeast"/>
        <w:jc w:val="both"/>
        <w:rPr>
          <w:rFonts w:cstheme="minorHAnsi"/>
          <w:sz w:val="24"/>
          <w:szCs w:val="24"/>
        </w:rPr>
      </w:pPr>
    </w:p>
    <w:p w14:paraId="04CACD46" w14:textId="77777777" w:rsidR="00DA5879" w:rsidRPr="003037DB" w:rsidRDefault="00DA5879" w:rsidP="00613AE8">
      <w:pPr>
        <w:spacing w:line="23" w:lineRule="atLeast"/>
        <w:jc w:val="both"/>
        <w:rPr>
          <w:rFonts w:cstheme="minorHAnsi"/>
          <w:sz w:val="24"/>
          <w:szCs w:val="24"/>
        </w:rPr>
      </w:pPr>
      <w:r w:rsidRPr="003037DB">
        <w:rPr>
          <w:rFonts w:cstheme="minorHAnsi"/>
          <w:sz w:val="24"/>
          <w:szCs w:val="24"/>
        </w:rPr>
        <w:t>A March 2018 environmental audit commissioned by the mining company – which has also been withheld from the public</w:t>
      </w:r>
      <w:r w:rsidRPr="003037DB">
        <w:rPr>
          <w:rFonts w:cstheme="minorHAnsi"/>
          <w:sz w:val="24"/>
          <w:szCs w:val="24"/>
          <w:vertAlign w:val="superscript"/>
        </w:rPr>
        <w:footnoteReference w:id="23"/>
      </w:r>
      <w:r w:rsidRPr="003037DB">
        <w:rPr>
          <w:rFonts w:cstheme="minorHAnsi"/>
          <w:sz w:val="24"/>
          <w:szCs w:val="24"/>
        </w:rPr>
        <w:t xml:space="preserve"> – reached similar findings:   </w:t>
      </w:r>
    </w:p>
    <w:p w14:paraId="7331A70E" w14:textId="77777777" w:rsidR="00DA5879" w:rsidRPr="003037DB" w:rsidRDefault="00DA5879" w:rsidP="00613AE8">
      <w:pPr>
        <w:spacing w:line="23" w:lineRule="atLeast"/>
        <w:jc w:val="both"/>
        <w:rPr>
          <w:rFonts w:cstheme="minorHAnsi"/>
          <w:sz w:val="24"/>
          <w:szCs w:val="24"/>
        </w:rPr>
      </w:pPr>
    </w:p>
    <w:p w14:paraId="5FE7842F" w14:textId="056F1F79" w:rsidR="00DA5879" w:rsidRPr="003037DB" w:rsidRDefault="00DA5879" w:rsidP="00613AE8">
      <w:pPr>
        <w:spacing w:line="23" w:lineRule="atLeast"/>
        <w:ind w:left="720" w:right="720"/>
        <w:jc w:val="both"/>
        <w:rPr>
          <w:rFonts w:cstheme="minorHAnsi"/>
          <w:sz w:val="24"/>
          <w:szCs w:val="24"/>
        </w:rPr>
      </w:pPr>
      <w:r w:rsidRPr="003037DB">
        <w:rPr>
          <w:rFonts w:cstheme="minorHAnsi"/>
          <w:sz w:val="24"/>
          <w:szCs w:val="24"/>
        </w:rPr>
        <w:t xml:space="preserve"> “Field visit and informal discussion with the local communities . . . at Legadembi mine areas indicated that there are physical and mental abnormalities on children including impaired neurobehavioral development, deformation of legs and feet, [and] frequent stillbirth.”</w:t>
      </w:r>
      <w:r w:rsidRPr="003037DB">
        <w:rPr>
          <w:rFonts w:cstheme="minorHAnsi"/>
          <w:sz w:val="24"/>
          <w:szCs w:val="24"/>
          <w:vertAlign w:val="superscript"/>
        </w:rPr>
        <w:footnoteReference w:id="24"/>
      </w:r>
    </w:p>
    <w:p w14:paraId="78807788" w14:textId="77777777" w:rsidR="00DA5879" w:rsidRPr="003037DB" w:rsidRDefault="00DA5879" w:rsidP="00613AE8">
      <w:pPr>
        <w:spacing w:line="23" w:lineRule="atLeast"/>
        <w:jc w:val="both"/>
        <w:rPr>
          <w:rFonts w:cstheme="minorHAnsi"/>
          <w:sz w:val="24"/>
          <w:szCs w:val="24"/>
        </w:rPr>
      </w:pPr>
    </w:p>
    <w:p w14:paraId="196AE3D2" w14:textId="71B80332" w:rsidR="00DA5879" w:rsidRPr="003037DB" w:rsidRDefault="00193875" w:rsidP="00613AE8">
      <w:pPr>
        <w:spacing w:line="23" w:lineRule="atLeast"/>
        <w:jc w:val="both"/>
        <w:rPr>
          <w:rFonts w:cstheme="minorHAnsi"/>
          <w:b/>
          <w:sz w:val="24"/>
          <w:szCs w:val="24"/>
        </w:rPr>
      </w:pPr>
      <w:r w:rsidRPr="003037DB">
        <w:rPr>
          <w:rFonts w:cstheme="minorHAnsi"/>
          <w:b/>
          <w:sz w:val="24"/>
          <w:szCs w:val="24"/>
        </w:rPr>
        <w:t>D</w:t>
      </w:r>
      <w:r w:rsidR="00650198" w:rsidRPr="003037DB">
        <w:rPr>
          <w:rFonts w:cstheme="minorHAnsi"/>
          <w:b/>
          <w:sz w:val="24"/>
          <w:szCs w:val="24"/>
        </w:rPr>
        <w:t>.</w:t>
      </w:r>
      <w:r w:rsidR="00650198" w:rsidRPr="003037DB">
        <w:rPr>
          <w:rFonts w:cstheme="minorHAnsi"/>
          <w:b/>
          <w:sz w:val="24"/>
          <w:szCs w:val="24"/>
        </w:rPr>
        <w:tab/>
        <w:t>Denial of the right to effective participation, consultation and consent</w:t>
      </w:r>
    </w:p>
    <w:p w14:paraId="3FC28FC0" w14:textId="659C5CCB" w:rsidR="00DA5879" w:rsidRPr="003037DB" w:rsidRDefault="00DA5879" w:rsidP="00613AE8">
      <w:pPr>
        <w:spacing w:line="23" w:lineRule="atLeast"/>
        <w:jc w:val="both"/>
        <w:rPr>
          <w:rFonts w:cstheme="minorHAnsi"/>
          <w:sz w:val="24"/>
          <w:szCs w:val="24"/>
        </w:rPr>
      </w:pPr>
      <w:r w:rsidRPr="003037DB">
        <w:rPr>
          <w:rFonts w:cstheme="minorHAnsi"/>
          <w:sz w:val="24"/>
          <w:szCs w:val="24"/>
        </w:rPr>
        <w:tab/>
      </w:r>
    </w:p>
    <w:p w14:paraId="0A378D57" w14:textId="72A93DCA" w:rsidR="00A52E3D" w:rsidRPr="003037DB" w:rsidRDefault="00193875" w:rsidP="00613AE8">
      <w:pPr>
        <w:spacing w:line="23" w:lineRule="atLeast"/>
        <w:jc w:val="both"/>
        <w:rPr>
          <w:rFonts w:cstheme="minorHAnsi"/>
          <w:sz w:val="24"/>
          <w:szCs w:val="24"/>
        </w:rPr>
      </w:pPr>
      <w:r w:rsidRPr="003037DB">
        <w:rPr>
          <w:rFonts w:cstheme="minorHAnsi"/>
          <w:sz w:val="24"/>
          <w:szCs w:val="24"/>
        </w:rPr>
        <w:t xml:space="preserve">The Lega Dembi situation illustrates why the right to effective participation, consultation and consent is </w:t>
      </w:r>
      <w:r w:rsidR="00CF5838" w:rsidRPr="003037DB">
        <w:rPr>
          <w:rFonts w:cstheme="minorHAnsi"/>
          <w:sz w:val="24"/>
          <w:szCs w:val="24"/>
        </w:rPr>
        <w:t>so</w:t>
      </w:r>
      <w:r w:rsidRPr="003037DB">
        <w:rPr>
          <w:rFonts w:cstheme="minorHAnsi"/>
          <w:sz w:val="24"/>
          <w:szCs w:val="24"/>
        </w:rPr>
        <w:t xml:space="preserve"> important for indigenous women </w:t>
      </w:r>
      <w:r w:rsidR="00CF5838" w:rsidRPr="003037DB">
        <w:rPr>
          <w:rFonts w:cstheme="minorHAnsi"/>
          <w:sz w:val="24"/>
          <w:szCs w:val="24"/>
        </w:rPr>
        <w:t>and girls</w:t>
      </w:r>
      <w:r w:rsidR="00996798" w:rsidRPr="003037DB">
        <w:rPr>
          <w:rFonts w:cstheme="minorHAnsi"/>
          <w:sz w:val="24"/>
          <w:szCs w:val="24"/>
        </w:rPr>
        <w:t>.</w:t>
      </w:r>
      <w:r w:rsidR="00CF5838" w:rsidRPr="003037DB">
        <w:rPr>
          <w:rFonts w:cstheme="minorHAnsi"/>
          <w:sz w:val="24"/>
          <w:szCs w:val="24"/>
        </w:rPr>
        <w:t xml:space="preserve"> </w:t>
      </w:r>
      <w:r w:rsidR="00A52E3D" w:rsidRPr="003037DB">
        <w:rPr>
          <w:rFonts w:cstheme="minorHAnsi"/>
          <w:sz w:val="24"/>
          <w:szCs w:val="24"/>
        </w:rPr>
        <w:t xml:space="preserve">This mine has wreaked havoc on their lives, their community, and their way of life.  But </w:t>
      </w:r>
      <w:r w:rsidR="00996798" w:rsidRPr="003037DB">
        <w:rPr>
          <w:rFonts w:cstheme="minorHAnsi"/>
          <w:sz w:val="24"/>
          <w:szCs w:val="24"/>
        </w:rPr>
        <w:t>Guji women and girls</w:t>
      </w:r>
      <w:r w:rsidR="00A52E3D" w:rsidRPr="003037DB">
        <w:rPr>
          <w:rFonts w:cstheme="minorHAnsi"/>
          <w:sz w:val="24"/>
          <w:szCs w:val="24"/>
        </w:rPr>
        <w:t xml:space="preserve"> had absolutely no voice in the original decision to license the mine, in the April 2018 decision to renew the mine’s license, or in the </w:t>
      </w:r>
      <w:r w:rsidR="00996798" w:rsidRPr="003037DB">
        <w:rPr>
          <w:rFonts w:cstheme="minorHAnsi"/>
          <w:sz w:val="24"/>
          <w:szCs w:val="24"/>
        </w:rPr>
        <w:t xml:space="preserve">recent </w:t>
      </w:r>
      <w:r w:rsidR="00A52E3D" w:rsidRPr="003037DB">
        <w:rPr>
          <w:rFonts w:cstheme="minorHAnsi"/>
          <w:sz w:val="24"/>
          <w:szCs w:val="24"/>
        </w:rPr>
        <w:t>decision to allow the mine to re</w:t>
      </w:r>
      <w:r w:rsidR="00996798" w:rsidRPr="003037DB">
        <w:rPr>
          <w:rFonts w:cstheme="minorHAnsi"/>
          <w:sz w:val="24"/>
          <w:szCs w:val="24"/>
        </w:rPr>
        <w:t>open</w:t>
      </w:r>
      <w:r w:rsidR="00A52E3D" w:rsidRPr="003037DB">
        <w:rPr>
          <w:rFonts w:cstheme="minorHAnsi"/>
          <w:sz w:val="24"/>
          <w:szCs w:val="24"/>
        </w:rPr>
        <w:t xml:space="preserve">.  They have had no voice in decisions about the regulation or oversight of mining operations.  They have had no voice in the impact assessment process.  They have had no voice in determining necessary remedial measures to prevent the continuing release of toxic contaminants.  And they have had no voice in determining just </w:t>
      </w:r>
      <w:r w:rsidR="00BF242F">
        <w:rPr>
          <w:rFonts w:cstheme="minorHAnsi"/>
          <w:sz w:val="24"/>
          <w:szCs w:val="24"/>
        </w:rPr>
        <w:t xml:space="preserve">reparations and </w:t>
      </w:r>
      <w:r w:rsidR="00A52E3D" w:rsidRPr="003037DB">
        <w:rPr>
          <w:rFonts w:cstheme="minorHAnsi"/>
          <w:sz w:val="24"/>
          <w:szCs w:val="24"/>
        </w:rPr>
        <w:t>compensation for victims of the mine’s toxic contamination.</w:t>
      </w:r>
    </w:p>
    <w:p w14:paraId="11F69CEB" w14:textId="0023506B" w:rsidR="008A6DA9" w:rsidRPr="003037DB" w:rsidRDefault="008A6DA9" w:rsidP="00613AE8">
      <w:pPr>
        <w:spacing w:line="23" w:lineRule="atLeast"/>
        <w:jc w:val="both"/>
        <w:rPr>
          <w:rFonts w:cstheme="minorHAnsi"/>
          <w:sz w:val="24"/>
          <w:szCs w:val="24"/>
        </w:rPr>
      </w:pPr>
    </w:p>
    <w:p w14:paraId="45146443" w14:textId="1114BA14" w:rsidR="00EC6B87" w:rsidRPr="003037DB" w:rsidRDefault="00EC6B87" w:rsidP="00613AE8">
      <w:pPr>
        <w:spacing w:line="23" w:lineRule="atLeast"/>
        <w:jc w:val="both"/>
        <w:rPr>
          <w:rFonts w:cstheme="minorHAnsi"/>
          <w:b/>
          <w:bCs/>
          <w:sz w:val="24"/>
          <w:szCs w:val="24"/>
        </w:rPr>
      </w:pPr>
      <w:r w:rsidRPr="003037DB">
        <w:rPr>
          <w:rFonts w:cstheme="minorHAnsi"/>
          <w:sz w:val="24"/>
          <w:szCs w:val="24"/>
        </w:rPr>
        <w:t>The Lega Dembi experience</w:t>
      </w:r>
      <w:r w:rsidR="008A6DA9" w:rsidRPr="003037DB">
        <w:rPr>
          <w:rFonts w:cstheme="minorHAnsi"/>
          <w:sz w:val="24"/>
          <w:szCs w:val="24"/>
        </w:rPr>
        <w:t xml:space="preserve"> highlights the importance of distinguishing sham consultations from the genuine </w:t>
      </w:r>
      <w:r w:rsidR="00ED5BF3" w:rsidRPr="003037DB">
        <w:rPr>
          <w:rFonts w:cstheme="minorHAnsi"/>
          <w:sz w:val="24"/>
          <w:szCs w:val="24"/>
        </w:rPr>
        <w:t>engagement</w:t>
      </w:r>
      <w:r w:rsidR="00691BB9" w:rsidRPr="003037DB">
        <w:rPr>
          <w:rFonts w:cstheme="minorHAnsi"/>
          <w:sz w:val="24"/>
          <w:szCs w:val="24"/>
        </w:rPr>
        <w:t xml:space="preserve"> required by the right to </w:t>
      </w:r>
      <w:r w:rsidR="00691BB9" w:rsidRPr="003037DB">
        <w:rPr>
          <w:rFonts w:cstheme="minorHAnsi"/>
          <w:i/>
          <w:sz w:val="24"/>
          <w:szCs w:val="24"/>
        </w:rPr>
        <w:t xml:space="preserve">effective </w:t>
      </w:r>
      <w:r w:rsidR="00691BB9" w:rsidRPr="003037DB">
        <w:rPr>
          <w:rFonts w:cstheme="minorHAnsi"/>
          <w:sz w:val="24"/>
          <w:szCs w:val="24"/>
        </w:rPr>
        <w:t xml:space="preserve">participation, consultation </w:t>
      </w:r>
      <w:r w:rsidR="00691BB9" w:rsidRPr="003037DB">
        <w:rPr>
          <w:rFonts w:cstheme="minorHAnsi"/>
          <w:sz w:val="24"/>
          <w:szCs w:val="24"/>
        </w:rPr>
        <w:lastRenderedPageBreak/>
        <w:t>and consent.  The Gov</w:t>
      </w:r>
      <w:r w:rsidRPr="003037DB">
        <w:rPr>
          <w:rFonts w:cstheme="minorHAnsi"/>
          <w:sz w:val="24"/>
          <w:szCs w:val="24"/>
        </w:rPr>
        <w:t xml:space="preserve">ernment claims </w:t>
      </w:r>
      <w:r w:rsidR="00691BB9" w:rsidRPr="003037DB">
        <w:rPr>
          <w:rFonts w:cstheme="minorHAnsi"/>
          <w:sz w:val="24"/>
          <w:szCs w:val="24"/>
        </w:rPr>
        <w:t>it has held</w:t>
      </w:r>
      <w:r w:rsidRPr="003037DB">
        <w:rPr>
          <w:rFonts w:cstheme="minorHAnsi"/>
          <w:sz w:val="24"/>
          <w:szCs w:val="24"/>
        </w:rPr>
        <w:t xml:space="preserve"> “consultations” with the </w:t>
      </w:r>
      <w:r w:rsidR="00691BB9" w:rsidRPr="003037DB">
        <w:rPr>
          <w:rFonts w:cstheme="minorHAnsi"/>
          <w:sz w:val="24"/>
          <w:szCs w:val="24"/>
        </w:rPr>
        <w:t xml:space="preserve">community </w:t>
      </w:r>
      <w:r w:rsidRPr="003037DB">
        <w:rPr>
          <w:rFonts w:cstheme="minorHAnsi"/>
          <w:sz w:val="24"/>
          <w:szCs w:val="24"/>
        </w:rPr>
        <w:t xml:space="preserve">about the decision to reopen the mine, </w:t>
      </w:r>
      <w:r w:rsidR="00691BB9" w:rsidRPr="003037DB">
        <w:rPr>
          <w:rFonts w:cstheme="minorHAnsi"/>
          <w:sz w:val="24"/>
          <w:szCs w:val="24"/>
        </w:rPr>
        <w:t xml:space="preserve">but these were not true consultations within the meaning of free, prior and informed consent. </w:t>
      </w:r>
      <w:r w:rsidR="00ED5BF3" w:rsidRPr="003037DB">
        <w:rPr>
          <w:rFonts w:cstheme="minorHAnsi"/>
          <w:sz w:val="24"/>
          <w:szCs w:val="24"/>
        </w:rPr>
        <w:t xml:space="preserve"> A</w:t>
      </w:r>
      <w:r w:rsidR="00650198" w:rsidRPr="003037DB">
        <w:rPr>
          <w:rFonts w:cstheme="minorHAnsi"/>
          <w:sz w:val="24"/>
          <w:szCs w:val="24"/>
        </w:rPr>
        <w:t xml:space="preserve">fter </w:t>
      </w:r>
      <w:r w:rsidRPr="003037DB">
        <w:rPr>
          <w:rFonts w:cstheme="minorHAnsi"/>
          <w:sz w:val="24"/>
          <w:szCs w:val="24"/>
        </w:rPr>
        <w:t xml:space="preserve">all </w:t>
      </w:r>
      <w:r w:rsidR="00650198" w:rsidRPr="003037DB">
        <w:rPr>
          <w:rFonts w:cstheme="minorHAnsi"/>
          <w:sz w:val="24"/>
          <w:szCs w:val="24"/>
        </w:rPr>
        <w:t xml:space="preserve">the decisions had been made, government officials held closed meetings with selected </w:t>
      </w:r>
      <w:r w:rsidR="00ED5BF3" w:rsidRPr="003037DB">
        <w:rPr>
          <w:rFonts w:cstheme="minorHAnsi"/>
          <w:sz w:val="24"/>
          <w:szCs w:val="24"/>
        </w:rPr>
        <w:t xml:space="preserve">community </w:t>
      </w:r>
      <w:r w:rsidR="00650198" w:rsidRPr="003037DB">
        <w:rPr>
          <w:rFonts w:cstheme="minorHAnsi"/>
          <w:sz w:val="24"/>
          <w:szCs w:val="24"/>
        </w:rPr>
        <w:t>members to announce the reopening of the mine and the remedial me</w:t>
      </w:r>
      <w:r w:rsidRPr="003037DB">
        <w:rPr>
          <w:rFonts w:cstheme="minorHAnsi"/>
          <w:sz w:val="24"/>
          <w:szCs w:val="24"/>
        </w:rPr>
        <w:t xml:space="preserve">asures they say they will take.  </w:t>
      </w:r>
      <w:r w:rsidR="00650198" w:rsidRPr="003037DB">
        <w:rPr>
          <w:rFonts w:cstheme="minorHAnsi"/>
          <w:sz w:val="24"/>
          <w:szCs w:val="24"/>
        </w:rPr>
        <w:t>While these measures, if actually implemented, would be positive ones, the community has had no opportunity for input</w:t>
      </w:r>
      <w:r w:rsidR="007B0901" w:rsidRPr="003037DB">
        <w:rPr>
          <w:rFonts w:cstheme="minorHAnsi"/>
          <w:sz w:val="24"/>
          <w:szCs w:val="24"/>
        </w:rPr>
        <w:t xml:space="preserve"> and no opportunity to give or withhold consent.  The </w:t>
      </w:r>
      <w:r w:rsidR="00ED5BF3" w:rsidRPr="003037DB">
        <w:rPr>
          <w:rFonts w:cstheme="minorHAnsi"/>
          <w:sz w:val="24"/>
          <w:szCs w:val="24"/>
        </w:rPr>
        <w:t xml:space="preserve">Government controlled which community members could attend the meetings, the </w:t>
      </w:r>
      <w:r w:rsidR="00650198" w:rsidRPr="003037DB">
        <w:rPr>
          <w:rFonts w:cstheme="minorHAnsi"/>
          <w:sz w:val="24"/>
          <w:szCs w:val="24"/>
        </w:rPr>
        <w:t xml:space="preserve">measures </w:t>
      </w:r>
      <w:r w:rsidR="007B0901" w:rsidRPr="003037DB">
        <w:rPr>
          <w:rFonts w:cstheme="minorHAnsi"/>
          <w:sz w:val="24"/>
          <w:szCs w:val="24"/>
        </w:rPr>
        <w:t xml:space="preserve">that were announced </w:t>
      </w:r>
      <w:r w:rsidR="00650198" w:rsidRPr="003037DB">
        <w:rPr>
          <w:rFonts w:cstheme="minorHAnsi"/>
          <w:sz w:val="24"/>
          <w:szCs w:val="24"/>
        </w:rPr>
        <w:t xml:space="preserve">are insufficient to remedy the magnitude of the harm, and there is widespread distrust that </w:t>
      </w:r>
      <w:r w:rsidR="00ED5BF3" w:rsidRPr="003037DB">
        <w:rPr>
          <w:rFonts w:cstheme="minorHAnsi"/>
          <w:sz w:val="24"/>
          <w:szCs w:val="24"/>
        </w:rPr>
        <w:t xml:space="preserve">even these measures will actually </w:t>
      </w:r>
      <w:r w:rsidR="00650198" w:rsidRPr="003037DB">
        <w:rPr>
          <w:rFonts w:cstheme="minorHAnsi"/>
          <w:sz w:val="24"/>
          <w:szCs w:val="24"/>
        </w:rPr>
        <w:t>be implemented.</w:t>
      </w:r>
      <w:r w:rsidR="00ED5BF3" w:rsidRPr="003037DB">
        <w:rPr>
          <w:rFonts w:cstheme="minorHAnsi"/>
          <w:sz w:val="24"/>
          <w:szCs w:val="24"/>
        </w:rPr>
        <w:t xml:space="preserve">  </w:t>
      </w:r>
      <w:r w:rsidR="007B0901" w:rsidRPr="003037DB">
        <w:rPr>
          <w:rFonts w:cstheme="minorHAnsi"/>
          <w:sz w:val="24"/>
          <w:szCs w:val="24"/>
        </w:rPr>
        <w:t>These purported “consultations” do not satisfy the State’s obligation to respect the right to effective participation, consul</w:t>
      </w:r>
      <w:r w:rsidR="00FF0664" w:rsidRPr="003037DB">
        <w:rPr>
          <w:rFonts w:cstheme="minorHAnsi"/>
          <w:sz w:val="24"/>
          <w:szCs w:val="24"/>
        </w:rPr>
        <w:t>t</w:t>
      </w:r>
      <w:r w:rsidR="007B0901" w:rsidRPr="003037DB">
        <w:rPr>
          <w:rFonts w:cstheme="minorHAnsi"/>
          <w:sz w:val="24"/>
          <w:szCs w:val="24"/>
        </w:rPr>
        <w:t>ation and consent.</w:t>
      </w:r>
    </w:p>
    <w:p w14:paraId="7A636FE1" w14:textId="77777777" w:rsidR="00EC6B87" w:rsidRPr="003037DB" w:rsidRDefault="00EC6B87" w:rsidP="00613AE8">
      <w:pPr>
        <w:spacing w:line="23" w:lineRule="atLeast"/>
        <w:jc w:val="both"/>
        <w:rPr>
          <w:rFonts w:cstheme="minorHAnsi"/>
          <w:b/>
          <w:bCs/>
          <w:sz w:val="24"/>
          <w:szCs w:val="24"/>
        </w:rPr>
      </w:pPr>
    </w:p>
    <w:p w14:paraId="6F4E2679" w14:textId="6B5EA44E" w:rsidR="00F46103" w:rsidRPr="003037DB" w:rsidRDefault="00BF242F" w:rsidP="005C21C5">
      <w:pPr>
        <w:spacing w:line="23" w:lineRule="atLeast"/>
        <w:ind w:left="720" w:hanging="720"/>
        <w:jc w:val="both"/>
        <w:rPr>
          <w:rFonts w:cstheme="minorHAnsi"/>
          <w:b/>
          <w:bCs/>
          <w:color w:val="000000"/>
          <w:sz w:val="24"/>
          <w:szCs w:val="24"/>
          <w:shd w:val="clear" w:color="auto" w:fill="FFFFFF"/>
        </w:rPr>
      </w:pPr>
      <w:r>
        <w:rPr>
          <w:rFonts w:cstheme="minorHAnsi"/>
          <w:b/>
          <w:bCs/>
          <w:sz w:val="24"/>
          <w:szCs w:val="24"/>
        </w:rPr>
        <w:t>II</w:t>
      </w:r>
      <w:r w:rsidR="00CF5838" w:rsidRPr="003037DB">
        <w:rPr>
          <w:rFonts w:cstheme="minorHAnsi"/>
          <w:b/>
          <w:bCs/>
          <w:sz w:val="24"/>
          <w:szCs w:val="24"/>
        </w:rPr>
        <w:t>.</w:t>
      </w:r>
      <w:r w:rsidR="00CF5838" w:rsidRPr="003037DB">
        <w:rPr>
          <w:rFonts w:cstheme="minorHAnsi"/>
          <w:b/>
          <w:bCs/>
          <w:sz w:val="24"/>
          <w:szCs w:val="24"/>
        </w:rPr>
        <w:tab/>
        <w:t xml:space="preserve">The nature of the right </w:t>
      </w:r>
      <w:r w:rsidR="005C21C5">
        <w:rPr>
          <w:rFonts w:cstheme="minorHAnsi"/>
          <w:b/>
          <w:bCs/>
          <w:sz w:val="24"/>
          <w:szCs w:val="24"/>
        </w:rPr>
        <w:t xml:space="preserve">of indigenous women and girls </w:t>
      </w:r>
      <w:r w:rsidR="00CF5838" w:rsidRPr="003037DB">
        <w:rPr>
          <w:rFonts w:cstheme="minorHAnsi"/>
          <w:b/>
          <w:bCs/>
          <w:sz w:val="24"/>
          <w:szCs w:val="24"/>
        </w:rPr>
        <w:t>to effective par</w:t>
      </w:r>
      <w:r w:rsidR="00F07F3A" w:rsidRPr="003037DB">
        <w:rPr>
          <w:rFonts w:cstheme="minorHAnsi"/>
          <w:b/>
          <w:bCs/>
          <w:color w:val="000000"/>
          <w:sz w:val="24"/>
          <w:szCs w:val="24"/>
          <w:shd w:val="clear" w:color="auto" w:fill="FFFFFF"/>
        </w:rPr>
        <w:t xml:space="preserve">ticipation, consultation and consent </w:t>
      </w:r>
      <w:r w:rsidR="00CF5838" w:rsidRPr="003037DB">
        <w:rPr>
          <w:rFonts w:cstheme="minorHAnsi"/>
          <w:b/>
          <w:bCs/>
          <w:color w:val="000000"/>
          <w:sz w:val="24"/>
          <w:szCs w:val="24"/>
          <w:shd w:val="clear" w:color="auto" w:fill="FFFFFF"/>
        </w:rPr>
        <w:t>in the context of extractive activities</w:t>
      </w:r>
      <w:r w:rsidR="00F2199F" w:rsidRPr="003037DB">
        <w:rPr>
          <w:rFonts w:cstheme="minorHAnsi"/>
          <w:b/>
          <w:bCs/>
          <w:color w:val="000000"/>
          <w:sz w:val="24"/>
          <w:szCs w:val="24"/>
          <w:shd w:val="clear" w:color="auto" w:fill="FFFFFF"/>
        </w:rPr>
        <w:t xml:space="preserve">, in line with the principle of </w:t>
      </w:r>
      <w:r w:rsidR="003037DB">
        <w:rPr>
          <w:rFonts w:cstheme="minorHAnsi"/>
          <w:b/>
          <w:bCs/>
          <w:color w:val="000000"/>
          <w:sz w:val="24"/>
          <w:szCs w:val="24"/>
          <w:shd w:val="clear" w:color="auto" w:fill="FFFFFF"/>
        </w:rPr>
        <w:t xml:space="preserve">free, prior and </w:t>
      </w:r>
      <w:r w:rsidR="00F2199F" w:rsidRPr="003037DB">
        <w:rPr>
          <w:rFonts w:cstheme="minorHAnsi"/>
          <w:b/>
          <w:bCs/>
          <w:color w:val="000000"/>
          <w:sz w:val="24"/>
          <w:szCs w:val="24"/>
          <w:shd w:val="clear" w:color="auto" w:fill="FFFFFF"/>
        </w:rPr>
        <w:t>informed consent</w:t>
      </w:r>
    </w:p>
    <w:p w14:paraId="47A6E3B3" w14:textId="77777777" w:rsidR="00FC1C1B" w:rsidRPr="003037DB" w:rsidRDefault="00FC1C1B" w:rsidP="00613AE8">
      <w:pPr>
        <w:spacing w:line="23" w:lineRule="atLeast"/>
        <w:jc w:val="both"/>
        <w:rPr>
          <w:rFonts w:cstheme="minorHAnsi"/>
          <w:b/>
          <w:bCs/>
          <w:color w:val="000000"/>
          <w:sz w:val="24"/>
          <w:szCs w:val="24"/>
          <w:shd w:val="clear" w:color="auto" w:fill="FFFFFF"/>
        </w:rPr>
      </w:pPr>
    </w:p>
    <w:p w14:paraId="3D9C1333" w14:textId="5F5355F5" w:rsidR="003037DB" w:rsidRPr="003037DB" w:rsidRDefault="00E401C7" w:rsidP="00613AE8">
      <w:pPr>
        <w:spacing w:line="23" w:lineRule="atLeast"/>
        <w:jc w:val="both"/>
        <w:rPr>
          <w:rFonts w:cstheme="minorHAnsi"/>
          <w:sz w:val="24"/>
          <w:szCs w:val="24"/>
        </w:rPr>
      </w:pPr>
      <w:r w:rsidRPr="003037DB">
        <w:rPr>
          <w:rFonts w:cstheme="minorHAnsi"/>
          <w:sz w:val="24"/>
          <w:szCs w:val="24"/>
        </w:rPr>
        <w:t>A core principle of the United Nations Declaration on the Rights of Indigenous Peoples is that indigenous peoples have the right to consultation and participation in decisions about projects that affect</w:t>
      </w:r>
      <w:r w:rsidR="008D3259" w:rsidRPr="003037DB">
        <w:rPr>
          <w:rFonts w:cstheme="minorHAnsi"/>
          <w:sz w:val="24"/>
          <w:szCs w:val="24"/>
        </w:rPr>
        <w:t xml:space="preserve"> them, in accordance with the principle of free, prior and informed consent.</w:t>
      </w:r>
      <w:r w:rsidR="008D3259" w:rsidRPr="003037DB">
        <w:rPr>
          <w:rFonts w:cstheme="minorHAnsi"/>
          <w:sz w:val="24"/>
          <w:szCs w:val="24"/>
          <w:vertAlign w:val="superscript"/>
        </w:rPr>
        <w:footnoteReference w:id="25"/>
      </w:r>
      <w:r w:rsidR="008D3259" w:rsidRPr="003037DB">
        <w:rPr>
          <w:rFonts w:cstheme="minorHAnsi"/>
          <w:sz w:val="24"/>
          <w:szCs w:val="24"/>
        </w:rPr>
        <w:t xml:space="preserve">  </w:t>
      </w:r>
      <w:r w:rsidR="00F2199F" w:rsidRPr="003037DB">
        <w:rPr>
          <w:rFonts w:cstheme="minorHAnsi"/>
          <w:sz w:val="24"/>
          <w:szCs w:val="24"/>
        </w:rPr>
        <w:t>A recent study by the UN Expert Mechanism on the Rights of Indigenous Peoples (EMRIP) provides important guidance on the scope and meaning of the concept of free, prior and informed consent.</w:t>
      </w:r>
      <w:r w:rsidR="00F2199F" w:rsidRPr="003037DB">
        <w:rPr>
          <w:rStyle w:val="FootnoteReference"/>
          <w:rFonts w:cstheme="minorHAnsi"/>
          <w:sz w:val="24"/>
          <w:szCs w:val="24"/>
        </w:rPr>
        <w:footnoteReference w:id="26"/>
      </w:r>
      <w:r w:rsidR="00F2199F" w:rsidRPr="003037DB">
        <w:rPr>
          <w:rFonts w:cstheme="minorHAnsi"/>
          <w:sz w:val="24"/>
          <w:szCs w:val="24"/>
        </w:rPr>
        <w:t xml:space="preserve">  We encourage the CEDAW Committee to incorporate within its own General Recommendation the insights and understandings presented by EMRIP in this important study.  In what follows, we will highlight certain important aspects of EMRIP’s understanding of this righ</w:t>
      </w:r>
      <w:r w:rsidR="00EC4BDD" w:rsidRPr="003037DB">
        <w:rPr>
          <w:rFonts w:cstheme="minorHAnsi"/>
          <w:sz w:val="24"/>
          <w:szCs w:val="24"/>
        </w:rPr>
        <w:t xml:space="preserve">t, which </w:t>
      </w:r>
      <w:r w:rsidR="00F909F7" w:rsidRPr="003037DB">
        <w:rPr>
          <w:rFonts w:cstheme="minorHAnsi"/>
          <w:sz w:val="24"/>
          <w:szCs w:val="24"/>
        </w:rPr>
        <w:t xml:space="preserve">we believe </w:t>
      </w:r>
      <w:r w:rsidR="00EC4BDD" w:rsidRPr="003037DB">
        <w:rPr>
          <w:rFonts w:cstheme="minorHAnsi"/>
          <w:sz w:val="24"/>
          <w:szCs w:val="24"/>
        </w:rPr>
        <w:t xml:space="preserve">align completely with the </w:t>
      </w:r>
      <w:r w:rsidR="00F909F7" w:rsidRPr="003037DB">
        <w:rPr>
          <w:rFonts w:cstheme="minorHAnsi"/>
          <w:sz w:val="24"/>
          <w:szCs w:val="24"/>
        </w:rPr>
        <w:t xml:space="preserve">requirements of the </w:t>
      </w:r>
      <w:r w:rsidR="00EC4BDD" w:rsidRPr="003037DB">
        <w:rPr>
          <w:rFonts w:cstheme="minorHAnsi"/>
          <w:sz w:val="24"/>
          <w:szCs w:val="24"/>
        </w:rPr>
        <w:t xml:space="preserve">right to </w:t>
      </w:r>
      <w:r w:rsidR="00EC4BDD" w:rsidRPr="003037DB">
        <w:rPr>
          <w:rFonts w:cstheme="minorHAnsi"/>
          <w:i/>
          <w:sz w:val="24"/>
          <w:szCs w:val="24"/>
        </w:rPr>
        <w:t xml:space="preserve">effective </w:t>
      </w:r>
      <w:r w:rsidR="00EC4BDD" w:rsidRPr="003037DB">
        <w:rPr>
          <w:rFonts w:cstheme="minorHAnsi"/>
          <w:sz w:val="24"/>
          <w:szCs w:val="24"/>
        </w:rPr>
        <w:t>consultation, participation and consent.</w:t>
      </w:r>
    </w:p>
    <w:p w14:paraId="717B6ABC" w14:textId="75006E85" w:rsidR="00F909F7" w:rsidRPr="003037DB" w:rsidRDefault="00F909F7" w:rsidP="00613AE8">
      <w:pPr>
        <w:spacing w:line="23" w:lineRule="atLeast"/>
        <w:jc w:val="both"/>
        <w:rPr>
          <w:rFonts w:cstheme="minorHAnsi"/>
          <w:sz w:val="24"/>
          <w:szCs w:val="24"/>
        </w:rPr>
      </w:pPr>
    </w:p>
    <w:p w14:paraId="2C9CC98C" w14:textId="1EFFBD71" w:rsidR="00F909F7" w:rsidRPr="003037DB" w:rsidRDefault="00FC1C1B" w:rsidP="00613AE8">
      <w:pPr>
        <w:spacing w:line="23" w:lineRule="atLeast"/>
        <w:jc w:val="both"/>
        <w:rPr>
          <w:rFonts w:cstheme="minorHAnsi"/>
          <w:b/>
          <w:i/>
          <w:sz w:val="24"/>
          <w:szCs w:val="24"/>
        </w:rPr>
      </w:pPr>
      <w:r w:rsidRPr="003037DB">
        <w:rPr>
          <w:rFonts w:cstheme="minorHAnsi"/>
          <w:b/>
          <w:i/>
          <w:sz w:val="24"/>
          <w:szCs w:val="24"/>
        </w:rPr>
        <w:tab/>
      </w:r>
      <w:r w:rsidR="00F909F7" w:rsidRPr="003037DB">
        <w:rPr>
          <w:rFonts w:cstheme="minorHAnsi"/>
          <w:b/>
          <w:i/>
          <w:sz w:val="24"/>
          <w:szCs w:val="24"/>
        </w:rPr>
        <w:t>The elements of free, prior and informed consent</w:t>
      </w:r>
    </w:p>
    <w:p w14:paraId="6540A820" w14:textId="3B42D5B1" w:rsidR="00EC4BDD" w:rsidRPr="003037DB" w:rsidRDefault="00EC4BDD" w:rsidP="00613AE8">
      <w:pPr>
        <w:spacing w:line="23" w:lineRule="atLeast"/>
        <w:jc w:val="both"/>
        <w:rPr>
          <w:rFonts w:cstheme="minorHAnsi"/>
          <w:sz w:val="24"/>
          <w:szCs w:val="24"/>
        </w:rPr>
      </w:pPr>
    </w:p>
    <w:p w14:paraId="0E0CB5D4" w14:textId="6E5B6FFF" w:rsidR="00EC4BDD" w:rsidRPr="003037DB" w:rsidRDefault="00EC4BDD" w:rsidP="00613AE8">
      <w:pPr>
        <w:spacing w:line="23" w:lineRule="atLeast"/>
        <w:jc w:val="both"/>
        <w:rPr>
          <w:rFonts w:cstheme="minorHAnsi"/>
          <w:sz w:val="24"/>
          <w:szCs w:val="24"/>
        </w:rPr>
      </w:pPr>
      <w:r w:rsidRPr="003037DB">
        <w:rPr>
          <w:rFonts w:cstheme="minorHAnsi"/>
          <w:sz w:val="24"/>
          <w:szCs w:val="24"/>
        </w:rPr>
        <w:t xml:space="preserve">To be </w:t>
      </w:r>
      <w:r w:rsidRPr="003037DB">
        <w:rPr>
          <w:rFonts w:cstheme="minorHAnsi"/>
          <w:b/>
          <w:i/>
          <w:sz w:val="24"/>
          <w:szCs w:val="24"/>
        </w:rPr>
        <w:t>free</w:t>
      </w:r>
      <w:r w:rsidRPr="003037DB">
        <w:rPr>
          <w:rFonts w:cstheme="minorHAnsi"/>
          <w:sz w:val="24"/>
          <w:szCs w:val="24"/>
        </w:rPr>
        <w:t>, “[t]he context or climate of the process must be free from intimidation, coercion, manipulation . . . and harassment.”</w:t>
      </w:r>
      <w:r w:rsidRPr="003037DB">
        <w:rPr>
          <w:rFonts w:cstheme="minorHAnsi"/>
          <w:sz w:val="24"/>
          <w:szCs w:val="24"/>
          <w:vertAlign w:val="superscript"/>
        </w:rPr>
        <w:footnoteReference w:id="27"/>
      </w:r>
    </w:p>
    <w:p w14:paraId="3C64DDF3" w14:textId="17DF7EFA" w:rsidR="00EC4BDD" w:rsidRPr="003037DB" w:rsidRDefault="00EC4BDD" w:rsidP="00613AE8">
      <w:pPr>
        <w:spacing w:line="23" w:lineRule="atLeast"/>
        <w:jc w:val="both"/>
        <w:rPr>
          <w:rFonts w:cstheme="minorHAnsi"/>
          <w:sz w:val="24"/>
          <w:szCs w:val="24"/>
        </w:rPr>
      </w:pPr>
    </w:p>
    <w:p w14:paraId="467A95B1" w14:textId="5050E5B7" w:rsidR="00F909F7" w:rsidRPr="003037DB" w:rsidRDefault="00EC4BDD" w:rsidP="00613AE8">
      <w:pPr>
        <w:spacing w:line="23" w:lineRule="atLeast"/>
        <w:jc w:val="both"/>
        <w:rPr>
          <w:rFonts w:cstheme="minorHAnsi"/>
          <w:sz w:val="24"/>
          <w:szCs w:val="24"/>
        </w:rPr>
      </w:pPr>
      <w:r w:rsidRPr="003037DB">
        <w:rPr>
          <w:rFonts w:cstheme="minorHAnsi"/>
          <w:sz w:val="24"/>
          <w:szCs w:val="24"/>
        </w:rPr>
        <w:t>T</w:t>
      </w:r>
      <w:r w:rsidR="008D3259" w:rsidRPr="003037DB">
        <w:rPr>
          <w:rFonts w:cstheme="minorHAnsi"/>
          <w:sz w:val="24"/>
          <w:szCs w:val="24"/>
        </w:rPr>
        <w:t xml:space="preserve">o be </w:t>
      </w:r>
      <w:r w:rsidR="008D3259" w:rsidRPr="003037DB">
        <w:rPr>
          <w:rFonts w:cstheme="minorHAnsi"/>
          <w:b/>
          <w:i/>
          <w:sz w:val="24"/>
          <w:szCs w:val="24"/>
        </w:rPr>
        <w:t>prior</w:t>
      </w:r>
      <w:r w:rsidR="008D3259" w:rsidRPr="003037DB">
        <w:rPr>
          <w:rFonts w:cstheme="minorHAnsi"/>
          <w:sz w:val="24"/>
          <w:szCs w:val="24"/>
        </w:rPr>
        <w:t>, the consultation and participation must take place before decisions are made, so that indigenous people</w:t>
      </w:r>
      <w:r w:rsidR="005C21C5">
        <w:rPr>
          <w:rFonts w:cstheme="minorHAnsi"/>
          <w:sz w:val="24"/>
          <w:szCs w:val="24"/>
        </w:rPr>
        <w:t>s</w:t>
      </w:r>
      <w:r w:rsidR="008D3259" w:rsidRPr="003037DB">
        <w:rPr>
          <w:rFonts w:cstheme="minorHAnsi"/>
          <w:sz w:val="24"/>
          <w:szCs w:val="24"/>
        </w:rPr>
        <w:t xml:space="preserve"> can “influence the outcome of decision-makin</w:t>
      </w:r>
      <w:r w:rsidRPr="003037DB">
        <w:rPr>
          <w:rFonts w:cstheme="minorHAnsi"/>
          <w:sz w:val="24"/>
          <w:szCs w:val="24"/>
        </w:rPr>
        <w:t>g processes affecting them.</w:t>
      </w:r>
      <w:r w:rsidR="008D3259" w:rsidRPr="003037DB">
        <w:rPr>
          <w:rFonts w:cstheme="minorHAnsi"/>
          <w:sz w:val="24"/>
          <w:szCs w:val="24"/>
        </w:rPr>
        <w:t>”</w:t>
      </w:r>
      <w:r w:rsidR="00F909F7" w:rsidRPr="003037DB">
        <w:rPr>
          <w:rStyle w:val="FootnoteReference"/>
          <w:rFonts w:cstheme="minorHAnsi"/>
          <w:sz w:val="24"/>
          <w:szCs w:val="24"/>
        </w:rPr>
        <w:footnoteReference w:id="28"/>
      </w:r>
      <w:r w:rsidR="008D3259" w:rsidRPr="003037DB">
        <w:rPr>
          <w:rFonts w:cstheme="minorHAnsi"/>
          <w:sz w:val="24"/>
          <w:szCs w:val="24"/>
        </w:rPr>
        <w:t xml:space="preserve"> </w:t>
      </w:r>
      <w:r w:rsidR="00F909F7" w:rsidRPr="003037DB">
        <w:rPr>
          <w:rFonts w:cstheme="minorHAnsi"/>
          <w:sz w:val="24"/>
          <w:szCs w:val="24"/>
        </w:rPr>
        <w:t xml:space="preserve"> It is not enough that indigenous women merely “have their views heard;”</w:t>
      </w:r>
      <w:r w:rsidR="00F909F7" w:rsidRPr="003037DB">
        <w:rPr>
          <w:rFonts w:cstheme="minorHAnsi"/>
          <w:sz w:val="24"/>
          <w:szCs w:val="24"/>
          <w:vertAlign w:val="superscript"/>
        </w:rPr>
        <w:footnoteReference w:id="29"/>
      </w:r>
      <w:r w:rsidR="00F909F7" w:rsidRPr="003037DB">
        <w:rPr>
          <w:rFonts w:cstheme="minorHAnsi"/>
          <w:sz w:val="24"/>
          <w:szCs w:val="24"/>
        </w:rPr>
        <w:t xml:space="preserve"> they must have the opportunity “to make a different proposal or suggest a different model, as an alternative to the one proposed by the Government or other actor.”</w:t>
      </w:r>
      <w:r w:rsidR="00F909F7" w:rsidRPr="003037DB">
        <w:rPr>
          <w:rFonts w:cstheme="minorHAnsi"/>
          <w:sz w:val="24"/>
          <w:szCs w:val="24"/>
          <w:vertAlign w:val="superscript"/>
        </w:rPr>
        <w:footnoteReference w:id="30"/>
      </w:r>
      <w:r w:rsidR="00F909F7" w:rsidRPr="003037DB">
        <w:rPr>
          <w:rFonts w:cstheme="minorHAnsi"/>
          <w:sz w:val="24"/>
          <w:szCs w:val="24"/>
        </w:rPr>
        <w:t xml:space="preserve">  It is also not enough </w:t>
      </w:r>
      <w:r w:rsidR="00F909F7" w:rsidRPr="003037DB">
        <w:rPr>
          <w:rFonts w:cstheme="minorHAnsi"/>
          <w:sz w:val="24"/>
          <w:szCs w:val="24"/>
        </w:rPr>
        <w:lastRenderedPageBreak/>
        <w:t>to “provid[e] indigenous peoples with information about decisions already made or in the making, without allowing them genuinely to influence the decision-making process.”</w:t>
      </w:r>
      <w:r w:rsidR="00F909F7" w:rsidRPr="003037DB">
        <w:rPr>
          <w:rFonts w:cstheme="minorHAnsi"/>
          <w:sz w:val="24"/>
          <w:szCs w:val="24"/>
          <w:vertAlign w:val="superscript"/>
        </w:rPr>
        <w:footnoteReference w:id="31"/>
      </w:r>
      <w:r w:rsidR="00F909F7" w:rsidRPr="003037DB">
        <w:rPr>
          <w:rFonts w:cstheme="minorHAnsi"/>
          <w:sz w:val="24"/>
          <w:szCs w:val="24"/>
        </w:rPr>
        <w:t xml:space="preserve">  </w:t>
      </w:r>
    </w:p>
    <w:p w14:paraId="260AB2E9" w14:textId="77777777" w:rsidR="00EC4BDD" w:rsidRPr="003037DB" w:rsidRDefault="00EC4BDD" w:rsidP="00613AE8">
      <w:pPr>
        <w:spacing w:line="23" w:lineRule="atLeast"/>
        <w:jc w:val="both"/>
        <w:rPr>
          <w:rFonts w:cstheme="minorHAnsi"/>
          <w:sz w:val="24"/>
          <w:szCs w:val="24"/>
        </w:rPr>
      </w:pPr>
    </w:p>
    <w:p w14:paraId="68BFB9C2" w14:textId="2D908DB6" w:rsidR="00F909F7" w:rsidRPr="003037DB" w:rsidRDefault="008D3259" w:rsidP="00613AE8">
      <w:pPr>
        <w:spacing w:line="23" w:lineRule="atLeast"/>
        <w:jc w:val="both"/>
        <w:rPr>
          <w:rFonts w:cstheme="minorHAnsi"/>
          <w:sz w:val="24"/>
          <w:szCs w:val="24"/>
        </w:rPr>
      </w:pPr>
      <w:r w:rsidRPr="003037DB">
        <w:rPr>
          <w:rFonts w:cstheme="minorHAnsi"/>
          <w:sz w:val="24"/>
          <w:szCs w:val="24"/>
        </w:rPr>
        <w:t xml:space="preserve">For the consultation and participation to be </w:t>
      </w:r>
      <w:r w:rsidRPr="003037DB">
        <w:rPr>
          <w:rFonts w:cstheme="minorHAnsi"/>
          <w:b/>
          <w:i/>
          <w:sz w:val="24"/>
          <w:szCs w:val="24"/>
        </w:rPr>
        <w:t>informed</w:t>
      </w:r>
      <w:r w:rsidRPr="003037DB">
        <w:rPr>
          <w:rFonts w:cstheme="minorHAnsi"/>
          <w:sz w:val="24"/>
          <w:szCs w:val="24"/>
        </w:rPr>
        <w:t>, indigenous people</w:t>
      </w:r>
      <w:r w:rsidR="005C21C5">
        <w:rPr>
          <w:rFonts w:cstheme="minorHAnsi"/>
          <w:sz w:val="24"/>
          <w:szCs w:val="24"/>
        </w:rPr>
        <w:t>s</w:t>
      </w:r>
      <w:r w:rsidRPr="003037DB">
        <w:rPr>
          <w:rFonts w:cstheme="minorHAnsi"/>
          <w:sz w:val="24"/>
          <w:szCs w:val="24"/>
        </w:rPr>
        <w:t xml:space="preserve"> must have full access to all relevant information, “presented in a manner and form understandable to [them], including translation into a language that they understand.”</w:t>
      </w:r>
      <w:r w:rsidR="009A7EF2" w:rsidRPr="003037DB">
        <w:rPr>
          <w:rStyle w:val="FootnoteReference"/>
          <w:rFonts w:cstheme="minorHAnsi"/>
          <w:sz w:val="24"/>
          <w:szCs w:val="24"/>
        </w:rPr>
        <w:footnoteReference w:id="32"/>
      </w:r>
      <w:r w:rsidRPr="003037DB">
        <w:rPr>
          <w:rFonts w:cstheme="minorHAnsi"/>
          <w:sz w:val="24"/>
          <w:szCs w:val="24"/>
        </w:rPr>
        <w:t xml:space="preserve">  In terms of substance, the information made available should include “social, environmental and cultural impact assessments” and “all the potential harm and impacts that could result from the proposed activity.”</w:t>
      </w:r>
      <w:r w:rsidRPr="003037DB">
        <w:rPr>
          <w:rFonts w:cstheme="minorHAnsi"/>
          <w:sz w:val="24"/>
          <w:szCs w:val="24"/>
          <w:vertAlign w:val="superscript"/>
        </w:rPr>
        <w:footnoteReference w:id="33"/>
      </w:r>
      <w:r w:rsidRPr="003037DB">
        <w:rPr>
          <w:rFonts w:cstheme="minorHAnsi"/>
          <w:sz w:val="24"/>
          <w:szCs w:val="24"/>
        </w:rPr>
        <w:t xml:space="preserve"> </w:t>
      </w:r>
    </w:p>
    <w:p w14:paraId="0C144CC4" w14:textId="77777777" w:rsidR="00F909F7" w:rsidRPr="003037DB" w:rsidRDefault="00F909F7" w:rsidP="00613AE8">
      <w:pPr>
        <w:spacing w:line="23" w:lineRule="atLeast"/>
        <w:jc w:val="both"/>
        <w:rPr>
          <w:rFonts w:cstheme="minorHAnsi"/>
          <w:sz w:val="24"/>
          <w:szCs w:val="24"/>
        </w:rPr>
      </w:pPr>
    </w:p>
    <w:p w14:paraId="05786B5F" w14:textId="68208E6C" w:rsidR="00375117" w:rsidRDefault="00821C0D" w:rsidP="00613AE8">
      <w:pPr>
        <w:spacing w:line="23" w:lineRule="atLeast"/>
        <w:jc w:val="both"/>
        <w:rPr>
          <w:rFonts w:cstheme="minorHAnsi"/>
          <w:sz w:val="24"/>
          <w:szCs w:val="24"/>
        </w:rPr>
      </w:pPr>
      <w:r w:rsidRPr="003037DB">
        <w:rPr>
          <w:rFonts w:cstheme="minorHAnsi"/>
          <w:b/>
          <w:i/>
          <w:iCs/>
          <w:sz w:val="24"/>
          <w:szCs w:val="24"/>
        </w:rPr>
        <w:t>Consent</w:t>
      </w:r>
      <w:r w:rsidRPr="003037DB">
        <w:rPr>
          <w:rFonts w:cstheme="minorHAnsi"/>
          <w:i/>
          <w:iCs/>
          <w:sz w:val="24"/>
          <w:szCs w:val="24"/>
        </w:rPr>
        <w:t xml:space="preserve"> </w:t>
      </w:r>
      <w:r w:rsidR="00F909F7" w:rsidRPr="003037DB">
        <w:rPr>
          <w:rFonts w:cstheme="minorHAnsi"/>
          <w:iCs/>
          <w:sz w:val="24"/>
          <w:szCs w:val="24"/>
        </w:rPr>
        <w:t>“is a key principle that enables indigenous peoples to exercise their right to self-determination,” including in the context of development projects that affect their land and resources.</w:t>
      </w:r>
      <w:r w:rsidR="00EB1C2D" w:rsidRPr="003037DB">
        <w:rPr>
          <w:rStyle w:val="FootnoteReference"/>
          <w:rFonts w:cstheme="minorHAnsi"/>
          <w:sz w:val="24"/>
          <w:szCs w:val="24"/>
        </w:rPr>
        <w:footnoteReference w:id="34"/>
      </w:r>
      <w:r w:rsidR="00F909F7" w:rsidRPr="003037DB">
        <w:rPr>
          <w:rFonts w:cstheme="minorHAnsi"/>
          <w:iCs/>
          <w:sz w:val="24"/>
          <w:szCs w:val="24"/>
        </w:rPr>
        <w:t xml:space="preserve">  </w:t>
      </w:r>
      <w:r w:rsidR="00EB1C2D" w:rsidRPr="003037DB">
        <w:rPr>
          <w:rFonts w:cstheme="minorHAnsi"/>
          <w:iCs/>
          <w:sz w:val="24"/>
          <w:szCs w:val="24"/>
        </w:rPr>
        <w:t>Genuine consent can only be given when it is free, prior and informed.</w:t>
      </w:r>
      <w:r w:rsidR="00EB1C2D" w:rsidRPr="003037DB">
        <w:rPr>
          <w:rStyle w:val="FootnoteReference"/>
          <w:rFonts w:cstheme="minorHAnsi"/>
          <w:iCs/>
          <w:sz w:val="24"/>
          <w:szCs w:val="24"/>
        </w:rPr>
        <w:footnoteReference w:id="35"/>
      </w:r>
      <w:r w:rsidR="00EB1C2D" w:rsidRPr="003037DB">
        <w:rPr>
          <w:rFonts w:cstheme="minorHAnsi"/>
          <w:iCs/>
          <w:sz w:val="24"/>
          <w:szCs w:val="24"/>
        </w:rPr>
        <w:t xml:space="preserve">  </w:t>
      </w:r>
      <w:r w:rsidR="005C21C5">
        <w:rPr>
          <w:rFonts w:cstheme="minorHAnsi"/>
          <w:sz w:val="24"/>
          <w:szCs w:val="24"/>
        </w:rPr>
        <w:t>Where an</w:t>
      </w:r>
      <w:r w:rsidR="002B1ABA" w:rsidRPr="003037DB">
        <w:rPr>
          <w:rFonts w:cstheme="minorHAnsi"/>
          <w:sz w:val="24"/>
          <w:szCs w:val="24"/>
        </w:rPr>
        <w:t xml:space="preserve"> indigenous people conclude that </w:t>
      </w:r>
      <w:r w:rsidR="00EB1C2D" w:rsidRPr="003037DB">
        <w:rPr>
          <w:rFonts w:cstheme="minorHAnsi"/>
          <w:sz w:val="24"/>
          <w:szCs w:val="24"/>
        </w:rPr>
        <w:t xml:space="preserve">a development project </w:t>
      </w:r>
      <w:r w:rsidR="002E5C48" w:rsidRPr="003037DB">
        <w:rPr>
          <w:rFonts w:cstheme="minorHAnsi"/>
          <w:sz w:val="24"/>
          <w:szCs w:val="24"/>
        </w:rPr>
        <w:t xml:space="preserve">would not be beneficial to them or </w:t>
      </w:r>
      <w:r w:rsidR="00BF242F">
        <w:rPr>
          <w:rFonts w:cstheme="minorHAnsi"/>
          <w:sz w:val="24"/>
          <w:szCs w:val="24"/>
        </w:rPr>
        <w:t xml:space="preserve">their </w:t>
      </w:r>
      <w:r w:rsidR="002E5C48" w:rsidRPr="003037DB">
        <w:rPr>
          <w:rFonts w:cstheme="minorHAnsi"/>
          <w:sz w:val="24"/>
          <w:szCs w:val="24"/>
        </w:rPr>
        <w:t xml:space="preserve">future generations, they have the </w:t>
      </w:r>
      <w:r w:rsidR="00EB1C2D" w:rsidRPr="003037DB">
        <w:rPr>
          <w:rFonts w:cstheme="minorHAnsi"/>
          <w:sz w:val="24"/>
          <w:szCs w:val="24"/>
        </w:rPr>
        <w:t>right to withhold their consent</w:t>
      </w:r>
      <w:r w:rsidR="002E5C48" w:rsidRPr="003037DB">
        <w:rPr>
          <w:rStyle w:val="FootnoteReference"/>
          <w:rFonts w:cstheme="minorHAnsi"/>
          <w:sz w:val="24"/>
          <w:szCs w:val="24"/>
        </w:rPr>
        <w:footnoteReference w:id="36"/>
      </w:r>
      <w:r w:rsidR="003949ED" w:rsidRPr="003037DB">
        <w:rPr>
          <w:rFonts w:cstheme="minorHAnsi"/>
          <w:sz w:val="24"/>
          <w:szCs w:val="24"/>
        </w:rPr>
        <w:t xml:space="preserve"> or </w:t>
      </w:r>
      <w:r w:rsidR="00EB1C2D" w:rsidRPr="003037DB">
        <w:rPr>
          <w:rFonts w:cstheme="minorHAnsi"/>
          <w:sz w:val="24"/>
          <w:szCs w:val="24"/>
        </w:rPr>
        <w:t xml:space="preserve">to </w:t>
      </w:r>
      <w:r w:rsidR="00F76B80" w:rsidRPr="003037DB">
        <w:rPr>
          <w:rFonts w:cstheme="minorHAnsi"/>
          <w:sz w:val="24"/>
          <w:szCs w:val="24"/>
        </w:rPr>
        <w:t xml:space="preserve">suggest </w:t>
      </w:r>
      <w:r w:rsidR="00EB1C2D" w:rsidRPr="003037DB">
        <w:rPr>
          <w:rFonts w:cstheme="minorHAnsi"/>
          <w:sz w:val="24"/>
          <w:szCs w:val="24"/>
        </w:rPr>
        <w:t xml:space="preserve">modifications or alternatives to the proposal </w:t>
      </w:r>
      <w:r w:rsidR="00DE064F" w:rsidRPr="003037DB">
        <w:rPr>
          <w:rFonts w:cstheme="minorHAnsi"/>
          <w:sz w:val="24"/>
          <w:szCs w:val="24"/>
        </w:rPr>
        <w:t>as a condition for giving consent.</w:t>
      </w:r>
      <w:r w:rsidR="00D55447" w:rsidRPr="003037DB">
        <w:rPr>
          <w:rStyle w:val="FootnoteReference"/>
          <w:rFonts w:cstheme="minorHAnsi"/>
          <w:sz w:val="24"/>
          <w:szCs w:val="24"/>
        </w:rPr>
        <w:footnoteReference w:id="37"/>
      </w:r>
      <w:r w:rsidR="006F252B" w:rsidRPr="003037DB">
        <w:rPr>
          <w:rFonts w:cstheme="minorHAnsi"/>
          <w:sz w:val="24"/>
          <w:szCs w:val="24"/>
        </w:rPr>
        <w:t xml:space="preserve"> </w:t>
      </w:r>
      <w:r w:rsidR="00EB1C2D" w:rsidRPr="003037DB">
        <w:rPr>
          <w:rFonts w:cstheme="minorHAnsi"/>
          <w:sz w:val="24"/>
          <w:szCs w:val="24"/>
        </w:rPr>
        <w:t>Once obtained, consent can still be withdrawn at any later stage;</w:t>
      </w:r>
      <w:r w:rsidR="007F6616" w:rsidRPr="003037DB">
        <w:rPr>
          <w:rStyle w:val="FootnoteReference"/>
          <w:rFonts w:cstheme="minorHAnsi"/>
          <w:sz w:val="24"/>
          <w:szCs w:val="24"/>
        </w:rPr>
        <w:footnoteReference w:id="38"/>
      </w:r>
      <w:r w:rsidR="006F4367" w:rsidRPr="003037DB">
        <w:rPr>
          <w:rFonts w:cstheme="minorHAnsi"/>
          <w:sz w:val="24"/>
          <w:szCs w:val="24"/>
        </w:rPr>
        <w:t xml:space="preserve"> </w:t>
      </w:r>
      <w:r w:rsidR="00EB1C2D" w:rsidRPr="003037DB">
        <w:rPr>
          <w:rFonts w:cstheme="minorHAnsi"/>
          <w:sz w:val="24"/>
          <w:szCs w:val="24"/>
        </w:rPr>
        <w:t>for example, it can be</w:t>
      </w:r>
      <w:r w:rsidR="006F4367" w:rsidRPr="003037DB">
        <w:rPr>
          <w:rFonts w:cstheme="minorHAnsi"/>
          <w:sz w:val="24"/>
          <w:szCs w:val="24"/>
        </w:rPr>
        <w:t xml:space="preserve"> withdrawn if </w:t>
      </w:r>
      <w:r w:rsidR="00CE751D" w:rsidRPr="003037DB">
        <w:rPr>
          <w:rFonts w:cstheme="minorHAnsi"/>
          <w:sz w:val="24"/>
          <w:szCs w:val="24"/>
        </w:rPr>
        <w:t>“a business breaches its obligations under an agreement, or it becomes apparent that consent was given without the benefit of all available information.”</w:t>
      </w:r>
      <w:r w:rsidR="00D14ABB" w:rsidRPr="003037DB">
        <w:rPr>
          <w:rStyle w:val="FootnoteReference"/>
          <w:rFonts w:cstheme="minorHAnsi"/>
          <w:sz w:val="24"/>
          <w:szCs w:val="24"/>
        </w:rPr>
        <w:footnoteReference w:id="39"/>
      </w:r>
      <w:r w:rsidR="00EB1C2D" w:rsidRPr="003037DB">
        <w:rPr>
          <w:rFonts w:cstheme="minorHAnsi"/>
          <w:sz w:val="24"/>
          <w:szCs w:val="24"/>
        </w:rPr>
        <w:t xml:space="preserve"> The right to give or withhold consent is particularly important regarding extractive activities.  “</w:t>
      </w:r>
      <w:r w:rsidR="00D009F5" w:rsidRPr="003037DB">
        <w:rPr>
          <w:rFonts w:cstheme="minorHAnsi"/>
          <w:sz w:val="24"/>
          <w:szCs w:val="24"/>
        </w:rPr>
        <w:t>[G]iven the well-known risks and impacts of extractive industries on indigenous peoples, . . . the general rule in the case of extractive industries’ projects within the territories of indigenous peoples is that the free, prior and informed consent of indigenous peoples is required.”</w:t>
      </w:r>
      <w:r w:rsidR="00D009F5" w:rsidRPr="003037DB">
        <w:rPr>
          <w:rStyle w:val="FootnoteReference"/>
          <w:rFonts w:cstheme="minorHAnsi"/>
          <w:sz w:val="24"/>
          <w:szCs w:val="24"/>
        </w:rPr>
        <w:footnoteReference w:id="40"/>
      </w:r>
    </w:p>
    <w:p w14:paraId="6D573F7F" w14:textId="77777777" w:rsidR="00375117" w:rsidRDefault="00375117" w:rsidP="00613AE8">
      <w:pPr>
        <w:spacing w:line="23" w:lineRule="atLeast"/>
        <w:jc w:val="both"/>
        <w:rPr>
          <w:rFonts w:cstheme="minorHAnsi"/>
          <w:sz w:val="24"/>
          <w:szCs w:val="24"/>
        </w:rPr>
      </w:pPr>
    </w:p>
    <w:p w14:paraId="55FE587F" w14:textId="267C9560" w:rsidR="00613AE8" w:rsidRDefault="00A30E6D" w:rsidP="00613AE8">
      <w:pPr>
        <w:spacing w:line="23" w:lineRule="atLeast"/>
        <w:jc w:val="both"/>
        <w:rPr>
          <w:rFonts w:cstheme="minorHAnsi"/>
          <w:b/>
          <w:sz w:val="24"/>
          <w:szCs w:val="24"/>
        </w:rPr>
      </w:pPr>
      <w:r w:rsidRPr="003037DB">
        <w:rPr>
          <w:rFonts w:cstheme="minorHAnsi"/>
          <w:sz w:val="24"/>
          <w:szCs w:val="24"/>
        </w:rPr>
        <w:t xml:space="preserve">Though it is </w:t>
      </w:r>
      <w:r w:rsidR="005C21C5">
        <w:rPr>
          <w:rFonts w:cstheme="minorHAnsi"/>
          <w:sz w:val="24"/>
          <w:szCs w:val="24"/>
        </w:rPr>
        <w:t xml:space="preserve">the </w:t>
      </w:r>
      <w:r w:rsidR="0095721D" w:rsidRPr="003037DB">
        <w:rPr>
          <w:rFonts w:cstheme="minorHAnsi"/>
          <w:sz w:val="24"/>
          <w:szCs w:val="24"/>
        </w:rPr>
        <w:t xml:space="preserve">State’s </w:t>
      </w:r>
      <w:r w:rsidRPr="003037DB">
        <w:rPr>
          <w:rFonts w:cstheme="minorHAnsi"/>
          <w:sz w:val="24"/>
          <w:szCs w:val="24"/>
        </w:rPr>
        <w:t xml:space="preserve">duty to ensure compliance with the </w:t>
      </w:r>
      <w:r w:rsidR="00D10095" w:rsidRPr="003037DB">
        <w:rPr>
          <w:rFonts w:cstheme="minorHAnsi"/>
          <w:sz w:val="24"/>
          <w:szCs w:val="24"/>
        </w:rPr>
        <w:t xml:space="preserve">principle </w:t>
      </w:r>
      <w:r w:rsidRPr="003037DB">
        <w:rPr>
          <w:rFonts w:cstheme="minorHAnsi"/>
          <w:sz w:val="24"/>
          <w:szCs w:val="24"/>
        </w:rPr>
        <w:t>of free, prior and informed consent</w:t>
      </w:r>
      <w:r w:rsidR="004F529B" w:rsidRPr="003037DB">
        <w:rPr>
          <w:rFonts w:cstheme="minorHAnsi"/>
          <w:sz w:val="24"/>
          <w:szCs w:val="24"/>
        </w:rPr>
        <w:t>,</w:t>
      </w:r>
      <w:r w:rsidRPr="003037DB">
        <w:rPr>
          <w:rStyle w:val="FootnoteReference"/>
          <w:rFonts w:cstheme="minorHAnsi"/>
          <w:sz w:val="24"/>
          <w:szCs w:val="24"/>
        </w:rPr>
        <w:footnoteReference w:id="41"/>
      </w:r>
      <w:r w:rsidRPr="003037DB">
        <w:rPr>
          <w:rFonts w:cstheme="minorHAnsi"/>
          <w:sz w:val="24"/>
          <w:szCs w:val="24"/>
        </w:rPr>
        <w:t xml:space="preserve"> </w:t>
      </w:r>
      <w:r w:rsidR="0091724D" w:rsidRPr="003037DB">
        <w:rPr>
          <w:rFonts w:cstheme="minorHAnsi"/>
          <w:sz w:val="24"/>
          <w:szCs w:val="24"/>
        </w:rPr>
        <w:t xml:space="preserve">private </w:t>
      </w:r>
      <w:r w:rsidRPr="003037DB">
        <w:rPr>
          <w:rFonts w:cstheme="minorHAnsi"/>
          <w:sz w:val="24"/>
          <w:szCs w:val="24"/>
        </w:rPr>
        <w:t xml:space="preserve">businesses </w:t>
      </w:r>
      <w:r w:rsidR="004F529B" w:rsidRPr="003037DB">
        <w:rPr>
          <w:rFonts w:cstheme="minorHAnsi"/>
          <w:sz w:val="24"/>
          <w:szCs w:val="24"/>
        </w:rPr>
        <w:t>have their own responsibility to refrain from initiating projects when free, prior and informed consent has not yet been given or when it has been withheld.</w:t>
      </w:r>
      <w:r w:rsidR="00DA1230" w:rsidRPr="003037DB">
        <w:rPr>
          <w:rStyle w:val="FootnoteReference"/>
          <w:rFonts w:cstheme="minorHAnsi"/>
          <w:sz w:val="24"/>
          <w:szCs w:val="24"/>
        </w:rPr>
        <w:footnoteReference w:id="42"/>
      </w:r>
    </w:p>
    <w:p w14:paraId="03A521E6" w14:textId="77777777" w:rsidR="00613AE8" w:rsidRDefault="00613AE8" w:rsidP="00613AE8">
      <w:pPr>
        <w:spacing w:line="23" w:lineRule="atLeast"/>
        <w:jc w:val="both"/>
        <w:rPr>
          <w:rFonts w:cstheme="minorHAnsi"/>
          <w:b/>
          <w:sz w:val="24"/>
          <w:szCs w:val="24"/>
        </w:rPr>
      </w:pPr>
    </w:p>
    <w:p w14:paraId="1D772E9F" w14:textId="77777777" w:rsidR="00375117" w:rsidRDefault="00375117" w:rsidP="00613AE8">
      <w:pPr>
        <w:spacing w:line="23" w:lineRule="atLeast"/>
        <w:jc w:val="both"/>
        <w:rPr>
          <w:rFonts w:cstheme="minorHAnsi"/>
          <w:b/>
          <w:sz w:val="24"/>
          <w:szCs w:val="24"/>
        </w:rPr>
      </w:pPr>
    </w:p>
    <w:p w14:paraId="1FFE29B0" w14:textId="77777777" w:rsidR="00375117" w:rsidRDefault="00375117" w:rsidP="00613AE8">
      <w:pPr>
        <w:spacing w:line="23" w:lineRule="atLeast"/>
        <w:jc w:val="both"/>
        <w:rPr>
          <w:rFonts w:cstheme="minorHAnsi"/>
          <w:b/>
          <w:sz w:val="24"/>
          <w:szCs w:val="24"/>
        </w:rPr>
      </w:pPr>
    </w:p>
    <w:p w14:paraId="462EEE94" w14:textId="46C573F4" w:rsidR="00F63F4E" w:rsidRPr="003037DB" w:rsidRDefault="00F63F4E" w:rsidP="00613AE8">
      <w:pPr>
        <w:spacing w:line="23" w:lineRule="atLeast"/>
        <w:jc w:val="both"/>
        <w:rPr>
          <w:rFonts w:cstheme="minorHAnsi"/>
          <w:b/>
          <w:sz w:val="24"/>
          <w:szCs w:val="24"/>
        </w:rPr>
      </w:pPr>
      <w:r w:rsidRPr="003037DB">
        <w:rPr>
          <w:rFonts w:cstheme="minorHAnsi"/>
          <w:b/>
          <w:sz w:val="24"/>
          <w:szCs w:val="24"/>
        </w:rPr>
        <w:lastRenderedPageBreak/>
        <w:t>I</w:t>
      </w:r>
      <w:r w:rsidR="00BF242F">
        <w:rPr>
          <w:rFonts w:cstheme="minorHAnsi"/>
          <w:b/>
          <w:sz w:val="24"/>
          <w:szCs w:val="24"/>
        </w:rPr>
        <w:t>II</w:t>
      </w:r>
      <w:r w:rsidRPr="003037DB">
        <w:rPr>
          <w:rFonts w:cstheme="minorHAnsi"/>
          <w:b/>
          <w:sz w:val="24"/>
          <w:szCs w:val="24"/>
        </w:rPr>
        <w:t>.</w:t>
      </w:r>
      <w:r w:rsidRPr="003037DB">
        <w:rPr>
          <w:rFonts w:cstheme="minorHAnsi"/>
          <w:b/>
          <w:sz w:val="24"/>
          <w:szCs w:val="24"/>
        </w:rPr>
        <w:tab/>
        <w:t>Conclusion</w:t>
      </w:r>
    </w:p>
    <w:p w14:paraId="71AF40E3" w14:textId="76FF5304" w:rsidR="00F63F4E" w:rsidRPr="003037DB" w:rsidRDefault="00F63F4E" w:rsidP="00613AE8">
      <w:pPr>
        <w:spacing w:line="23" w:lineRule="atLeast"/>
        <w:jc w:val="both"/>
        <w:rPr>
          <w:rFonts w:cstheme="minorHAnsi"/>
          <w:b/>
          <w:sz w:val="24"/>
          <w:szCs w:val="24"/>
        </w:rPr>
      </w:pPr>
    </w:p>
    <w:p w14:paraId="570AE72C" w14:textId="667E77DE" w:rsidR="00F63F4E" w:rsidRPr="003037DB" w:rsidRDefault="00F63F4E" w:rsidP="00613AE8">
      <w:pPr>
        <w:spacing w:line="23" w:lineRule="atLeast"/>
        <w:jc w:val="both"/>
        <w:rPr>
          <w:rFonts w:cstheme="minorHAnsi"/>
          <w:sz w:val="24"/>
          <w:szCs w:val="24"/>
        </w:rPr>
      </w:pPr>
      <w:r w:rsidRPr="003037DB">
        <w:rPr>
          <w:rFonts w:cstheme="minorHAnsi"/>
          <w:sz w:val="24"/>
          <w:szCs w:val="24"/>
        </w:rPr>
        <w:t>Extractive activities on indigenous lands can</w:t>
      </w:r>
      <w:r w:rsidR="005C21C5">
        <w:rPr>
          <w:rFonts w:cstheme="minorHAnsi"/>
          <w:sz w:val="24"/>
          <w:szCs w:val="24"/>
        </w:rPr>
        <w:t xml:space="preserve"> endanger the lives, the health</w:t>
      </w:r>
      <w:r w:rsidRPr="003037DB">
        <w:rPr>
          <w:rFonts w:cstheme="minorHAnsi"/>
          <w:sz w:val="24"/>
          <w:szCs w:val="24"/>
        </w:rPr>
        <w:t xml:space="preserve"> and the way of life of indigenous wo</w:t>
      </w:r>
      <w:r w:rsidR="00FC1C1B" w:rsidRPr="003037DB">
        <w:rPr>
          <w:rFonts w:cstheme="minorHAnsi"/>
          <w:sz w:val="24"/>
          <w:szCs w:val="24"/>
        </w:rPr>
        <w:t>men and girls.</w:t>
      </w:r>
      <w:r w:rsidRPr="003037DB">
        <w:rPr>
          <w:rFonts w:cstheme="minorHAnsi"/>
          <w:sz w:val="24"/>
          <w:szCs w:val="24"/>
        </w:rPr>
        <w:t xml:space="preserve">  This danger underscores the importance of </w:t>
      </w:r>
      <w:r w:rsidR="00A1583A" w:rsidRPr="003037DB">
        <w:rPr>
          <w:rFonts w:cstheme="minorHAnsi"/>
          <w:sz w:val="24"/>
          <w:szCs w:val="24"/>
        </w:rPr>
        <w:t xml:space="preserve">the right to </w:t>
      </w:r>
      <w:r w:rsidRPr="003037DB">
        <w:rPr>
          <w:rFonts w:cstheme="minorHAnsi"/>
          <w:i/>
          <w:sz w:val="24"/>
          <w:szCs w:val="24"/>
        </w:rPr>
        <w:t>effective</w:t>
      </w:r>
      <w:r w:rsidRPr="003037DB">
        <w:rPr>
          <w:rFonts w:cstheme="minorHAnsi"/>
          <w:sz w:val="24"/>
          <w:szCs w:val="24"/>
        </w:rPr>
        <w:t xml:space="preserve"> participation, consultation and consent</w:t>
      </w:r>
      <w:r w:rsidR="00A1583A" w:rsidRPr="003037DB">
        <w:rPr>
          <w:rFonts w:cstheme="minorHAnsi"/>
          <w:sz w:val="24"/>
          <w:szCs w:val="24"/>
        </w:rPr>
        <w:t>, in line with the principle of free, prior and informed consent,</w:t>
      </w:r>
      <w:r w:rsidRPr="003037DB">
        <w:rPr>
          <w:rFonts w:cstheme="minorHAnsi"/>
          <w:sz w:val="24"/>
          <w:szCs w:val="24"/>
        </w:rPr>
        <w:t xml:space="preserve"> </w:t>
      </w:r>
      <w:r w:rsidR="00A1583A" w:rsidRPr="003037DB">
        <w:rPr>
          <w:rFonts w:cstheme="minorHAnsi"/>
          <w:sz w:val="24"/>
          <w:szCs w:val="24"/>
        </w:rPr>
        <w:t xml:space="preserve">in the context of extractive projects.  </w:t>
      </w:r>
      <w:r w:rsidRPr="003037DB">
        <w:rPr>
          <w:rFonts w:cstheme="minorHAnsi"/>
          <w:sz w:val="24"/>
          <w:szCs w:val="24"/>
        </w:rPr>
        <w:t xml:space="preserve">States and extractive companies must respect this right </w:t>
      </w:r>
      <w:r w:rsidR="00A1583A" w:rsidRPr="003037DB">
        <w:rPr>
          <w:rFonts w:cstheme="minorHAnsi"/>
          <w:sz w:val="24"/>
          <w:szCs w:val="24"/>
        </w:rPr>
        <w:t>thr</w:t>
      </w:r>
      <w:r w:rsidRPr="003037DB">
        <w:rPr>
          <w:rFonts w:cstheme="minorHAnsi"/>
          <w:sz w:val="24"/>
          <w:szCs w:val="24"/>
        </w:rPr>
        <w:t>oughout the entire lifespan of extractive projects</w:t>
      </w:r>
      <w:r w:rsidR="00A1583A" w:rsidRPr="003037DB">
        <w:rPr>
          <w:rFonts w:cstheme="minorHAnsi"/>
          <w:sz w:val="24"/>
          <w:szCs w:val="24"/>
        </w:rPr>
        <w:t xml:space="preserve">: </w:t>
      </w:r>
      <w:r w:rsidR="00BF242F">
        <w:rPr>
          <w:rFonts w:cstheme="minorHAnsi"/>
          <w:sz w:val="24"/>
          <w:szCs w:val="24"/>
        </w:rPr>
        <w:t xml:space="preserve"> </w:t>
      </w:r>
      <w:r w:rsidR="00A1583A" w:rsidRPr="003037DB">
        <w:rPr>
          <w:rFonts w:cstheme="minorHAnsi"/>
          <w:sz w:val="24"/>
          <w:szCs w:val="24"/>
        </w:rPr>
        <w:t xml:space="preserve">initial project planning; assessments of the environmental, health, socio-economic and human rights impacts; </w:t>
      </w:r>
      <w:r w:rsidRPr="003037DB">
        <w:rPr>
          <w:rFonts w:cstheme="minorHAnsi"/>
          <w:sz w:val="24"/>
          <w:szCs w:val="24"/>
        </w:rPr>
        <w:t>decisions on whether or not to allow projects to proceed, and, if allowed, the conditions under which they must operate; ongoing monitoring and public reporting of mining impacts througho</w:t>
      </w:r>
      <w:r w:rsidR="00A1583A" w:rsidRPr="003037DB">
        <w:rPr>
          <w:rFonts w:cstheme="minorHAnsi"/>
          <w:sz w:val="24"/>
          <w:szCs w:val="24"/>
        </w:rPr>
        <w:t xml:space="preserve">ut the life of the project; </w:t>
      </w:r>
      <w:r w:rsidRPr="003037DB">
        <w:rPr>
          <w:rFonts w:cstheme="minorHAnsi"/>
          <w:sz w:val="24"/>
          <w:szCs w:val="24"/>
        </w:rPr>
        <w:t>the planning and implementation of measures to restore the environment and safeguard the community to the maximum extent possible when the mine ceases operation</w:t>
      </w:r>
      <w:r w:rsidR="00A1583A" w:rsidRPr="003037DB">
        <w:rPr>
          <w:rFonts w:cstheme="minorHAnsi"/>
          <w:sz w:val="24"/>
          <w:szCs w:val="24"/>
        </w:rPr>
        <w:t xml:space="preserve">; and, where community members have been harmed by the mine, the determination of appropriate reparations and compensation.  </w:t>
      </w:r>
    </w:p>
    <w:p w14:paraId="218EF64F" w14:textId="4DA11AEE" w:rsidR="00A1583A" w:rsidRPr="003037DB" w:rsidRDefault="00A1583A" w:rsidP="00613AE8">
      <w:pPr>
        <w:spacing w:line="23" w:lineRule="atLeast"/>
        <w:jc w:val="both"/>
        <w:rPr>
          <w:rFonts w:cstheme="minorHAnsi"/>
          <w:sz w:val="24"/>
          <w:szCs w:val="24"/>
        </w:rPr>
      </w:pPr>
    </w:p>
    <w:p w14:paraId="3892F4BA" w14:textId="6C5BE982" w:rsidR="00A1583A" w:rsidRPr="003037DB" w:rsidRDefault="00A1583A" w:rsidP="00613AE8">
      <w:pPr>
        <w:spacing w:line="23" w:lineRule="atLeast"/>
        <w:jc w:val="both"/>
        <w:rPr>
          <w:rFonts w:cstheme="minorHAnsi"/>
          <w:sz w:val="24"/>
          <w:szCs w:val="24"/>
        </w:rPr>
      </w:pPr>
      <w:r w:rsidRPr="003037DB">
        <w:rPr>
          <w:rFonts w:cstheme="minorHAnsi"/>
          <w:sz w:val="24"/>
          <w:szCs w:val="24"/>
        </w:rPr>
        <w:t>We urge the CEDAW Committee, in its upcoming General Recommendation on the right of indigenous women and girls to effective participation, consultation and consent, to:</w:t>
      </w:r>
    </w:p>
    <w:p w14:paraId="1A0A0B78" w14:textId="5B587EF6" w:rsidR="00A1583A" w:rsidRPr="003037DB" w:rsidRDefault="00A1583A" w:rsidP="00613AE8">
      <w:pPr>
        <w:spacing w:line="23" w:lineRule="atLeast"/>
        <w:jc w:val="both"/>
        <w:rPr>
          <w:rFonts w:cstheme="minorHAnsi"/>
          <w:sz w:val="24"/>
          <w:szCs w:val="24"/>
        </w:rPr>
      </w:pPr>
    </w:p>
    <w:p w14:paraId="6D0B9A80" w14:textId="61A9C243" w:rsidR="00A1583A" w:rsidRDefault="00A1583A" w:rsidP="00613AE8">
      <w:pPr>
        <w:spacing w:line="23" w:lineRule="atLeast"/>
        <w:jc w:val="both"/>
        <w:rPr>
          <w:rFonts w:cstheme="minorHAnsi"/>
          <w:sz w:val="24"/>
          <w:szCs w:val="24"/>
        </w:rPr>
      </w:pPr>
      <w:r w:rsidRPr="003037DB">
        <w:rPr>
          <w:rFonts w:cstheme="minorHAnsi"/>
          <w:sz w:val="24"/>
          <w:szCs w:val="24"/>
        </w:rPr>
        <w:t xml:space="preserve">1.  </w:t>
      </w:r>
      <w:r w:rsidR="003A45D5">
        <w:rPr>
          <w:rFonts w:cstheme="minorHAnsi"/>
          <w:sz w:val="24"/>
          <w:szCs w:val="24"/>
        </w:rPr>
        <w:tab/>
      </w:r>
      <w:r w:rsidRPr="003037DB">
        <w:rPr>
          <w:rFonts w:cstheme="minorHAnsi"/>
          <w:sz w:val="24"/>
          <w:szCs w:val="24"/>
        </w:rPr>
        <w:t xml:space="preserve">Specifically address the importance of this right in the context of </w:t>
      </w:r>
      <w:r w:rsidR="00C53AA1" w:rsidRPr="003037DB">
        <w:rPr>
          <w:rFonts w:cstheme="minorHAnsi"/>
          <w:sz w:val="24"/>
          <w:szCs w:val="24"/>
        </w:rPr>
        <w:t xml:space="preserve">all decisions </w:t>
      </w:r>
      <w:r w:rsidR="003A45D5">
        <w:rPr>
          <w:rFonts w:cstheme="minorHAnsi"/>
          <w:sz w:val="24"/>
          <w:szCs w:val="24"/>
        </w:rPr>
        <w:tab/>
      </w:r>
      <w:r w:rsidR="00C53AA1" w:rsidRPr="003037DB">
        <w:rPr>
          <w:rFonts w:cstheme="minorHAnsi"/>
          <w:sz w:val="24"/>
          <w:szCs w:val="24"/>
        </w:rPr>
        <w:t xml:space="preserve">regarding </w:t>
      </w:r>
      <w:r w:rsidRPr="003037DB">
        <w:rPr>
          <w:rFonts w:cstheme="minorHAnsi"/>
          <w:sz w:val="24"/>
          <w:szCs w:val="24"/>
        </w:rPr>
        <w:t>ex</w:t>
      </w:r>
      <w:r w:rsidR="00C53AA1" w:rsidRPr="003037DB">
        <w:rPr>
          <w:rFonts w:cstheme="minorHAnsi"/>
          <w:sz w:val="24"/>
          <w:szCs w:val="24"/>
        </w:rPr>
        <w:t>tractive activities on indigenous</w:t>
      </w:r>
      <w:r w:rsidRPr="003037DB">
        <w:rPr>
          <w:rFonts w:cstheme="minorHAnsi"/>
          <w:sz w:val="24"/>
          <w:szCs w:val="24"/>
        </w:rPr>
        <w:t xml:space="preserve"> lands;</w:t>
      </w:r>
    </w:p>
    <w:p w14:paraId="488E5EC7" w14:textId="77777777" w:rsidR="003A45D5" w:rsidRPr="003037DB" w:rsidRDefault="003A45D5" w:rsidP="00613AE8">
      <w:pPr>
        <w:spacing w:line="23" w:lineRule="atLeast"/>
        <w:jc w:val="both"/>
        <w:rPr>
          <w:rFonts w:cstheme="minorHAnsi"/>
          <w:sz w:val="24"/>
          <w:szCs w:val="24"/>
        </w:rPr>
      </w:pPr>
    </w:p>
    <w:p w14:paraId="306F38C0" w14:textId="15E7F811" w:rsidR="00A1583A" w:rsidRDefault="00A1583A" w:rsidP="00613AE8">
      <w:pPr>
        <w:spacing w:line="23" w:lineRule="atLeast"/>
        <w:jc w:val="both"/>
        <w:rPr>
          <w:rFonts w:cstheme="minorHAnsi"/>
          <w:sz w:val="24"/>
          <w:szCs w:val="24"/>
        </w:rPr>
      </w:pPr>
      <w:r w:rsidRPr="003037DB">
        <w:rPr>
          <w:rFonts w:cstheme="minorHAnsi"/>
          <w:sz w:val="24"/>
          <w:szCs w:val="24"/>
        </w:rPr>
        <w:t xml:space="preserve">2.  </w:t>
      </w:r>
      <w:r w:rsidR="003A45D5">
        <w:rPr>
          <w:rFonts w:cstheme="minorHAnsi"/>
          <w:sz w:val="24"/>
          <w:szCs w:val="24"/>
        </w:rPr>
        <w:tab/>
      </w:r>
      <w:r w:rsidRPr="003037DB">
        <w:rPr>
          <w:rFonts w:cstheme="minorHAnsi"/>
          <w:sz w:val="24"/>
          <w:szCs w:val="24"/>
        </w:rPr>
        <w:t xml:space="preserve">Affirm that the right implies compliance with the principle of free, prior and informed </w:t>
      </w:r>
      <w:r w:rsidR="003A45D5">
        <w:rPr>
          <w:rFonts w:cstheme="minorHAnsi"/>
          <w:sz w:val="24"/>
          <w:szCs w:val="24"/>
        </w:rPr>
        <w:tab/>
      </w:r>
      <w:r w:rsidRPr="003037DB">
        <w:rPr>
          <w:rFonts w:cstheme="minorHAnsi"/>
          <w:sz w:val="24"/>
          <w:szCs w:val="24"/>
        </w:rPr>
        <w:t>consent;</w:t>
      </w:r>
    </w:p>
    <w:p w14:paraId="7F2470E6" w14:textId="77777777" w:rsidR="003A45D5" w:rsidRPr="003037DB" w:rsidRDefault="003A45D5" w:rsidP="00613AE8">
      <w:pPr>
        <w:spacing w:line="23" w:lineRule="atLeast"/>
        <w:jc w:val="both"/>
        <w:rPr>
          <w:rFonts w:cstheme="minorHAnsi"/>
          <w:sz w:val="24"/>
          <w:szCs w:val="24"/>
        </w:rPr>
      </w:pPr>
    </w:p>
    <w:p w14:paraId="241BE43D" w14:textId="03340387" w:rsidR="00C53AA1" w:rsidRDefault="00A1583A" w:rsidP="00613AE8">
      <w:pPr>
        <w:spacing w:line="23" w:lineRule="atLeast"/>
        <w:jc w:val="both"/>
        <w:rPr>
          <w:rFonts w:cstheme="minorHAnsi"/>
          <w:sz w:val="24"/>
          <w:szCs w:val="24"/>
        </w:rPr>
      </w:pPr>
      <w:r w:rsidRPr="003037DB">
        <w:rPr>
          <w:rFonts w:cstheme="minorHAnsi"/>
          <w:sz w:val="24"/>
          <w:szCs w:val="24"/>
        </w:rPr>
        <w:t xml:space="preserve">3.  </w:t>
      </w:r>
      <w:r w:rsidR="003A45D5">
        <w:rPr>
          <w:rFonts w:cstheme="minorHAnsi"/>
          <w:sz w:val="24"/>
          <w:szCs w:val="24"/>
        </w:rPr>
        <w:tab/>
      </w:r>
      <w:r w:rsidRPr="003037DB">
        <w:rPr>
          <w:rFonts w:cstheme="minorHAnsi"/>
          <w:sz w:val="24"/>
          <w:szCs w:val="24"/>
        </w:rPr>
        <w:t xml:space="preserve">Take note of and incorporate the understanding of free, prior and informed consent </w:t>
      </w:r>
      <w:r w:rsidR="003A45D5">
        <w:rPr>
          <w:rFonts w:cstheme="minorHAnsi"/>
          <w:sz w:val="24"/>
          <w:szCs w:val="24"/>
        </w:rPr>
        <w:tab/>
      </w:r>
      <w:r w:rsidRPr="003037DB">
        <w:rPr>
          <w:rFonts w:cstheme="minorHAnsi"/>
          <w:sz w:val="24"/>
          <w:szCs w:val="24"/>
        </w:rPr>
        <w:t xml:space="preserve">presented in </w:t>
      </w:r>
      <w:r w:rsidR="00C53AA1" w:rsidRPr="003037DB">
        <w:rPr>
          <w:rFonts w:cstheme="minorHAnsi"/>
          <w:sz w:val="24"/>
          <w:szCs w:val="24"/>
        </w:rPr>
        <w:t>the 2018</w:t>
      </w:r>
      <w:r w:rsidRPr="003037DB">
        <w:rPr>
          <w:rFonts w:cstheme="minorHAnsi"/>
          <w:sz w:val="24"/>
          <w:szCs w:val="24"/>
        </w:rPr>
        <w:t xml:space="preserve"> study by the UN Expert Mechanism on the Rights of Indigenous </w:t>
      </w:r>
      <w:r w:rsidR="003A45D5">
        <w:rPr>
          <w:rFonts w:cstheme="minorHAnsi"/>
          <w:sz w:val="24"/>
          <w:szCs w:val="24"/>
        </w:rPr>
        <w:tab/>
      </w:r>
      <w:r w:rsidRPr="003037DB">
        <w:rPr>
          <w:rFonts w:cstheme="minorHAnsi"/>
          <w:sz w:val="24"/>
          <w:szCs w:val="24"/>
        </w:rPr>
        <w:t>P</w:t>
      </w:r>
      <w:r w:rsidR="00C53AA1" w:rsidRPr="003037DB">
        <w:rPr>
          <w:rFonts w:cstheme="minorHAnsi"/>
          <w:sz w:val="24"/>
          <w:szCs w:val="24"/>
        </w:rPr>
        <w:t>eople</w:t>
      </w:r>
      <w:r w:rsidR="005C21C5">
        <w:rPr>
          <w:rFonts w:cstheme="minorHAnsi"/>
          <w:sz w:val="24"/>
          <w:szCs w:val="24"/>
        </w:rPr>
        <w:t>s</w:t>
      </w:r>
      <w:r w:rsidR="00C53AA1" w:rsidRPr="003037DB">
        <w:rPr>
          <w:rFonts w:cstheme="minorHAnsi"/>
          <w:sz w:val="24"/>
          <w:szCs w:val="24"/>
        </w:rPr>
        <w:t>; and</w:t>
      </w:r>
    </w:p>
    <w:p w14:paraId="25CF4F46" w14:textId="77777777" w:rsidR="003A45D5" w:rsidRPr="003037DB" w:rsidRDefault="003A45D5" w:rsidP="00613AE8">
      <w:pPr>
        <w:spacing w:line="23" w:lineRule="atLeast"/>
        <w:jc w:val="both"/>
        <w:rPr>
          <w:rFonts w:cstheme="minorHAnsi"/>
          <w:sz w:val="24"/>
          <w:szCs w:val="24"/>
        </w:rPr>
      </w:pPr>
    </w:p>
    <w:p w14:paraId="58535541" w14:textId="44D6445A" w:rsidR="00F63F4E" w:rsidRPr="003037DB" w:rsidRDefault="00C53AA1" w:rsidP="00613AE8">
      <w:pPr>
        <w:spacing w:line="23" w:lineRule="atLeast"/>
        <w:jc w:val="both"/>
        <w:rPr>
          <w:rFonts w:cstheme="minorHAnsi"/>
          <w:sz w:val="24"/>
          <w:szCs w:val="24"/>
        </w:rPr>
      </w:pPr>
      <w:r w:rsidRPr="003037DB">
        <w:rPr>
          <w:rFonts w:cstheme="minorHAnsi"/>
          <w:sz w:val="24"/>
          <w:szCs w:val="24"/>
        </w:rPr>
        <w:t xml:space="preserve">4.  </w:t>
      </w:r>
      <w:r w:rsidR="003A45D5">
        <w:rPr>
          <w:rFonts w:cstheme="minorHAnsi"/>
          <w:sz w:val="24"/>
          <w:szCs w:val="24"/>
        </w:rPr>
        <w:tab/>
      </w:r>
      <w:r w:rsidRPr="003037DB">
        <w:rPr>
          <w:rFonts w:cstheme="minorHAnsi"/>
          <w:sz w:val="24"/>
          <w:szCs w:val="24"/>
        </w:rPr>
        <w:t>Clarify that, as noted above, States and extractive companies are obliged to respect</w:t>
      </w:r>
      <w:r w:rsidR="00BF242F">
        <w:rPr>
          <w:rFonts w:cstheme="minorHAnsi"/>
          <w:sz w:val="24"/>
          <w:szCs w:val="24"/>
        </w:rPr>
        <w:t xml:space="preserve"> </w:t>
      </w:r>
      <w:r w:rsidR="00BF242F">
        <w:rPr>
          <w:rFonts w:cstheme="minorHAnsi"/>
          <w:sz w:val="24"/>
          <w:szCs w:val="24"/>
        </w:rPr>
        <w:tab/>
        <w:t xml:space="preserve">this right </w:t>
      </w:r>
      <w:r w:rsidRPr="003037DB">
        <w:rPr>
          <w:rFonts w:cstheme="minorHAnsi"/>
          <w:sz w:val="24"/>
          <w:szCs w:val="24"/>
        </w:rPr>
        <w:t>throughout the entire lifespan of extractive projects.</w:t>
      </w:r>
      <w:r w:rsidR="00F63F4E" w:rsidRPr="003037DB">
        <w:rPr>
          <w:rFonts w:cstheme="minorHAnsi"/>
          <w:sz w:val="24"/>
          <w:szCs w:val="24"/>
        </w:rPr>
        <w:t xml:space="preserve">  </w:t>
      </w:r>
    </w:p>
    <w:p w14:paraId="048032B2" w14:textId="77777777" w:rsidR="00F63F4E" w:rsidRPr="003037DB" w:rsidRDefault="00F63F4E" w:rsidP="00613AE8">
      <w:pPr>
        <w:spacing w:line="23" w:lineRule="atLeast"/>
        <w:jc w:val="both"/>
        <w:rPr>
          <w:rFonts w:cstheme="minorHAnsi"/>
          <w:b/>
          <w:sz w:val="24"/>
          <w:szCs w:val="24"/>
        </w:rPr>
      </w:pPr>
      <w:bookmarkStart w:id="0" w:name="_GoBack"/>
      <w:bookmarkEnd w:id="0"/>
    </w:p>
    <w:sectPr w:rsidR="00F63F4E" w:rsidRPr="003037DB" w:rsidSect="00F10ADB">
      <w:footerReference w:type="default" r:id="rId12"/>
      <w:pgSz w:w="11906" w:h="16838" w:code="9"/>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6DCD6" w16cex:dateUtc="2021-06-18T13:50:00Z"/>
  <w16cex:commentExtensible w16cex:durableId="2476D7D5" w16cex:dateUtc="2021-06-18T13: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16C2D0" w16cid:durableId="2476D76A"/>
  <w16cid:commentId w16cid:paraId="6288EE4E" w16cid:durableId="2476DCD6"/>
  <w16cid:commentId w16cid:paraId="2E694627" w16cid:durableId="2476D76B"/>
  <w16cid:commentId w16cid:paraId="4AC21FDE" w16cid:durableId="2476D7D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E2F867" w14:textId="77777777" w:rsidR="006B6B02" w:rsidRDefault="006B6B02" w:rsidP="009C2D25">
      <w:r>
        <w:separator/>
      </w:r>
    </w:p>
  </w:endnote>
  <w:endnote w:type="continuationSeparator" w:id="0">
    <w:p w14:paraId="2071BECF" w14:textId="77777777" w:rsidR="006B6B02" w:rsidRDefault="006B6B02" w:rsidP="009C2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4367528"/>
      <w:docPartObj>
        <w:docPartGallery w:val="Page Numbers (Bottom of Page)"/>
        <w:docPartUnique/>
      </w:docPartObj>
    </w:sdtPr>
    <w:sdtEndPr>
      <w:rPr>
        <w:noProof/>
      </w:rPr>
    </w:sdtEndPr>
    <w:sdtContent>
      <w:p w14:paraId="510616B2" w14:textId="5BC489E5" w:rsidR="008A6DA9" w:rsidRDefault="008A6DA9">
        <w:pPr>
          <w:pStyle w:val="Footer"/>
          <w:jc w:val="center"/>
        </w:pPr>
        <w:r>
          <w:fldChar w:fldCharType="begin"/>
        </w:r>
        <w:r>
          <w:instrText xml:space="preserve"> PAGE   \* MERGEFORMAT </w:instrText>
        </w:r>
        <w:r>
          <w:fldChar w:fldCharType="separate"/>
        </w:r>
        <w:r w:rsidR="005356FB">
          <w:rPr>
            <w:noProof/>
          </w:rPr>
          <w:t>9</w:t>
        </w:r>
        <w:r>
          <w:rPr>
            <w:noProof/>
          </w:rPr>
          <w:fldChar w:fldCharType="end"/>
        </w:r>
      </w:p>
    </w:sdtContent>
  </w:sdt>
  <w:p w14:paraId="570CB5A3" w14:textId="77777777" w:rsidR="008A6DA9" w:rsidRDefault="008A6D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CA8661" w14:textId="77777777" w:rsidR="006B6B02" w:rsidRDefault="006B6B02" w:rsidP="009C2D25">
      <w:r>
        <w:separator/>
      </w:r>
    </w:p>
  </w:footnote>
  <w:footnote w:type="continuationSeparator" w:id="0">
    <w:p w14:paraId="505FFBFB" w14:textId="77777777" w:rsidR="006B6B02" w:rsidRDefault="006B6B02" w:rsidP="009C2D25">
      <w:r>
        <w:continuationSeparator/>
      </w:r>
    </w:p>
  </w:footnote>
  <w:footnote w:id="1">
    <w:p w14:paraId="0C3D4A7D" w14:textId="77777777" w:rsidR="008A6DA9" w:rsidRPr="00E643E9" w:rsidRDefault="008A6DA9" w:rsidP="00613AE8">
      <w:pPr>
        <w:pStyle w:val="FootnoteText"/>
        <w:spacing w:line="23" w:lineRule="atLeast"/>
        <w:jc w:val="both"/>
        <w:rPr>
          <w:rFonts w:cstheme="minorHAnsi"/>
        </w:rPr>
      </w:pPr>
      <w:r w:rsidRPr="00E643E9">
        <w:rPr>
          <w:rStyle w:val="FootnoteReference"/>
          <w:rFonts w:cstheme="minorHAnsi"/>
        </w:rPr>
        <w:footnoteRef/>
      </w:r>
      <w:r w:rsidRPr="00E643E9">
        <w:rPr>
          <w:rFonts w:cstheme="minorHAnsi"/>
        </w:rPr>
        <w:t xml:space="preserve"> </w:t>
      </w:r>
      <w:r w:rsidRPr="00E643E9">
        <w:rPr>
          <w:rFonts w:cstheme="minorHAnsi"/>
          <w:lang w:val="en"/>
        </w:rPr>
        <w:t xml:space="preserve">Development by Unity and Brotherly Action for the Future (DUBAF) is a licensed Ethiopian non-profit/non-governmental organization established with the aim of making a lasting, positive difference in the life and livelihoods of the marginalized communities through supporting self-help initiatives and promoting indigenous values.  </w:t>
      </w:r>
    </w:p>
  </w:footnote>
  <w:footnote w:id="2">
    <w:p w14:paraId="32895C4F" w14:textId="77777777" w:rsidR="008A6DA9" w:rsidRPr="00E643E9" w:rsidRDefault="008A6DA9" w:rsidP="00613AE8">
      <w:pPr>
        <w:pStyle w:val="FootnoteText"/>
        <w:spacing w:line="23" w:lineRule="atLeast"/>
        <w:jc w:val="both"/>
        <w:rPr>
          <w:rFonts w:cstheme="minorHAnsi"/>
        </w:rPr>
      </w:pPr>
      <w:r w:rsidRPr="00E643E9">
        <w:rPr>
          <w:rStyle w:val="FootnoteReference"/>
          <w:rFonts w:cstheme="minorHAnsi"/>
        </w:rPr>
        <w:footnoteRef/>
      </w:r>
      <w:r w:rsidRPr="00E643E9">
        <w:rPr>
          <w:rFonts w:cstheme="minorHAnsi"/>
        </w:rPr>
        <w:t xml:space="preserve"> </w:t>
      </w:r>
      <w:r w:rsidRPr="00E643E9">
        <w:rPr>
          <w:rFonts w:cstheme="minorHAnsi"/>
          <w:lang w:val="en"/>
        </w:rPr>
        <w:t xml:space="preserve">The Center for International Human Rights (CIHR) of Northwestern University’s Pritzker School of Law (Chicago, USA) pursues human rights education and legal and policy-focused human rights advocacy within the United States and worldwide.  </w:t>
      </w:r>
      <w:r w:rsidRPr="00E643E9">
        <w:rPr>
          <w:rFonts w:cstheme="minorHAnsi"/>
        </w:rPr>
        <w:t xml:space="preserve">CIHR conducts legal research, compiles reports, and represents individuals and NGOs in cases and projects addressing violations of human rights.  </w:t>
      </w:r>
      <w:r w:rsidRPr="00E643E9">
        <w:rPr>
          <w:rFonts w:cstheme="minorHAnsi"/>
          <w:lang w:val="en"/>
        </w:rPr>
        <w:t>CIHR is in special consultative status with the United Nations Economic and Social Council (ECOSOC).</w:t>
      </w:r>
    </w:p>
  </w:footnote>
  <w:footnote w:id="3">
    <w:p w14:paraId="70F76C9C" w14:textId="6D2AED77" w:rsidR="008A6DA9" w:rsidRDefault="008A6DA9" w:rsidP="00613AE8">
      <w:pPr>
        <w:pStyle w:val="FootnoteText"/>
        <w:spacing w:line="23" w:lineRule="atLeast"/>
        <w:jc w:val="both"/>
      </w:pPr>
      <w:r w:rsidRPr="00E643E9">
        <w:rPr>
          <w:rStyle w:val="FootnoteReference"/>
          <w:rFonts w:cstheme="minorHAnsi"/>
        </w:rPr>
        <w:footnoteRef/>
      </w:r>
      <w:r w:rsidRPr="00E643E9">
        <w:rPr>
          <w:rFonts w:cstheme="minorHAnsi"/>
        </w:rPr>
        <w:t xml:space="preserve"> Committee on the Elimination of Discrimination against Women, 1665th and 1666th meetings, Concluding observations on the eighth periodic report of Ethiopia, </w:t>
      </w:r>
      <w:r w:rsidR="00364DE7">
        <w:rPr>
          <w:rFonts w:cstheme="minorHAnsi"/>
        </w:rPr>
        <w:t xml:space="preserve">U.N. Doc. </w:t>
      </w:r>
      <w:r w:rsidRPr="00E643E9">
        <w:rPr>
          <w:rFonts w:cstheme="minorHAnsi"/>
        </w:rPr>
        <w:t>CEDAW/C/ETH/8, ¶¶ 45-46 (14 March 2019),</w:t>
      </w:r>
      <w:r>
        <w:t xml:space="preserve"> https://tbinternet.ohchr.org/_layouts/15/treatybodyexternal/Download.aspx?symbolno=CED%20AW%2fC%2fE TH%2fCO%2f8&amp;Lang=en</w:t>
      </w:r>
      <w:r w:rsidR="001A017B">
        <w:t>.</w:t>
      </w:r>
      <w:r>
        <w:t xml:space="preserve"> </w:t>
      </w:r>
    </w:p>
  </w:footnote>
  <w:footnote w:id="4">
    <w:p w14:paraId="7DDFE6FF" w14:textId="0609264A" w:rsidR="008A6DA9" w:rsidRDefault="008A6DA9" w:rsidP="00613AE8">
      <w:pPr>
        <w:pStyle w:val="FootnoteText"/>
        <w:spacing w:line="23" w:lineRule="atLeast"/>
        <w:jc w:val="both"/>
      </w:pPr>
      <w:r>
        <w:rPr>
          <w:rStyle w:val="FootnoteReference"/>
        </w:rPr>
        <w:footnoteRef/>
      </w:r>
      <w:r>
        <w:t xml:space="preserve"> </w:t>
      </w:r>
      <w:r w:rsidRPr="00FB771C">
        <w:rPr>
          <w:i/>
        </w:rPr>
        <w:t>See</w:t>
      </w:r>
      <w:r>
        <w:t xml:space="preserve"> Addis Ababa University Business Enterprise PLC, Compliance audit in chemical management on MIDROC Gold Mine PLC’s Legadembi and Sakaro Mining Operations, at 65, 102, 118-120 (March 2018) (hereinafter March 2018 Audit); DUBAF, GIRDA and CIHR, Ethiopia’s Violations of Civil and Political Rights in connection with the Lega Dembi Gold Mine, at 6-8 (17 Aug. 2020), </w:t>
      </w:r>
      <w:r w:rsidR="00FB771C" w:rsidRPr="00FB771C">
        <w:t>https://tbinternet.ohchr.org/Treaties/CCPR/Shared%20Documents/ETH/INT_CCPR_ICO_ETH_42868_E.pdf</w:t>
      </w:r>
      <w:r w:rsidR="001A017B">
        <w:t>.</w:t>
      </w:r>
    </w:p>
  </w:footnote>
  <w:footnote w:id="5">
    <w:p w14:paraId="7290414F" w14:textId="0B562B4C" w:rsidR="008A6DA9" w:rsidRDefault="008A6DA9" w:rsidP="00613AE8">
      <w:pPr>
        <w:pStyle w:val="FootnoteText"/>
        <w:spacing w:line="23" w:lineRule="atLeast"/>
        <w:jc w:val="both"/>
      </w:pPr>
      <w:r>
        <w:rPr>
          <w:rStyle w:val="FootnoteReference"/>
        </w:rPr>
        <w:footnoteRef/>
      </w:r>
      <w:r>
        <w:t xml:space="preserve"> March 2018 Audit, </w:t>
      </w:r>
      <w:r w:rsidRPr="00FB771C">
        <w:rPr>
          <w:i/>
        </w:rPr>
        <w:t>supra</w:t>
      </w:r>
      <w:r>
        <w:t xml:space="preserve"> note </w:t>
      </w:r>
      <w:r w:rsidR="00BF242F">
        <w:t>4</w:t>
      </w:r>
      <w:r>
        <w:t xml:space="preserve">, at 59, 84, 103, 107, 117, 123; Tom Gardner, </w:t>
      </w:r>
      <w:r w:rsidRPr="00FB771C">
        <w:rPr>
          <w:i/>
        </w:rPr>
        <w:t>Health woes, outrage, and toxins near Ethiopia gold mine</w:t>
      </w:r>
      <w:r>
        <w:t xml:space="preserve">, THE NEW HUMANITARIAN (27 May 2020), https://www.thenewhumanitarian.org/investigation/2020/05/27/Ethiopia-Oromia-Shakiso-gold-mine-healthproblems (hereinafter TNH, </w:t>
      </w:r>
      <w:r w:rsidRPr="00FB771C">
        <w:rPr>
          <w:i/>
        </w:rPr>
        <w:t>Health woes, outrage, and toxins</w:t>
      </w:r>
      <w:r>
        <w:t>).</w:t>
      </w:r>
    </w:p>
  </w:footnote>
  <w:footnote w:id="6">
    <w:p w14:paraId="10AE8611" w14:textId="72CF5EA9" w:rsidR="008A6DA9" w:rsidRDefault="008A6DA9" w:rsidP="00613AE8">
      <w:pPr>
        <w:pStyle w:val="FootnoteText"/>
        <w:spacing w:line="23" w:lineRule="atLeast"/>
        <w:jc w:val="both"/>
      </w:pPr>
      <w:r>
        <w:rPr>
          <w:rStyle w:val="FootnoteReference"/>
        </w:rPr>
        <w:footnoteRef/>
      </w:r>
      <w:r>
        <w:t xml:space="preserve"> TNH, </w:t>
      </w:r>
      <w:r w:rsidR="00FB771C" w:rsidRPr="0070519A">
        <w:rPr>
          <w:i/>
        </w:rPr>
        <w:t>Health woes, outrage, and toxins</w:t>
      </w:r>
      <w:r w:rsidR="00FB771C">
        <w:rPr>
          <w:i/>
        </w:rPr>
        <w:t xml:space="preserve">, </w:t>
      </w:r>
      <w:r w:rsidR="00FB771C" w:rsidRPr="00B74FBE">
        <w:rPr>
          <w:i/>
        </w:rPr>
        <w:t xml:space="preserve">supra </w:t>
      </w:r>
      <w:r w:rsidR="00FB771C" w:rsidRPr="00B74FBE">
        <w:t xml:space="preserve">note </w:t>
      </w:r>
      <w:r w:rsidR="006F0269">
        <w:t>5</w:t>
      </w:r>
      <w:r w:rsidR="00FB771C" w:rsidRPr="00B74FBE">
        <w:t>.</w:t>
      </w:r>
    </w:p>
  </w:footnote>
  <w:footnote w:id="7">
    <w:p w14:paraId="29C812C9" w14:textId="565E3F6D" w:rsidR="008A6DA9" w:rsidRPr="00977337" w:rsidRDefault="008A6DA9" w:rsidP="00613AE8">
      <w:pPr>
        <w:pStyle w:val="FootnoteText"/>
        <w:spacing w:line="23" w:lineRule="atLeast"/>
        <w:jc w:val="both"/>
        <w:rPr>
          <w:rFonts w:ascii="Times New Roman" w:hAnsi="Times New Roman" w:cs="Times New Roman"/>
          <w:i/>
          <w:iCs/>
          <w:color w:val="000000" w:themeColor="text1"/>
        </w:rPr>
      </w:pPr>
      <w:r w:rsidRPr="00406EEC">
        <w:rPr>
          <w:rStyle w:val="FootnoteReference"/>
          <w:rFonts w:ascii="Times New Roman" w:hAnsi="Times New Roman" w:cs="Times New Roman"/>
          <w:color w:val="000000" w:themeColor="text1"/>
        </w:rPr>
        <w:footnoteRef/>
      </w:r>
      <w:r w:rsidR="00F01DE4">
        <w:rPr>
          <w:rFonts w:ascii="Times New Roman" w:hAnsi="Times New Roman" w:cs="Times New Roman"/>
          <w:color w:val="000000" w:themeColor="text1"/>
        </w:rPr>
        <w:t xml:space="preserve"> </w:t>
      </w:r>
      <w:r w:rsidR="00F01DE4" w:rsidRPr="00406EEC">
        <w:rPr>
          <w:rFonts w:ascii="Times New Roman" w:hAnsi="Times New Roman" w:cs="Times New Roman"/>
          <w:color w:val="000000" w:themeColor="text1"/>
        </w:rPr>
        <w:t xml:space="preserve">Centers for Disease </w:t>
      </w:r>
      <w:r w:rsidR="00F01DE4">
        <w:rPr>
          <w:rFonts w:ascii="Times New Roman" w:hAnsi="Times New Roman" w:cs="Times New Roman"/>
          <w:color w:val="000000" w:themeColor="text1"/>
        </w:rPr>
        <w:t>Control and Prevention,</w:t>
      </w:r>
      <w:r w:rsidR="00F01DE4" w:rsidRPr="00406EEC">
        <w:rPr>
          <w:rFonts w:ascii="Times New Roman" w:hAnsi="Times New Roman" w:cs="Times New Roman"/>
          <w:i/>
          <w:iCs/>
          <w:color w:val="000000" w:themeColor="text1"/>
        </w:rPr>
        <w:t xml:space="preserve"> </w:t>
      </w:r>
      <w:r w:rsidRPr="00406EEC">
        <w:rPr>
          <w:rFonts w:ascii="Times New Roman" w:hAnsi="Times New Roman" w:cs="Times New Roman"/>
          <w:i/>
          <w:iCs/>
          <w:color w:val="000000" w:themeColor="text1"/>
        </w:rPr>
        <w:t>Facts About Cyanide</w:t>
      </w:r>
      <w:r>
        <w:rPr>
          <w:rFonts w:ascii="Times New Roman" w:hAnsi="Times New Roman" w:cs="Times New Roman"/>
          <w:color w:val="000000" w:themeColor="text1"/>
        </w:rPr>
        <w:t>, (4 Apr.</w:t>
      </w:r>
      <w:r w:rsidRPr="00406EEC">
        <w:rPr>
          <w:rFonts w:ascii="Times New Roman" w:hAnsi="Times New Roman" w:cs="Times New Roman"/>
          <w:color w:val="000000" w:themeColor="text1"/>
        </w:rPr>
        <w:t xml:space="preserve"> 2018), https://emergency.cdc.gov/agent/cyanide/bas</w:t>
      </w:r>
      <w:r w:rsidRPr="00977337">
        <w:rPr>
          <w:rFonts w:ascii="Times New Roman" w:hAnsi="Times New Roman" w:cs="Times New Roman"/>
          <w:color w:val="000000" w:themeColor="text1"/>
        </w:rPr>
        <w:t xml:space="preserve">ics/facts.asp.; </w:t>
      </w:r>
      <w:r w:rsidR="00FB771C">
        <w:rPr>
          <w:rFonts w:ascii="Times New Roman" w:hAnsi="Times New Roman" w:cs="Times New Roman"/>
          <w:color w:val="000000" w:themeColor="text1"/>
        </w:rPr>
        <w:t>March 2018 Audit</w:t>
      </w:r>
      <w:r w:rsidRPr="00977337">
        <w:rPr>
          <w:rFonts w:ascii="Times New Roman" w:hAnsi="Times New Roman" w:cs="Times New Roman"/>
          <w:color w:val="000000" w:themeColor="text1"/>
        </w:rPr>
        <w:t xml:space="preserve">, </w:t>
      </w:r>
      <w:r w:rsidRPr="00977337">
        <w:rPr>
          <w:rFonts w:ascii="Times New Roman" w:hAnsi="Times New Roman" w:cs="Times New Roman"/>
          <w:i/>
          <w:iCs/>
          <w:color w:val="000000" w:themeColor="text1"/>
        </w:rPr>
        <w:t xml:space="preserve">supra </w:t>
      </w:r>
      <w:r w:rsidRPr="00977337">
        <w:rPr>
          <w:rFonts w:ascii="Times New Roman" w:hAnsi="Times New Roman" w:cs="Times New Roman"/>
          <w:color w:val="000000" w:themeColor="text1"/>
        </w:rPr>
        <w:t xml:space="preserve">note </w:t>
      </w:r>
      <w:r w:rsidR="006F0269">
        <w:rPr>
          <w:rFonts w:ascii="Times New Roman" w:hAnsi="Times New Roman" w:cs="Times New Roman"/>
          <w:color w:val="000000" w:themeColor="text1"/>
        </w:rPr>
        <w:t>4</w:t>
      </w:r>
      <w:r w:rsidRPr="00977337">
        <w:rPr>
          <w:rFonts w:ascii="Times New Roman" w:hAnsi="Times New Roman" w:cs="Times New Roman"/>
          <w:color w:val="000000" w:themeColor="text1"/>
        </w:rPr>
        <w:t xml:space="preserve">, </w:t>
      </w:r>
      <w:r w:rsidR="00252F06">
        <w:rPr>
          <w:rFonts w:ascii="Times New Roman" w:hAnsi="Times New Roman" w:cs="Times New Roman"/>
          <w:color w:val="000000"/>
        </w:rPr>
        <w:t>at</w:t>
      </w:r>
      <w:r w:rsidRPr="00977337">
        <w:rPr>
          <w:rFonts w:ascii="Times New Roman" w:hAnsi="Times New Roman" w:cs="Times New Roman"/>
          <w:color w:val="000000" w:themeColor="text1"/>
        </w:rPr>
        <w:t xml:space="preserve"> 49.</w:t>
      </w:r>
    </w:p>
  </w:footnote>
  <w:footnote w:id="8">
    <w:p w14:paraId="7D825951" w14:textId="2FFCE1F3" w:rsidR="008A6DA9" w:rsidRPr="00867C51" w:rsidRDefault="008A6DA9" w:rsidP="00613AE8">
      <w:pPr>
        <w:pStyle w:val="FootnoteText"/>
        <w:spacing w:line="23" w:lineRule="atLeast"/>
        <w:jc w:val="both"/>
      </w:pPr>
      <w:r>
        <w:rPr>
          <w:rStyle w:val="FootnoteReference"/>
        </w:rPr>
        <w:footnoteRef/>
      </w:r>
      <w:r>
        <w:t xml:space="preserve"> World Health Organization, </w:t>
      </w:r>
      <w:r w:rsidRPr="00FC1C1B">
        <w:rPr>
          <w:i/>
        </w:rPr>
        <w:t>Mercury and health, Key Facts</w:t>
      </w:r>
      <w:r>
        <w:t xml:space="preserve"> (31 Mar. 2017), </w:t>
      </w:r>
      <w:r w:rsidR="00FB771C" w:rsidRPr="00FB771C">
        <w:t>https://www.who.int/news-room/fact-sheets/detail/mercury-and-healthealth (who.int)</w:t>
      </w:r>
      <w:r w:rsidR="00BF242F">
        <w:t>.</w:t>
      </w:r>
    </w:p>
  </w:footnote>
  <w:footnote w:id="9">
    <w:p w14:paraId="1FF48859" w14:textId="7E012879" w:rsidR="008A6DA9" w:rsidRDefault="008A6DA9" w:rsidP="00613AE8">
      <w:pPr>
        <w:pStyle w:val="FootnoteText"/>
        <w:spacing w:line="23" w:lineRule="atLeast"/>
        <w:jc w:val="both"/>
      </w:pPr>
      <w:r>
        <w:rPr>
          <w:rStyle w:val="FootnoteReference"/>
        </w:rPr>
        <w:footnoteRef/>
      </w:r>
      <w:r>
        <w:t xml:space="preserve"> TNH, </w:t>
      </w:r>
      <w:r w:rsidRPr="00FB771C">
        <w:rPr>
          <w:i/>
        </w:rPr>
        <w:t>Health woes, outrage, and toxins</w:t>
      </w:r>
      <w:r>
        <w:t xml:space="preserve">, </w:t>
      </w:r>
      <w:r w:rsidRPr="00FB771C">
        <w:rPr>
          <w:i/>
        </w:rPr>
        <w:t>supra</w:t>
      </w:r>
      <w:r>
        <w:t xml:space="preserve"> note </w:t>
      </w:r>
      <w:r w:rsidR="00BF242F">
        <w:t>5.</w:t>
      </w:r>
    </w:p>
  </w:footnote>
  <w:footnote w:id="10">
    <w:p w14:paraId="325952FC" w14:textId="42430C9F" w:rsidR="008A6DA9" w:rsidRDefault="008A6DA9" w:rsidP="00613AE8">
      <w:pPr>
        <w:pStyle w:val="FootnoteText"/>
        <w:spacing w:line="23" w:lineRule="atLeast"/>
        <w:jc w:val="both"/>
      </w:pPr>
      <w:r>
        <w:rPr>
          <w:rStyle w:val="FootnoteReference"/>
        </w:rPr>
        <w:footnoteRef/>
      </w:r>
      <w:r>
        <w:t xml:space="preserve"> World Health Organization, </w:t>
      </w:r>
      <w:r w:rsidRPr="00FC1C1B">
        <w:rPr>
          <w:i/>
        </w:rPr>
        <w:t>Arsenic, Key Facts</w:t>
      </w:r>
      <w:r>
        <w:t xml:space="preserve"> (15 Feb. 2018), https://www.who.int/news-room/fact-sheets/detail/arsenic.</w:t>
      </w:r>
    </w:p>
  </w:footnote>
  <w:footnote w:id="11">
    <w:p w14:paraId="50003F09" w14:textId="7E4BF21F" w:rsidR="008A6DA9" w:rsidRDefault="008A6DA9" w:rsidP="00613AE8">
      <w:pPr>
        <w:pStyle w:val="FootnoteText"/>
        <w:spacing w:line="23" w:lineRule="atLeast"/>
        <w:jc w:val="both"/>
      </w:pPr>
      <w:r>
        <w:rPr>
          <w:rStyle w:val="FootnoteReference"/>
        </w:rPr>
        <w:footnoteRef/>
      </w:r>
      <w:r>
        <w:t xml:space="preserve"> </w:t>
      </w:r>
      <w:r w:rsidRPr="00FB771C">
        <w:rPr>
          <w:i/>
        </w:rPr>
        <w:t>Id</w:t>
      </w:r>
      <w:r>
        <w:t xml:space="preserve">.; March 2018 Audit, </w:t>
      </w:r>
      <w:r w:rsidRPr="00211572">
        <w:rPr>
          <w:i/>
          <w:iCs/>
        </w:rPr>
        <w:t>supra</w:t>
      </w:r>
      <w:r>
        <w:t xml:space="preserve"> note </w:t>
      </w:r>
      <w:r w:rsidR="006F0269">
        <w:t>4</w:t>
      </w:r>
      <w:r>
        <w:t>, at 4</w:t>
      </w:r>
      <w:r w:rsidR="00FB771C">
        <w:t>.</w:t>
      </w:r>
    </w:p>
  </w:footnote>
  <w:footnote w:id="12">
    <w:p w14:paraId="555E0966" w14:textId="7A4482FA" w:rsidR="008A6DA9" w:rsidRDefault="008A6DA9" w:rsidP="00613AE8">
      <w:pPr>
        <w:pStyle w:val="FootnoteText"/>
        <w:spacing w:line="23" w:lineRule="atLeast"/>
        <w:jc w:val="both"/>
      </w:pPr>
      <w:r>
        <w:rPr>
          <w:rStyle w:val="FootnoteReference"/>
        </w:rPr>
        <w:footnoteRef/>
      </w:r>
      <w:r>
        <w:t xml:space="preserve"> U.S. Department of Health and Human Services, </w:t>
      </w:r>
      <w:r w:rsidRPr="00FC1C1B">
        <w:rPr>
          <w:i/>
        </w:rPr>
        <w:t>Toxicological Profile for Cyanide</w:t>
      </w:r>
      <w:r>
        <w:t>, at 8 (July 2006)</w:t>
      </w:r>
      <w:r w:rsidR="00FC1C1B">
        <w:t xml:space="preserve">, </w:t>
      </w:r>
      <w:r>
        <w:t>https://www.atsdr.cdc.gov/toxprofiles/tp8.pdf.</w:t>
      </w:r>
    </w:p>
  </w:footnote>
  <w:footnote w:id="13">
    <w:p w14:paraId="0B57D669" w14:textId="19D16AA2" w:rsidR="008A6DA9" w:rsidRDefault="008A6DA9" w:rsidP="00613AE8">
      <w:pPr>
        <w:pStyle w:val="FootnoteText"/>
        <w:spacing w:line="23" w:lineRule="atLeast"/>
        <w:jc w:val="both"/>
      </w:pPr>
      <w:r>
        <w:rPr>
          <w:rStyle w:val="FootnoteReference"/>
        </w:rPr>
        <w:footnoteRef/>
      </w:r>
      <w:r>
        <w:t xml:space="preserve"> New Jersey Department of Health and Senior Services, </w:t>
      </w:r>
      <w:r w:rsidRPr="00FC1C1B">
        <w:rPr>
          <w:i/>
        </w:rPr>
        <w:t>Hazardous Substance Fact Sheet</w:t>
      </w:r>
      <w:r>
        <w:t>, at 2 (August 2006) https://nj.gov/health/eoh/rtkweb/documents/fs/1693.pdf.</w:t>
      </w:r>
    </w:p>
  </w:footnote>
  <w:footnote w:id="14">
    <w:p w14:paraId="0798B15B" w14:textId="1A4CF2E6" w:rsidR="008A6DA9" w:rsidRDefault="008A6DA9" w:rsidP="00613AE8">
      <w:pPr>
        <w:pStyle w:val="FootnoteText"/>
        <w:spacing w:line="23" w:lineRule="atLeast"/>
        <w:jc w:val="both"/>
      </w:pPr>
      <w:r>
        <w:rPr>
          <w:rStyle w:val="FootnoteReference"/>
        </w:rPr>
        <w:footnoteRef/>
      </w:r>
      <w:r>
        <w:t xml:space="preserve"> The first four testimonies were given to CIHR in January 2019.</w:t>
      </w:r>
      <w:r w:rsidR="00BF242F">
        <w:t xml:space="preserve"> </w:t>
      </w:r>
      <w:r>
        <w:t xml:space="preserve"> Names have been changed to protect identity. These accounts and the accompanying photo are used with the written consent of the adults and the children’s parents.</w:t>
      </w:r>
    </w:p>
  </w:footnote>
  <w:footnote w:id="15">
    <w:p w14:paraId="0B13E063" w14:textId="42949DB3" w:rsidR="008A6DA9" w:rsidRDefault="008A6DA9" w:rsidP="00613AE8">
      <w:pPr>
        <w:pStyle w:val="footnotedescription"/>
        <w:spacing w:after="0" w:line="23" w:lineRule="atLeast"/>
        <w:jc w:val="both"/>
      </w:pPr>
      <w:r>
        <w:rPr>
          <w:rStyle w:val="footnotemark"/>
        </w:rPr>
        <w:footnoteRef/>
      </w:r>
      <w:r>
        <w:t xml:space="preserve"> TNH, </w:t>
      </w:r>
      <w:r>
        <w:rPr>
          <w:i/>
        </w:rPr>
        <w:t>Health woes, outrage, and toxins</w:t>
      </w:r>
      <w:r>
        <w:t xml:space="preserve">, </w:t>
      </w:r>
      <w:r>
        <w:rPr>
          <w:i/>
        </w:rPr>
        <w:t xml:space="preserve">supra </w:t>
      </w:r>
      <w:r>
        <w:t xml:space="preserve">note </w:t>
      </w:r>
      <w:r w:rsidR="006F0269">
        <w:t>5</w:t>
      </w:r>
      <w:r>
        <w:t xml:space="preserve">.  </w:t>
      </w:r>
    </w:p>
  </w:footnote>
  <w:footnote w:id="16">
    <w:p w14:paraId="1493FCA0" w14:textId="77777777" w:rsidR="008A6DA9" w:rsidRDefault="008A6DA9" w:rsidP="00613AE8">
      <w:pPr>
        <w:pStyle w:val="footnotedescription"/>
        <w:spacing w:after="0" w:line="23" w:lineRule="atLeast"/>
        <w:jc w:val="both"/>
      </w:pPr>
      <w:r>
        <w:rPr>
          <w:rStyle w:val="footnotemark"/>
        </w:rPr>
        <w:footnoteRef/>
      </w:r>
      <w:r>
        <w:t xml:space="preserve"> </w:t>
      </w:r>
      <w:r>
        <w:rPr>
          <w:i/>
        </w:rPr>
        <w:t xml:space="preserve">Id. </w:t>
      </w:r>
    </w:p>
  </w:footnote>
  <w:footnote w:id="17">
    <w:p w14:paraId="0C4F449E" w14:textId="77777777" w:rsidR="008A6DA9" w:rsidRDefault="008A6DA9" w:rsidP="00613AE8">
      <w:pPr>
        <w:pStyle w:val="footnotedescription"/>
        <w:spacing w:after="0" w:line="23" w:lineRule="atLeast"/>
        <w:jc w:val="both"/>
      </w:pPr>
      <w:r>
        <w:rPr>
          <w:rStyle w:val="footnotemark"/>
        </w:rPr>
        <w:footnoteRef/>
      </w:r>
      <w:r>
        <w:t xml:space="preserve"> </w:t>
      </w:r>
      <w:r>
        <w:rPr>
          <w:i/>
        </w:rPr>
        <w:t xml:space="preserve">Id. </w:t>
      </w:r>
    </w:p>
  </w:footnote>
  <w:footnote w:id="18">
    <w:p w14:paraId="5808279B" w14:textId="37A8CD79" w:rsidR="008A6DA9" w:rsidRDefault="008A6DA9" w:rsidP="00613AE8">
      <w:pPr>
        <w:pStyle w:val="footnotedescription"/>
        <w:spacing w:after="0" w:line="23" w:lineRule="atLeast"/>
        <w:jc w:val="both"/>
      </w:pPr>
      <w:r>
        <w:rPr>
          <w:rStyle w:val="footnotemark"/>
        </w:rPr>
        <w:footnoteRef/>
      </w:r>
      <w:r>
        <w:t xml:space="preserve"> Cecilia Jamasmie, </w:t>
      </w:r>
      <w:r>
        <w:rPr>
          <w:i/>
        </w:rPr>
        <w:t>Ethiopians Protest MIDROC Gold Mining License Renewal</w:t>
      </w:r>
      <w:r>
        <w:t>, T</w:t>
      </w:r>
      <w:r>
        <w:rPr>
          <w:sz w:val="16"/>
        </w:rPr>
        <w:t>ESFA</w:t>
      </w:r>
      <w:r>
        <w:t>N</w:t>
      </w:r>
      <w:r>
        <w:rPr>
          <w:sz w:val="16"/>
        </w:rPr>
        <w:t xml:space="preserve">EWS </w:t>
      </w:r>
      <w:r>
        <w:t>(7 May 2018), https://www.tesfanews.net/ethiopians-protest-</w:t>
      </w:r>
      <w:r w:rsidR="00EA3D84">
        <w:t>midroc-mining-license-renewal/.</w:t>
      </w:r>
    </w:p>
  </w:footnote>
  <w:footnote w:id="19">
    <w:p w14:paraId="4BE446B7" w14:textId="77777777" w:rsidR="008A6DA9" w:rsidRDefault="008A6DA9" w:rsidP="00613AE8">
      <w:pPr>
        <w:pStyle w:val="footnotedescription"/>
        <w:spacing w:after="0" w:line="23" w:lineRule="atLeast"/>
        <w:jc w:val="both"/>
      </w:pPr>
      <w:r>
        <w:rPr>
          <w:rStyle w:val="footnotemark"/>
        </w:rPr>
        <w:footnoteRef/>
      </w:r>
      <w:r>
        <w:t xml:space="preserve"> </w:t>
      </w:r>
      <w:r>
        <w:rPr>
          <w:i/>
        </w:rPr>
        <w:t xml:space="preserve">Id. </w:t>
      </w:r>
    </w:p>
  </w:footnote>
  <w:footnote w:id="20">
    <w:p w14:paraId="4FC6E56D" w14:textId="5A72C167" w:rsidR="008A6DA9" w:rsidRPr="00C52C82" w:rsidRDefault="008A6DA9" w:rsidP="00613AE8">
      <w:pPr>
        <w:pStyle w:val="FootnoteText"/>
        <w:spacing w:line="23" w:lineRule="atLeast"/>
        <w:jc w:val="both"/>
        <w:rPr>
          <w:rFonts w:ascii="Times New Roman" w:hAnsi="Times New Roman" w:cs="Times New Roman"/>
        </w:rPr>
      </w:pPr>
      <w:r w:rsidRPr="00C52C82">
        <w:rPr>
          <w:rStyle w:val="FootnoteReference"/>
        </w:rPr>
        <w:footnoteRef/>
      </w:r>
      <w:r w:rsidRPr="00C52C82">
        <w:rPr>
          <w:rFonts w:ascii="Times New Roman" w:hAnsi="Times New Roman" w:cs="Times New Roman"/>
        </w:rPr>
        <w:t xml:space="preserve"> </w:t>
      </w:r>
      <w:r w:rsidRPr="00C52C82">
        <w:rPr>
          <w:rFonts w:ascii="Times New Roman" w:hAnsi="Times New Roman" w:cs="Times New Roman"/>
          <w:bCs/>
        </w:rPr>
        <w:t xml:space="preserve">TNH, </w:t>
      </w:r>
      <w:r w:rsidRPr="00C52C82">
        <w:rPr>
          <w:rFonts w:ascii="Times New Roman" w:hAnsi="Times New Roman" w:cs="Times New Roman"/>
          <w:bCs/>
          <w:i/>
        </w:rPr>
        <w:t>Health woes, outrage, and toxins</w:t>
      </w:r>
      <w:r w:rsidRPr="00C52C82">
        <w:rPr>
          <w:rFonts w:ascii="Times New Roman" w:hAnsi="Times New Roman" w:cs="Times New Roman"/>
        </w:rPr>
        <w:t>,</w:t>
      </w:r>
      <w:r w:rsidRPr="00C52C82">
        <w:rPr>
          <w:rFonts w:ascii="Times New Roman" w:hAnsi="Times New Roman" w:cs="Times New Roman"/>
          <w:bCs/>
        </w:rPr>
        <w:t xml:space="preserve"> </w:t>
      </w:r>
      <w:r w:rsidRPr="00C52C82">
        <w:rPr>
          <w:rFonts w:ascii="Times New Roman" w:hAnsi="Times New Roman" w:cs="Times New Roman"/>
          <w:bCs/>
          <w:i/>
        </w:rPr>
        <w:t xml:space="preserve">supra </w:t>
      </w:r>
      <w:r w:rsidRPr="00C52C82">
        <w:rPr>
          <w:rFonts w:ascii="Times New Roman" w:hAnsi="Times New Roman" w:cs="Times New Roman"/>
          <w:bCs/>
          <w:iCs/>
        </w:rPr>
        <w:t xml:space="preserve">note </w:t>
      </w:r>
      <w:r w:rsidR="006F0269">
        <w:rPr>
          <w:rFonts w:ascii="Times New Roman" w:hAnsi="Times New Roman" w:cs="Times New Roman"/>
          <w:bCs/>
          <w:iCs/>
        </w:rPr>
        <w:t>5</w:t>
      </w:r>
      <w:r w:rsidRPr="00C52C82">
        <w:rPr>
          <w:rFonts w:ascii="Times New Roman" w:hAnsi="Times New Roman" w:cs="Times New Roman"/>
          <w:bCs/>
          <w:iCs/>
        </w:rPr>
        <w:t>.</w:t>
      </w:r>
      <w:r w:rsidRPr="00C52C82">
        <w:rPr>
          <w:rFonts w:ascii="Times New Roman" w:hAnsi="Times New Roman" w:cs="Times New Roman"/>
          <w:bCs/>
        </w:rPr>
        <w:t xml:space="preserve"> </w:t>
      </w:r>
    </w:p>
  </w:footnote>
  <w:footnote w:id="21">
    <w:p w14:paraId="1C5C6516" w14:textId="77777777" w:rsidR="008A6DA9" w:rsidRPr="00C52C82" w:rsidRDefault="008A6DA9" w:rsidP="00613AE8">
      <w:pPr>
        <w:pStyle w:val="FootnoteText"/>
        <w:spacing w:line="23" w:lineRule="atLeast"/>
        <w:jc w:val="both"/>
        <w:rPr>
          <w:rFonts w:ascii="Times New Roman" w:hAnsi="Times New Roman" w:cs="Times New Roman"/>
          <w:i/>
        </w:rPr>
      </w:pPr>
      <w:r w:rsidRPr="00C52C82">
        <w:rPr>
          <w:rStyle w:val="FootnoteReference"/>
        </w:rPr>
        <w:footnoteRef/>
      </w:r>
      <w:r w:rsidRPr="00C52C82">
        <w:rPr>
          <w:rFonts w:ascii="Times New Roman" w:hAnsi="Times New Roman" w:cs="Times New Roman"/>
        </w:rPr>
        <w:t xml:space="preserve"> </w:t>
      </w:r>
      <w:r w:rsidRPr="00C52C82">
        <w:rPr>
          <w:rFonts w:ascii="Times New Roman" w:hAnsi="Times New Roman" w:cs="Times New Roman"/>
          <w:i/>
        </w:rPr>
        <w:t>Id.</w:t>
      </w:r>
    </w:p>
  </w:footnote>
  <w:footnote w:id="22">
    <w:p w14:paraId="1F9EB258" w14:textId="77777777" w:rsidR="008A6DA9" w:rsidRPr="00C52C82" w:rsidRDefault="008A6DA9" w:rsidP="00613AE8">
      <w:pPr>
        <w:pStyle w:val="FootnoteText"/>
        <w:spacing w:line="23" w:lineRule="atLeast"/>
        <w:jc w:val="both"/>
        <w:rPr>
          <w:rFonts w:ascii="Times New Roman" w:hAnsi="Times New Roman" w:cs="Times New Roman"/>
        </w:rPr>
      </w:pPr>
      <w:r w:rsidRPr="00C52C82">
        <w:rPr>
          <w:rStyle w:val="FootnoteReference"/>
        </w:rPr>
        <w:footnoteRef/>
      </w:r>
      <w:r w:rsidRPr="00C52C82">
        <w:rPr>
          <w:rFonts w:ascii="Times New Roman" w:hAnsi="Times New Roman" w:cs="Times New Roman"/>
        </w:rPr>
        <w:t xml:space="preserve"> </w:t>
      </w:r>
      <w:r w:rsidRPr="00C52C82">
        <w:rPr>
          <w:rFonts w:ascii="Times New Roman" w:hAnsi="Times New Roman" w:cs="Times New Roman"/>
          <w:i/>
        </w:rPr>
        <w:t>Id.</w:t>
      </w:r>
    </w:p>
  </w:footnote>
  <w:footnote w:id="23">
    <w:p w14:paraId="262C9A09" w14:textId="77777777" w:rsidR="008A6DA9" w:rsidRPr="00C52C82" w:rsidRDefault="008A6DA9" w:rsidP="00613AE8">
      <w:pPr>
        <w:pStyle w:val="FootnoteText"/>
        <w:spacing w:line="23" w:lineRule="atLeast"/>
        <w:jc w:val="both"/>
        <w:rPr>
          <w:rFonts w:ascii="Times New Roman" w:hAnsi="Times New Roman" w:cs="Times New Roman"/>
        </w:rPr>
      </w:pPr>
      <w:r w:rsidRPr="00C52C82">
        <w:rPr>
          <w:rStyle w:val="FootnoteReference"/>
        </w:rPr>
        <w:footnoteRef/>
      </w:r>
      <w:r w:rsidRPr="00C52C82">
        <w:rPr>
          <w:rFonts w:ascii="Times New Roman" w:hAnsi="Times New Roman" w:cs="Times New Roman"/>
        </w:rPr>
        <w:t xml:space="preserve"> Although CIHR has acquired a copy of this report, it is believed that unless the Government makes the report public, it would </w:t>
      </w:r>
      <w:r>
        <w:rPr>
          <w:rFonts w:ascii="Times New Roman" w:hAnsi="Times New Roman" w:cs="Times New Roman"/>
        </w:rPr>
        <w:t xml:space="preserve">endanger </w:t>
      </w:r>
      <w:r w:rsidRPr="00C52C82">
        <w:rPr>
          <w:rFonts w:ascii="Times New Roman" w:hAnsi="Times New Roman" w:cs="Times New Roman"/>
        </w:rPr>
        <w:t xml:space="preserve">local people to distribute </w:t>
      </w:r>
      <w:r>
        <w:rPr>
          <w:rFonts w:ascii="Times New Roman" w:hAnsi="Times New Roman" w:cs="Times New Roman"/>
        </w:rPr>
        <w:t xml:space="preserve">it </w:t>
      </w:r>
      <w:r w:rsidRPr="00C52C82">
        <w:rPr>
          <w:rFonts w:ascii="Times New Roman" w:hAnsi="Times New Roman" w:cs="Times New Roman"/>
        </w:rPr>
        <w:t xml:space="preserve">or openly discuss </w:t>
      </w:r>
      <w:r>
        <w:rPr>
          <w:rFonts w:ascii="Times New Roman" w:hAnsi="Times New Roman" w:cs="Times New Roman"/>
        </w:rPr>
        <w:t xml:space="preserve">it </w:t>
      </w:r>
      <w:r w:rsidRPr="00C52C82">
        <w:rPr>
          <w:rFonts w:ascii="Times New Roman" w:hAnsi="Times New Roman" w:cs="Times New Roman"/>
        </w:rPr>
        <w:t>with them</w:t>
      </w:r>
      <w:r>
        <w:rPr>
          <w:rFonts w:ascii="Times New Roman" w:hAnsi="Times New Roman" w:cs="Times New Roman"/>
        </w:rPr>
        <w:t>.</w:t>
      </w:r>
      <w:r w:rsidRPr="00C52C82">
        <w:rPr>
          <w:rFonts w:ascii="Times New Roman" w:hAnsi="Times New Roman" w:cs="Times New Roman"/>
        </w:rPr>
        <w:t xml:space="preserve">  </w:t>
      </w:r>
    </w:p>
  </w:footnote>
  <w:footnote w:id="24">
    <w:p w14:paraId="181E0A5D" w14:textId="7F728367" w:rsidR="008A6DA9" w:rsidRPr="00C52C82" w:rsidRDefault="008A6DA9" w:rsidP="00613AE8">
      <w:pPr>
        <w:pStyle w:val="FootnoteText"/>
        <w:spacing w:line="23" w:lineRule="atLeast"/>
        <w:jc w:val="both"/>
        <w:rPr>
          <w:rFonts w:ascii="Times New Roman" w:hAnsi="Times New Roman" w:cs="Times New Roman"/>
        </w:rPr>
      </w:pPr>
      <w:r w:rsidRPr="00C52C82">
        <w:rPr>
          <w:rStyle w:val="FootnoteReference"/>
        </w:rPr>
        <w:footnoteRef/>
      </w:r>
      <w:r w:rsidRPr="00C52C82">
        <w:rPr>
          <w:rFonts w:ascii="Times New Roman" w:hAnsi="Times New Roman" w:cs="Times New Roman"/>
        </w:rPr>
        <w:t xml:space="preserve"> March 2018 Audit, </w:t>
      </w:r>
      <w:r w:rsidRPr="00C52C82">
        <w:rPr>
          <w:rFonts w:ascii="Times New Roman" w:hAnsi="Times New Roman" w:cs="Times New Roman"/>
          <w:i/>
        </w:rPr>
        <w:t xml:space="preserve">supra </w:t>
      </w:r>
      <w:r w:rsidRPr="00C52C82">
        <w:rPr>
          <w:rFonts w:ascii="Times New Roman" w:hAnsi="Times New Roman" w:cs="Times New Roman"/>
        </w:rPr>
        <w:t xml:space="preserve">note </w:t>
      </w:r>
      <w:r w:rsidR="006F0269">
        <w:rPr>
          <w:rFonts w:ascii="Times New Roman" w:hAnsi="Times New Roman" w:cs="Times New Roman"/>
        </w:rPr>
        <w:t>4</w:t>
      </w:r>
      <w:r w:rsidRPr="00C52C82">
        <w:rPr>
          <w:rFonts w:ascii="Times New Roman" w:hAnsi="Times New Roman" w:cs="Times New Roman"/>
        </w:rPr>
        <w:t>, at 113.</w:t>
      </w:r>
    </w:p>
  </w:footnote>
  <w:footnote w:id="25">
    <w:p w14:paraId="7FC8AEA2" w14:textId="77777777" w:rsidR="008A6DA9" w:rsidRDefault="008A6DA9" w:rsidP="00613AE8">
      <w:pPr>
        <w:pStyle w:val="footnotedescription"/>
        <w:spacing w:after="0" w:line="23" w:lineRule="atLeast"/>
        <w:jc w:val="both"/>
      </w:pPr>
      <w:r>
        <w:rPr>
          <w:rStyle w:val="footnotemark"/>
        </w:rPr>
        <w:footnoteRef/>
      </w:r>
      <w:r>
        <w:t xml:space="preserve"> United Nations Declaration on the Rights of Indigenous Peoples, U.N. Doc. A/RES/61/295, arts.18–19, 32(2) (2 October 2007). </w:t>
      </w:r>
    </w:p>
  </w:footnote>
  <w:footnote w:id="26">
    <w:p w14:paraId="457D7553" w14:textId="401D8CB3" w:rsidR="008A6DA9" w:rsidRDefault="008A6DA9" w:rsidP="00613AE8">
      <w:pPr>
        <w:pStyle w:val="FootnoteText"/>
        <w:spacing w:line="23" w:lineRule="atLeast"/>
        <w:jc w:val="both"/>
      </w:pPr>
      <w:r>
        <w:rPr>
          <w:rStyle w:val="FootnoteReference"/>
        </w:rPr>
        <w:footnoteRef/>
      </w:r>
      <w:r>
        <w:t xml:space="preserve"> </w:t>
      </w:r>
      <w:r w:rsidR="00332184" w:rsidRPr="00332184">
        <w:t>Expert Mechanism on the Righ</w:t>
      </w:r>
      <w:r w:rsidR="005C21C5">
        <w:t>ts of Indigenous Peoples (EMRIP)</w:t>
      </w:r>
      <w:r w:rsidR="00332184" w:rsidRPr="00332184">
        <w:t>, Free, prior and informed consent: a human rights-based approach, U.N. Doc. A/HRC/39/62 ¶ 22 (10 Aug. 2018) (hereinafter EMRIP FPIC Study).</w:t>
      </w:r>
    </w:p>
  </w:footnote>
  <w:footnote w:id="27">
    <w:p w14:paraId="0DCC7A3C" w14:textId="2D946A34" w:rsidR="008A6DA9" w:rsidRPr="00332184" w:rsidRDefault="008A6DA9" w:rsidP="00613AE8">
      <w:pPr>
        <w:pStyle w:val="footnotedescription"/>
        <w:spacing w:after="0" w:line="23" w:lineRule="atLeast"/>
        <w:jc w:val="both"/>
        <w:rPr>
          <w:rFonts w:asciiTheme="minorHAnsi" w:hAnsiTheme="minorHAnsi" w:cstheme="minorHAnsi"/>
        </w:rPr>
      </w:pPr>
      <w:r>
        <w:rPr>
          <w:rStyle w:val="footnotemark"/>
        </w:rPr>
        <w:footnoteRef/>
      </w:r>
      <w:r>
        <w:t xml:space="preserve"> </w:t>
      </w:r>
      <w:r w:rsidR="00332184" w:rsidRPr="00332184">
        <w:rPr>
          <w:rFonts w:asciiTheme="minorHAnsi" w:hAnsiTheme="minorHAnsi" w:cstheme="minorHAnsi"/>
          <w:i/>
        </w:rPr>
        <w:t>Id.</w:t>
      </w:r>
      <w:r w:rsidRPr="00332184">
        <w:rPr>
          <w:rFonts w:asciiTheme="minorHAnsi" w:hAnsiTheme="minorHAnsi" w:cstheme="minorHAnsi"/>
        </w:rPr>
        <w:t xml:space="preserve"> ¶ 20(a). </w:t>
      </w:r>
    </w:p>
  </w:footnote>
  <w:footnote w:id="28">
    <w:p w14:paraId="7E543180" w14:textId="295952F4" w:rsidR="008A6DA9" w:rsidRPr="00332184" w:rsidRDefault="008A6DA9" w:rsidP="00613AE8">
      <w:pPr>
        <w:pStyle w:val="FootnoteText"/>
        <w:spacing w:line="23" w:lineRule="atLeast"/>
        <w:jc w:val="both"/>
        <w:rPr>
          <w:rFonts w:cstheme="minorHAnsi"/>
        </w:rPr>
      </w:pPr>
      <w:r w:rsidRPr="00332184">
        <w:rPr>
          <w:rStyle w:val="FootnoteReference"/>
          <w:rFonts w:cstheme="minorHAnsi"/>
        </w:rPr>
        <w:footnoteRef/>
      </w:r>
      <w:r w:rsidRPr="00332184">
        <w:rPr>
          <w:rFonts w:cstheme="minorHAnsi"/>
        </w:rPr>
        <w:t xml:space="preserve"> </w:t>
      </w:r>
      <w:r w:rsidR="00332184" w:rsidRPr="00332184">
        <w:rPr>
          <w:rFonts w:cstheme="minorHAnsi"/>
          <w:i/>
        </w:rPr>
        <w:t>Id.</w:t>
      </w:r>
      <w:r w:rsidR="00332184" w:rsidRPr="00332184">
        <w:rPr>
          <w:rFonts w:cstheme="minorHAnsi"/>
        </w:rPr>
        <w:t>, ¶</w:t>
      </w:r>
      <w:r w:rsidR="00ED5BF3">
        <w:rPr>
          <w:rFonts w:cstheme="minorHAnsi"/>
        </w:rPr>
        <w:t xml:space="preserve"> </w:t>
      </w:r>
      <w:r w:rsidR="00332184" w:rsidRPr="00332184">
        <w:rPr>
          <w:rFonts w:cstheme="minorHAnsi"/>
        </w:rPr>
        <w:t>15.</w:t>
      </w:r>
    </w:p>
  </w:footnote>
  <w:footnote w:id="29">
    <w:p w14:paraId="089570B5" w14:textId="445F8525" w:rsidR="008A6DA9" w:rsidRPr="00332184" w:rsidRDefault="008A6DA9" w:rsidP="00613AE8">
      <w:pPr>
        <w:pStyle w:val="footnotedescription"/>
        <w:spacing w:after="0" w:line="23" w:lineRule="atLeast"/>
        <w:jc w:val="both"/>
        <w:rPr>
          <w:rFonts w:asciiTheme="minorHAnsi" w:hAnsiTheme="minorHAnsi" w:cstheme="minorHAnsi"/>
        </w:rPr>
      </w:pPr>
      <w:r w:rsidRPr="00332184">
        <w:rPr>
          <w:rStyle w:val="footnotemark"/>
          <w:rFonts w:asciiTheme="minorHAnsi" w:hAnsiTheme="minorHAnsi" w:cstheme="minorHAnsi"/>
        </w:rPr>
        <w:footnoteRef/>
      </w:r>
      <w:r w:rsidRPr="00332184">
        <w:rPr>
          <w:rFonts w:asciiTheme="minorHAnsi" w:hAnsiTheme="minorHAnsi" w:cstheme="minorHAnsi"/>
        </w:rPr>
        <w:t xml:space="preserve"> </w:t>
      </w:r>
      <w:r w:rsidRPr="00332184">
        <w:rPr>
          <w:rFonts w:asciiTheme="minorHAnsi" w:hAnsiTheme="minorHAnsi" w:cstheme="minorHAnsi"/>
          <w:i/>
        </w:rPr>
        <w:t>Id.</w:t>
      </w:r>
      <w:r w:rsidRPr="00332184">
        <w:rPr>
          <w:rFonts w:asciiTheme="minorHAnsi" w:hAnsiTheme="minorHAnsi" w:cstheme="minorHAnsi"/>
        </w:rPr>
        <w:t xml:space="preserve"> </w:t>
      </w:r>
    </w:p>
  </w:footnote>
  <w:footnote w:id="30">
    <w:p w14:paraId="68118480" w14:textId="77777777" w:rsidR="008A6DA9" w:rsidRPr="00332184" w:rsidRDefault="008A6DA9" w:rsidP="00613AE8">
      <w:pPr>
        <w:pStyle w:val="footnotedescription"/>
        <w:spacing w:after="0" w:line="23" w:lineRule="atLeast"/>
        <w:jc w:val="both"/>
        <w:rPr>
          <w:rFonts w:asciiTheme="minorHAnsi" w:hAnsiTheme="minorHAnsi" w:cstheme="minorHAnsi"/>
        </w:rPr>
      </w:pPr>
      <w:r w:rsidRPr="00332184">
        <w:rPr>
          <w:rStyle w:val="footnotemark"/>
          <w:rFonts w:asciiTheme="minorHAnsi" w:hAnsiTheme="minorHAnsi" w:cstheme="minorHAnsi"/>
        </w:rPr>
        <w:footnoteRef/>
      </w:r>
      <w:r w:rsidRPr="00332184">
        <w:rPr>
          <w:rFonts w:asciiTheme="minorHAnsi" w:hAnsiTheme="minorHAnsi" w:cstheme="minorHAnsi"/>
        </w:rPr>
        <w:t xml:space="preserve"> </w:t>
      </w:r>
      <w:r w:rsidRPr="00332184">
        <w:rPr>
          <w:rFonts w:asciiTheme="minorHAnsi" w:hAnsiTheme="minorHAnsi" w:cstheme="minorHAnsi"/>
          <w:i/>
        </w:rPr>
        <w:t>Id.</w:t>
      </w:r>
      <w:r w:rsidRPr="00332184">
        <w:rPr>
          <w:rFonts w:asciiTheme="minorHAnsi" w:hAnsiTheme="minorHAnsi" w:cstheme="minorHAnsi"/>
        </w:rPr>
        <w:t xml:space="preserve"> </w:t>
      </w:r>
    </w:p>
  </w:footnote>
  <w:footnote w:id="31">
    <w:p w14:paraId="67CD8E40" w14:textId="64A42E94" w:rsidR="008A6DA9" w:rsidRPr="00332184" w:rsidRDefault="008A6DA9" w:rsidP="00613AE8">
      <w:pPr>
        <w:pStyle w:val="footnotedescription"/>
        <w:spacing w:after="0" w:line="23" w:lineRule="atLeast"/>
        <w:ind w:right="312"/>
        <w:jc w:val="both"/>
        <w:rPr>
          <w:rFonts w:asciiTheme="minorHAnsi" w:hAnsiTheme="minorHAnsi" w:cstheme="minorHAnsi"/>
        </w:rPr>
      </w:pPr>
      <w:r w:rsidRPr="00332184">
        <w:rPr>
          <w:rStyle w:val="footnotemark"/>
          <w:rFonts w:asciiTheme="minorHAnsi" w:hAnsiTheme="minorHAnsi" w:cstheme="minorHAnsi"/>
        </w:rPr>
        <w:footnoteRef/>
      </w:r>
      <w:r w:rsidRPr="00332184">
        <w:rPr>
          <w:rFonts w:asciiTheme="minorHAnsi" w:hAnsiTheme="minorHAnsi" w:cstheme="minorHAnsi"/>
        </w:rPr>
        <w:t xml:space="preserve"> </w:t>
      </w:r>
      <w:r w:rsidRPr="00332184">
        <w:rPr>
          <w:rFonts w:asciiTheme="minorHAnsi" w:hAnsiTheme="minorHAnsi" w:cstheme="minorHAnsi"/>
          <w:i/>
        </w:rPr>
        <w:t>Id.</w:t>
      </w:r>
      <w:r w:rsidRPr="00332184">
        <w:rPr>
          <w:rFonts w:asciiTheme="minorHAnsi" w:hAnsiTheme="minorHAnsi" w:cstheme="minorHAnsi"/>
        </w:rPr>
        <w:t>, ¶</w:t>
      </w:r>
      <w:r w:rsidR="00ED5BF3">
        <w:rPr>
          <w:rFonts w:asciiTheme="minorHAnsi" w:hAnsiTheme="minorHAnsi" w:cstheme="minorHAnsi"/>
        </w:rPr>
        <w:t xml:space="preserve"> </w:t>
      </w:r>
      <w:r w:rsidRPr="00332184">
        <w:rPr>
          <w:rFonts w:asciiTheme="minorHAnsi" w:hAnsiTheme="minorHAnsi" w:cstheme="minorHAnsi"/>
        </w:rPr>
        <w:t xml:space="preserve">16; James Anaya, </w:t>
      </w:r>
      <w:r w:rsidRPr="00332184">
        <w:rPr>
          <w:rFonts w:asciiTheme="minorHAnsi" w:hAnsiTheme="minorHAnsi" w:cstheme="minorHAnsi"/>
          <w:i/>
        </w:rPr>
        <w:t>Report of the Special Rapporteur on the situation of human rights and fundamental freedoms of indigenous peoples</w:t>
      </w:r>
      <w:r w:rsidRPr="00332184">
        <w:rPr>
          <w:rFonts w:asciiTheme="minorHAnsi" w:hAnsiTheme="minorHAnsi" w:cstheme="minorHAnsi"/>
        </w:rPr>
        <w:t>, U.N. Doc. A/HRC/12/34</w:t>
      </w:r>
      <w:r w:rsidRPr="00332184">
        <w:rPr>
          <w:rFonts w:asciiTheme="minorHAnsi" w:hAnsiTheme="minorHAnsi" w:cstheme="minorHAnsi"/>
          <w:i/>
        </w:rPr>
        <w:t xml:space="preserve"> </w:t>
      </w:r>
      <w:r w:rsidRPr="00332184">
        <w:rPr>
          <w:rFonts w:asciiTheme="minorHAnsi" w:hAnsiTheme="minorHAnsi" w:cstheme="minorHAnsi"/>
        </w:rPr>
        <w:t>¶ 46 (15 July 2009)</w:t>
      </w:r>
      <w:r w:rsidR="00091F87">
        <w:rPr>
          <w:rFonts w:asciiTheme="minorHAnsi" w:hAnsiTheme="minorHAnsi" w:cstheme="minorHAnsi"/>
        </w:rPr>
        <w:t xml:space="preserve"> (hereinafter James Anaya Report).</w:t>
      </w:r>
      <w:r w:rsidRPr="00332184">
        <w:rPr>
          <w:rFonts w:asciiTheme="minorHAnsi" w:hAnsiTheme="minorHAnsi" w:cstheme="minorHAnsi"/>
        </w:rPr>
        <w:t xml:space="preserve">  </w:t>
      </w:r>
    </w:p>
  </w:footnote>
  <w:footnote w:id="32">
    <w:p w14:paraId="1BFBFBB3" w14:textId="6727F157" w:rsidR="008A6DA9" w:rsidRPr="00332184" w:rsidRDefault="008A6DA9" w:rsidP="00613AE8">
      <w:pPr>
        <w:pStyle w:val="footnotedescription"/>
        <w:spacing w:after="0" w:line="23" w:lineRule="atLeast"/>
        <w:ind w:right="312"/>
        <w:jc w:val="both"/>
        <w:rPr>
          <w:rFonts w:asciiTheme="minorHAnsi" w:hAnsiTheme="minorHAnsi" w:cstheme="minorHAnsi"/>
        </w:rPr>
      </w:pPr>
      <w:r w:rsidRPr="00332184">
        <w:rPr>
          <w:rStyle w:val="FootnoteReference"/>
          <w:rFonts w:asciiTheme="minorHAnsi" w:hAnsiTheme="minorHAnsi" w:cstheme="minorHAnsi"/>
        </w:rPr>
        <w:footnoteRef/>
      </w:r>
      <w:r w:rsidRPr="00332184">
        <w:rPr>
          <w:rFonts w:asciiTheme="minorHAnsi" w:hAnsiTheme="minorHAnsi" w:cstheme="minorHAnsi"/>
        </w:rPr>
        <w:t xml:space="preserve"> EMRIP FPIC Study,</w:t>
      </w:r>
      <w:r w:rsidRPr="00332184">
        <w:rPr>
          <w:rFonts w:asciiTheme="minorHAnsi" w:hAnsiTheme="minorHAnsi" w:cstheme="minorHAnsi"/>
          <w:i/>
        </w:rPr>
        <w:t xml:space="preserve"> supra </w:t>
      </w:r>
      <w:r w:rsidRPr="00332184">
        <w:rPr>
          <w:rFonts w:asciiTheme="minorHAnsi" w:hAnsiTheme="minorHAnsi" w:cstheme="minorHAnsi"/>
        </w:rPr>
        <w:t xml:space="preserve">note </w:t>
      </w:r>
      <w:r w:rsidR="00332184">
        <w:rPr>
          <w:rFonts w:asciiTheme="minorHAnsi" w:hAnsiTheme="minorHAnsi" w:cstheme="minorHAnsi"/>
        </w:rPr>
        <w:t>2</w:t>
      </w:r>
      <w:r w:rsidR="006F0269">
        <w:rPr>
          <w:rFonts w:asciiTheme="minorHAnsi" w:hAnsiTheme="minorHAnsi" w:cstheme="minorHAnsi"/>
        </w:rPr>
        <w:t>6</w:t>
      </w:r>
      <w:r w:rsidRPr="00332184">
        <w:rPr>
          <w:rFonts w:asciiTheme="minorHAnsi" w:hAnsiTheme="minorHAnsi" w:cstheme="minorHAnsi"/>
        </w:rPr>
        <w:t xml:space="preserve">, ¶ 22(b). </w:t>
      </w:r>
    </w:p>
  </w:footnote>
  <w:footnote w:id="33">
    <w:p w14:paraId="69812B7A" w14:textId="77777777" w:rsidR="008A6DA9" w:rsidRPr="00332184" w:rsidRDefault="008A6DA9" w:rsidP="00613AE8">
      <w:pPr>
        <w:pStyle w:val="footnotedescription"/>
        <w:spacing w:after="0" w:line="23" w:lineRule="atLeast"/>
        <w:jc w:val="both"/>
        <w:rPr>
          <w:rFonts w:asciiTheme="minorHAnsi" w:hAnsiTheme="minorHAnsi" w:cstheme="minorHAnsi"/>
        </w:rPr>
      </w:pPr>
      <w:r w:rsidRPr="00332184">
        <w:rPr>
          <w:rStyle w:val="footnotemark"/>
          <w:rFonts w:asciiTheme="minorHAnsi" w:hAnsiTheme="minorHAnsi" w:cstheme="minorHAnsi"/>
        </w:rPr>
        <w:footnoteRef/>
      </w:r>
      <w:r w:rsidRPr="00332184">
        <w:rPr>
          <w:rFonts w:asciiTheme="minorHAnsi" w:hAnsiTheme="minorHAnsi" w:cstheme="minorHAnsi"/>
        </w:rPr>
        <w:t xml:space="preserve"> </w:t>
      </w:r>
      <w:r w:rsidRPr="00332184">
        <w:rPr>
          <w:rFonts w:asciiTheme="minorHAnsi" w:hAnsiTheme="minorHAnsi" w:cstheme="minorHAnsi"/>
          <w:i/>
        </w:rPr>
        <w:t>Id.</w:t>
      </w:r>
      <w:r w:rsidRPr="00332184">
        <w:rPr>
          <w:rFonts w:asciiTheme="minorHAnsi" w:hAnsiTheme="minorHAnsi" w:cstheme="minorHAnsi"/>
        </w:rPr>
        <w:t xml:space="preserve"> </w:t>
      </w:r>
    </w:p>
  </w:footnote>
  <w:footnote w:id="34">
    <w:p w14:paraId="388B018C" w14:textId="0E2A3F36" w:rsidR="008A6DA9" w:rsidRDefault="008A6DA9" w:rsidP="00613AE8">
      <w:pPr>
        <w:pStyle w:val="FootnoteText"/>
        <w:spacing w:line="23" w:lineRule="atLeast"/>
        <w:jc w:val="both"/>
      </w:pPr>
      <w:r w:rsidRPr="00332184">
        <w:rPr>
          <w:rStyle w:val="FootnoteReference"/>
          <w:rFonts w:cstheme="minorHAnsi"/>
        </w:rPr>
        <w:footnoteRef/>
      </w:r>
      <w:r w:rsidR="00332184" w:rsidRPr="00332184">
        <w:rPr>
          <w:rFonts w:cstheme="minorHAnsi"/>
          <w:i/>
          <w:sz w:val="22"/>
          <w:szCs w:val="22"/>
        </w:rPr>
        <w:t xml:space="preserve"> </w:t>
      </w:r>
      <w:r w:rsidR="00332184" w:rsidRPr="00332184">
        <w:rPr>
          <w:rFonts w:cstheme="minorHAnsi"/>
          <w:i/>
        </w:rPr>
        <w:t>Id.</w:t>
      </w:r>
      <w:r w:rsidRPr="00332184">
        <w:rPr>
          <w:rFonts w:cstheme="minorHAnsi"/>
        </w:rPr>
        <w:t>, ¶ 25</w:t>
      </w:r>
      <w:r w:rsidR="00332184">
        <w:rPr>
          <w:rFonts w:cstheme="minorHAnsi"/>
        </w:rPr>
        <w:t>.</w:t>
      </w:r>
      <w:r>
        <w:t xml:space="preserve"> </w:t>
      </w:r>
    </w:p>
  </w:footnote>
  <w:footnote w:id="35">
    <w:p w14:paraId="24A37FE3" w14:textId="6EB0FD17" w:rsidR="008A6DA9" w:rsidRDefault="008A6DA9" w:rsidP="00613AE8">
      <w:pPr>
        <w:pStyle w:val="FootnoteText"/>
        <w:spacing w:line="23" w:lineRule="atLeast"/>
        <w:jc w:val="both"/>
      </w:pPr>
      <w:r>
        <w:rPr>
          <w:rStyle w:val="FootnoteReference"/>
        </w:rPr>
        <w:footnoteRef/>
      </w:r>
      <w:r>
        <w:t xml:space="preserve"> </w:t>
      </w:r>
      <w:r w:rsidR="00332184" w:rsidRPr="00332184">
        <w:rPr>
          <w:rFonts w:cstheme="minorHAnsi"/>
          <w:i/>
        </w:rPr>
        <w:t>Id.</w:t>
      </w:r>
      <w:r w:rsidR="00332184">
        <w:rPr>
          <w:rFonts w:cstheme="minorHAnsi"/>
        </w:rPr>
        <w:t>, ¶ 24.</w:t>
      </w:r>
      <w:r w:rsidR="00332184">
        <w:t xml:space="preserve"> </w:t>
      </w:r>
    </w:p>
  </w:footnote>
  <w:footnote w:id="36">
    <w:p w14:paraId="1DBBC294" w14:textId="6EAD49F5" w:rsidR="008A6DA9" w:rsidRDefault="008A6DA9" w:rsidP="00613AE8">
      <w:pPr>
        <w:pStyle w:val="FootnoteText"/>
        <w:spacing w:line="23" w:lineRule="atLeast"/>
        <w:jc w:val="both"/>
      </w:pPr>
      <w:r>
        <w:rPr>
          <w:rStyle w:val="FootnoteReference"/>
        </w:rPr>
        <w:footnoteRef/>
      </w:r>
      <w:r>
        <w:t xml:space="preserve"> </w:t>
      </w:r>
      <w:r w:rsidR="00332184" w:rsidRPr="00332184">
        <w:rPr>
          <w:rFonts w:cstheme="minorHAnsi"/>
          <w:i/>
        </w:rPr>
        <w:t>Id.</w:t>
      </w:r>
      <w:r w:rsidR="00332184">
        <w:rPr>
          <w:rFonts w:cstheme="minorHAnsi"/>
        </w:rPr>
        <w:t>,</w:t>
      </w:r>
      <w:r>
        <w:t xml:space="preserve"> ¶¶</w:t>
      </w:r>
      <w:r w:rsidR="00ED5BF3">
        <w:t xml:space="preserve"> </w:t>
      </w:r>
      <w:r>
        <w:t>25-27</w:t>
      </w:r>
      <w:r w:rsidR="00053CC1">
        <w:t>:</w:t>
      </w:r>
      <w:r w:rsidR="00053CC1" w:rsidRPr="00053CC1">
        <w:t xml:space="preserve"> </w:t>
      </w:r>
      <w:r w:rsidR="00053CC1">
        <w:t xml:space="preserve">Food and Agriculture Organization, </w:t>
      </w:r>
      <w:r w:rsidR="00053CC1" w:rsidRPr="00091F87">
        <w:rPr>
          <w:i/>
        </w:rPr>
        <w:t>Free Prior and Informed Consent: An indigenous peoples’ right and a good practice for local communities</w:t>
      </w:r>
      <w:r w:rsidR="00053CC1">
        <w:t xml:space="preserve">, </w:t>
      </w:r>
      <w:r w:rsidR="00053CC1">
        <w:rPr>
          <w:i/>
        </w:rPr>
        <w:t xml:space="preserve">Manual for Project Practitioners, </w:t>
      </w:r>
      <w:r w:rsidR="00053CC1">
        <w:t xml:space="preserve">at 16 (2013), </w:t>
      </w:r>
      <w:r w:rsidR="00615D9E" w:rsidRPr="00615D9E">
        <w:t>http://www.fao.org/3/i6190e/I6190E.pdf</w:t>
      </w:r>
      <w:r w:rsidR="00615D9E">
        <w:t xml:space="preserve"> (h</w:t>
      </w:r>
      <w:r w:rsidR="00053CC1">
        <w:t>ereinafter FAO FPIC Manual)</w:t>
      </w:r>
      <w:r w:rsidR="00BF242F">
        <w:t>.</w:t>
      </w:r>
    </w:p>
  </w:footnote>
  <w:footnote w:id="37">
    <w:p w14:paraId="33721B3B" w14:textId="76DE1B81" w:rsidR="008A6DA9" w:rsidRDefault="008A6DA9" w:rsidP="00613AE8">
      <w:pPr>
        <w:pStyle w:val="FootnoteText"/>
        <w:spacing w:line="23" w:lineRule="atLeast"/>
        <w:jc w:val="both"/>
      </w:pPr>
      <w:r>
        <w:rPr>
          <w:rStyle w:val="FootnoteReference"/>
        </w:rPr>
        <w:footnoteRef/>
      </w:r>
      <w:r>
        <w:t xml:space="preserve"> </w:t>
      </w:r>
      <w:r w:rsidR="00332184" w:rsidRPr="00332184">
        <w:rPr>
          <w:rFonts w:cstheme="minorHAnsi"/>
          <w:i/>
        </w:rPr>
        <w:t xml:space="preserve"> Id.</w:t>
      </w:r>
    </w:p>
  </w:footnote>
  <w:footnote w:id="38">
    <w:p w14:paraId="636F885D" w14:textId="6FFBEE9E" w:rsidR="008A6DA9" w:rsidRDefault="008A6DA9" w:rsidP="00613AE8">
      <w:pPr>
        <w:pStyle w:val="FootnoteText"/>
        <w:spacing w:line="23" w:lineRule="atLeast"/>
        <w:jc w:val="both"/>
      </w:pPr>
      <w:r>
        <w:rPr>
          <w:rStyle w:val="FootnoteReference"/>
        </w:rPr>
        <w:footnoteRef/>
      </w:r>
      <w:r>
        <w:t xml:space="preserve"> </w:t>
      </w:r>
      <w:r w:rsidR="00053CC1">
        <w:t xml:space="preserve">FAO FPIC Manual </w:t>
      </w:r>
      <w:r w:rsidR="00053CC1" w:rsidRPr="00615D9E">
        <w:rPr>
          <w:i/>
          <w:iCs/>
        </w:rPr>
        <w:t>supra</w:t>
      </w:r>
      <w:r w:rsidR="00053CC1">
        <w:t xml:space="preserve"> note 36</w:t>
      </w:r>
      <w:r w:rsidR="00BF242F">
        <w:t>,</w:t>
      </w:r>
      <w:r w:rsidR="00053CC1">
        <w:t xml:space="preserve"> at 13</w:t>
      </w:r>
      <w:r w:rsidR="009C7383">
        <w:t>.</w:t>
      </w:r>
    </w:p>
  </w:footnote>
  <w:footnote w:id="39">
    <w:p w14:paraId="03422B11" w14:textId="2D7E4409" w:rsidR="008A6DA9" w:rsidRPr="00587D47" w:rsidRDefault="008A6DA9" w:rsidP="00613AE8">
      <w:pPr>
        <w:pStyle w:val="FootnoteText"/>
        <w:spacing w:line="23" w:lineRule="atLeast"/>
        <w:jc w:val="both"/>
      </w:pPr>
      <w:r>
        <w:rPr>
          <w:rStyle w:val="FootnoteReference"/>
        </w:rPr>
        <w:footnoteRef/>
      </w:r>
      <w:r>
        <w:t xml:space="preserve"> United Nations Global Compact</w:t>
      </w:r>
      <w:r w:rsidRPr="00C12697">
        <w:rPr>
          <w:i/>
          <w:iCs/>
        </w:rPr>
        <w:t>, A Business Reference Guide: United Nations D</w:t>
      </w:r>
      <w:r w:rsidR="00620CB7">
        <w:rPr>
          <w:i/>
          <w:iCs/>
        </w:rPr>
        <w:t>eclaration on the Rights o</w:t>
      </w:r>
      <w:r w:rsidRPr="00C12697">
        <w:rPr>
          <w:i/>
          <w:iCs/>
        </w:rPr>
        <w:t>f Indigenous Peoples</w:t>
      </w:r>
      <w:r w:rsidR="009C7383">
        <w:rPr>
          <w:iCs/>
        </w:rPr>
        <w:t>,</w:t>
      </w:r>
      <w:r>
        <w:rPr>
          <w:i/>
          <w:iCs/>
        </w:rPr>
        <w:t xml:space="preserve"> </w:t>
      </w:r>
      <w:r>
        <w:t>at 28 (2013)</w:t>
      </w:r>
      <w:r w:rsidR="00BC45AA">
        <w:t xml:space="preserve">, </w:t>
      </w:r>
      <w:r w:rsidR="00BC45AA" w:rsidRPr="00410CD2">
        <w:t>https://www.unglobalcompact.org/library/541</w:t>
      </w:r>
      <w:r w:rsidR="00410CD2">
        <w:t xml:space="preserve"> </w:t>
      </w:r>
      <w:r>
        <w:t>(</w:t>
      </w:r>
      <w:r w:rsidR="00613316">
        <w:t>h</w:t>
      </w:r>
      <w:r>
        <w:t xml:space="preserve">ereinafter UNGC, </w:t>
      </w:r>
      <w:r w:rsidRPr="00091F87">
        <w:rPr>
          <w:i/>
        </w:rPr>
        <w:t>A Business Reference Guide</w:t>
      </w:r>
      <w:r>
        <w:t>)</w:t>
      </w:r>
      <w:r w:rsidR="00613316">
        <w:t>.</w:t>
      </w:r>
    </w:p>
  </w:footnote>
  <w:footnote w:id="40">
    <w:p w14:paraId="3C702E63" w14:textId="6A8A88F0" w:rsidR="008A6DA9" w:rsidRDefault="008A6DA9" w:rsidP="00613AE8">
      <w:pPr>
        <w:pStyle w:val="FootnoteText"/>
        <w:spacing w:line="23" w:lineRule="atLeast"/>
        <w:jc w:val="both"/>
      </w:pPr>
      <w:r>
        <w:rPr>
          <w:rStyle w:val="FootnoteReference"/>
        </w:rPr>
        <w:footnoteRef/>
      </w:r>
      <w:r>
        <w:t xml:space="preserve"> EMRIP FPIC Study, </w:t>
      </w:r>
      <w:r w:rsidR="00091F87">
        <w:rPr>
          <w:i/>
        </w:rPr>
        <w:t xml:space="preserve">supra </w:t>
      </w:r>
      <w:r w:rsidR="00091F87">
        <w:t>note</w:t>
      </w:r>
      <w:r w:rsidR="00BF242F">
        <w:t xml:space="preserve"> </w:t>
      </w:r>
      <w:r w:rsidR="00091F87">
        <w:t>2</w:t>
      </w:r>
      <w:r w:rsidR="006F0269">
        <w:t>6</w:t>
      </w:r>
      <w:r w:rsidR="00091F87">
        <w:t xml:space="preserve">, </w:t>
      </w:r>
      <w:r w:rsidR="00091F87">
        <w:rPr>
          <w:rFonts w:cstheme="minorHAnsi"/>
        </w:rPr>
        <w:t xml:space="preserve">¶ </w:t>
      </w:r>
      <w:r>
        <w:t>32.</w:t>
      </w:r>
    </w:p>
  </w:footnote>
  <w:footnote w:id="41">
    <w:p w14:paraId="1768BAB8" w14:textId="389BE661" w:rsidR="008A6DA9" w:rsidRPr="00091F87" w:rsidRDefault="008A6DA9" w:rsidP="00613AE8">
      <w:pPr>
        <w:pStyle w:val="FootnoteText"/>
        <w:spacing w:line="23" w:lineRule="atLeast"/>
        <w:jc w:val="both"/>
      </w:pPr>
      <w:r>
        <w:rPr>
          <w:rStyle w:val="FootnoteReference"/>
        </w:rPr>
        <w:footnoteRef/>
      </w:r>
      <w:r>
        <w:t xml:space="preserve"> </w:t>
      </w:r>
      <w:r w:rsidR="00091F87">
        <w:rPr>
          <w:i/>
        </w:rPr>
        <w:t>Id.</w:t>
      </w:r>
      <w:r w:rsidR="00091F87">
        <w:t xml:space="preserve">, </w:t>
      </w:r>
      <w:r>
        <w:t>¶</w:t>
      </w:r>
      <w:r w:rsidR="00ED5BF3">
        <w:t xml:space="preserve"> </w:t>
      </w:r>
      <w:r>
        <w:t>56</w:t>
      </w:r>
      <w:r w:rsidR="00091F87">
        <w:t xml:space="preserve">; </w:t>
      </w:r>
      <w:r w:rsidRPr="00091F87">
        <w:rPr>
          <w:i/>
        </w:rPr>
        <w:t>see also</w:t>
      </w:r>
      <w:r>
        <w:t xml:space="preserve"> </w:t>
      </w:r>
      <w:r w:rsidR="00091F87">
        <w:t xml:space="preserve">James Anaya Report, </w:t>
      </w:r>
      <w:r w:rsidR="00091F87">
        <w:rPr>
          <w:i/>
        </w:rPr>
        <w:t xml:space="preserve">supra </w:t>
      </w:r>
      <w:r w:rsidR="00091F87">
        <w:t>note 3</w:t>
      </w:r>
      <w:r w:rsidR="006F0269">
        <w:t>1</w:t>
      </w:r>
      <w:r w:rsidR="00091F87">
        <w:t>, ¶</w:t>
      </w:r>
      <w:r w:rsidR="00ED5BF3">
        <w:t xml:space="preserve"> </w:t>
      </w:r>
      <w:r w:rsidR="00091F87">
        <w:t>38.</w:t>
      </w:r>
    </w:p>
  </w:footnote>
  <w:footnote w:id="42">
    <w:p w14:paraId="0EEC2047" w14:textId="4FE1DF78" w:rsidR="008A6DA9" w:rsidRDefault="008A6DA9" w:rsidP="00613AE8">
      <w:pPr>
        <w:pStyle w:val="FootnoteText"/>
        <w:spacing w:line="23" w:lineRule="atLeast"/>
        <w:jc w:val="both"/>
      </w:pPr>
      <w:r>
        <w:rPr>
          <w:rStyle w:val="FootnoteReference"/>
        </w:rPr>
        <w:footnoteRef/>
      </w:r>
      <w:r>
        <w:t xml:space="preserve"> UNGC, </w:t>
      </w:r>
      <w:r w:rsidRPr="00091F87">
        <w:rPr>
          <w:i/>
        </w:rPr>
        <w:t>A Business Reference Guide</w:t>
      </w:r>
      <w:r w:rsidR="00091F87">
        <w:t>,</w:t>
      </w:r>
      <w:r>
        <w:t xml:space="preserve"> </w:t>
      </w:r>
      <w:r w:rsidRPr="00091F87">
        <w:rPr>
          <w:i/>
        </w:rPr>
        <w:t>supra</w:t>
      </w:r>
      <w:r>
        <w:t xml:space="preserve"> note </w:t>
      </w:r>
      <w:r w:rsidR="006F0269">
        <w:t>39</w:t>
      </w:r>
      <w:r>
        <w:t>, at 58</w:t>
      </w:r>
      <w:r w:rsidR="00091F87">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333869"/>
    <w:multiLevelType w:val="hybridMultilevel"/>
    <w:tmpl w:val="898E8154"/>
    <w:lvl w:ilvl="0" w:tplc="04090003">
      <w:start w:val="1"/>
      <w:numFmt w:val="bullet"/>
      <w:lvlText w:val="o"/>
      <w:lvlJc w:val="left"/>
      <w:pPr>
        <w:ind w:left="715" w:hanging="360"/>
      </w:pPr>
      <w:rPr>
        <w:rFonts w:ascii="Courier New" w:hAnsi="Courier New" w:cs="Courier New"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1" w15:restartNumberingAfterBreak="0">
    <w:nsid w:val="69EF4E7C"/>
    <w:multiLevelType w:val="hybridMultilevel"/>
    <w:tmpl w:val="54E8AACC"/>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103"/>
    <w:rsid w:val="00000937"/>
    <w:rsid w:val="00032822"/>
    <w:rsid w:val="00053CC1"/>
    <w:rsid w:val="0009009D"/>
    <w:rsid w:val="00091F87"/>
    <w:rsid w:val="00092988"/>
    <w:rsid w:val="000C7441"/>
    <w:rsid w:val="000E37FE"/>
    <w:rsid w:val="000F061D"/>
    <w:rsid w:val="000F0D46"/>
    <w:rsid w:val="00117206"/>
    <w:rsid w:val="0013605B"/>
    <w:rsid w:val="00153AC2"/>
    <w:rsid w:val="00193875"/>
    <w:rsid w:val="001A017B"/>
    <w:rsid w:val="001C6EDD"/>
    <w:rsid w:val="001E263A"/>
    <w:rsid w:val="001E4456"/>
    <w:rsid w:val="001E4A69"/>
    <w:rsid w:val="001F1D6F"/>
    <w:rsid w:val="00202083"/>
    <w:rsid w:val="00211572"/>
    <w:rsid w:val="00252F06"/>
    <w:rsid w:val="00263F3A"/>
    <w:rsid w:val="002729E5"/>
    <w:rsid w:val="00274999"/>
    <w:rsid w:val="00274F9D"/>
    <w:rsid w:val="00284A4B"/>
    <w:rsid w:val="002915C4"/>
    <w:rsid w:val="00296316"/>
    <w:rsid w:val="00297202"/>
    <w:rsid w:val="002B1ABA"/>
    <w:rsid w:val="002B40D5"/>
    <w:rsid w:val="002C7E34"/>
    <w:rsid w:val="002D1B42"/>
    <w:rsid w:val="002E53AE"/>
    <w:rsid w:val="002E5C48"/>
    <w:rsid w:val="003037DB"/>
    <w:rsid w:val="00314F0D"/>
    <w:rsid w:val="00327D07"/>
    <w:rsid w:val="00332184"/>
    <w:rsid w:val="0035293E"/>
    <w:rsid w:val="00364DE7"/>
    <w:rsid w:val="00375117"/>
    <w:rsid w:val="00376F7E"/>
    <w:rsid w:val="00377672"/>
    <w:rsid w:val="00381C47"/>
    <w:rsid w:val="003949ED"/>
    <w:rsid w:val="003A4461"/>
    <w:rsid w:val="003A45D5"/>
    <w:rsid w:val="003A4F44"/>
    <w:rsid w:val="003C43CE"/>
    <w:rsid w:val="003D6940"/>
    <w:rsid w:val="003F02DB"/>
    <w:rsid w:val="004064E6"/>
    <w:rsid w:val="00410CD2"/>
    <w:rsid w:val="004172AF"/>
    <w:rsid w:val="00425415"/>
    <w:rsid w:val="00444173"/>
    <w:rsid w:val="00444225"/>
    <w:rsid w:val="0047202E"/>
    <w:rsid w:val="004735EB"/>
    <w:rsid w:val="004806B9"/>
    <w:rsid w:val="00485BE2"/>
    <w:rsid w:val="00487458"/>
    <w:rsid w:val="00496F0F"/>
    <w:rsid w:val="004B0DDD"/>
    <w:rsid w:val="004D3A52"/>
    <w:rsid w:val="004E425E"/>
    <w:rsid w:val="004E6CFE"/>
    <w:rsid w:val="004F529B"/>
    <w:rsid w:val="00510631"/>
    <w:rsid w:val="005356FB"/>
    <w:rsid w:val="00540997"/>
    <w:rsid w:val="00544B95"/>
    <w:rsid w:val="0054532F"/>
    <w:rsid w:val="0055604A"/>
    <w:rsid w:val="00556AB6"/>
    <w:rsid w:val="005576BC"/>
    <w:rsid w:val="005763B1"/>
    <w:rsid w:val="00587D47"/>
    <w:rsid w:val="0059474C"/>
    <w:rsid w:val="005C21C5"/>
    <w:rsid w:val="005E145F"/>
    <w:rsid w:val="005E6E7E"/>
    <w:rsid w:val="005F1B52"/>
    <w:rsid w:val="00613316"/>
    <w:rsid w:val="00613AE8"/>
    <w:rsid w:val="00615D9E"/>
    <w:rsid w:val="00620CB7"/>
    <w:rsid w:val="0064299E"/>
    <w:rsid w:val="00650198"/>
    <w:rsid w:val="00660D13"/>
    <w:rsid w:val="006827F3"/>
    <w:rsid w:val="00691BB9"/>
    <w:rsid w:val="0069301E"/>
    <w:rsid w:val="006B151F"/>
    <w:rsid w:val="006B6B02"/>
    <w:rsid w:val="006B6BB2"/>
    <w:rsid w:val="006C13C5"/>
    <w:rsid w:val="006C3924"/>
    <w:rsid w:val="006D1A1C"/>
    <w:rsid w:val="006E28CB"/>
    <w:rsid w:val="006F0269"/>
    <w:rsid w:val="006F252B"/>
    <w:rsid w:val="006F4367"/>
    <w:rsid w:val="00712603"/>
    <w:rsid w:val="00733F32"/>
    <w:rsid w:val="007346F7"/>
    <w:rsid w:val="0075001F"/>
    <w:rsid w:val="00776993"/>
    <w:rsid w:val="007835DD"/>
    <w:rsid w:val="00785C06"/>
    <w:rsid w:val="007A74F0"/>
    <w:rsid w:val="007B0901"/>
    <w:rsid w:val="007D47EE"/>
    <w:rsid w:val="007F6616"/>
    <w:rsid w:val="00802833"/>
    <w:rsid w:val="00821C0D"/>
    <w:rsid w:val="008368B9"/>
    <w:rsid w:val="00861E03"/>
    <w:rsid w:val="00865A4D"/>
    <w:rsid w:val="008665F8"/>
    <w:rsid w:val="00867C51"/>
    <w:rsid w:val="0088524E"/>
    <w:rsid w:val="00896E81"/>
    <w:rsid w:val="008A5919"/>
    <w:rsid w:val="008A6DA9"/>
    <w:rsid w:val="008B253A"/>
    <w:rsid w:val="008B36F9"/>
    <w:rsid w:val="008C310D"/>
    <w:rsid w:val="008D24EB"/>
    <w:rsid w:val="008D3259"/>
    <w:rsid w:val="008E5E60"/>
    <w:rsid w:val="008F4B2D"/>
    <w:rsid w:val="008F5ADD"/>
    <w:rsid w:val="0091724D"/>
    <w:rsid w:val="00926C70"/>
    <w:rsid w:val="0093419E"/>
    <w:rsid w:val="00934829"/>
    <w:rsid w:val="00942EA3"/>
    <w:rsid w:val="0095206B"/>
    <w:rsid w:val="0095721D"/>
    <w:rsid w:val="00960FDF"/>
    <w:rsid w:val="00967D2F"/>
    <w:rsid w:val="00970578"/>
    <w:rsid w:val="00972450"/>
    <w:rsid w:val="0098061A"/>
    <w:rsid w:val="00983675"/>
    <w:rsid w:val="009841E3"/>
    <w:rsid w:val="00996798"/>
    <w:rsid w:val="009A7EB8"/>
    <w:rsid w:val="009A7EF2"/>
    <w:rsid w:val="009B6A66"/>
    <w:rsid w:val="009C2D25"/>
    <w:rsid w:val="009C7383"/>
    <w:rsid w:val="009E5054"/>
    <w:rsid w:val="009F1231"/>
    <w:rsid w:val="009F1E21"/>
    <w:rsid w:val="009F76D3"/>
    <w:rsid w:val="00A0400D"/>
    <w:rsid w:val="00A10714"/>
    <w:rsid w:val="00A112D3"/>
    <w:rsid w:val="00A1583A"/>
    <w:rsid w:val="00A222DA"/>
    <w:rsid w:val="00A2527F"/>
    <w:rsid w:val="00A253E1"/>
    <w:rsid w:val="00A30E6D"/>
    <w:rsid w:val="00A52E3D"/>
    <w:rsid w:val="00A569D4"/>
    <w:rsid w:val="00A6003C"/>
    <w:rsid w:val="00A66A59"/>
    <w:rsid w:val="00A737EE"/>
    <w:rsid w:val="00A74273"/>
    <w:rsid w:val="00A77D7F"/>
    <w:rsid w:val="00A80A9C"/>
    <w:rsid w:val="00A96CFA"/>
    <w:rsid w:val="00AC1F25"/>
    <w:rsid w:val="00AF22D8"/>
    <w:rsid w:val="00AF3DB4"/>
    <w:rsid w:val="00AF5C9C"/>
    <w:rsid w:val="00AF7010"/>
    <w:rsid w:val="00B054EB"/>
    <w:rsid w:val="00B25032"/>
    <w:rsid w:val="00B55247"/>
    <w:rsid w:val="00B61BE2"/>
    <w:rsid w:val="00B63A9D"/>
    <w:rsid w:val="00B71323"/>
    <w:rsid w:val="00B7134A"/>
    <w:rsid w:val="00B74FBE"/>
    <w:rsid w:val="00B97E38"/>
    <w:rsid w:val="00BA0B2D"/>
    <w:rsid w:val="00BA103A"/>
    <w:rsid w:val="00BA2D0D"/>
    <w:rsid w:val="00BC1715"/>
    <w:rsid w:val="00BC45AA"/>
    <w:rsid w:val="00BD6049"/>
    <w:rsid w:val="00BF242F"/>
    <w:rsid w:val="00BF75B1"/>
    <w:rsid w:val="00C0236A"/>
    <w:rsid w:val="00C12697"/>
    <w:rsid w:val="00C259A2"/>
    <w:rsid w:val="00C34553"/>
    <w:rsid w:val="00C535D9"/>
    <w:rsid w:val="00C53AA1"/>
    <w:rsid w:val="00C664A8"/>
    <w:rsid w:val="00C93357"/>
    <w:rsid w:val="00CA2EC6"/>
    <w:rsid w:val="00CC00FB"/>
    <w:rsid w:val="00CE751D"/>
    <w:rsid w:val="00CF5838"/>
    <w:rsid w:val="00D009F5"/>
    <w:rsid w:val="00D10095"/>
    <w:rsid w:val="00D14ABB"/>
    <w:rsid w:val="00D50F15"/>
    <w:rsid w:val="00D55447"/>
    <w:rsid w:val="00D647B8"/>
    <w:rsid w:val="00D83DEA"/>
    <w:rsid w:val="00D8412B"/>
    <w:rsid w:val="00D95AC2"/>
    <w:rsid w:val="00D962AD"/>
    <w:rsid w:val="00D96C46"/>
    <w:rsid w:val="00DA1230"/>
    <w:rsid w:val="00DA1924"/>
    <w:rsid w:val="00DA5879"/>
    <w:rsid w:val="00DB4659"/>
    <w:rsid w:val="00DE064F"/>
    <w:rsid w:val="00DE7F88"/>
    <w:rsid w:val="00DF5F74"/>
    <w:rsid w:val="00E04F82"/>
    <w:rsid w:val="00E14E8D"/>
    <w:rsid w:val="00E15C1C"/>
    <w:rsid w:val="00E26018"/>
    <w:rsid w:val="00E37719"/>
    <w:rsid w:val="00E401C7"/>
    <w:rsid w:val="00E55521"/>
    <w:rsid w:val="00E643E9"/>
    <w:rsid w:val="00E81369"/>
    <w:rsid w:val="00EA3D84"/>
    <w:rsid w:val="00EA4850"/>
    <w:rsid w:val="00EB1C2D"/>
    <w:rsid w:val="00EB5F03"/>
    <w:rsid w:val="00EC4BDD"/>
    <w:rsid w:val="00EC6B87"/>
    <w:rsid w:val="00ED2923"/>
    <w:rsid w:val="00ED5BF3"/>
    <w:rsid w:val="00EE5AC1"/>
    <w:rsid w:val="00EF1EAE"/>
    <w:rsid w:val="00F01DE4"/>
    <w:rsid w:val="00F07F3A"/>
    <w:rsid w:val="00F10ADB"/>
    <w:rsid w:val="00F17064"/>
    <w:rsid w:val="00F2199F"/>
    <w:rsid w:val="00F26174"/>
    <w:rsid w:val="00F30B55"/>
    <w:rsid w:val="00F42167"/>
    <w:rsid w:val="00F46103"/>
    <w:rsid w:val="00F62381"/>
    <w:rsid w:val="00F63F4E"/>
    <w:rsid w:val="00F76B80"/>
    <w:rsid w:val="00F909F7"/>
    <w:rsid w:val="00FB3520"/>
    <w:rsid w:val="00FB771C"/>
    <w:rsid w:val="00FC1B97"/>
    <w:rsid w:val="00FC1C1B"/>
    <w:rsid w:val="00FF0664"/>
    <w:rsid w:val="00FF2624"/>
    <w:rsid w:val="00FF5C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95CB6"/>
  <w15:chartTrackingRefBased/>
  <w15:docId w15:val="{0F3D9CD5-14AB-4DC8-9969-753F8D03C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31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C2D25"/>
    <w:rPr>
      <w:sz w:val="20"/>
      <w:szCs w:val="20"/>
    </w:rPr>
  </w:style>
  <w:style w:type="character" w:customStyle="1" w:styleId="FootnoteTextChar">
    <w:name w:val="Footnote Text Char"/>
    <w:basedOn w:val="DefaultParagraphFont"/>
    <w:link w:val="FootnoteText"/>
    <w:uiPriority w:val="99"/>
    <w:semiHidden/>
    <w:rsid w:val="009C2D25"/>
    <w:rPr>
      <w:sz w:val="20"/>
      <w:szCs w:val="20"/>
    </w:rPr>
  </w:style>
  <w:style w:type="character" w:styleId="FootnoteReference">
    <w:name w:val="footnote reference"/>
    <w:aliases w:val="4_G"/>
    <w:basedOn w:val="DefaultParagraphFont"/>
    <w:unhideWhenUsed/>
    <w:qFormat/>
    <w:rsid w:val="009C2D25"/>
    <w:rPr>
      <w:vertAlign w:val="superscript"/>
    </w:rPr>
  </w:style>
  <w:style w:type="character" w:styleId="Hyperlink">
    <w:name w:val="Hyperlink"/>
    <w:basedOn w:val="DefaultParagraphFont"/>
    <w:uiPriority w:val="99"/>
    <w:unhideWhenUsed/>
    <w:rsid w:val="00867C51"/>
    <w:rPr>
      <w:color w:val="0000FF"/>
      <w:u w:val="single"/>
    </w:rPr>
  </w:style>
  <w:style w:type="character" w:customStyle="1" w:styleId="UnresolvedMention1">
    <w:name w:val="Unresolved Mention1"/>
    <w:basedOn w:val="DefaultParagraphFont"/>
    <w:uiPriority w:val="99"/>
    <w:semiHidden/>
    <w:unhideWhenUsed/>
    <w:rsid w:val="00867C51"/>
    <w:rPr>
      <w:color w:val="605E5C"/>
      <w:shd w:val="clear" w:color="auto" w:fill="E1DFDD"/>
    </w:rPr>
  </w:style>
  <w:style w:type="character" w:customStyle="1" w:styleId="footnotedescriptionChar">
    <w:name w:val="footnote description Char"/>
    <w:link w:val="footnotedescription"/>
    <w:locked/>
    <w:rsid w:val="007346F7"/>
    <w:rPr>
      <w:rFonts w:ascii="Times New Roman" w:eastAsia="Times New Roman" w:hAnsi="Times New Roman" w:cs="Times New Roman"/>
      <w:color w:val="000000"/>
      <w:sz w:val="20"/>
    </w:rPr>
  </w:style>
  <w:style w:type="paragraph" w:customStyle="1" w:styleId="footnotedescription">
    <w:name w:val="footnote description"/>
    <w:next w:val="Normal"/>
    <w:link w:val="footnotedescriptionChar"/>
    <w:rsid w:val="007346F7"/>
    <w:pPr>
      <w:spacing w:after="10" w:line="273" w:lineRule="auto"/>
      <w:ind w:left="1"/>
    </w:pPr>
    <w:rPr>
      <w:rFonts w:ascii="Times New Roman" w:eastAsia="Times New Roman" w:hAnsi="Times New Roman" w:cs="Times New Roman"/>
      <w:color w:val="000000"/>
      <w:sz w:val="20"/>
    </w:rPr>
  </w:style>
  <w:style w:type="character" w:customStyle="1" w:styleId="footnotemark">
    <w:name w:val="footnote mark"/>
    <w:rsid w:val="007346F7"/>
    <w:rPr>
      <w:rFonts w:ascii="Times New Roman" w:eastAsia="Times New Roman" w:hAnsi="Times New Roman" w:cs="Times New Roman" w:hint="default"/>
      <w:color w:val="000000"/>
      <w:sz w:val="20"/>
      <w:vertAlign w:val="superscript"/>
    </w:rPr>
  </w:style>
  <w:style w:type="paragraph" w:styleId="ListParagraph">
    <w:name w:val="List Paragraph"/>
    <w:basedOn w:val="Normal"/>
    <w:uiPriority w:val="34"/>
    <w:qFormat/>
    <w:rsid w:val="000F061D"/>
    <w:pPr>
      <w:ind w:left="720"/>
      <w:contextualSpacing/>
    </w:pPr>
  </w:style>
  <w:style w:type="paragraph" w:styleId="BalloonText">
    <w:name w:val="Balloon Text"/>
    <w:basedOn w:val="Normal"/>
    <w:link w:val="BalloonTextChar"/>
    <w:uiPriority w:val="99"/>
    <w:semiHidden/>
    <w:unhideWhenUsed/>
    <w:rsid w:val="008A59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919"/>
    <w:rPr>
      <w:rFonts w:ascii="Segoe UI" w:hAnsi="Segoe UI" w:cs="Segoe UI"/>
      <w:sz w:val="18"/>
      <w:szCs w:val="18"/>
    </w:rPr>
  </w:style>
  <w:style w:type="character" w:styleId="CommentReference">
    <w:name w:val="annotation reference"/>
    <w:basedOn w:val="DefaultParagraphFont"/>
    <w:uiPriority w:val="99"/>
    <w:semiHidden/>
    <w:unhideWhenUsed/>
    <w:rsid w:val="00117206"/>
    <w:rPr>
      <w:sz w:val="16"/>
      <w:szCs w:val="16"/>
    </w:rPr>
  </w:style>
  <w:style w:type="paragraph" w:styleId="CommentText">
    <w:name w:val="annotation text"/>
    <w:basedOn w:val="Normal"/>
    <w:link w:val="CommentTextChar"/>
    <w:uiPriority w:val="99"/>
    <w:unhideWhenUsed/>
    <w:rsid w:val="00117206"/>
    <w:rPr>
      <w:sz w:val="20"/>
      <w:szCs w:val="20"/>
    </w:rPr>
  </w:style>
  <w:style w:type="character" w:customStyle="1" w:styleId="CommentTextChar">
    <w:name w:val="Comment Text Char"/>
    <w:basedOn w:val="DefaultParagraphFont"/>
    <w:link w:val="CommentText"/>
    <w:uiPriority w:val="99"/>
    <w:rsid w:val="00117206"/>
    <w:rPr>
      <w:sz w:val="20"/>
      <w:szCs w:val="20"/>
    </w:rPr>
  </w:style>
  <w:style w:type="paragraph" w:styleId="CommentSubject">
    <w:name w:val="annotation subject"/>
    <w:basedOn w:val="CommentText"/>
    <w:next w:val="CommentText"/>
    <w:link w:val="CommentSubjectChar"/>
    <w:uiPriority w:val="99"/>
    <w:semiHidden/>
    <w:unhideWhenUsed/>
    <w:rsid w:val="00117206"/>
    <w:rPr>
      <w:b/>
      <w:bCs/>
    </w:rPr>
  </w:style>
  <w:style w:type="character" w:customStyle="1" w:styleId="CommentSubjectChar">
    <w:name w:val="Comment Subject Char"/>
    <w:basedOn w:val="CommentTextChar"/>
    <w:link w:val="CommentSubject"/>
    <w:uiPriority w:val="99"/>
    <w:semiHidden/>
    <w:rsid w:val="00117206"/>
    <w:rPr>
      <w:b/>
      <w:bCs/>
      <w:sz w:val="20"/>
      <w:szCs w:val="20"/>
    </w:rPr>
  </w:style>
  <w:style w:type="paragraph" w:styleId="NormalWeb">
    <w:name w:val="Normal (Web)"/>
    <w:basedOn w:val="Normal"/>
    <w:uiPriority w:val="99"/>
    <w:semiHidden/>
    <w:unhideWhenUsed/>
    <w:rsid w:val="00E26018"/>
    <w:rPr>
      <w:rFonts w:ascii="Times New Roman" w:hAnsi="Times New Roman" w:cs="Times New Roman"/>
      <w:sz w:val="24"/>
      <w:szCs w:val="24"/>
    </w:rPr>
  </w:style>
  <w:style w:type="paragraph" w:styleId="Header">
    <w:name w:val="header"/>
    <w:basedOn w:val="Normal"/>
    <w:link w:val="HeaderChar"/>
    <w:uiPriority w:val="99"/>
    <w:unhideWhenUsed/>
    <w:rsid w:val="005F1B52"/>
    <w:pPr>
      <w:tabs>
        <w:tab w:val="center" w:pos="4680"/>
        <w:tab w:val="right" w:pos="9360"/>
      </w:tabs>
    </w:pPr>
  </w:style>
  <w:style w:type="character" w:customStyle="1" w:styleId="HeaderChar">
    <w:name w:val="Header Char"/>
    <w:basedOn w:val="DefaultParagraphFont"/>
    <w:link w:val="Header"/>
    <w:uiPriority w:val="99"/>
    <w:rsid w:val="005F1B52"/>
  </w:style>
  <w:style w:type="paragraph" w:styleId="Footer">
    <w:name w:val="footer"/>
    <w:basedOn w:val="Normal"/>
    <w:link w:val="FooterChar"/>
    <w:uiPriority w:val="99"/>
    <w:unhideWhenUsed/>
    <w:rsid w:val="005F1B52"/>
    <w:pPr>
      <w:tabs>
        <w:tab w:val="center" w:pos="4680"/>
        <w:tab w:val="right" w:pos="9360"/>
      </w:tabs>
    </w:pPr>
  </w:style>
  <w:style w:type="character" w:customStyle="1" w:styleId="FooterChar">
    <w:name w:val="Footer Char"/>
    <w:basedOn w:val="DefaultParagraphFont"/>
    <w:link w:val="Footer"/>
    <w:uiPriority w:val="99"/>
    <w:rsid w:val="005F1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5407">
      <w:bodyDiv w:val="1"/>
      <w:marLeft w:val="0"/>
      <w:marRight w:val="0"/>
      <w:marTop w:val="0"/>
      <w:marBottom w:val="0"/>
      <w:divBdr>
        <w:top w:val="none" w:sz="0" w:space="0" w:color="auto"/>
        <w:left w:val="none" w:sz="0" w:space="0" w:color="auto"/>
        <w:bottom w:val="none" w:sz="0" w:space="0" w:color="auto"/>
        <w:right w:val="none" w:sz="0" w:space="0" w:color="auto"/>
      </w:divBdr>
    </w:div>
    <w:div w:id="81950031">
      <w:bodyDiv w:val="1"/>
      <w:marLeft w:val="0"/>
      <w:marRight w:val="0"/>
      <w:marTop w:val="0"/>
      <w:marBottom w:val="0"/>
      <w:divBdr>
        <w:top w:val="none" w:sz="0" w:space="0" w:color="auto"/>
        <w:left w:val="none" w:sz="0" w:space="0" w:color="auto"/>
        <w:bottom w:val="none" w:sz="0" w:space="0" w:color="auto"/>
        <w:right w:val="none" w:sz="0" w:space="0" w:color="auto"/>
      </w:divBdr>
    </w:div>
    <w:div w:id="187450667">
      <w:bodyDiv w:val="1"/>
      <w:marLeft w:val="0"/>
      <w:marRight w:val="0"/>
      <w:marTop w:val="0"/>
      <w:marBottom w:val="0"/>
      <w:divBdr>
        <w:top w:val="none" w:sz="0" w:space="0" w:color="auto"/>
        <w:left w:val="none" w:sz="0" w:space="0" w:color="auto"/>
        <w:bottom w:val="none" w:sz="0" w:space="0" w:color="auto"/>
        <w:right w:val="none" w:sz="0" w:space="0" w:color="auto"/>
      </w:divBdr>
    </w:div>
    <w:div w:id="467166041">
      <w:bodyDiv w:val="1"/>
      <w:marLeft w:val="0"/>
      <w:marRight w:val="0"/>
      <w:marTop w:val="0"/>
      <w:marBottom w:val="0"/>
      <w:divBdr>
        <w:top w:val="none" w:sz="0" w:space="0" w:color="auto"/>
        <w:left w:val="none" w:sz="0" w:space="0" w:color="auto"/>
        <w:bottom w:val="none" w:sz="0" w:space="0" w:color="auto"/>
        <w:right w:val="none" w:sz="0" w:space="0" w:color="auto"/>
      </w:divBdr>
    </w:div>
    <w:div w:id="894050417">
      <w:bodyDiv w:val="1"/>
      <w:marLeft w:val="0"/>
      <w:marRight w:val="0"/>
      <w:marTop w:val="0"/>
      <w:marBottom w:val="0"/>
      <w:divBdr>
        <w:top w:val="none" w:sz="0" w:space="0" w:color="auto"/>
        <w:left w:val="none" w:sz="0" w:space="0" w:color="auto"/>
        <w:bottom w:val="none" w:sz="0" w:space="0" w:color="auto"/>
        <w:right w:val="none" w:sz="0" w:space="0" w:color="auto"/>
      </w:divBdr>
    </w:div>
    <w:div w:id="1192693325">
      <w:bodyDiv w:val="1"/>
      <w:marLeft w:val="0"/>
      <w:marRight w:val="0"/>
      <w:marTop w:val="0"/>
      <w:marBottom w:val="0"/>
      <w:divBdr>
        <w:top w:val="none" w:sz="0" w:space="0" w:color="auto"/>
        <w:left w:val="none" w:sz="0" w:space="0" w:color="auto"/>
        <w:bottom w:val="none" w:sz="0" w:space="0" w:color="auto"/>
        <w:right w:val="none" w:sz="0" w:space="0" w:color="auto"/>
      </w:divBdr>
    </w:div>
    <w:div w:id="1532377065">
      <w:bodyDiv w:val="1"/>
      <w:marLeft w:val="0"/>
      <w:marRight w:val="0"/>
      <w:marTop w:val="0"/>
      <w:marBottom w:val="0"/>
      <w:divBdr>
        <w:top w:val="none" w:sz="0" w:space="0" w:color="auto"/>
        <w:left w:val="none" w:sz="0" w:space="0" w:color="auto"/>
        <w:bottom w:val="none" w:sz="0" w:space="0" w:color="auto"/>
        <w:right w:val="none" w:sz="0" w:space="0" w:color="auto"/>
      </w:divBdr>
    </w:div>
    <w:div w:id="1747073953">
      <w:bodyDiv w:val="1"/>
      <w:marLeft w:val="0"/>
      <w:marRight w:val="0"/>
      <w:marTop w:val="0"/>
      <w:marBottom w:val="0"/>
      <w:divBdr>
        <w:top w:val="none" w:sz="0" w:space="0" w:color="auto"/>
        <w:left w:val="none" w:sz="0" w:space="0" w:color="auto"/>
        <w:bottom w:val="none" w:sz="0" w:space="0" w:color="auto"/>
        <w:right w:val="none" w:sz="0" w:space="0" w:color="auto"/>
      </w:divBdr>
    </w:div>
    <w:div w:id="1890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DA4AB-7EF6-4C58-A7E7-F72D93444725}">
  <ds:schemaRefs>
    <ds:schemaRef ds:uri="http://schemas.microsoft.com/sharepoint/v3/contenttype/forms"/>
  </ds:schemaRefs>
</ds:datastoreItem>
</file>

<file path=customXml/itemProps2.xml><?xml version="1.0" encoding="utf-8"?>
<ds:datastoreItem xmlns:ds="http://schemas.openxmlformats.org/officeDocument/2006/customXml" ds:itemID="{DDA697CD-CBF7-4AF5-A80A-049D0BD2A2B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509AA6-B836-4681-AF18-38AE2469B4AF}"/>
</file>

<file path=customXml/itemProps4.xml><?xml version="1.0" encoding="utf-8"?>
<ds:datastoreItem xmlns:ds="http://schemas.openxmlformats.org/officeDocument/2006/customXml" ds:itemID="{F0F57A36-001F-4825-A7D3-FE70CB3C4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3194</Words>
  <Characters>18208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Arimond</dc:creator>
  <cp:keywords/>
  <dc:description/>
  <cp:lastModifiedBy>Bridget Arimond</cp:lastModifiedBy>
  <cp:revision>2</cp:revision>
  <cp:lastPrinted>2021-06-18T17:32:00Z</cp:lastPrinted>
  <dcterms:created xsi:type="dcterms:W3CDTF">2021-06-18T17:36:00Z</dcterms:created>
  <dcterms:modified xsi:type="dcterms:W3CDTF">2021-06-18T17:36:00Z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