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DE87" w14:textId="78A4641C" w:rsidR="00765748" w:rsidRDefault="000F1160" w:rsidP="00F75797">
      <w:pPr>
        <w:spacing w:line="240" w:lineRule="auto"/>
        <w:jc w:val="center"/>
        <w:rPr>
          <w:rFonts w:ascii="Century Schoolbook" w:hAnsi="Century Schoolbook"/>
          <w:b/>
          <w:bCs/>
          <w:sz w:val="24"/>
          <w:szCs w:val="24"/>
        </w:rPr>
      </w:pPr>
      <w:r w:rsidRPr="009E5C09">
        <w:rPr>
          <w:rFonts w:ascii="Times New Roman" w:hAnsi="Times New Roman" w:cs="Times New Roman"/>
          <w:noProof/>
          <w:sz w:val="24"/>
          <w:szCs w:val="24"/>
        </w:rPr>
        <w:drawing>
          <wp:inline distT="0" distB="0" distL="0" distR="0" wp14:anchorId="7CE0950F" wp14:editId="4EC34A19">
            <wp:extent cx="846219" cy="916686"/>
            <wp:effectExtent l="0" t="0" r="0" b="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6219" cy="916686"/>
                    </a:xfrm>
                    <a:prstGeom prst="rect">
                      <a:avLst/>
                    </a:prstGeom>
                  </pic:spPr>
                </pic:pic>
              </a:graphicData>
            </a:graphic>
          </wp:inline>
        </w:drawing>
      </w:r>
    </w:p>
    <w:p w14:paraId="11A64E88" w14:textId="77777777" w:rsidR="001B7299" w:rsidRPr="00631BC4" w:rsidRDefault="001B7299" w:rsidP="001B7299">
      <w:pPr>
        <w:spacing w:line="240" w:lineRule="auto"/>
        <w:jc w:val="center"/>
        <w:rPr>
          <w:rFonts w:ascii="MS PMincho" w:eastAsia="MS PMincho" w:hAnsi="MS PMincho" w:cs="Times New Roman"/>
          <w:b/>
          <w:bCs/>
          <w:sz w:val="32"/>
          <w:szCs w:val="32"/>
        </w:rPr>
      </w:pPr>
      <w:r w:rsidRPr="00631BC4">
        <w:rPr>
          <w:rFonts w:ascii="MS PMincho" w:eastAsia="MS PMincho" w:hAnsi="MS PMincho" w:cs="Times New Roman"/>
          <w:b/>
          <w:bCs/>
          <w:sz w:val="32"/>
          <w:szCs w:val="32"/>
        </w:rPr>
        <w:t>University of Oklahoma College of Law International Human Rights Clinic</w:t>
      </w:r>
    </w:p>
    <w:p w14:paraId="341F6736" w14:textId="77777777" w:rsidR="001B7299" w:rsidRPr="00631BC4" w:rsidRDefault="001B7299" w:rsidP="001B7299">
      <w:pPr>
        <w:spacing w:line="240" w:lineRule="auto"/>
        <w:jc w:val="center"/>
        <w:rPr>
          <w:rFonts w:ascii="MS PMincho" w:eastAsia="MS PMincho" w:hAnsi="MS PMincho" w:cs="Times New Roman"/>
          <w:b/>
          <w:bCs/>
          <w:sz w:val="32"/>
          <w:szCs w:val="32"/>
        </w:rPr>
      </w:pPr>
      <w:r w:rsidRPr="00631BC4">
        <w:rPr>
          <w:rFonts w:ascii="MS PMincho" w:eastAsia="MS PMincho" w:hAnsi="MS PMincho" w:cs="Times New Roman"/>
          <w:b/>
          <w:bCs/>
          <w:sz w:val="32"/>
          <w:szCs w:val="32"/>
        </w:rPr>
        <w:t>The United States of America</w:t>
      </w:r>
    </w:p>
    <w:p w14:paraId="571D1472" w14:textId="77777777" w:rsidR="001B7299" w:rsidRDefault="001B7299" w:rsidP="0070445E">
      <w:pPr>
        <w:rPr>
          <w:rFonts w:ascii="Century Schoolbook" w:hAnsi="Century Schoolbook"/>
          <w:b/>
          <w:bCs/>
          <w:sz w:val="24"/>
          <w:szCs w:val="24"/>
        </w:rPr>
      </w:pPr>
    </w:p>
    <w:p w14:paraId="106B75D3" w14:textId="5FA1952B" w:rsidR="0070445E" w:rsidRPr="00631BC4" w:rsidRDefault="002A41B6" w:rsidP="00A54B25">
      <w:pPr>
        <w:jc w:val="center"/>
        <w:rPr>
          <w:rFonts w:ascii="MS PMincho" w:eastAsia="MS PMincho" w:hAnsi="MS PMincho"/>
          <w:color w:val="000000"/>
          <w:sz w:val="28"/>
          <w:szCs w:val="28"/>
        </w:rPr>
      </w:pPr>
      <w:r>
        <w:rPr>
          <w:rStyle w:val="Strong"/>
          <w:rFonts w:ascii="MS PMincho" w:eastAsia="MS PMincho" w:hAnsi="MS PMincho"/>
          <w:color w:val="000000"/>
          <w:sz w:val="28"/>
          <w:szCs w:val="28"/>
        </w:rPr>
        <w:t>“</w:t>
      </w:r>
      <w:r w:rsidR="006E59B1" w:rsidRPr="00631BC4">
        <w:rPr>
          <w:rStyle w:val="Strong"/>
          <w:rFonts w:ascii="MS PMincho" w:eastAsia="MS PMincho" w:hAnsi="MS PMincho"/>
          <w:color w:val="000000"/>
          <w:sz w:val="28"/>
          <w:szCs w:val="28"/>
        </w:rPr>
        <w:t>Submission - General discussion on GRIWAG</w:t>
      </w:r>
      <w:r w:rsidR="006E59B1" w:rsidRPr="00631BC4">
        <w:rPr>
          <w:rFonts w:ascii="MS PMincho" w:eastAsia="MS PMincho" w:hAnsi="MS PMincho"/>
          <w:color w:val="000000"/>
          <w:sz w:val="28"/>
          <w:szCs w:val="28"/>
        </w:rPr>
        <w:t>"</w:t>
      </w:r>
    </w:p>
    <w:p w14:paraId="5A32FBC3" w14:textId="77777777" w:rsidR="002A41B6" w:rsidRDefault="002A41B6" w:rsidP="00B72CC9">
      <w:pPr>
        <w:jc w:val="center"/>
        <w:rPr>
          <w:rFonts w:ascii="MS PMincho" w:eastAsia="MS PMincho" w:hAnsi="MS PMincho"/>
          <w:color w:val="000000"/>
          <w:sz w:val="28"/>
          <w:szCs w:val="28"/>
        </w:rPr>
      </w:pPr>
    </w:p>
    <w:p w14:paraId="666BE91D" w14:textId="54E46CE9" w:rsidR="0070445E" w:rsidRDefault="0070445E" w:rsidP="00B72CC9">
      <w:pPr>
        <w:jc w:val="center"/>
        <w:rPr>
          <w:rFonts w:ascii="MS PMincho" w:eastAsia="MS PMincho" w:hAnsi="MS PMincho"/>
          <w:color w:val="000000"/>
          <w:sz w:val="28"/>
          <w:szCs w:val="28"/>
        </w:rPr>
      </w:pPr>
      <w:r>
        <w:rPr>
          <w:rFonts w:ascii="MS PMincho" w:eastAsia="MS PMincho" w:hAnsi="MS PMincho"/>
          <w:color w:val="000000"/>
          <w:sz w:val="28"/>
          <w:szCs w:val="28"/>
        </w:rPr>
        <w:t xml:space="preserve">Prepared by </w:t>
      </w:r>
    </w:p>
    <w:p w14:paraId="4BA95282" w14:textId="39CF24C3" w:rsidR="0070445E" w:rsidRDefault="0070445E" w:rsidP="0070445E">
      <w:pPr>
        <w:rPr>
          <w:rFonts w:ascii="MS PMincho" w:eastAsia="MS PMincho" w:hAnsi="MS PMincho"/>
          <w:color w:val="000000"/>
          <w:sz w:val="28"/>
          <w:szCs w:val="28"/>
        </w:rPr>
      </w:pPr>
    </w:p>
    <w:p w14:paraId="5AC22E05" w14:textId="48A87F52" w:rsidR="0070445E" w:rsidRDefault="0070445E" w:rsidP="0070445E">
      <w:pPr>
        <w:rPr>
          <w:rFonts w:ascii="MS PMincho" w:eastAsia="MS PMincho" w:hAnsi="MS PMincho"/>
          <w:color w:val="000000"/>
          <w:sz w:val="28"/>
          <w:szCs w:val="28"/>
        </w:rPr>
      </w:pPr>
      <w:r>
        <w:rPr>
          <w:rFonts w:ascii="MS PMincho" w:eastAsia="MS PMincho" w:hAnsi="MS PMincho"/>
          <w:color w:val="000000"/>
          <w:sz w:val="28"/>
          <w:szCs w:val="28"/>
        </w:rPr>
        <w:t xml:space="preserve">Student                                                                </w:t>
      </w:r>
      <w:r w:rsidR="002A41B6">
        <w:rPr>
          <w:rFonts w:ascii="MS PMincho" w:eastAsia="MS PMincho" w:hAnsi="MS PMincho"/>
          <w:color w:val="000000"/>
          <w:sz w:val="28"/>
          <w:szCs w:val="28"/>
        </w:rPr>
        <w:t xml:space="preserve">                </w:t>
      </w:r>
      <w:r>
        <w:rPr>
          <w:rFonts w:ascii="MS PMincho" w:eastAsia="MS PMincho" w:hAnsi="MS PMincho"/>
          <w:color w:val="000000"/>
          <w:sz w:val="28"/>
          <w:szCs w:val="28"/>
        </w:rPr>
        <w:t xml:space="preserve">Professor </w:t>
      </w:r>
    </w:p>
    <w:p w14:paraId="15AC8CEB" w14:textId="0258B2DE" w:rsidR="0070445E" w:rsidRPr="0070445E" w:rsidRDefault="0070445E" w:rsidP="0070445E">
      <w:pPr>
        <w:rPr>
          <w:rFonts w:ascii="MS PMincho" w:eastAsia="MS PMincho" w:hAnsi="MS PMincho"/>
          <w:color w:val="000000"/>
          <w:sz w:val="24"/>
          <w:szCs w:val="24"/>
        </w:rPr>
      </w:pPr>
      <w:r w:rsidRPr="00BB5CE6">
        <w:rPr>
          <w:rFonts w:ascii="MS PMincho" w:eastAsia="MS PMincho" w:hAnsi="MS PMincho"/>
          <w:color w:val="000000"/>
          <w:sz w:val="28"/>
          <w:szCs w:val="28"/>
        </w:rPr>
        <w:t xml:space="preserve">Melanie McGruder, Juris Doctor Candidate, Class of 2022 </w:t>
      </w:r>
      <w:r>
        <w:rPr>
          <w:rFonts w:ascii="MS PMincho" w:eastAsia="MS PMincho" w:hAnsi="MS PMincho"/>
          <w:color w:val="000000"/>
          <w:sz w:val="24"/>
          <w:szCs w:val="24"/>
        </w:rPr>
        <w:t xml:space="preserve"> </w:t>
      </w:r>
      <w:r w:rsidR="002A41B6">
        <w:rPr>
          <w:rFonts w:ascii="MS PMincho" w:eastAsia="MS PMincho" w:hAnsi="MS PMincho"/>
          <w:color w:val="000000"/>
          <w:sz w:val="24"/>
          <w:szCs w:val="24"/>
        </w:rPr>
        <w:t xml:space="preserve">        </w:t>
      </w:r>
      <w:r w:rsidR="00BB5CE6">
        <w:rPr>
          <w:rFonts w:ascii="MS PMincho" w:eastAsia="MS PMincho" w:hAnsi="MS PMincho"/>
          <w:color w:val="000000"/>
          <w:sz w:val="24"/>
          <w:szCs w:val="24"/>
        </w:rPr>
        <w:t xml:space="preserve">   </w:t>
      </w:r>
      <w:r w:rsidRPr="00BB5CE6">
        <w:rPr>
          <w:rFonts w:ascii="MS PMincho" w:eastAsia="MS PMincho" w:hAnsi="MS PMincho"/>
          <w:color w:val="000000"/>
          <w:sz w:val="28"/>
          <w:szCs w:val="28"/>
        </w:rPr>
        <w:t>Alvaro Baca</w:t>
      </w:r>
      <w:r>
        <w:rPr>
          <w:rFonts w:ascii="MS PMincho" w:eastAsia="MS PMincho" w:hAnsi="MS PMincho"/>
          <w:color w:val="000000"/>
          <w:sz w:val="24"/>
          <w:szCs w:val="24"/>
        </w:rPr>
        <w:t xml:space="preserve"> </w:t>
      </w:r>
    </w:p>
    <w:p w14:paraId="75C531E1" w14:textId="29177283" w:rsidR="0070445E" w:rsidRDefault="0070445E" w:rsidP="00B72CC9">
      <w:pPr>
        <w:jc w:val="center"/>
        <w:rPr>
          <w:rFonts w:ascii="MS PMincho" w:eastAsia="MS PMincho" w:hAnsi="MS PMincho"/>
          <w:color w:val="000000"/>
          <w:sz w:val="28"/>
          <w:szCs w:val="28"/>
        </w:rPr>
      </w:pPr>
    </w:p>
    <w:p w14:paraId="0390C31E" w14:textId="1E41EB9E" w:rsidR="0070445E" w:rsidRDefault="0070445E" w:rsidP="00B72CC9">
      <w:pPr>
        <w:jc w:val="center"/>
        <w:rPr>
          <w:rFonts w:ascii="MS PMincho" w:eastAsia="MS PMincho" w:hAnsi="MS PMincho"/>
          <w:color w:val="000000"/>
          <w:sz w:val="28"/>
          <w:szCs w:val="28"/>
        </w:rPr>
      </w:pPr>
    </w:p>
    <w:p w14:paraId="61F8D0CE" w14:textId="216F68D2" w:rsidR="002E6562" w:rsidRDefault="002E6562" w:rsidP="00B72CC9">
      <w:pPr>
        <w:jc w:val="center"/>
        <w:rPr>
          <w:rFonts w:ascii="MS PMincho" w:eastAsia="MS PMincho" w:hAnsi="MS PMincho"/>
          <w:color w:val="000000"/>
          <w:sz w:val="28"/>
          <w:szCs w:val="28"/>
        </w:rPr>
      </w:pPr>
    </w:p>
    <w:p w14:paraId="4A150F0A" w14:textId="24EEC8CD" w:rsidR="002E6562" w:rsidRDefault="002E6562" w:rsidP="00B72CC9">
      <w:pPr>
        <w:jc w:val="center"/>
        <w:rPr>
          <w:rFonts w:ascii="MS PMincho" w:eastAsia="MS PMincho" w:hAnsi="MS PMincho"/>
          <w:color w:val="000000"/>
          <w:sz w:val="28"/>
          <w:szCs w:val="28"/>
        </w:rPr>
      </w:pPr>
    </w:p>
    <w:p w14:paraId="779A35F6" w14:textId="7215283C" w:rsidR="002E6562" w:rsidRDefault="002E6562" w:rsidP="00B72CC9">
      <w:pPr>
        <w:jc w:val="center"/>
        <w:rPr>
          <w:rFonts w:ascii="MS PMincho" w:eastAsia="MS PMincho" w:hAnsi="MS PMincho"/>
          <w:color w:val="000000"/>
          <w:sz w:val="28"/>
          <w:szCs w:val="28"/>
        </w:rPr>
      </w:pPr>
    </w:p>
    <w:p w14:paraId="30B56807" w14:textId="3A64B37A" w:rsidR="002E6562" w:rsidRDefault="002E6562" w:rsidP="00B72CC9">
      <w:pPr>
        <w:jc w:val="center"/>
        <w:rPr>
          <w:rFonts w:ascii="MS PMincho" w:eastAsia="MS PMincho" w:hAnsi="MS PMincho"/>
          <w:color w:val="000000"/>
          <w:sz w:val="28"/>
          <w:szCs w:val="28"/>
        </w:rPr>
      </w:pPr>
    </w:p>
    <w:p w14:paraId="44462E7B" w14:textId="5371F262" w:rsidR="002E6562" w:rsidRDefault="002E6562" w:rsidP="00B72CC9">
      <w:pPr>
        <w:jc w:val="center"/>
        <w:rPr>
          <w:rFonts w:ascii="MS PMincho" w:eastAsia="MS PMincho" w:hAnsi="MS PMincho"/>
          <w:color w:val="000000"/>
          <w:sz w:val="28"/>
          <w:szCs w:val="28"/>
        </w:rPr>
      </w:pPr>
    </w:p>
    <w:p w14:paraId="556C814D" w14:textId="3EA94FCC" w:rsidR="002E6562" w:rsidRDefault="002E6562" w:rsidP="00B72CC9">
      <w:pPr>
        <w:jc w:val="center"/>
        <w:rPr>
          <w:rFonts w:ascii="MS PMincho" w:eastAsia="MS PMincho" w:hAnsi="MS PMincho"/>
          <w:color w:val="000000"/>
          <w:sz w:val="28"/>
          <w:szCs w:val="28"/>
        </w:rPr>
      </w:pPr>
    </w:p>
    <w:p w14:paraId="1B112A0F" w14:textId="7C874BFB" w:rsidR="002E6562" w:rsidRDefault="002E6562" w:rsidP="005D0BC3">
      <w:pPr>
        <w:rPr>
          <w:rFonts w:ascii="MS PMincho" w:eastAsia="MS PMincho" w:hAnsi="MS PMincho"/>
          <w:color w:val="000000"/>
          <w:sz w:val="28"/>
          <w:szCs w:val="28"/>
        </w:rPr>
      </w:pPr>
    </w:p>
    <w:p w14:paraId="6D7AD9FC" w14:textId="1D0997DA" w:rsidR="002E6562" w:rsidRDefault="002E6562" w:rsidP="00B72CC9">
      <w:pPr>
        <w:jc w:val="center"/>
        <w:rPr>
          <w:rFonts w:ascii="MS PMincho" w:eastAsia="MS PMincho" w:hAnsi="MS PMincho"/>
          <w:color w:val="000000"/>
          <w:sz w:val="28"/>
          <w:szCs w:val="28"/>
        </w:rPr>
      </w:pPr>
    </w:p>
    <w:p w14:paraId="09844A32" w14:textId="77777777" w:rsidR="0043093C" w:rsidRDefault="002E6562" w:rsidP="0043093C">
      <w:pPr>
        <w:jc w:val="center"/>
        <w:rPr>
          <w:rFonts w:ascii="MS PMincho" w:eastAsia="MS PMincho" w:hAnsi="MS PMincho"/>
          <w:color w:val="000000"/>
          <w:sz w:val="28"/>
          <w:szCs w:val="28"/>
        </w:rPr>
      </w:pPr>
      <w:proofErr w:type="gramStart"/>
      <w:r>
        <w:rPr>
          <w:rFonts w:ascii="MS PMincho" w:eastAsia="MS PMincho" w:hAnsi="MS PMincho"/>
          <w:color w:val="000000"/>
          <w:sz w:val="28"/>
          <w:szCs w:val="28"/>
        </w:rPr>
        <w:t>June,</w:t>
      </w:r>
      <w:proofErr w:type="gramEnd"/>
      <w:r>
        <w:rPr>
          <w:rFonts w:ascii="MS PMincho" w:eastAsia="MS PMincho" w:hAnsi="MS PMincho"/>
          <w:color w:val="000000"/>
          <w:sz w:val="28"/>
          <w:szCs w:val="28"/>
        </w:rPr>
        <w:t xml:space="preserve"> 2021</w:t>
      </w:r>
    </w:p>
    <w:p w14:paraId="2659B6AC" w14:textId="77777777" w:rsidR="003C692E" w:rsidRDefault="009C07A3" w:rsidP="00A0221A">
      <w:pPr>
        <w:jc w:val="both"/>
        <w:rPr>
          <w:rFonts w:ascii="MS PMincho" w:eastAsia="MS PMincho" w:hAnsi="MS PMincho"/>
          <w:color w:val="000000"/>
          <w:sz w:val="28"/>
          <w:szCs w:val="28"/>
        </w:rPr>
      </w:pPr>
      <w:r w:rsidRPr="00B371D6">
        <w:rPr>
          <w:rFonts w:ascii="Century Schoolbook" w:hAnsi="Century Schoolbook" w:cs="Times New Roman"/>
          <w:sz w:val="24"/>
          <w:szCs w:val="24"/>
        </w:rPr>
        <w:lastRenderedPageBreak/>
        <w:t xml:space="preserve">The rights of indigenous women and girls" </w:t>
      </w:r>
    </w:p>
    <w:p w14:paraId="32AF808D" w14:textId="396E9C34" w:rsidR="007A4B35" w:rsidRPr="0008435B" w:rsidRDefault="009C07A3" w:rsidP="00A0221A">
      <w:pPr>
        <w:jc w:val="both"/>
        <w:rPr>
          <w:rFonts w:ascii="MS PMincho" w:eastAsia="MS PMincho" w:hAnsi="MS PMincho"/>
          <w:color w:val="000000"/>
          <w:sz w:val="28"/>
          <w:szCs w:val="28"/>
        </w:rPr>
      </w:pPr>
      <w:r w:rsidRPr="00B371D6">
        <w:rPr>
          <w:rFonts w:ascii="Century Schoolbook" w:hAnsi="Century Schoolbook" w:cs="Times New Roman"/>
          <w:sz w:val="24"/>
          <w:szCs w:val="24"/>
        </w:rPr>
        <w:t xml:space="preserve">Equality and non-discrimination with a focus on indigenous women and girls and intersecting forms of discrimination” </w:t>
      </w:r>
    </w:p>
    <w:p w14:paraId="78157B14" w14:textId="67CA6E62" w:rsidR="00B72CC9" w:rsidRDefault="00B72CC9" w:rsidP="00505D73">
      <w:pPr>
        <w:pStyle w:val="ListParagraph"/>
        <w:numPr>
          <w:ilvl w:val="0"/>
          <w:numId w:val="4"/>
        </w:numPr>
        <w:rPr>
          <w:rFonts w:ascii="Century Schoolbook" w:hAnsi="Century Schoolbook"/>
          <w:b/>
          <w:iCs/>
          <w:sz w:val="24"/>
          <w:szCs w:val="24"/>
        </w:rPr>
      </w:pPr>
      <w:r w:rsidRPr="00505D73">
        <w:rPr>
          <w:rFonts w:ascii="Century Schoolbook" w:hAnsi="Century Schoolbook"/>
          <w:b/>
          <w:iCs/>
          <w:sz w:val="24"/>
          <w:szCs w:val="24"/>
        </w:rPr>
        <w:t xml:space="preserve">Women’s Access to Justice </w:t>
      </w:r>
    </w:p>
    <w:p w14:paraId="5BF990E6" w14:textId="77777777" w:rsidR="00505D73" w:rsidRPr="00A0221A" w:rsidRDefault="00505D73" w:rsidP="00505D73">
      <w:pPr>
        <w:pStyle w:val="ListParagraph"/>
        <w:ind w:left="1080"/>
        <w:rPr>
          <w:rFonts w:ascii="Century Schoolbook" w:hAnsi="Century Schoolbook"/>
          <w:b/>
          <w:iCs/>
          <w:sz w:val="10"/>
          <w:szCs w:val="10"/>
        </w:rPr>
      </w:pPr>
    </w:p>
    <w:p w14:paraId="4BB60FDD" w14:textId="584EDA9F" w:rsidR="00505D73" w:rsidRPr="007D6AE6" w:rsidRDefault="00505D73" w:rsidP="00505D73">
      <w:pPr>
        <w:pStyle w:val="ListParagraph"/>
        <w:numPr>
          <w:ilvl w:val="0"/>
          <w:numId w:val="5"/>
        </w:numPr>
        <w:rPr>
          <w:rFonts w:ascii="Century Schoolbook" w:hAnsi="Century Schoolbook"/>
          <w:i/>
          <w:iCs/>
          <w:sz w:val="24"/>
          <w:szCs w:val="24"/>
        </w:rPr>
      </w:pPr>
      <w:r w:rsidRPr="007D6AE6">
        <w:rPr>
          <w:rFonts w:ascii="Century Schoolbook" w:hAnsi="Century Schoolbook"/>
          <w:i/>
          <w:iCs/>
          <w:sz w:val="24"/>
          <w:szCs w:val="24"/>
        </w:rPr>
        <w:t xml:space="preserve">Background on Women’s Access to Justice </w:t>
      </w:r>
    </w:p>
    <w:p w14:paraId="6425D9D4" w14:textId="77777777" w:rsidR="00175DE7" w:rsidRDefault="00175DE7" w:rsidP="00175DE7">
      <w:pPr>
        <w:pStyle w:val="ListParagraph"/>
        <w:ind w:left="1440"/>
        <w:rPr>
          <w:rFonts w:ascii="Century Schoolbook" w:hAnsi="Century Schoolbook"/>
          <w:iCs/>
          <w:sz w:val="24"/>
          <w:szCs w:val="24"/>
        </w:rPr>
      </w:pPr>
    </w:p>
    <w:p w14:paraId="17C2D693" w14:textId="20FB0577" w:rsidR="00134C71" w:rsidRPr="00175DE7" w:rsidRDefault="00175DE7" w:rsidP="005F4B13">
      <w:pPr>
        <w:pStyle w:val="ListParagraph"/>
        <w:numPr>
          <w:ilvl w:val="0"/>
          <w:numId w:val="12"/>
        </w:numPr>
        <w:spacing w:line="360" w:lineRule="auto"/>
        <w:jc w:val="both"/>
        <w:rPr>
          <w:rFonts w:ascii="Century Schoolbook" w:hAnsi="Century Schoolbook"/>
          <w:iCs/>
          <w:sz w:val="24"/>
          <w:szCs w:val="24"/>
        </w:rPr>
      </w:pPr>
      <w:r>
        <w:rPr>
          <w:rFonts w:ascii="Century Schoolbook" w:hAnsi="Century Schoolbook"/>
          <w:iCs/>
          <w:sz w:val="24"/>
          <w:szCs w:val="24"/>
        </w:rPr>
        <w:t>Women in Brazil, specifically Indigenous women, are victims of gender-based violence at an alarming rate.</w:t>
      </w:r>
      <w:r w:rsidR="00A4147E">
        <w:rPr>
          <w:rStyle w:val="FootnoteReference"/>
          <w:rFonts w:ascii="Century Schoolbook" w:hAnsi="Century Schoolbook"/>
          <w:iCs/>
          <w:sz w:val="24"/>
          <w:szCs w:val="24"/>
        </w:rPr>
        <w:footnoteReference w:id="1"/>
      </w:r>
      <w:r>
        <w:rPr>
          <w:rFonts w:ascii="Century Schoolbook" w:hAnsi="Century Schoolbook"/>
          <w:iCs/>
          <w:sz w:val="24"/>
          <w:szCs w:val="24"/>
        </w:rPr>
        <w:t xml:space="preserve"> Sadly, most women who have been victims of violence are finding it difficult to have access to justice due to racial, political, and cultural restrictions. </w:t>
      </w:r>
      <w:r w:rsidRPr="00175DE7">
        <w:rPr>
          <w:rFonts w:ascii="Century Schoolbook" w:hAnsi="Century Schoolbook"/>
          <w:iCs/>
          <w:sz w:val="24"/>
          <w:szCs w:val="24"/>
        </w:rPr>
        <w:t xml:space="preserve"> </w:t>
      </w:r>
    </w:p>
    <w:p w14:paraId="2B3E14DF" w14:textId="51E96C60" w:rsidR="00505D73" w:rsidRPr="00175DE7" w:rsidRDefault="00134C71" w:rsidP="009C07A3">
      <w:pPr>
        <w:pStyle w:val="ListParagraph"/>
        <w:numPr>
          <w:ilvl w:val="0"/>
          <w:numId w:val="12"/>
        </w:numPr>
        <w:spacing w:line="360" w:lineRule="auto"/>
        <w:jc w:val="both"/>
        <w:rPr>
          <w:rFonts w:ascii="Century Schoolbook" w:hAnsi="Century Schoolbook"/>
          <w:sz w:val="24"/>
          <w:szCs w:val="24"/>
        </w:rPr>
      </w:pPr>
      <w:r w:rsidRPr="00505D73">
        <w:rPr>
          <w:rFonts w:ascii="Century Schoolbook" w:hAnsi="Century Schoolbook"/>
          <w:sz w:val="24"/>
          <w:szCs w:val="24"/>
        </w:rPr>
        <w:t>In 2010, the CEDAW report for Brazil detailed the implementation of the Maria da Penha Law. This law, also known as 11,340/2006, was a “major historical achievement . . . of women’s human rights.”</w:t>
      </w:r>
      <w:r w:rsidR="00410450">
        <w:rPr>
          <w:rStyle w:val="FootnoteReference"/>
          <w:rFonts w:ascii="Century Schoolbook" w:hAnsi="Century Schoolbook"/>
          <w:sz w:val="24"/>
          <w:szCs w:val="24"/>
        </w:rPr>
        <w:footnoteReference w:id="2"/>
      </w:r>
      <w:r w:rsidRPr="00505D73">
        <w:rPr>
          <w:rFonts w:ascii="Century Schoolbook" w:hAnsi="Century Schoolbook"/>
          <w:sz w:val="24"/>
          <w:szCs w:val="24"/>
        </w:rPr>
        <w:t xml:space="preserve"> This law criminalizes violence, in all forms, and proposed the creation of special courts to handle domestic and family violence against women.</w:t>
      </w:r>
      <w:r w:rsidR="00410450">
        <w:rPr>
          <w:rStyle w:val="FootnoteReference"/>
          <w:rFonts w:ascii="Century Schoolbook" w:hAnsi="Century Schoolbook"/>
          <w:sz w:val="24"/>
          <w:szCs w:val="24"/>
        </w:rPr>
        <w:footnoteReference w:id="3"/>
      </w:r>
      <w:r w:rsidRPr="00505D73">
        <w:rPr>
          <w:rFonts w:ascii="Century Schoolbook" w:hAnsi="Century Schoolbook"/>
          <w:sz w:val="24"/>
          <w:szCs w:val="24"/>
        </w:rPr>
        <w:t xml:space="preserve"> </w:t>
      </w:r>
    </w:p>
    <w:p w14:paraId="269B63B6" w14:textId="586F415F" w:rsidR="00505D73" w:rsidRPr="00175DE7" w:rsidRDefault="00505D73" w:rsidP="00E37793">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 xml:space="preserve"> </w:t>
      </w:r>
      <w:r w:rsidR="00B72CC9" w:rsidRPr="00505D73">
        <w:rPr>
          <w:rFonts w:ascii="Century Schoolbook" w:hAnsi="Century Schoolbook"/>
          <w:sz w:val="24"/>
          <w:szCs w:val="24"/>
        </w:rPr>
        <w:t>In 2012, CEDAW urges Brazil to strengthen their judicial system to ensure that women, specifically women in disadvantaged groups, have access to justice by increasing the number of courts dealing with domestic and family.</w:t>
      </w:r>
      <w:r w:rsidR="00410450">
        <w:rPr>
          <w:rStyle w:val="FootnoteReference"/>
          <w:rFonts w:ascii="Century Schoolbook" w:hAnsi="Century Schoolbook"/>
          <w:sz w:val="24"/>
          <w:szCs w:val="24"/>
        </w:rPr>
        <w:footnoteReference w:id="4"/>
      </w:r>
      <w:r w:rsidR="00B72CC9" w:rsidRPr="00505D73">
        <w:rPr>
          <w:rFonts w:ascii="Century Schoolbook" w:hAnsi="Century Schoolbook"/>
          <w:sz w:val="24"/>
          <w:szCs w:val="24"/>
        </w:rPr>
        <w:t xml:space="preserve"> </w:t>
      </w:r>
      <w:r w:rsidR="00134C71" w:rsidRPr="00505D73">
        <w:rPr>
          <w:rFonts w:ascii="Century Schoolbook" w:hAnsi="Century Schoolbook"/>
          <w:sz w:val="24"/>
          <w:szCs w:val="24"/>
        </w:rPr>
        <w:t>In the 2012 CEDAW report, the Committee recognized that the Supreme Court ruled on the “legal controversies . . . of the Maria da Penha law.”</w:t>
      </w:r>
      <w:r w:rsidR="00410450">
        <w:rPr>
          <w:rStyle w:val="FootnoteReference"/>
          <w:rFonts w:ascii="Century Schoolbook" w:hAnsi="Century Schoolbook"/>
          <w:sz w:val="24"/>
          <w:szCs w:val="24"/>
        </w:rPr>
        <w:footnoteReference w:id="5"/>
      </w:r>
      <w:r w:rsidR="00134C71" w:rsidRPr="00505D73">
        <w:rPr>
          <w:rFonts w:ascii="Century Schoolbook" w:hAnsi="Century Schoolbook"/>
          <w:sz w:val="24"/>
          <w:szCs w:val="24"/>
        </w:rPr>
        <w:t xml:space="preserve"> However, there has been a huge resistance to</w:t>
      </w:r>
      <w:r w:rsidR="00175DE7">
        <w:rPr>
          <w:rFonts w:ascii="Century Schoolbook" w:hAnsi="Century Schoolbook"/>
          <w:sz w:val="24"/>
          <w:szCs w:val="24"/>
        </w:rPr>
        <w:t xml:space="preserve"> this law leading to </w:t>
      </w:r>
      <w:r w:rsidR="00134C71" w:rsidRPr="00505D73">
        <w:rPr>
          <w:rFonts w:ascii="Century Schoolbook" w:hAnsi="Century Schoolbook"/>
          <w:sz w:val="24"/>
          <w:szCs w:val="24"/>
        </w:rPr>
        <w:t xml:space="preserve">concern </w:t>
      </w:r>
      <w:r w:rsidR="00175DE7">
        <w:rPr>
          <w:rFonts w:ascii="Century Schoolbook" w:hAnsi="Century Schoolbook"/>
          <w:sz w:val="24"/>
          <w:szCs w:val="24"/>
        </w:rPr>
        <w:t xml:space="preserve">that there will be a lack of compliance </w:t>
      </w:r>
      <w:r w:rsidR="00134C71" w:rsidRPr="00505D73">
        <w:rPr>
          <w:rFonts w:ascii="Century Schoolbook" w:hAnsi="Century Schoolbook"/>
          <w:sz w:val="24"/>
          <w:szCs w:val="24"/>
        </w:rPr>
        <w:t>by judges at the local level.</w:t>
      </w:r>
      <w:r w:rsidR="00410450">
        <w:rPr>
          <w:rStyle w:val="FootnoteReference"/>
          <w:rFonts w:ascii="Century Schoolbook" w:hAnsi="Century Schoolbook"/>
          <w:sz w:val="24"/>
          <w:szCs w:val="24"/>
        </w:rPr>
        <w:footnoteReference w:id="6"/>
      </w:r>
      <w:r w:rsidR="00134C71" w:rsidRPr="00505D73">
        <w:rPr>
          <w:rFonts w:ascii="Century Schoolbook" w:hAnsi="Century Schoolbook"/>
          <w:sz w:val="24"/>
          <w:szCs w:val="24"/>
        </w:rPr>
        <w:t xml:space="preserve"> The Committee is also concerned that there is a lack of expertise on domestic and family violence cases and the lack of accurate data on violence against women.</w:t>
      </w:r>
      <w:r w:rsidR="00410450">
        <w:rPr>
          <w:rStyle w:val="FootnoteReference"/>
          <w:rFonts w:ascii="Century Schoolbook" w:hAnsi="Century Schoolbook"/>
          <w:sz w:val="24"/>
          <w:szCs w:val="24"/>
        </w:rPr>
        <w:footnoteReference w:id="7"/>
      </w:r>
      <w:r w:rsidR="00134C71" w:rsidRPr="00505D73">
        <w:rPr>
          <w:rFonts w:ascii="Century Schoolbook" w:hAnsi="Century Schoolbook"/>
          <w:sz w:val="24"/>
          <w:szCs w:val="24"/>
        </w:rPr>
        <w:t xml:space="preserve"> The committee suggests better training to legal actors on women’s rights and violence against </w:t>
      </w:r>
      <w:r w:rsidR="00134C71" w:rsidRPr="00505D73">
        <w:rPr>
          <w:rFonts w:ascii="Century Schoolbook" w:hAnsi="Century Schoolbook"/>
          <w:sz w:val="24"/>
          <w:szCs w:val="24"/>
        </w:rPr>
        <w:lastRenderedPageBreak/>
        <w:t>women and improve collection of statistical date on monitoring the impact of the Maria da Penha Law.</w:t>
      </w:r>
      <w:r w:rsidR="00410450">
        <w:rPr>
          <w:rStyle w:val="FootnoteReference"/>
          <w:rFonts w:ascii="Century Schoolbook" w:hAnsi="Century Schoolbook"/>
          <w:sz w:val="24"/>
          <w:szCs w:val="24"/>
        </w:rPr>
        <w:footnoteReference w:id="8"/>
      </w:r>
      <w:r w:rsidR="00134C71" w:rsidRPr="00505D73">
        <w:rPr>
          <w:rFonts w:ascii="Century Schoolbook" w:hAnsi="Century Schoolbook"/>
          <w:sz w:val="24"/>
          <w:szCs w:val="24"/>
        </w:rPr>
        <w:t xml:space="preserve"> </w:t>
      </w:r>
    </w:p>
    <w:p w14:paraId="4348B49B" w14:textId="34BE410F" w:rsidR="0086688F" w:rsidRPr="0086688F" w:rsidRDefault="0086688F" w:rsidP="00475166">
      <w:pPr>
        <w:pStyle w:val="ListParagraph"/>
        <w:numPr>
          <w:ilvl w:val="0"/>
          <w:numId w:val="12"/>
        </w:numPr>
        <w:spacing w:line="360" w:lineRule="auto"/>
        <w:jc w:val="both"/>
        <w:rPr>
          <w:rFonts w:ascii="Century Schoolbook" w:hAnsi="Century Schoolbook"/>
          <w:sz w:val="24"/>
          <w:szCs w:val="24"/>
        </w:rPr>
      </w:pPr>
      <w:r w:rsidRPr="0086688F">
        <w:rPr>
          <w:rFonts w:ascii="Century Schoolbook" w:hAnsi="Century Schoolbook"/>
          <w:sz w:val="24"/>
          <w:szCs w:val="24"/>
        </w:rPr>
        <w:t>In the 2016, the Special Rapporteur on the rights of indigenous peoples highlighted the use of “security suspension” within the judiciary system.</w:t>
      </w:r>
      <w:r w:rsidR="00410450">
        <w:rPr>
          <w:rStyle w:val="FootnoteReference"/>
          <w:rFonts w:ascii="Century Schoolbook" w:hAnsi="Century Schoolbook"/>
          <w:sz w:val="24"/>
          <w:szCs w:val="24"/>
        </w:rPr>
        <w:footnoteReference w:id="9"/>
      </w:r>
      <w:r w:rsidRPr="0086688F">
        <w:rPr>
          <w:rFonts w:ascii="Century Schoolbook" w:hAnsi="Century Schoolbook"/>
          <w:sz w:val="24"/>
          <w:szCs w:val="24"/>
        </w:rPr>
        <w:t xml:space="preserve"> Security suspensions allow certain rights to be suspended if favor of other interests.</w:t>
      </w:r>
      <w:r w:rsidR="00410450">
        <w:rPr>
          <w:rStyle w:val="FootnoteReference"/>
          <w:rFonts w:ascii="Century Schoolbook" w:hAnsi="Century Schoolbook"/>
          <w:sz w:val="24"/>
          <w:szCs w:val="24"/>
        </w:rPr>
        <w:footnoteReference w:id="10"/>
      </w:r>
      <w:r w:rsidRPr="0086688F">
        <w:rPr>
          <w:rFonts w:ascii="Century Schoolbook" w:hAnsi="Century Schoolbook"/>
          <w:sz w:val="24"/>
          <w:szCs w:val="24"/>
        </w:rPr>
        <w:t xml:space="preserve"> This is a concern for indigenous people due to encroaching development projects taking precedent and resulting in serious violations of indigenous people’s rights.</w:t>
      </w:r>
    </w:p>
    <w:p w14:paraId="489A3B05" w14:textId="06CE30D3" w:rsidR="0086688F" w:rsidRDefault="00B72CC9" w:rsidP="00475166">
      <w:pPr>
        <w:pStyle w:val="ListParagraph"/>
        <w:numPr>
          <w:ilvl w:val="0"/>
          <w:numId w:val="12"/>
        </w:numPr>
        <w:spacing w:line="360" w:lineRule="auto"/>
        <w:jc w:val="both"/>
        <w:rPr>
          <w:rFonts w:ascii="Century Schoolbook" w:hAnsi="Century Schoolbook"/>
          <w:sz w:val="24"/>
          <w:szCs w:val="24"/>
        </w:rPr>
      </w:pPr>
      <w:r w:rsidRPr="00505D73">
        <w:rPr>
          <w:rFonts w:ascii="Century Schoolbook" w:hAnsi="Century Schoolbook"/>
          <w:sz w:val="24"/>
          <w:szCs w:val="24"/>
        </w:rPr>
        <w:t>Furthermore, judicial decisions, including those of land development concerns, continue to refer to indigenous people in a “pejorative and discriminatory manger” and that legal actors are “unable to relate to the reality of indigenous peoples” meaning that they lack sympathy to the plight of indigenous people and the effects of security suspensions on their rights.</w:t>
      </w:r>
      <w:r w:rsidR="00410450">
        <w:rPr>
          <w:rStyle w:val="FootnoteReference"/>
          <w:rFonts w:ascii="Century Schoolbook" w:hAnsi="Century Schoolbook"/>
          <w:sz w:val="24"/>
          <w:szCs w:val="24"/>
        </w:rPr>
        <w:footnoteReference w:id="11"/>
      </w:r>
      <w:r w:rsidRPr="00505D73">
        <w:rPr>
          <w:rFonts w:ascii="Century Schoolbook" w:hAnsi="Century Schoolbook"/>
          <w:sz w:val="24"/>
          <w:szCs w:val="24"/>
        </w:rPr>
        <w:t xml:space="preserve"> </w:t>
      </w:r>
      <w:r w:rsidRPr="003E590F">
        <w:rPr>
          <w:rFonts w:ascii="Century Schoolbook" w:hAnsi="Century Schoolbook"/>
          <w:sz w:val="24"/>
          <w:szCs w:val="24"/>
        </w:rPr>
        <w:t>When indigenous people</w:t>
      </w:r>
      <w:r w:rsidR="0086688F" w:rsidRPr="003E590F">
        <w:rPr>
          <w:rFonts w:ascii="Century Schoolbook" w:hAnsi="Century Schoolbook"/>
          <w:sz w:val="24"/>
          <w:szCs w:val="24"/>
        </w:rPr>
        <w:t xml:space="preserve"> </w:t>
      </w:r>
      <w:r w:rsidRPr="003E590F">
        <w:rPr>
          <w:rFonts w:ascii="Century Schoolbook" w:hAnsi="Century Schoolbook"/>
          <w:sz w:val="24"/>
          <w:szCs w:val="24"/>
        </w:rPr>
        <w:t>attempt to assert their rights to their land on their ow</w:t>
      </w:r>
      <w:r w:rsidRPr="00505D73">
        <w:rPr>
          <w:rFonts w:ascii="Century Schoolbook" w:hAnsi="Century Schoolbook"/>
          <w:sz w:val="24"/>
          <w:szCs w:val="24"/>
        </w:rPr>
        <w:t>n</w:t>
      </w:r>
      <w:r w:rsidR="0086688F">
        <w:rPr>
          <w:rFonts w:ascii="Century Schoolbook" w:hAnsi="Century Schoolbook"/>
          <w:sz w:val="24"/>
          <w:szCs w:val="24"/>
        </w:rPr>
        <w:t>, it</w:t>
      </w:r>
      <w:r w:rsidRPr="00505D73">
        <w:rPr>
          <w:rFonts w:ascii="Century Schoolbook" w:hAnsi="Century Schoolbook"/>
          <w:sz w:val="24"/>
          <w:szCs w:val="24"/>
        </w:rPr>
        <w:t xml:space="preserve"> result</w:t>
      </w:r>
      <w:r w:rsidR="0086688F">
        <w:rPr>
          <w:rFonts w:ascii="Century Schoolbook" w:hAnsi="Century Schoolbook"/>
          <w:sz w:val="24"/>
          <w:szCs w:val="24"/>
        </w:rPr>
        <w:t>s</w:t>
      </w:r>
      <w:r w:rsidRPr="00505D73">
        <w:rPr>
          <w:rFonts w:ascii="Century Schoolbook" w:hAnsi="Century Schoolbook"/>
          <w:sz w:val="24"/>
          <w:szCs w:val="24"/>
        </w:rPr>
        <w:t xml:space="preserve"> in attacks and killings</w:t>
      </w:r>
      <w:r w:rsidR="001D4876">
        <w:rPr>
          <w:rFonts w:ascii="Century Schoolbook" w:hAnsi="Century Schoolbook"/>
          <w:sz w:val="24"/>
          <w:szCs w:val="24"/>
        </w:rPr>
        <w:t>.</w:t>
      </w:r>
      <w:r w:rsidR="001D4876">
        <w:rPr>
          <w:rStyle w:val="FootnoteReference"/>
          <w:rFonts w:ascii="Century Schoolbook" w:hAnsi="Century Schoolbook"/>
          <w:sz w:val="24"/>
          <w:szCs w:val="24"/>
        </w:rPr>
        <w:footnoteReference w:id="12"/>
      </w:r>
      <w:r w:rsidR="001D4876" w:rsidRPr="00505D73">
        <w:rPr>
          <w:rFonts w:ascii="Century Schoolbook" w:hAnsi="Century Schoolbook"/>
          <w:sz w:val="24"/>
          <w:szCs w:val="24"/>
        </w:rPr>
        <w:t xml:space="preserve"> </w:t>
      </w:r>
      <w:r w:rsidRPr="00505D73">
        <w:rPr>
          <w:rFonts w:ascii="Century Schoolbook" w:hAnsi="Century Schoolbook"/>
          <w:sz w:val="24"/>
          <w:szCs w:val="24"/>
        </w:rPr>
        <w:t>With the lack of judicial institutions responding to these killings and taking of indigenous land, indigenous peoples right to justice falls on deaf ears. The report has concluded that indigenous people lack access to justice due “lack of resources, cultural and linguistic barriers, institutional racism and ignorance of cultures . . . on the part of the judiciary and law enforcement forces.”</w:t>
      </w:r>
      <w:r w:rsidR="00410450">
        <w:rPr>
          <w:rStyle w:val="FootnoteReference"/>
          <w:rFonts w:ascii="Century Schoolbook" w:hAnsi="Century Schoolbook"/>
          <w:sz w:val="24"/>
          <w:szCs w:val="24"/>
        </w:rPr>
        <w:footnoteReference w:id="13"/>
      </w:r>
      <w:r w:rsidRPr="00505D73">
        <w:rPr>
          <w:rFonts w:ascii="Century Schoolbook" w:hAnsi="Century Schoolbook"/>
          <w:sz w:val="24"/>
          <w:szCs w:val="24"/>
        </w:rPr>
        <w:t xml:space="preserve"> By denying rights, such as the security suspension, and the lack of consult regarding land rights are also compounded in the lack of justice given to indigenous peoples. Failure to act by the Brazilian government sends a message that there will be no repercussion if they were to commit crimes against indigenous communities and that “law enforcement and justice systems lack . . . any genuine concern about their plight.”</w:t>
      </w:r>
      <w:r w:rsidR="00410450">
        <w:rPr>
          <w:rStyle w:val="FootnoteReference"/>
          <w:rFonts w:ascii="Century Schoolbook" w:hAnsi="Century Schoolbook"/>
          <w:sz w:val="24"/>
          <w:szCs w:val="24"/>
        </w:rPr>
        <w:footnoteReference w:id="14"/>
      </w:r>
      <w:r w:rsidRPr="00505D73">
        <w:rPr>
          <w:rFonts w:ascii="Century Schoolbook" w:hAnsi="Century Schoolbook"/>
          <w:sz w:val="24"/>
          <w:szCs w:val="24"/>
        </w:rPr>
        <w:t xml:space="preserve"> It is also important </w:t>
      </w:r>
      <w:r w:rsidRPr="00505D73">
        <w:rPr>
          <w:rFonts w:ascii="Century Schoolbook" w:hAnsi="Century Schoolbook"/>
          <w:sz w:val="24"/>
          <w:szCs w:val="24"/>
        </w:rPr>
        <w:lastRenderedPageBreak/>
        <w:t xml:space="preserve">to note that the report only focuses on indigenous people in general and makes no mention of women as individuals and their lack of justice as well. </w:t>
      </w:r>
    </w:p>
    <w:p w14:paraId="141E6160" w14:textId="0257872B" w:rsidR="00505D73" w:rsidRPr="00134C71" w:rsidRDefault="0086688F" w:rsidP="00011907">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 xml:space="preserve">Furthermore, </w:t>
      </w:r>
      <w:r w:rsidR="00134C71" w:rsidRPr="00DE6D96">
        <w:rPr>
          <w:rFonts w:ascii="Century Schoolbook" w:hAnsi="Century Schoolbook"/>
          <w:sz w:val="24"/>
          <w:szCs w:val="24"/>
        </w:rPr>
        <w:t xml:space="preserve">the Special Rapporteur is concerned with racially based violence against indigenous peoples, specifically in Mato Grosso do Sul, Para, Bahia, </w:t>
      </w:r>
      <w:proofErr w:type="spellStart"/>
      <w:r w:rsidR="00134C71" w:rsidRPr="00DE6D96">
        <w:rPr>
          <w:rFonts w:ascii="Century Schoolbook" w:hAnsi="Century Schoolbook"/>
          <w:sz w:val="24"/>
          <w:szCs w:val="24"/>
        </w:rPr>
        <w:t>Maranhao</w:t>
      </w:r>
      <w:proofErr w:type="spellEnd"/>
      <w:r w:rsidR="00134C71" w:rsidRPr="00DE6D96">
        <w:rPr>
          <w:rFonts w:ascii="Century Schoolbook" w:hAnsi="Century Schoolbook"/>
          <w:sz w:val="24"/>
          <w:szCs w:val="24"/>
        </w:rPr>
        <w:t>, Rio Grande do Sul, Santa Catarina, and Parana.</w:t>
      </w:r>
      <w:r w:rsidR="00410450">
        <w:rPr>
          <w:rStyle w:val="FootnoteReference"/>
          <w:rFonts w:ascii="Century Schoolbook" w:hAnsi="Century Schoolbook"/>
          <w:sz w:val="24"/>
          <w:szCs w:val="24"/>
        </w:rPr>
        <w:footnoteReference w:id="15"/>
      </w:r>
      <w:r w:rsidR="00134C71" w:rsidRPr="00DE6D96">
        <w:rPr>
          <w:rFonts w:ascii="Century Schoolbook" w:hAnsi="Century Schoolbook"/>
          <w:sz w:val="24"/>
          <w:szCs w:val="24"/>
        </w:rPr>
        <w:t xml:space="preserve"> This report is concerned that there are no protections of human rights, which is contributing to high rates of murders in the area. There was one incident where there was a series of armed attacks in </w:t>
      </w:r>
      <w:proofErr w:type="spellStart"/>
      <w:r w:rsidR="00134C71" w:rsidRPr="00DE6D96">
        <w:rPr>
          <w:rFonts w:ascii="Century Schoolbook" w:hAnsi="Century Schoolbook"/>
          <w:sz w:val="24"/>
          <w:szCs w:val="24"/>
        </w:rPr>
        <w:t>Kurussu</w:t>
      </w:r>
      <w:proofErr w:type="spellEnd"/>
      <w:r w:rsidR="00134C71" w:rsidRPr="00DE6D96">
        <w:rPr>
          <w:rFonts w:ascii="Century Schoolbook" w:hAnsi="Century Schoolbook"/>
          <w:sz w:val="24"/>
          <w:szCs w:val="24"/>
        </w:rPr>
        <w:t xml:space="preserve"> Amba, </w:t>
      </w:r>
      <w:proofErr w:type="spellStart"/>
      <w:r w:rsidR="00134C71" w:rsidRPr="00DE6D96">
        <w:rPr>
          <w:rFonts w:ascii="Century Schoolbook" w:hAnsi="Century Schoolbook"/>
          <w:sz w:val="24"/>
          <w:szCs w:val="24"/>
        </w:rPr>
        <w:t>Dourados</w:t>
      </w:r>
      <w:proofErr w:type="spellEnd"/>
      <w:r w:rsidR="00134C71" w:rsidRPr="00DE6D96">
        <w:rPr>
          <w:rFonts w:ascii="Century Schoolbook" w:hAnsi="Century Schoolbook"/>
          <w:sz w:val="24"/>
          <w:szCs w:val="24"/>
        </w:rPr>
        <w:t xml:space="preserve"> and </w:t>
      </w:r>
      <w:proofErr w:type="spellStart"/>
      <w:r w:rsidR="00134C71" w:rsidRPr="00DE6D96">
        <w:rPr>
          <w:rFonts w:ascii="Century Schoolbook" w:hAnsi="Century Schoolbook"/>
          <w:sz w:val="24"/>
          <w:szCs w:val="24"/>
        </w:rPr>
        <w:t>Taquara</w:t>
      </w:r>
      <w:proofErr w:type="spellEnd"/>
      <w:r w:rsidR="00134C71" w:rsidRPr="00DE6D96">
        <w:rPr>
          <w:rFonts w:ascii="Century Schoolbook" w:hAnsi="Century Schoolbook"/>
          <w:sz w:val="24"/>
          <w:szCs w:val="24"/>
        </w:rPr>
        <w:t xml:space="preserve"> in Mato Grosso do Sul, which no State authority ever followed up on.</w:t>
      </w:r>
      <w:r w:rsidR="00410450">
        <w:rPr>
          <w:rStyle w:val="FootnoteReference"/>
          <w:rFonts w:ascii="Century Schoolbook" w:hAnsi="Century Schoolbook"/>
          <w:sz w:val="24"/>
          <w:szCs w:val="24"/>
        </w:rPr>
        <w:footnoteReference w:id="16"/>
      </w:r>
      <w:r w:rsidR="00134C71" w:rsidRPr="00DE6D96">
        <w:rPr>
          <w:rFonts w:ascii="Century Schoolbook" w:hAnsi="Century Schoolbook"/>
          <w:sz w:val="24"/>
          <w:szCs w:val="24"/>
        </w:rPr>
        <w:t xml:space="preserve"> The report calls for Brazil to investigate these violent attacks and hold those responsible. The State of Brazil responded to this report by stating that “12 criminal inquiries” have already been carried out in the affected areas of these attacks.</w:t>
      </w:r>
      <w:r w:rsidR="00410450">
        <w:rPr>
          <w:rStyle w:val="FootnoteReference"/>
          <w:rFonts w:ascii="Century Schoolbook" w:hAnsi="Century Schoolbook"/>
          <w:sz w:val="24"/>
          <w:szCs w:val="24"/>
        </w:rPr>
        <w:footnoteReference w:id="17"/>
      </w:r>
      <w:r w:rsidR="00134C71" w:rsidRPr="00DE6D96">
        <w:rPr>
          <w:rFonts w:ascii="Century Schoolbook" w:hAnsi="Century Schoolbook"/>
          <w:sz w:val="24"/>
          <w:szCs w:val="24"/>
        </w:rPr>
        <w:t xml:space="preserve"> They also claim to have arrested five individuals who were accused in participating in the attacks.</w:t>
      </w:r>
      <w:r w:rsidR="00410450">
        <w:rPr>
          <w:rStyle w:val="FootnoteReference"/>
          <w:rFonts w:ascii="Century Schoolbook" w:hAnsi="Century Schoolbook"/>
          <w:sz w:val="24"/>
          <w:szCs w:val="24"/>
        </w:rPr>
        <w:footnoteReference w:id="18"/>
      </w:r>
      <w:r w:rsidR="00134C71" w:rsidRPr="00DE6D96">
        <w:rPr>
          <w:rFonts w:ascii="Century Schoolbook" w:hAnsi="Century Schoolbook"/>
          <w:sz w:val="24"/>
          <w:szCs w:val="24"/>
        </w:rPr>
        <w:t xml:space="preserve"> Additionally, large security forces have been mobilized in areas where conflict has broken out between indigenous peoples and local farmers. Furthermore, Brazil has established the National Program for the Protection of Human Rights Defenders, who currently protect “101 indigenous leaders.”</w:t>
      </w:r>
      <w:r w:rsidR="00410450">
        <w:rPr>
          <w:rStyle w:val="FootnoteReference"/>
          <w:rFonts w:ascii="Century Schoolbook" w:hAnsi="Century Schoolbook"/>
          <w:sz w:val="24"/>
          <w:szCs w:val="24"/>
        </w:rPr>
        <w:footnoteReference w:id="19"/>
      </w:r>
      <w:r w:rsidR="00134C71" w:rsidRPr="00DE6D96">
        <w:rPr>
          <w:rFonts w:ascii="Century Schoolbook" w:hAnsi="Century Schoolbook"/>
          <w:sz w:val="24"/>
          <w:szCs w:val="24"/>
        </w:rPr>
        <w:t xml:space="preserve"> There is no mention to violence or domestic violence related incidents regarding women and the specific actions taken to address the violence against this group. </w:t>
      </w:r>
    </w:p>
    <w:p w14:paraId="476F8137" w14:textId="0B0B45C1" w:rsidR="0067627D" w:rsidRPr="0067627D" w:rsidRDefault="0067627D" w:rsidP="00011907">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In 2019, the Universal Periodic Revie</w:t>
      </w:r>
      <w:r w:rsidR="00134C71">
        <w:rPr>
          <w:rFonts w:ascii="Century Schoolbook" w:hAnsi="Century Schoolbook"/>
          <w:sz w:val="24"/>
          <w:szCs w:val="24"/>
        </w:rPr>
        <w:t xml:space="preserve">w Mid-Term Report, Brazil has created the </w:t>
      </w:r>
      <w:proofErr w:type="spellStart"/>
      <w:r w:rsidR="00134C71">
        <w:rPr>
          <w:rFonts w:ascii="Century Schoolbook" w:hAnsi="Century Schoolbook"/>
          <w:sz w:val="24"/>
          <w:szCs w:val="24"/>
        </w:rPr>
        <w:t>Mulher</w:t>
      </w:r>
      <w:proofErr w:type="spellEnd"/>
      <w:r w:rsidR="00134C71">
        <w:rPr>
          <w:rFonts w:ascii="Century Schoolbook" w:hAnsi="Century Schoolbook"/>
          <w:sz w:val="24"/>
          <w:szCs w:val="24"/>
        </w:rPr>
        <w:t xml:space="preserve"> </w:t>
      </w:r>
      <w:proofErr w:type="spellStart"/>
      <w:r w:rsidR="00134C71">
        <w:rPr>
          <w:rFonts w:ascii="Century Schoolbook" w:hAnsi="Century Schoolbook"/>
          <w:sz w:val="24"/>
          <w:szCs w:val="24"/>
        </w:rPr>
        <w:t>viver</w:t>
      </w:r>
      <w:proofErr w:type="spellEnd"/>
      <w:r w:rsidR="00134C71">
        <w:rPr>
          <w:rFonts w:ascii="Century Schoolbook" w:hAnsi="Century Schoolbook"/>
          <w:sz w:val="24"/>
          <w:szCs w:val="24"/>
        </w:rPr>
        <w:t xml:space="preserve"> </w:t>
      </w:r>
      <w:proofErr w:type="spellStart"/>
      <w:r w:rsidR="00134C71">
        <w:rPr>
          <w:rFonts w:ascii="Century Schoolbook" w:hAnsi="Century Schoolbook"/>
          <w:sz w:val="24"/>
          <w:szCs w:val="24"/>
        </w:rPr>
        <w:t>sem</w:t>
      </w:r>
      <w:proofErr w:type="spellEnd"/>
      <w:r w:rsidR="00134C71">
        <w:rPr>
          <w:rFonts w:ascii="Century Schoolbook" w:hAnsi="Century Schoolbook"/>
          <w:sz w:val="24"/>
          <w:szCs w:val="24"/>
        </w:rPr>
        <w:t xml:space="preserve"> </w:t>
      </w:r>
      <w:proofErr w:type="spellStart"/>
      <w:r w:rsidR="00134C71">
        <w:rPr>
          <w:rFonts w:ascii="Century Schoolbook" w:hAnsi="Century Schoolbook"/>
          <w:sz w:val="24"/>
          <w:szCs w:val="24"/>
        </w:rPr>
        <w:t>Violencia</w:t>
      </w:r>
      <w:proofErr w:type="spellEnd"/>
      <w:r w:rsidR="00134C71">
        <w:rPr>
          <w:rFonts w:ascii="Century Schoolbook" w:hAnsi="Century Schoolbook"/>
          <w:sz w:val="24"/>
          <w:szCs w:val="24"/>
        </w:rPr>
        <w:t xml:space="preserve"> Program, which has increased its units of Casa da </w:t>
      </w:r>
      <w:proofErr w:type="spellStart"/>
      <w:r w:rsidR="00134C71">
        <w:rPr>
          <w:rFonts w:ascii="Century Schoolbook" w:hAnsi="Century Schoolbook"/>
          <w:sz w:val="24"/>
          <w:szCs w:val="24"/>
        </w:rPr>
        <w:t>Mulher</w:t>
      </w:r>
      <w:proofErr w:type="spellEnd"/>
      <w:r w:rsidR="00134C71">
        <w:rPr>
          <w:rFonts w:ascii="Century Schoolbook" w:hAnsi="Century Schoolbook"/>
          <w:sz w:val="24"/>
          <w:szCs w:val="24"/>
        </w:rPr>
        <w:t xml:space="preserve"> </w:t>
      </w:r>
      <w:proofErr w:type="spellStart"/>
      <w:r w:rsidR="00134C71">
        <w:rPr>
          <w:rFonts w:ascii="Century Schoolbook" w:hAnsi="Century Schoolbook"/>
          <w:sz w:val="24"/>
          <w:szCs w:val="24"/>
        </w:rPr>
        <w:t>Brasileira</w:t>
      </w:r>
      <w:proofErr w:type="spellEnd"/>
      <w:r w:rsidR="00134C71">
        <w:rPr>
          <w:rFonts w:ascii="Century Schoolbook" w:hAnsi="Century Schoolbook"/>
          <w:sz w:val="24"/>
          <w:szCs w:val="24"/>
        </w:rPr>
        <w:t xml:space="preserve"> in the last couple of years</w:t>
      </w:r>
      <w:r w:rsidR="00410450">
        <w:rPr>
          <w:rFonts w:ascii="Century Schoolbook" w:hAnsi="Century Schoolbook"/>
          <w:sz w:val="24"/>
          <w:szCs w:val="24"/>
        </w:rPr>
        <w:t>.</w:t>
      </w:r>
      <w:r w:rsidR="00410450">
        <w:rPr>
          <w:rStyle w:val="FootnoteReference"/>
          <w:rFonts w:ascii="Century Schoolbook" w:hAnsi="Century Schoolbook"/>
          <w:sz w:val="24"/>
          <w:szCs w:val="24"/>
        </w:rPr>
        <w:footnoteReference w:id="20"/>
      </w:r>
      <w:r w:rsidR="00134C71">
        <w:rPr>
          <w:rFonts w:ascii="Century Schoolbook" w:hAnsi="Century Schoolbook"/>
          <w:sz w:val="24"/>
          <w:szCs w:val="24"/>
        </w:rPr>
        <w:t xml:space="preserve"> </w:t>
      </w:r>
      <w:r w:rsidR="00175DE7">
        <w:rPr>
          <w:rFonts w:ascii="Century Schoolbook" w:hAnsi="Century Schoolbook"/>
          <w:sz w:val="24"/>
          <w:szCs w:val="24"/>
        </w:rPr>
        <w:t xml:space="preserve">Through fund transfer agreements, in 2018, new regulations aiming to improve access to resources for the </w:t>
      </w:r>
      <w:proofErr w:type="spellStart"/>
      <w:r w:rsidR="00175DE7">
        <w:rPr>
          <w:rFonts w:ascii="Century Schoolbook" w:hAnsi="Century Schoolbook"/>
          <w:sz w:val="24"/>
          <w:szCs w:val="24"/>
        </w:rPr>
        <w:t>Mulher</w:t>
      </w:r>
      <w:proofErr w:type="spellEnd"/>
      <w:r w:rsidR="00175DE7">
        <w:rPr>
          <w:rFonts w:ascii="Century Schoolbook" w:hAnsi="Century Schoolbook"/>
          <w:sz w:val="24"/>
          <w:szCs w:val="24"/>
        </w:rPr>
        <w:t xml:space="preserve"> </w:t>
      </w:r>
      <w:proofErr w:type="spellStart"/>
      <w:r w:rsidR="00175DE7">
        <w:rPr>
          <w:rFonts w:ascii="Century Schoolbook" w:hAnsi="Century Schoolbook"/>
          <w:sz w:val="24"/>
          <w:szCs w:val="24"/>
        </w:rPr>
        <w:t>Viver</w:t>
      </w:r>
      <w:proofErr w:type="spellEnd"/>
      <w:r w:rsidR="00175DE7">
        <w:rPr>
          <w:rFonts w:ascii="Century Schoolbook" w:hAnsi="Century Schoolbook"/>
          <w:sz w:val="24"/>
          <w:szCs w:val="24"/>
        </w:rPr>
        <w:t xml:space="preserve"> </w:t>
      </w:r>
      <w:proofErr w:type="spellStart"/>
      <w:r w:rsidR="00175DE7">
        <w:rPr>
          <w:rFonts w:ascii="Century Schoolbook" w:hAnsi="Century Schoolbook"/>
          <w:sz w:val="24"/>
          <w:szCs w:val="24"/>
        </w:rPr>
        <w:t>sem</w:t>
      </w:r>
      <w:proofErr w:type="spellEnd"/>
      <w:r w:rsidR="00175DE7">
        <w:rPr>
          <w:rFonts w:ascii="Century Schoolbook" w:hAnsi="Century Schoolbook"/>
          <w:sz w:val="24"/>
          <w:szCs w:val="24"/>
        </w:rPr>
        <w:t xml:space="preserve"> </w:t>
      </w:r>
      <w:proofErr w:type="spellStart"/>
      <w:r w:rsidR="00175DE7">
        <w:rPr>
          <w:rFonts w:ascii="Century Schoolbook" w:hAnsi="Century Schoolbook"/>
          <w:sz w:val="24"/>
          <w:szCs w:val="24"/>
        </w:rPr>
        <w:t>Violencia</w:t>
      </w:r>
      <w:proofErr w:type="spellEnd"/>
      <w:r w:rsidR="00175DE7">
        <w:rPr>
          <w:rFonts w:ascii="Century Schoolbook" w:hAnsi="Century Schoolbook"/>
          <w:sz w:val="24"/>
          <w:szCs w:val="24"/>
        </w:rPr>
        <w:t xml:space="preserve"> Program was enacted.</w:t>
      </w:r>
      <w:r w:rsidR="00410450">
        <w:rPr>
          <w:rStyle w:val="FootnoteReference"/>
          <w:rFonts w:ascii="Century Schoolbook" w:hAnsi="Century Schoolbook"/>
          <w:sz w:val="24"/>
          <w:szCs w:val="24"/>
        </w:rPr>
        <w:footnoteReference w:id="21"/>
      </w:r>
      <w:r w:rsidR="00175DE7">
        <w:rPr>
          <w:rFonts w:ascii="Century Schoolbook" w:hAnsi="Century Schoolbook"/>
          <w:sz w:val="24"/>
          <w:szCs w:val="24"/>
        </w:rPr>
        <w:t xml:space="preserve"> This program has </w:t>
      </w:r>
      <w:r w:rsidR="00175DE7">
        <w:rPr>
          <w:rFonts w:ascii="Century Schoolbook" w:hAnsi="Century Schoolbook"/>
          <w:sz w:val="24"/>
          <w:szCs w:val="24"/>
        </w:rPr>
        <w:lastRenderedPageBreak/>
        <w:t>proposed the construction of four building through Brazil to meet the needs of Brazilian cities.</w:t>
      </w:r>
      <w:r w:rsidR="00410450">
        <w:rPr>
          <w:rStyle w:val="FootnoteReference"/>
          <w:rFonts w:ascii="Century Schoolbook" w:hAnsi="Century Schoolbook"/>
          <w:sz w:val="24"/>
          <w:szCs w:val="24"/>
        </w:rPr>
        <w:footnoteReference w:id="22"/>
      </w:r>
      <w:r w:rsidR="00175DE7">
        <w:rPr>
          <w:rFonts w:ascii="Century Schoolbook" w:hAnsi="Century Schoolbook"/>
          <w:sz w:val="24"/>
          <w:szCs w:val="24"/>
        </w:rPr>
        <w:t xml:space="preserve"> However, construction of these buildings will be dependent on budgetary means.</w:t>
      </w:r>
      <w:r w:rsidR="00410450">
        <w:rPr>
          <w:rStyle w:val="FootnoteReference"/>
          <w:rFonts w:ascii="Century Schoolbook" w:hAnsi="Century Schoolbook"/>
          <w:sz w:val="24"/>
          <w:szCs w:val="24"/>
        </w:rPr>
        <w:footnoteReference w:id="23"/>
      </w:r>
      <w:r w:rsidR="00175DE7">
        <w:rPr>
          <w:rFonts w:ascii="Century Schoolbook" w:hAnsi="Century Schoolbook"/>
          <w:sz w:val="24"/>
          <w:szCs w:val="24"/>
        </w:rPr>
        <w:t xml:space="preserve">  The National Office for Policies for Women publishes the Women Socio-Economic Annual Report, which provides “a comprehensive perspective of women’s conditions with a cross-sectional and multidimensional approach.”</w:t>
      </w:r>
      <w:r w:rsidR="00410450">
        <w:rPr>
          <w:rStyle w:val="FootnoteReference"/>
          <w:rFonts w:ascii="Century Schoolbook" w:hAnsi="Century Schoolbook"/>
          <w:sz w:val="24"/>
          <w:szCs w:val="24"/>
        </w:rPr>
        <w:footnoteReference w:id="24"/>
      </w:r>
      <w:r w:rsidR="00175DE7">
        <w:rPr>
          <w:rFonts w:ascii="Century Schoolbook" w:hAnsi="Century Schoolbook"/>
          <w:sz w:val="24"/>
          <w:szCs w:val="24"/>
        </w:rPr>
        <w:t xml:space="preserve">  </w:t>
      </w:r>
    </w:p>
    <w:p w14:paraId="344E85B9" w14:textId="396BBC76" w:rsidR="0086688F" w:rsidRDefault="00B72CC9" w:rsidP="009430C1">
      <w:pPr>
        <w:pStyle w:val="ListParagraph"/>
        <w:numPr>
          <w:ilvl w:val="0"/>
          <w:numId w:val="12"/>
        </w:numPr>
        <w:spacing w:line="360" w:lineRule="auto"/>
        <w:jc w:val="both"/>
        <w:rPr>
          <w:rFonts w:ascii="Century Schoolbook" w:hAnsi="Century Schoolbook"/>
          <w:sz w:val="24"/>
          <w:szCs w:val="24"/>
        </w:rPr>
      </w:pPr>
      <w:r w:rsidRPr="00505D73">
        <w:rPr>
          <w:rFonts w:ascii="Century Schoolbook" w:hAnsi="Century Schoolbook"/>
          <w:sz w:val="24"/>
          <w:szCs w:val="24"/>
        </w:rPr>
        <w:t>In the</w:t>
      </w:r>
      <w:r w:rsidR="00D30477">
        <w:rPr>
          <w:rFonts w:ascii="Century Schoolbook" w:hAnsi="Century Schoolbook"/>
          <w:sz w:val="24"/>
          <w:szCs w:val="24"/>
        </w:rPr>
        <w:t xml:space="preserve"> list of issues and question</w:t>
      </w:r>
      <w:r w:rsidR="00D15203">
        <w:rPr>
          <w:rFonts w:ascii="Century Schoolbook" w:hAnsi="Century Schoolbook"/>
          <w:sz w:val="24"/>
          <w:szCs w:val="24"/>
        </w:rPr>
        <w:t xml:space="preserve"> prior to the submission of the State report</w:t>
      </w:r>
      <w:r w:rsidR="006E4C7D">
        <w:rPr>
          <w:rFonts w:ascii="Century Schoolbook" w:hAnsi="Century Schoolbook"/>
          <w:sz w:val="24"/>
          <w:szCs w:val="24"/>
        </w:rPr>
        <w:t xml:space="preserve"> (</w:t>
      </w:r>
      <w:r w:rsidRPr="00505D73">
        <w:rPr>
          <w:rFonts w:ascii="Century Schoolbook" w:hAnsi="Century Schoolbook"/>
          <w:sz w:val="24"/>
          <w:szCs w:val="24"/>
        </w:rPr>
        <w:t>CEDAW</w:t>
      </w:r>
      <w:r w:rsidR="006E4C7D">
        <w:rPr>
          <w:rFonts w:ascii="Century Schoolbook" w:hAnsi="Century Schoolbook"/>
          <w:sz w:val="24"/>
          <w:szCs w:val="24"/>
        </w:rPr>
        <w:t>/C/BRA/QPR/8-9)</w:t>
      </w:r>
      <w:r w:rsidRPr="00505D73">
        <w:rPr>
          <w:rFonts w:ascii="Century Schoolbook" w:hAnsi="Century Schoolbook"/>
          <w:sz w:val="24"/>
          <w:szCs w:val="24"/>
        </w:rPr>
        <w:t>, the committee is concerned about achievement and challenges faced while attempting to ensure women’s access to justice, especially women who belong to disadvantaged and marginalized groups, such as the indigenous women. The CEDAW</w:t>
      </w:r>
      <w:r w:rsidR="00145ECA">
        <w:rPr>
          <w:rFonts w:ascii="Century Schoolbook" w:hAnsi="Century Schoolbook"/>
          <w:sz w:val="24"/>
          <w:szCs w:val="24"/>
        </w:rPr>
        <w:t xml:space="preserve"> Committee</w:t>
      </w:r>
      <w:r w:rsidRPr="00505D73">
        <w:rPr>
          <w:rFonts w:ascii="Century Schoolbook" w:hAnsi="Century Schoolbook"/>
          <w:sz w:val="24"/>
          <w:szCs w:val="24"/>
        </w:rPr>
        <w:t xml:space="preserve"> wants to know the efforts to increase access for women to free legal aid, shift the burden of proof, provide judicial remedies, and measures taken to combat the fear of potential stigmatization and victimization for affected women.</w:t>
      </w:r>
      <w:r w:rsidR="00410450">
        <w:rPr>
          <w:rStyle w:val="FootnoteReference"/>
          <w:rFonts w:ascii="Century Schoolbook" w:hAnsi="Century Schoolbook"/>
          <w:sz w:val="24"/>
          <w:szCs w:val="24"/>
        </w:rPr>
        <w:footnoteReference w:id="25"/>
      </w:r>
      <w:r w:rsidRPr="00505D73">
        <w:rPr>
          <w:rFonts w:ascii="Century Schoolbook" w:hAnsi="Century Schoolbook"/>
          <w:sz w:val="24"/>
          <w:szCs w:val="24"/>
        </w:rPr>
        <w:t xml:space="preserve"> Additionally, the </w:t>
      </w:r>
      <w:r w:rsidR="00FD0890">
        <w:rPr>
          <w:rFonts w:ascii="Century Schoolbook" w:hAnsi="Century Schoolbook"/>
          <w:sz w:val="24"/>
          <w:szCs w:val="24"/>
        </w:rPr>
        <w:t>CEDAW C</w:t>
      </w:r>
      <w:r w:rsidRPr="00505D73">
        <w:rPr>
          <w:rFonts w:ascii="Century Schoolbook" w:hAnsi="Century Schoolbook"/>
          <w:sz w:val="24"/>
          <w:szCs w:val="24"/>
        </w:rPr>
        <w:t>ommittee wants information on the progress taken to allow women to invoke their rights to equality by being able to lodge legal complaints and seek remedies for violations committed against them.</w:t>
      </w:r>
      <w:r w:rsidR="00410450">
        <w:rPr>
          <w:rStyle w:val="FootnoteReference"/>
          <w:rFonts w:ascii="Century Schoolbook" w:hAnsi="Century Schoolbook"/>
          <w:sz w:val="24"/>
          <w:szCs w:val="24"/>
        </w:rPr>
        <w:footnoteReference w:id="26"/>
      </w:r>
      <w:r w:rsidRPr="00505D73">
        <w:rPr>
          <w:rFonts w:ascii="Century Schoolbook" w:hAnsi="Century Schoolbook"/>
          <w:sz w:val="24"/>
          <w:szCs w:val="24"/>
        </w:rPr>
        <w:t xml:space="preserve"> </w:t>
      </w:r>
    </w:p>
    <w:p w14:paraId="37A425AC" w14:textId="0FC9C7EB" w:rsidR="00134C71" w:rsidRPr="00134C71" w:rsidRDefault="00134C71" w:rsidP="0015686A">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Moreover, i</w:t>
      </w:r>
      <w:r w:rsidRPr="00DE6D96">
        <w:rPr>
          <w:rFonts w:ascii="Century Schoolbook" w:hAnsi="Century Schoolbook"/>
          <w:sz w:val="24"/>
          <w:szCs w:val="24"/>
        </w:rPr>
        <w:t>n 2020,</w:t>
      </w:r>
      <w:r w:rsidR="006C0690">
        <w:rPr>
          <w:rFonts w:ascii="Century Schoolbook" w:hAnsi="Century Schoolbook"/>
          <w:sz w:val="24"/>
          <w:szCs w:val="24"/>
        </w:rPr>
        <w:t xml:space="preserve"> </w:t>
      </w:r>
      <w:r w:rsidRPr="00DE6D96">
        <w:rPr>
          <w:rFonts w:ascii="Century Schoolbook" w:hAnsi="Century Schoolbook"/>
          <w:sz w:val="24"/>
          <w:szCs w:val="24"/>
        </w:rPr>
        <w:t>the CEDAW committee is concerned about the progress made while combatting violence against women, specifically, the measures taken to combat the root cause of gender-based violence. Additionally, the</w:t>
      </w:r>
      <w:r w:rsidR="006A53CA">
        <w:rPr>
          <w:rFonts w:ascii="Century Schoolbook" w:hAnsi="Century Schoolbook"/>
          <w:sz w:val="24"/>
          <w:szCs w:val="24"/>
        </w:rPr>
        <w:t xml:space="preserve"> CEDAW</w:t>
      </w:r>
      <w:r w:rsidRPr="00DE6D96">
        <w:rPr>
          <w:rFonts w:ascii="Century Schoolbook" w:hAnsi="Century Schoolbook"/>
          <w:sz w:val="24"/>
          <w:szCs w:val="24"/>
        </w:rPr>
        <w:t xml:space="preserve"> committee wants to know the progress on changing discriminatory stereotypes and social norms to prevent resources from being allocated to women to find justice against their abusers. Furthermore, there is a push for access to adequate support systems, such as shelters and rehabilitation services that will provide women with legal support among other things</w:t>
      </w:r>
      <w:r w:rsidR="00593285">
        <w:rPr>
          <w:rFonts w:ascii="Century Schoolbook" w:hAnsi="Century Schoolbook"/>
          <w:sz w:val="24"/>
          <w:szCs w:val="24"/>
        </w:rPr>
        <w:t>.</w:t>
      </w:r>
      <w:r w:rsidR="00410450">
        <w:rPr>
          <w:rStyle w:val="FootnoteReference"/>
          <w:rFonts w:ascii="Century Schoolbook" w:hAnsi="Century Schoolbook"/>
          <w:sz w:val="24"/>
          <w:szCs w:val="24"/>
        </w:rPr>
        <w:footnoteReference w:id="27"/>
      </w:r>
      <w:r w:rsidR="0025346C">
        <w:rPr>
          <w:rFonts w:ascii="Century Schoolbook" w:hAnsi="Century Schoolbook"/>
          <w:color w:val="FF0000"/>
          <w:sz w:val="24"/>
          <w:szCs w:val="24"/>
        </w:rPr>
        <w:t xml:space="preserve"> </w:t>
      </w:r>
    </w:p>
    <w:p w14:paraId="5CDE37B5" w14:textId="4CFDEA62" w:rsidR="00DE6D96" w:rsidRPr="00134C71" w:rsidRDefault="00B72CC9" w:rsidP="00060E36">
      <w:pPr>
        <w:pStyle w:val="ListParagraph"/>
        <w:numPr>
          <w:ilvl w:val="0"/>
          <w:numId w:val="12"/>
        </w:numPr>
        <w:spacing w:line="360" w:lineRule="auto"/>
        <w:jc w:val="both"/>
        <w:rPr>
          <w:rFonts w:ascii="Century Schoolbook" w:hAnsi="Century Schoolbook"/>
          <w:sz w:val="24"/>
          <w:szCs w:val="24"/>
        </w:rPr>
      </w:pPr>
      <w:r w:rsidRPr="00505D73">
        <w:rPr>
          <w:rFonts w:ascii="Century Schoolbook" w:hAnsi="Century Schoolbook"/>
          <w:sz w:val="24"/>
          <w:szCs w:val="24"/>
        </w:rPr>
        <w:lastRenderedPageBreak/>
        <w:t xml:space="preserve">In the </w:t>
      </w:r>
      <w:r w:rsidR="00391E93">
        <w:rPr>
          <w:rFonts w:ascii="Century Schoolbook" w:hAnsi="Century Schoolbook"/>
          <w:sz w:val="24"/>
          <w:szCs w:val="24"/>
        </w:rPr>
        <w:t>2020 State report</w:t>
      </w:r>
      <w:r w:rsidRPr="00505D73">
        <w:rPr>
          <w:rFonts w:ascii="Century Schoolbook" w:hAnsi="Century Schoolbook"/>
          <w:sz w:val="24"/>
          <w:szCs w:val="24"/>
        </w:rPr>
        <w:t>, it discusses the role of the Ministry of Women and Family and Human Rights, who compromise the Office of the Ombudsman, who is responsible for receiving complaints and forwarding them to authorities at the federal, state, and local level.</w:t>
      </w:r>
      <w:r w:rsidR="00410450">
        <w:rPr>
          <w:rStyle w:val="FootnoteReference"/>
          <w:rFonts w:ascii="Century Schoolbook" w:hAnsi="Century Schoolbook"/>
          <w:sz w:val="24"/>
          <w:szCs w:val="24"/>
        </w:rPr>
        <w:footnoteReference w:id="28"/>
      </w:r>
      <w:r w:rsidRPr="00505D73">
        <w:rPr>
          <w:rFonts w:ascii="Century Schoolbook" w:hAnsi="Century Schoolbook"/>
          <w:sz w:val="24"/>
          <w:szCs w:val="24"/>
        </w:rPr>
        <w:t xml:space="preserve"> However, this Office has no decision-making authority to address the complaints and cannot be involved in the police investigation, instead they can only forward the complaints to authorities.</w:t>
      </w:r>
      <w:r w:rsidR="00410450">
        <w:rPr>
          <w:rStyle w:val="FootnoteReference"/>
          <w:rFonts w:ascii="Century Schoolbook" w:hAnsi="Century Schoolbook"/>
          <w:sz w:val="24"/>
          <w:szCs w:val="24"/>
        </w:rPr>
        <w:footnoteReference w:id="29"/>
      </w:r>
      <w:r w:rsidRPr="00505D73">
        <w:rPr>
          <w:rFonts w:ascii="Century Schoolbook" w:hAnsi="Century Schoolbook"/>
          <w:sz w:val="24"/>
          <w:szCs w:val="24"/>
        </w:rPr>
        <w:t xml:space="preserve"> The Office does act in conflict resolution and remedying human rights violations in Brazil.</w:t>
      </w:r>
      <w:r w:rsidR="00410450">
        <w:rPr>
          <w:rStyle w:val="FootnoteReference"/>
          <w:rFonts w:ascii="Century Schoolbook" w:hAnsi="Century Schoolbook"/>
          <w:sz w:val="24"/>
          <w:szCs w:val="24"/>
        </w:rPr>
        <w:footnoteReference w:id="30"/>
      </w:r>
      <w:r w:rsidRPr="00505D73">
        <w:rPr>
          <w:rFonts w:ascii="Century Schoolbook" w:hAnsi="Century Schoolbook"/>
          <w:sz w:val="24"/>
          <w:szCs w:val="24"/>
        </w:rPr>
        <w:t xml:space="preserve"> </w:t>
      </w:r>
      <w:r w:rsidR="003D1AFA">
        <w:rPr>
          <w:rFonts w:ascii="Century Schoolbook" w:hAnsi="Century Schoolbook"/>
          <w:sz w:val="24"/>
          <w:szCs w:val="24"/>
        </w:rPr>
        <w:t xml:space="preserve">But its </w:t>
      </w:r>
      <w:proofErr w:type="spellStart"/>
      <w:r w:rsidR="003D1AFA">
        <w:rPr>
          <w:rFonts w:ascii="Century Schoolbook" w:hAnsi="Century Schoolbook"/>
          <w:sz w:val="24"/>
          <w:szCs w:val="24"/>
        </w:rPr>
        <w:t>effectivety</w:t>
      </w:r>
      <w:proofErr w:type="spellEnd"/>
      <w:r w:rsidR="003D1AFA">
        <w:rPr>
          <w:rFonts w:ascii="Century Schoolbook" w:hAnsi="Century Schoolbook"/>
          <w:sz w:val="24"/>
          <w:szCs w:val="24"/>
        </w:rPr>
        <w:t xml:space="preserve"> is not clear.</w:t>
      </w:r>
    </w:p>
    <w:p w14:paraId="051679C5" w14:textId="7533E3FF" w:rsidR="00B72CC9" w:rsidRPr="007D6AE6" w:rsidRDefault="00DE6D96" w:rsidP="00DE6D96">
      <w:pPr>
        <w:pStyle w:val="ListParagraph"/>
        <w:numPr>
          <w:ilvl w:val="0"/>
          <w:numId w:val="5"/>
        </w:numPr>
        <w:rPr>
          <w:rFonts w:ascii="Century Schoolbook" w:hAnsi="Century Schoolbook"/>
          <w:i/>
          <w:sz w:val="24"/>
          <w:szCs w:val="24"/>
        </w:rPr>
      </w:pPr>
      <w:r w:rsidRPr="007D6AE6">
        <w:rPr>
          <w:rFonts w:ascii="Century Schoolbook" w:hAnsi="Century Schoolbook"/>
          <w:i/>
          <w:sz w:val="24"/>
          <w:szCs w:val="24"/>
        </w:rPr>
        <w:t>Recommendations Received</w:t>
      </w:r>
      <w:r w:rsidR="00271255">
        <w:rPr>
          <w:rFonts w:ascii="Century Schoolbook" w:hAnsi="Century Schoolbook"/>
          <w:i/>
          <w:sz w:val="24"/>
          <w:szCs w:val="24"/>
        </w:rPr>
        <w:t xml:space="preserve"> </w:t>
      </w:r>
      <w:r w:rsidR="00271255" w:rsidRPr="006D2825">
        <w:rPr>
          <w:rFonts w:ascii="Century Schoolbook" w:hAnsi="Century Schoolbook"/>
          <w:b/>
          <w:bCs/>
          <w:i/>
          <w:sz w:val="24"/>
          <w:szCs w:val="24"/>
        </w:rPr>
        <w:t>in 2016</w:t>
      </w:r>
      <w:r w:rsidR="007A70FA" w:rsidRPr="006D2825">
        <w:rPr>
          <w:rFonts w:ascii="Century Schoolbook" w:hAnsi="Century Schoolbook"/>
          <w:b/>
          <w:bCs/>
          <w:i/>
          <w:sz w:val="24"/>
          <w:szCs w:val="24"/>
        </w:rPr>
        <w:t>, 2017</w:t>
      </w:r>
      <w:r w:rsidR="004969FF" w:rsidRPr="006D2825">
        <w:rPr>
          <w:rFonts w:ascii="Century Schoolbook" w:hAnsi="Century Schoolbook"/>
          <w:b/>
          <w:bCs/>
          <w:i/>
          <w:sz w:val="24"/>
          <w:szCs w:val="24"/>
        </w:rPr>
        <w:t>, 2018</w:t>
      </w:r>
      <w:r w:rsidRPr="007D6AE6">
        <w:rPr>
          <w:rFonts w:ascii="Century Schoolbook" w:hAnsi="Century Schoolbook"/>
          <w:i/>
          <w:sz w:val="24"/>
          <w:szCs w:val="24"/>
        </w:rPr>
        <w:t xml:space="preserve"> </w:t>
      </w:r>
    </w:p>
    <w:p w14:paraId="5A70E5A7" w14:textId="77777777" w:rsidR="007D6AE6" w:rsidRDefault="007D6AE6" w:rsidP="007D6AE6">
      <w:pPr>
        <w:pStyle w:val="ListParagraph"/>
        <w:ind w:left="1440"/>
        <w:rPr>
          <w:rFonts w:ascii="Century Schoolbook" w:hAnsi="Century Schoolbook"/>
          <w:sz w:val="24"/>
          <w:szCs w:val="24"/>
        </w:rPr>
      </w:pPr>
    </w:p>
    <w:p w14:paraId="6C90FC74" w14:textId="7249DDFC" w:rsidR="00E04FFE" w:rsidRPr="00E516A5" w:rsidRDefault="007D6AE6" w:rsidP="00060E36">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The Special Ra</w:t>
      </w:r>
      <w:r w:rsidR="0086688F">
        <w:rPr>
          <w:rFonts w:ascii="Century Schoolbook" w:hAnsi="Century Schoolbook"/>
          <w:sz w:val="24"/>
          <w:szCs w:val="24"/>
        </w:rPr>
        <w:t>pporteur</w:t>
      </w:r>
      <w:r w:rsidR="00A90C67">
        <w:rPr>
          <w:rFonts w:ascii="Century Schoolbook" w:hAnsi="Century Schoolbook"/>
          <w:sz w:val="24"/>
          <w:szCs w:val="24"/>
        </w:rPr>
        <w:t xml:space="preserve"> on the rights of indigenous peoples on her mission to Brazil in 2016,</w:t>
      </w:r>
      <w:r w:rsidR="0086688F">
        <w:rPr>
          <w:rFonts w:ascii="Century Schoolbook" w:hAnsi="Century Schoolbook"/>
          <w:sz w:val="24"/>
          <w:szCs w:val="24"/>
        </w:rPr>
        <w:t xml:space="preserve"> has recommended that the Government of Brazil takes immediate measure to protect the safety of indigenous leaders.</w:t>
      </w:r>
      <w:r w:rsidR="0043377E">
        <w:rPr>
          <w:rStyle w:val="FootnoteReference"/>
          <w:rFonts w:ascii="Century Schoolbook" w:hAnsi="Century Schoolbook"/>
          <w:sz w:val="24"/>
          <w:szCs w:val="24"/>
        </w:rPr>
        <w:footnoteReference w:id="31"/>
      </w:r>
      <w:r w:rsidR="0086688F">
        <w:rPr>
          <w:rFonts w:ascii="Century Schoolbook" w:hAnsi="Century Schoolbook"/>
          <w:sz w:val="24"/>
          <w:szCs w:val="24"/>
        </w:rPr>
        <w:t xml:space="preserve"> </w:t>
      </w:r>
      <w:r>
        <w:rPr>
          <w:rFonts w:ascii="Century Schoolbook" w:hAnsi="Century Schoolbook"/>
          <w:sz w:val="24"/>
          <w:szCs w:val="24"/>
        </w:rPr>
        <w:t>The Special Ra</w:t>
      </w:r>
      <w:r w:rsidR="0086688F">
        <w:rPr>
          <w:rFonts w:ascii="Century Schoolbook" w:hAnsi="Century Schoolbook"/>
          <w:sz w:val="24"/>
          <w:szCs w:val="24"/>
        </w:rPr>
        <w:t>pporteur</w:t>
      </w:r>
      <w:r>
        <w:rPr>
          <w:rFonts w:ascii="Century Schoolbook" w:hAnsi="Century Schoolbook"/>
          <w:sz w:val="24"/>
          <w:szCs w:val="24"/>
        </w:rPr>
        <w:t xml:space="preserve"> recommends that the Government of Brazil create culturally appropriate protection programs and to conduct investigations into all attacks and killings of indigenous people and bring perpetrators to justice.</w:t>
      </w:r>
      <w:r w:rsidR="0043377E">
        <w:rPr>
          <w:rStyle w:val="FootnoteReference"/>
          <w:rFonts w:ascii="Century Schoolbook" w:hAnsi="Century Schoolbook"/>
          <w:sz w:val="24"/>
          <w:szCs w:val="24"/>
        </w:rPr>
        <w:footnoteReference w:id="32"/>
      </w:r>
      <w:r>
        <w:rPr>
          <w:rFonts w:ascii="Century Schoolbook" w:hAnsi="Century Schoolbook"/>
          <w:sz w:val="24"/>
          <w:szCs w:val="24"/>
        </w:rPr>
        <w:t xml:space="preserve"> Brazil must pay particular attention to situations of Indigenous women and the increasing violence against indigenous women.</w:t>
      </w:r>
      <w:r w:rsidR="0043377E">
        <w:rPr>
          <w:rStyle w:val="FootnoteReference"/>
          <w:rFonts w:ascii="Century Schoolbook" w:hAnsi="Century Schoolbook"/>
          <w:sz w:val="24"/>
          <w:szCs w:val="24"/>
        </w:rPr>
        <w:footnoteReference w:id="33"/>
      </w:r>
      <w:r>
        <w:rPr>
          <w:rFonts w:ascii="Century Schoolbook" w:hAnsi="Century Schoolbook"/>
          <w:sz w:val="24"/>
          <w:szCs w:val="24"/>
        </w:rPr>
        <w:t xml:space="preserve"> Lastly, the Special Rapporteur recommends that the Brazilian government collaborates with Indigenous representatives to eliminate barriers that prevent indigenous right to justice.</w:t>
      </w:r>
      <w:r w:rsidR="0043377E">
        <w:rPr>
          <w:rStyle w:val="FootnoteReference"/>
          <w:rFonts w:ascii="Century Schoolbook" w:hAnsi="Century Schoolbook"/>
          <w:sz w:val="24"/>
          <w:szCs w:val="24"/>
        </w:rPr>
        <w:footnoteReference w:id="34"/>
      </w:r>
      <w:r>
        <w:rPr>
          <w:rFonts w:ascii="Century Schoolbook" w:hAnsi="Century Schoolbook"/>
          <w:sz w:val="24"/>
          <w:szCs w:val="24"/>
        </w:rPr>
        <w:t xml:space="preserve"> </w:t>
      </w:r>
    </w:p>
    <w:p w14:paraId="54696DCE" w14:textId="181D9D12" w:rsidR="00E04FFE" w:rsidRDefault="00E04FFE" w:rsidP="00D800BF">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 xml:space="preserve"> </w:t>
      </w:r>
      <w:r w:rsidR="003347AF">
        <w:rPr>
          <w:rFonts w:ascii="Century Schoolbook" w:hAnsi="Century Schoolbook"/>
          <w:sz w:val="24"/>
          <w:szCs w:val="24"/>
        </w:rPr>
        <w:t>Working Group on the UPR</w:t>
      </w:r>
      <w:r w:rsidR="00974A64">
        <w:rPr>
          <w:rFonts w:ascii="Century Schoolbook" w:hAnsi="Century Schoolbook"/>
          <w:sz w:val="24"/>
          <w:szCs w:val="24"/>
        </w:rPr>
        <w:t>.</w:t>
      </w:r>
      <w:r w:rsidR="003347AF">
        <w:rPr>
          <w:rFonts w:ascii="Century Schoolbook" w:hAnsi="Century Schoolbook"/>
          <w:sz w:val="24"/>
          <w:szCs w:val="24"/>
        </w:rPr>
        <w:t xml:space="preserve"> </w:t>
      </w:r>
      <w:r w:rsidR="00073C90">
        <w:rPr>
          <w:rFonts w:ascii="Century Schoolbook" w:hAnsi="Century Schoolbook"/>
          <w:sz w:val="24"/>
          <w:szCs w:val="24"/>
        </w:rPr>
        <w:t>Brazil</w:t>
      </w:r>
      <w:r w:rsidR="00E67EAB">
        <w:rPr>
          <w:rFonts w:ascii="Century Schoolbook" w:hAnsi="Century Schoolbook"/>
          <w:sz w:val="24"/>
          <w:szCs w:val="24"/>
        </w:rPr>
        <w:t xml:space="preserve"> examined the recommendations of</w:t>
      </w:r>
      <w:r w:rsidR="00073C90">
        <w:rPr>
          <w:rFonts w:ascii="Century Schoolbook" w:hAnsi="Century Schoolbook"/>
          <w:sz w:val="24"/>
          <w:szCs w:val="24"/>
        </w:rPr>
        <w:t xml:space="preserve"> strengthen measures to prevent and punish racism, discrimination</w:t>
      </w:r>
      <w:r w:rsidR="0043377E">
        <w:rPr>
          <w:rFonts w:ascii="Century Schoolbook" w:hAnsi="Century Schoolbook"/>
          <w:sz w:val="24"/>
          <w:szCs w:val="24"/>
        </w:rPr>
        <w:t xml:space="preserve">, </w:t>
      </w:r>
      <w:r w:rsidR="00073C90">
        <w:rPr>
          <w:rFonts w:ascii="Century Schoolbook" w:hAnsi="Century Schoolbook"/>
          <w:sz w:val="24"/>
          <w:szCs w:val="24"/>
        </w:rPr>
        <w:t>and violence against indigenous peoples.</w:t>
      </w:r>
      <w:r w:rsidR="0043377E">
        <w:rPr>
          <w:rStyle w:val="FootnoteReference"/>
          <w:rFonts w:ascii="Century Schoolbook" w:hAnsi="Century Schoolbook"/>
          <w:sz w:val="24"/>
          <w:szCs w:val="24"/>
        </w:rPr>
        <w:footnoteReference w:id="35"/>
      </w:r>
      <w:r w:rsidR="00073C90">
        <w:rPr>
          <w:rFonts w:ascii="Century Schoolbook" w:hAnsi="Century Schoolbook"/>
          <w:sz w:val="24"/>
          <w:szCs w:val="24"/>
        </w:rPr>
        <w:t xml:space="preserve"> </w:t>
      </w:r>
      <w:r w:rsidR="008D7098">
        <w:rPr>
          <w:rFonts w:ascii="Century Schoolbook" w:hAnsi="Century Schoolbook"/>
          <w:sz w:val="24"/>
          <w:szCs w:val="24"/>
        </w:rPr>
        <w:t>T</w:t>
      </w:r>
      <w:r w:rsidR="0099402C">
        <w:rPr>
          <w:rFonts w:ascii="Century Schoolbook" w:hAnsi="Century Schoolbook"/>
          <w:sz w:val="24"/>
          <w:szCs w:val="24"/>
        </w:rPr>
        <w:t xml:space="preserve">ake further efforts in combating </w:t>
      </w:r>
      <w:r w:rsidR="0099402C">
        <w:rPr>
          <w:rFonts w:ascii="Century Schoolbook" w:hAnsi="Century Schoolbook"/>
          <w:sz w:val="24"/>
          <w:szCs w:val="24"/>
        </w:rPr>
        <w:lastRenderedPageBreak/>
        <w:t>violence against women, such as enhancing the trust in the judicial system.</w:t>
      </w:r>
      <w:r w:rsidR="0043377E">
        <w:rPr>
          <w:rStyle w:val="FootnoteReference"/>
          <w:rFonts w:ascii="Century Schoolbook" w:hAnsi="Century Schoolbook"/>
          <w:sz w:val="24"/>
          <w:szCs w:val="24"/>
        </w:rPr>
        <w:footnoteReference w:id="36"/>
      </w:r>
      <w:r w:rsidR="0099402C">
        <w:rPr>
          <w:rFonts w:ascii="Century Schoolbook" w:hAnsi="Century Schoolbook"/>
          <w:sz w:val="24"/>
          <w:szCs w:val="24"/>
        </w:rPr>
        <w:t xml:space="preserve"> </w:t>
      </w:r>
      <w:r w:rsidR="002651C6">
        <w:rPr>
          <w:rFonts w:ascii="Century Schoolbook" w:hAnsi="Century Schoolbook"/>
          <w:sz w:val="24"/>
          <w:szCs w:val="24"/>
        </w:rPr>
        <w:t>C</w:t>
      </w:r>
      <w:r w:rsidR="0099402C">
        <w:rPr>
          <w:rFonts w:ascii="Century Schoolbook" w:hAnsi="Century Schoolbook"/>
          <w:sz w:val="24"/>
          <w:szCs w:val="24"/>
        </w:rPr>
        <w:t>ontinue the efforts to implement the “Women Living without Violence program” and to continue efforts to combat violence against women.</w:t>
      </w:r>
      <w:r w:rsidR="0043377E">
        <w:rPr>
          <w:rStyle w:val="FootnoteReference"/>
          <w:rFonts w:ascii="Century Schoolbook" w:hAnsi="Century Schoolbook"/>
          <w:sz w:val="24"/>
          <w:szCs w:val="24"/>
        </w:rPr>
        <w:footnoteReference w:id="37"/>
      </w:r>
      <w:r w:rsidR="0099402C">
        <w:rPr>
          <w:rFonts w:ascii="Century Schoolbook" w:hAnsi="Century Schoolbook"/>
          <w:sz w:val="24"/>
          <w:szCs w:val="24"/>
        </w:rPr>
        <w:t xml:space="preserve"> Lastly, strengthen capacity building programs for judges and legal personnel on women’s rights and violence against women.</w:t>
      </w:r>
      <w:r w:rsidR="0043377E">
        <w:rPr>
          <w:rStyle w:val="FootnoteReference"/>
          <w:rFonts w:ascii="Century Schoolbook" w:hAnsi="Century Schoolbook"/>
          <w:sz w:val="24"/>
          <w:szCs w:val="24"/>
        </w:rPr>
        <w:footnoteReference w:id="38"/>
      </w:r>
      <w:r w:rsidR="0099402C">
        <w:rPr>
          <w:rFonts w:ascii="Century Schoolbook" w:hAnsi="Century Schoolbook"/>
          <w:sz w:val="24"/>
          <w:szCs w:val="24"/>
        </w:rPr>
        <w:t xml:space="preserve">  </w:t>
      </w:r>
    </w:p>
    <w:p w14:paraId="423CAE3A" w14:textId="30D1F204" w:rsidR="00AB70C6" w:rsidRDefault="00E04FFE" w:rsidP="00B16DBF">
      <w:pPr>
        <w:pStyle w:val="ListParagraph"/>
        <w:numPr>
          <w:ilvl w:val="0"/>
          <w:numId w:val="12"/>
        </w:numPr>
        <w:spacing w:line="360" w:lineRule="auto"/>
        <w:jc w:val="both"/>
        <w:rPr>
          <w:rFonts w:ascii="Century Schoolbook" w:hAnsi="Century Schoolbook"/>
          <w:sz w:val="24"/>
          <w:szCs w:val="24"/>
        </w:rPr>
      </w:pPr>
      <w:r>
        <w:rPr>
          <w:rFonts w:ascii="Century Schoolbook" w:hAnsi="Century Schoolbook"/>
          <w:sz w:val="24"/>
          <w:szCs w:val="24"/>
        </w:rPr>
        <w:t xml:space="preserve"> </w:t>
      </w:r>
      <w:r w:rsidRPr="00AB70C6">
        <w:rPr>
          <w:rFonts w:ascii="Century Schoolbook" w:hAnsi="Century Schoolbook"/>
          <w:sz w:val="24"/>
          <w:szCs w:val="24"/>
        </w:rPr>
        <w:t>Preliminary Observations of IACHR’</w:t>
      </w:r>
      <w:r w:rsidR="00AB70C6">
        <w:rPr>
          <w:rFonts w:ascii="Century Schoolbook" w:hAnsi="Century Schoolbook"/>
          <w:sz w:val="24"/>
          <w:szCs w:val="24"/>
        </w:rPr>
        <w:t xml:space="preserve">s in </w:t>
      </w:r>
      <w:r w:rsidR="00F269B7">
        <w:rPr>
          <w:rFonts w:ascii="Century Schoolbook" w:hAnsi="Century Schoolbook"/>
          <w:sz w:val="24"/>
          <w:szCs w:val="24"/>
        </w:rPr>
        <w:t>L</w:t>
      </w:r>
      <w:r w:rsidR="00AB70C6">
        <w:rPr>
          <w:rFonts w:ascii="Century Schoolbook" w:hAnsi="Century Schoolbook"/>
          <w:sz w:val="24"/>
          <w:szCs w:val="24"/>
        </w:rPr>
        <w:t xml:space="preserve">oco </w:t>
      </w:r>
      <w:r w:rsidR="00F269B7">
        <w:rPr>
          <w:rFonts w:ascii="Century Schoolbook" w:hAnsi="Century Schoolbook"/>
          <w:sz w:val="24"/>
          <w:szCs w:val="24"/>
        </w:rPr>
        <w:t>V</w:t>
      </w:r>
      <w:r w:rsidR="00AB70C6">
        <w:rPr>
          <w:rFonts w:ascii="Century Schoolbook" w:hAnsi="Century Schoolbook"/>
          <w:sz w:val="24"/>
          <w:szCs w:val="24"/>
        </w:rPr>
        <w:t>isit to Brazil</w:t>
      </w:r>
      <w:r w:rsidR="000D3300">
        <w:rPr>
          <w:rFonts w:ascii="Century Schoolbook" w:hAnsi="Century Schoolbook"/>
          <w:sz w:val="24"/>
          <w:szCs w:val="24"/>
        </w:rPr>
        <w:t xml:space="preserve"> (2018)</w:t>
      </w:r>
      <w:r w:rsidR="00AB70C6">
        <w:rPr>
          <w:rFonts w:ascii="Century Schoolbook" w:hAnsi="Century Schoolbook"/>
          <w:sz w:val="24"/>
          <w:szCs w:val="24"/>
        </w:rPr>
        <w:t xml:space="preserve"> recommended </w:t>
      </w:r>
      <w:r w:rsidR="005357A1">
        <w:rPr>
          <w:rFonts w:ascii="Century Schoolbook" w:hAnsi="Century Schoolbook"/>
          <w:sz w:val="24"/>
          <w:szCs w:val="24"/>
        </w:rPr>
        <w:t>that Brazil adopts concrete strategies and goals to reduce the number of murder and violent crimes and to monitor investigations and criminal proceedings.</w:t>
      </w:r>
      <w:r w:rsidR="0043377E">
        <w:rPr>
          <w:rStyle w:val="FootnoteReference"/>
          <w:rFonts w:ascii="Century Schoolbook" w:hAnsi="Century Schoolbook"/>
          <w:sz w:val="24"/>
          <w:szCs w:val="24"/>
        </w:rPr>
        <w:footnoteReference w:id="39"/>
      </w:r>
      <w:r w:rsidR="005357A1">
        <w:rPr>
          <w:rFonts w:ascii="Century Schoolbook" w:hAnsi="Century Schoolbook"/>
          <w:sz w:val="24"/>
          <w:szCs w:val="24"/>
        </w:rPr>
        <w:t xml:space="preserve"> These concrete strategies should practice due diligence with the aim of identifying and punishing anyone responsible to deter future violent acts in the future.</w:t>
      </w:r>
      <w:r w:rsidR="0043377E">
        <w:rPr>
          <w:rStyle w:val="FootnoteReference"/>
          <w:rFonts w:ascii="Century Schoolbook" w:hAnsi="Century Schoolbook"/>
          <w:sz w:val="24"/>
          <w:szCs w:val="24"/>
        </w:rPr>
        <w:footnoteReference w:id="40"/>
      </w:r>
      <w:r w:rsidR="005357A1">
        <w:rPr>
          <w:rFonts w:ascii="Century Schoolbook" w:hAnsi="Century Schoolbook"/>
          <w:sz w:val="24"/>
          <w:szCs w:val="24"/>
        </w:rPr>
        <w:t xml:space="preserve"> </w:t>
      </w:r>
    </w:p>
    <w:p w14:paraId="013E416C" w14:textId="77777777" w:rsidR="004631F5" w:rsidRPr="005357A1" w:rsidRDefault="004631F5" w:rsidP="004631F5">
      <w:pPr>
        <w:pStyle w:val="ListParagraph"/>
        <w:spacing w:line="360" w:lineRule="auto"/>
        <w:jc w:val="both"/>
        <w:rPr>
          <w:rFonts w:ascii="Century Schoolbook" w:hAnsi="Century Schoolbook"/>
          <w:sz w:val="24"/>
          <w:szCs w:val="24"/>
        </w:rPr>
      </w:pPr>
    </w:p>
    <w:p w14:paraId="46BB10D5" w14:textId="4AB36AF7" w:rsidR="007921D4" w:rsidRPr="004631F5" w:rsidRDefault="00DE6D96" w:rsidP="004631F5">
      <w:pPr>
        <w:pStyle w:val="ListParagraph"/>
        <w:numPr>
          <w:ilvl w:val="0"/>
          <w:numId w:val="5"/>
        </w:numPr>
        <w:jc w:val="center"/>
        <w:rPr>
          <w:rFonts w:ascii="Century Schoolbook" w:hAnsi="Century Schoolbook"/>
          <w:iCs/>
          <w:sz w:val="28"/>
          <w:szCs w:val="28"/>
        </w:rPr>
      </w:pPr>
      <w:r w:rsidRPr="004631F5">
        <w:rPr>
          <w:rFonts w:ascii="Century Schoolbook" w:hAnsi="Century Schoolbook"/>
          <w:b/>
          <w:bCs/>
          <w:iCs/>
          <w:sz w:val="28"/>
          <w:szCs w:val="28"/>
        </w:rPr>
        <w:t>S</w:t>
      </w:r>
      <w:r w:rsidR="007921D4" w:rsidRPr="004631F5">
        <w:rPr>
          <w:rFonts w:ascii="Century Schoolbook" w:hAnsi="Century Schoolbook"/>
          <w:b/>
          <w:bCs/>
          <w:iCs/>
          <w:sz w:val="28"/>
          <w:szCs w:val="28"/>
        </w:rPr>
        <w:t xml:space="preserve">uggestions of </w:t>
      </w:r>
      <w:proofErr w:type="spellStart"/>
      <w:r w:rsidR="007921D4" w:rsidRPr="004631F5">
        <w:rPr>
          <w:rFonts w:ascii="Century Schoolbook" w:hAnsi="Century Schoolbook"/>
          <w:b/>
          <w:bCs/>
          <w:iCs/>
          <w:sz w:val="28"/>
          <w:szCs w:val="28"/>
        </w:rPr>
        <w:t>the</w:t>
      </w:r>
      <w:r w:rsidR="007921D4" w:rsidRPr="004631F5">
        <w:rPr>
          <w:rFonts w:ascii="Century Schoolbook" w:eastAsia="MS PMincho" w:hAnsi="Century Schoolbook" w:cs="Times New Roman"/>
          <w:b/>
          <w:bCs/>
          <w:iCs/>
          <w:sz w:val="28"/>
          <w:szCs w:val="28"/>
        </w:rPr>
        <w:t>University</w:t>
      </w:r>
      <w:proofErr w:type="spellEnd"/>
      <w:r w:rsidR="007921D4" w:rsidRPr="004631F5">
        <w:rPr>
          <w:rFonts w:ascii="Century Schoolbook" w:eastAsia="MS PMincho" w:hAnsi="Century Schoolbook" w:cs="Times New Roman"/>
          <w:b/>
          <w:bCs/>
          <w:iCs/>
          <w:sz w:val="28"/>
          <w:szCs w:val="28"/>
        </w:rPr>
        <w:t xml:space="preserve"> of Oklahoma College of Law International Human Rights Clinic</w:t>
      </w:r>
    </w:p>
    <w:p w14:paraId="3CBEDD78" w14:textId="77777777" w:rsidR="007921D4" w:rsidRPr="007921D4" w:rsidRDefault="007921D4" w:rsidP="007921D4">
      <w:pPr>
        <w:pStyle w:val="ListParagraph"/>
        <w:ind w:left="1440"/>
        <w:rPr>
          <w:rFonts w:ascii="Century Schoolbook" w:hAnsi="Century Schoolbook"/>
          <w:i/>
          <w:sz w:val="24"/>
          <w:szCs w:val="24"/>
        </w:rPr>
      </w:pPr>
    </w:p>
    <w:p w14:paraId="11606746" w14:textId="161F073A" w:rsidR="00593285" w:rsidRDefault="00593285" w:rsidP="002C6FDE">
      <w:pPr>
        <w:pStyle w:val="ListParagraph"/>
        <w:numPr>
          <w:ilvl w:val="0"/>
          <w:numId w:val="14"/>
        </w:numPr>
        <w:spacing w:line="360" w:lineRule="auto"/>
        <w:jc w:val="both"/>
        <w:rPr>
          <w:rFonts w:ascii="Century Schoolbook" w:hAnsi="Century Schoolbook"/>
          <w:sz w:val="24"/>
          <w:szCs w:val="24"/>
        </w:rPr>
      </w:pPr>
      <w:r>
        <w:rPr>
          <w:rFonts w:ascii="Century Schoolbook" w:hAnsi="Century Schoolbook"/>
          <w:sz w:val="24"/>
          <w:szCs w:val="24"/>
        </w:rPr>
        <w:t xml:space="preserve">In addition to the Maria da Penha law, Brazil should add an additional provision specifically addressing violent crimes against Indigenous women. </w:t>
      </w:r>
    </w:p>
    <w:p w14:paraId="3F650760" w14:textId="3FF6DAEB" w:rsidR="00593285" w:rsidRDefault="00593285" w:rsidP="002C6FDE">
      <w:pPr>
        <w:pStyle w:val="ListParagraph"/>
        <w:numPr>
          <w:ilvl w:val="0"/>
          <w:numId w:val="14"/>
        </w:numPr>
        <w:spacing w:line="360" w:lineRule="auto"/>
        <w:jc w:val="both"/>
        <w:rPr>
          <w:rFonts w:ascii="Century Schoolbook" w:hAnsi="Century Schoolbook"/>
          <w:sz w:val="24"/>
          <w:szCs w:val="24"/>
        </w:rPr>
      </w:pPr>
      <w:r w:rsidRPr="00593285">
        <w:rPr>
          <w:rFonts w:ascii="Century Schoolbook" w:hAnsi="Century Schoolbook"/>
          <w:sz w:val="24"/>
          <w:szCs w:val="24"/>
        </w:rPr>
        <w:t>Brazil should continue to report on measures taken for access to justice for victims of violence by strengthening police, prosecutors, and judges and gender training to respond to violent encounters.</w:t>
      </w:r>
    </w:p>
    <w:p w14:paraId="7C39405C" w14:textId="05FA4BB7" w:rsidR="00593285" w:rsidRDefault="00593285" w:rsidP="002C6FDE">
      <w:pPr>
        <w:pStyle w:val="ListParagraph"/>
        <w:numPr>
          <w:ilvl w:val="0"/>
          <w:numId w:val="14"/>
        </w:numPr>
        <w:spacing w:line="360" w:lineRule="auto"/>
        <w:jc w:val="both"/>
        <w:rPr>
          <w:rFonts w:ascii="Century Schoolbook" w:hAnsi="Century Schoolbook"/>
          <w:sz w:val="24"/>
          <w:szCs w:val="24"/>
        </w:rPr>
      </w:pPr>
      <w:r>
        <w:rPr>
          <w:rFonts w:ascii="Century Schoolbook" w:hAnsi="Century Schoolbook"/>
          <w:sz w:val="24"/>
          <w:szCs w:val="24"/>
        </w:rPr>
        <w:t>Brazil should take efforts to reach rural Indigenous communities and aid in providing low-income individuals access to justice.</w:t>
      </w:r>
    </w:p>
    <w:p w14:paraId="6E375DC1" w14:textId="75017145" w:rsidR="00593285" w:rsidRDefault="00593285" w:rsidP="002C6FDE">
      <w:pPr>
        <w:pStyle w:val="ListParagraph"/>
        <w:numPr>
          <w:ilvl w:val="0"/>
          <w:numId w:val="14"/>
        </w:numPr>
        <w:spacing w:line="360" w:lineRule="auto"/>
        <w:jc w:val="both"/>
        <w:rPr>
          <w:rFonts w:ascii="Century Schoolbook" w:hAnsi="Century Schoolbook"/>
          <w:sz w:val="24"/>
          <w:szCs w:val="24"/>
        </w:rPr>
      </w:pPr>
      <w:r>
        <w:rPr>
          <w:rFonts w:ascii="Century Schoolbook" w:hAnsi="Century Schoolbook"/>
          <w:sz w:val="24"/>
          <w:szCs w:val="24"/>
        </w:rPr>
        <w:t>Brazil should train responding officers on better techniques to handle domestic violent cases and be knowledgeable on legal services to provide to women to seek redress.</w:t>
      </w:r>
    </w:p>
    <w:p w14:paraId="23EB60C5" w14:textId="64A467CB" w:rsidR="00B15C92" w:rsidRPr="00B15C92" w:rsidRDefault="00B15C92" w:rsidP="002C6FDE">
      <w:pPr>
        <w:pStyle w:val="ListParagraph"/>
        <w:numPr>
          <w:ilvl w:val="0"/>
          <w:numId w:val="14"/>
        </w:numPr>
        <w:spacing w:line="360" w:lineRule="auto"/>
        <w:jc w:val="both"/>
        <w:rPr>
          <w:rFonts w:ascii="Century Schoolbook" w:hAnsi="Century Schoolbook"/>
          <w:sz w:val="24"/>
          <w:szCs w:val="24"/>
        </w:rPr>
      </w:pPr>
      <w:r w:rsidRPr="00B15C92">
        <w:rPr>
          <w:rFonts w:ascii="Century Schoolbook" w:hAnsi="Century Schoolbook"/>
          <w:sz w:val="24"/>
          <w:szCs w:val="24"/>
        </w:rPr>
        <w:lastRenderedPageBreak/>
        <w:t>By the next report</w:t>
      </w:r>
      <w:r w:rsidR="00FB33D4">
        <w:rPr>
          <w:rFonts w:ascii="Century Schoolbook" w:hAnsi="Century Schoolbook"/>
          <w:sz w:val="24"/>
          <w:szCs w:val="24"/>
        </w:rPr>
        <w:t xml:space="preserve"> to CEDAW</w:t>
      </w:r>
      <w:r w:rsidRPr="00B15C92">
        <w:rPr>
          <w:rFonts w:ascii="Century Schoolbook" w:hAnsi="Century Schoolbook"/>
          <w:sz w:val="24"/>
          <w:szCs w:val="24"/>
        </w:rPr>
        <w:t xml:space="preserve">, Brazil should report concrete measures taken and results obtained relating to Maria da Penha law, and the protection to the indigenous women. </w:t>
      </w:r>
    </w:p>
    <w:p w14:paraId="17EC1A52" w14:textId="59AF57E7" w:rsidR="00B15C92" w:rsidRPr="00B15C92" w:rsidRDefault="00393170" w:rsidP="00EF0F76">
      <w:pPr>
        <w:pStyle w:val="ListParagraph"/>
        <w:numPr>
          <w:ilvl w:val="0"/>
          <w:numId w:val="14"/>
        </w:numPr>
        <w:spacing w:line="360" w:lineRule="auto"/>
        <w:jc w:val="both"/>
        <w:rPr>
          <w:rFonts w:ascii="Century Schoolbook" w:hAnsi="Century Schoolbook"/>
          <w:sz w:val="24"/>
          <w:szCs w:val="24"/>
        </w:rPr>
      </w:pPr>
      <w:r>
        <w:rPr>
          <w:rFonts w:ascii="Century Schoolbook" w:hAnsi="Century Schoolbook"/>
          <w:sz w:val="24"/>
          <w:szCs w:val="24"/>
        </w:rPr>
        <w:t>Brazil should e</w:t>
      </w:r>
      <w:r w:rsidR="00B15C92" w:rsidRPr="00B15C92">
        <w:rPr>
          <w:rFonts w:ascii="Century Schoolbook" w:hAnsi="Century Schoolbook"/>
          <w:sz w:val="24"/>
          <w:szCs w:val="24"/>
        </w:rPr>
        <w:t xml:space="preserve">xtend a standing invitation to Special Rapporteur on Violence Against Women. </w:t>
      </w:r>
    </w:p>
    <w:p w14:paraId="57BA6A78" w14:textId="77777777" w:rsidR="00B15C92" w:rsidRPr="00B15C92" w:rsidRDefault="00B15C92" w:rsidP="002C6FDE">
      <w:pPr>
        <w:pStyle w:val="ListParagraph"/>
        <w:numPr>
          <w:ilvl w:val="0"/>
          <w:numId w:val="14"/>
        </w:numPr>
        <w:spacing w:line="360" w:lineRule="auto"/>
        <w:jc w:val="both"/>
        <w:rPr>
          <w:rFonts w:ascii="Century Schoolbook" w:hAnsi="Century Schoolbook"/>
          <w:sz w:val="24"/>
          <w:szCs w:val="24"/>
        </w:rPr>
      </w:pPr>
      <w:r w:rsidRPr="00B15C92">
        <w:rPr>
          <w:rFonts w:ascii="Century Schoolbook" w:hAnsi="Century Schoolbook"/>
          <w:sz w:val="24"/>
          <w:szCs w:val="24"/>
        </w:rPr>
        <w:t>Provide information on the financial resources for Monitoring the Implementation and Enforcement of the Maria da Penha law.</w:t>
      </w:r>
    </w:p>
    <w:p w14:paraId="53634F70" w14:textId="4978B8A4" w:rsidR="00B15C92" w:rsidRPr="00B15C92" w:rsidRDefault="00B15C92" w:rsidP="002C6FDE">
      <w:pPr>
        <w:pStyle w:val="ListParagraph"/>
        <w:numPr>
          <w:ilvl w:val="0"/>
          <w:numId w:val="14"/>
        </w:numPr>
        <w:spacing w:line="360" w:lineRule="auto"/>
        <w:jc w:val="both"/>
        <w:rPr>
          <w:rFonts w:ascii="Century Schoolbook" w:hAnsi="Century Schoolbook"/>
          <w:sz w:val="24"/>
          <w:szCs w:val="24"/>
        </w:rPr>
      </w:pPr>
      <w:r w:rsidRPr="00B15C92">
        <w:rPr>
          <w:rFonts w:ascii="Century Schoolbook" w:hAnsi="Century Schoolbook"/>
          <w:sz w:val="24"/>
          <w:szCs w:val="24"/>
        </w:rPr>
        <w:t>Submit all overdue reports to the Committee on the Elimination of Discrimination Against Women since 2012.</w:t>
      </w:r>
    </w:p>
    <w:p w14:paraId="03D2680F" w14:textId="677B81AB" w:rsidR="00154913" w:rsidRPr="00B15C92" w:rsidRDefault="00A4147E" w:rsidP="002C6FDE">
      <w:pPr>
        <w:pStyle w:val="ListParagraph"/>
        <w:numPr>
          <w:ilvl w:val="0"/>
          <w:numId w:val="14"/>
        </w:numPr>
        <w:spacing w:line="360" w:lineRule="auto"/>
        <w:jc w:val="both"/>
        <w:rPr>
          <w:rFonts w:ascii="Century Schoolbook" w:hAnsi="Century Schoolbook"/>
          <w:sz w:val="24"/>
          <w:szCs w:val="24"/>
        </w:rPr>
      </w:pPr>
      <w:r>
        <w:rPr>
          <w:rFonts w:ascii="Century Schoolbook" w:hAnsi="Century Schoolbook"/>
          <w:sz w:val="24"/>
          <w:szCs w:val="24"/>
        </w:rPr>
        <w:t xml:space="preserve">Where Brazil continues to not implement ICERD obligations, Brazil should provide a critical, candid assessment explaining barriers to implements. This will provide the basis for future, constructive recommendations.  </w:t>
      </w:r>
    </w:p>
    <w:p w14:paraId="5D856A75" w14:textId="77777777" w:rsidR="00E3219A" w:rsidRDefault="00E3219A"/>
    <w:sectPr w:rsidR="00E3219A" w:rsidSect="00797C85">
      <w:headerReference w:type="default" r:id="rId9"/>
      <w:footerReference w:type="even" r:id="rId10"/>
      <w:footerReference w:type="default" r:id="rId11"/>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D81F1" w14:textId="77777777" w:rsidR="000002CA" w:rsidRDefault="000002CA" w:rsidP="00B72CC9">
      <w:pPr>
        <w:spacing w:after="0" w:line="240" w:lineRule="auto"/>
      </w:pPr>
      <w:r>
        <w:separator/>
      </w:r>
    </w:p>
  </w:endnote>
  <w:endnote w:type="continuationSeparator" w:id="0">
    <w:p w14:paraId="0A4B185B" w14:textId="77777777" w:rsidR="000002CA" w:rsidRDefault="000002CA" w:rsidP="00B7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9588743"/>
      <w:docPartObj>
        <w:docPartGallery w:val="Page Numbers (Bottom of Page)"/>
        <w:docPartUnique/>
      </w:docPartObj>
    </w:sdtPr>
    <w:sdtContent>
      <w:p w14:paraId="62CD3E40" w14:textId="276C8B0A" w:rsidR="00797C85" w:rsidRDefault="00797C85" w:rsidP="00797C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FAA83" w14:textId="77777777" w:rsidR="00797C85" w:rsidRDefault="00797C85" w:rsidP="00797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0957430"/>
      <w:docPartObj>
        <w:docPartGallery w:val="Page Numbers (Bottom of Page)"/>
        <w:docPartUnique/>
      </w:docPartObj>
    </w:sdtPr>
    <w:sdtContent>
      <w:p w14:paraId="3A304CAF" w14:textId="0BFDF54C" w:rsidR="00797C85" w:rsidRDefault="00797C85" w:rsidP="00797C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C20C0E" w14:textId="63EA24D7" w:rsidR="00E04FFE" w:rsidRDefault="00E04FFE" w:rsidP="00797C85">
    <w:pPr>
      <w:pStyle w:val="Footer"/>
      <w:ind w:right="360"/>
      <w:jc w:val="center"/>
    </w:pPr>
  </w:p>
  <w:p w14:paraId="156E7506" w14:textId="77777777" w:rsidR="00E04FFE" w:rsidRDefault="00E0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AADA" w14:textId="77777777" w:rsidR="000002CA" w:rsidRDefault="000002CA" w:rsidP="00B72CC9">
      <w:pPr>
        <w:spacing w:after="0" w:line="240" w:lineRule="auto"/>
      </w:pPr>
      <w:r>
        <w:separator/>
      </w:r>
    </w:p>
  </w:footnote>
  <w:footnote w:type="continuationSeparator" w:id="0">
    <w:p w14:paraId="304B8C5F" w14:textId="77777777" w:rsidR="000002CA" w:rsidRDefault="000002CA" w:rsidP="00B72CC9">
      <w:pPr>
        <w:spacing w:after="0" w:line="240" w:lineRule="auto"/>
      </w:pPr>
      <w:r>
        <w:continuationSeparator/>
      </w:r>
    </w:p>
  </w:footnote>
  <w:footnote w:id="1">
    <w:p w14:paraId="74498647" w14:textId="4B22D882" w:rsidR="00A4147E" w:rsidRDefault="00A4147E">
      <w:pPr>
        <w:pStyle w:val="FootnoteText"/>
      </w:pPr>
      <w:r>
        <w:rPr>
          <w:rStyle w:val="FootnoteReference"/>
        </w:rPr>
        <w:footnoteRef/>
      </w:r>
      <w:r>
        <w:t xml:space="preserve"> Universal Periodic Review Mid-Term Report 3</w:t>
      </w:r>
      <w:r w:rsidRPr="00A4147E">
        <w:rPr>
          <w:vertAlign w:val="superscript"/>
        </w:rPr>
        <w:t>rd</w:t>
      </w:r>
      <w:r>
        <w:t xml:space="preserve"> Cycle. Brazil-2019, para 230. </w:t>
      </w:r>
    </w:p>
  </w:footnote>
  <w:footnote w:id="2">
    <w:p w14:paraId="1FDCFC06" w14:textId="2ADE0AC7" w:rsidR="00410450" w:rsidRDefault="00410450">
      <w:pPr>
        <w:pStyle w:val="FootnoteText"/>
      </w:pPr>
      <w:r>
        <w:rPr>
          <w:rStyle w:val="FootnoteReference"/>
        </w:rPr>
        <w:footnoteRef/>
      </w:r>
      <w:r>
        <w:t xml:space="preserve"> </w:t>
      </w:r>
      <w:r w:rsidRPr="00564568">
        <w:t>CEDAW</w:t>
      </w:r>
      <w:r w:rsidR="00564568">
        <w:t xml:space="preserve">/C/BRA/7. </w:t>
      </w:r>
      <w:r w:rsidR="00067927">
        <w:t>para</w:t>
      </w:r>
      <w:r w:rsidR="00564568">
        <w:t xml:space="preserve"> </w:t>
      </w:r>
      <w:r w:rsidR="00067927">
        <w:t>34</w:t>
      </w:r>
      <w:r w:rsidR="00564568">
        <w:t xml:space="preserve">. 31 August 2010. </w:t>
      </w:r>
    </w:p>
  </w:footnote>
  <w:footnote w:id="3">
    <w:p w14:paraId="02EF8395" w14:textId="3DA566A2" w:rsidR="00410450" w:rsidRDefault="00410450">
      <w:pPr>
        <w:pStyle w:val="FootnoteText"/>
      </w:pPr>
      <w:r w:rsidRPr="00564568">
        <w:rPr>
          <w:rStyle w:val="FootnoteReference"/>
        </w:rPr>
        <w:footnoteRef/>
      </w:r>
      <w:r w:rsidRPr="00564568">
        <w:t xml:space="preserve"> </w:t>
      </w:r>
      <w:r w:rsidRPr="0083641A">
        <w:rPr>
          <w:i/>
          <w:iCs/>
        </w:rPr>
        <w:t xml:space="preserve">Id. </w:t>
      </w:r>
    </w:p>
  </w:footnote>
  <w:footnote w:id="4">
    <w:p w14:paraId="17ABCCAF" w14:textId="28C81468" w:rsidR="00410450" w:rsidRDefault="00410450">
      <w:pPr>
        <w:pStyle w:val="FootnoteText"/>
      </w:pPr>
      <w:r>
        <w:rPr>
          <w:rStyle w:val="FootnoteReference"/>
        </w:rPr>
        <w:footnoteRef/>
      </w:r>
      <w:r>
        <w:t xml:space="preserve"> CEDAW</w:t>
      </w:r>
      <w:r w:rsidR="0043377E">
        <w:t>/</w:t>
      </w:r>
      <w:r w:rsidR="00676E79">
        <w:t>C</w:t>
      </w:r>
      <w:r w:rsidR="0043377E">
        <w:t>/</w:t>
      </w:r>
      <w:r w:rsidR="0021638D">
        <w:t>BRA/</w:t>
      </w:r>
      <w:r w:rsidR="0043377E">
        <w:t>CO/7</w:t>
      </w:r>
      <w:r w:rsidR="00676E79">
        <w:t>. para 18. 2</w:t>
      </w:r>
      <w:r w:rsidR="00744F7C">
        <w:t>3</w:t>
      </w:r>
      <w:r w:rsidR="00676E79">
        <w:t xml:space="preserve"> March 2012. </w:t>
      </w:r>
    </w:p>
  </w:footnote>
  <w:footnote w:id="5">
    <w:p w14:paraId="587CE799" w14:textId="2E07894F" w:rsidR="00410450" w:rsidRDefault="00410450">
      <w:pPr>
        <w:pStyle w:val="FootnoteText"/>
      </w:pPr>
      <w:r>
        <w:rPr>
          <w:rStyle w:val="FootnoteReference"/>
        </w:rPr>
        <w:footnoteRef/>
      </w:r>
      <w:r>
        <w:t xml:space="preserve"> </w:t>
      </w:r>
      <w:r w:rsidRPr="00676E79">
        <w:rPr>
          <w:i/>
          <w:iCs/>
        </w:rPr>
        <w:t>Id.</w:t>
      </w:r>
      <w:r>
        <w:t xml:space="preserve"> </w:t>
      </w:r>
    </w:p>
  </w:footnote>
  <w:footnote w:id="6">
    <w:p w14:paraId="06EA5096" w14:textId="3A4DFF1C" w:rsidR="00410450" w:rsidRDefault="00410450">
      <w:pPr>
        <w:pStyle w:val="FootnoteText"/>
      </w:pPr>
      <w:r>
        <w:rPr>
          <w:rStyle w:val="FootnoteReference"/>
        </w:rPr>
        <w:footnoteRef/>
      </w:r>
      <w:r>
        <w:t xml:space="preserve"> </w:t>
      </w:r>
      <w:r w:rsidRPr="00676E79">
        <w:rPr>
          <w:i/>
          <w:iCs/>
        </w:rPr>
        <w:t>Id.</w:t>
      </w:r>
      <w:r>
        <w:t xml:space="preserve"> </w:t>
      </w:r>
    </w:p>
  </w:footnote>
  <w:footnote w:id="7">
    <w:p w14:paraId="12CF4E11" w14:textId="17D16DD5" w:rsidR="00410450" w:rsidRDefault="00410450">
      <w:pPr>
        <w:pStyle w:val="FootnoteText"/>
      </w:pPr>
      <w:r>
        <w:rPr>
          <w:rStyle w:val="FootnoteReference"/>
        </w:rPr>
        <w:footnoteRef/>
      </w:r>
      <w:r>
        <w:t xml:space="preserve"> </w:t>
      </w:r>
      <w:r w:rsidRPr="00676E79">
        <w:rPr>
          <w:i/>
          <w:iCs/>
        </w:rPr>
        <w:t>Id.</w:t>
      </w:r>
      <w:r>
        <w:t xml:space="preserve"> </w:t>
      </w:r>
    </w:p>
  </w:footnote>
  <w:footnote w:id="8">
    <w:p w14:paraId="3F2BADCE" w14:textId="6C9D4580" w:rsidR="00410450" w:rsidRDefault="00410450">
      <w:pPr>
        <w:pStyle w:val="FootnoteText"/>
      </w:pPr>
      <w:r>
        <w:rPr>
          <w:rStyle w:val="FootnoteReference"/>
        </w:rPr>
        <w:footnoteRef/>
      </w:r>
      <w:r>
        <w:t xml:space="preserve"> </w:t>
      </w:r>
      <w:r w:rsidRPr="00676E79">
        <w:rPr>
          <w:i/>
          <w:iCs/>
        </w:rPr>
        <w:t>Id.</w:t>
      </w:r>
      <w:r>
        <w:t xml:space="preserve"> </w:t>
      </w:r>
      <w:r w:rsidR="00676E79">
        <w:t xml:space="preserve">at para 19(a). </w:t>
      </w:r>
    </w:p>
  </w:footnote>
  <w:footnote w:id="9">
    <w:p w14:paraId="3D4A12FD" w14:textId="1327620F" w:rsidR="00410450" w:rsidRDefault="00410450">
      <w:pPr>
        <w:pStyle w:val="FootnoteText"/>
      </w:pPr>
      <w:r>
        <w:rPr>
          <w:rStyle w:val="FootnoteReference"/>
        </w:rPr>
        <w:footnoteRef/>
      </w:r>
      <w:r>
        <w:t xml:space="preserve"> A/HRC/33/42/Add.1., para</w:t>
      </w:r>
      <w:r w:rsidR="00676E79">
        <w:t xml:space="preserve"> </w:t>
      </w:r>
      <w:r w:rsidR="009E10A4">
        <w:t>28</w:t>
      </w:r>
      <w:r>
        <w:t>.</w:t>
      </w:r>
      <w:r w:rsidR="00B475F0">
        <w:t xml:space="preserve">  </w:t>
      </w:r>
      <w:r w:rsidR="00676E79">
        <w:t xml:space="preserve">8 </w:t>
      </w:r>
      <w:proofErr w:type="gramStart"/>
      <w:r>
        <w:t>August,</w:t>
      </w:r>
      <w:proofErr w:type="gramEnd"/>
      <w:r>
        <w:t xml:space="preserve"> 2016</w:t>
      </w:r>
    </w:p>
  </w:footnote>
  <w:footnote w:id="10">
    <w:p w14:paraId="20FDB95C" w14:textId="1D6B4F10" w:rsidR="00410450" w:rsidRDefault="00410450">
      <w:pPr>
        <w:pStyle w:val="FootnoteText"/>
      </w:pPr>
      <w:r>
        <w:rPr>
          <w:rStyle w:val="FootnoteReference"/>
        </w:rPr>
        <w:footnoteRef/>
      </w:r>
      <w:r>
        <w:t xml:space="preserve"> </w:t>
      </w:r>
      <w:r w:rsidRPr="001D4876">
        <w:rPr>
          <w:i/>
          <w:iCs/>
        </w:rPr>
        <w:t>Id.</w:t>
      </w:r>
      <w:r>
        <w:t xml:space="preserve"> </w:t>
      </w:r>
      <w:r w:rsidR="001D4876">
        <w:t xml:space="preserve"> </w:t>
      </w:r>
    </w:p>
  </w:footnote>
  <w:footnote w:id="11">
    <w:p w14:paraId="3CC29C61" w14:textId="4D18826E"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29. </w:t>
      </w:r>
    </w:p>
  </w:footnote>
  <w:footnote w:id="12">
    <w:p w14:paraId="2F33BDB5" w14:textId="0C50D90D" w:rsidR="001D4876" w:rsidRDefault="001D4876">
      <w:pPr>
        <w:pStyle w:val="FootnoteText"/>
      </w:pPr>
      <w:r>
        <w:rPr>
          <w:rStyle w:val="FootnoteReference"/>
        </w:rPr>
        <w:footnoteRef/>
      </w:r>
      <w:r>
        <w:t xml:space="preserve"> </w:t>
      </w:r>
      <w:r w:rsidRPr="001D4876">
        <w:rPr>
          <w:i/>
          <w:iCs/>
        </w:rPr>
        <w:t>Id.</w:t>
      </w:r>
      <w:r>
        <w:t xml:space="preserve"> at para 31. </w:t>
      </w:r>
    </w:p>
  </w:footnote>
  <w:footnote w:id="13">
    <w:p w14:paraId="3193174D" w14:textId="674F3381"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79. </w:t>
      </w:r>
    </w:p>
  </w:footnote>
  <w:footnote w:id="14">
    <w:p w14:paraId="36926A49" w14:textId="5F450CAD"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80. </w:t>
      </w:r>
    </w:p>
  </w:footnote>
  <w:footnote w:id="15">
    <w:p w14:paraId="317138E1" w14:textId="7586AC42"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60. </w:t>
      </w:r>
    </w:p>
  </w:footnote>
  <w:footnote w:id="16">
    <w:p w14:paraId="144FAA11" w14:textId="692C47CB" w:rsidR="00410450" w:rsidRDefault="00410450">
      <w:pPr>
        <w:pStyle w:val="FootnoteText"/>
      </w:pPr>
      <w:r>
        <w:rPr>
          <w:rStyle w:val="FootnoteReference"/>
        </w:rPr>
        <w:footnoteRef/>
      </w:r>
      <w:r>
        <w:t xml:space="preserve"> </w:t>
      </w:r>
      <w:r w:rsidRPr="001D4876">
        <w:rPr>
          <w:i/>
          <w:iCs/>
        </w:rPr>
        <w:t>Id.</w:t>
      </w:r>
      <w:r>
        <w:t xml:space="preserve"> at </w:t>
      </w:r>
      <w:r w:rsidR="001D4876">
        <w:t>para 61.</w:t>
      </w:r>
    </w:p>
  </w:footnote>
  <w:footnote w:id="17">
    <w:p w14:paraId="33967C7A" w14:textId="59EB8549" w:rsidR="00410450" w:rsidRDefault="00410450">
      <w:pPr>
        <w:pStyle w:val="FootnoteText"/>
      </w:pPr>
      <w:r>
        <w:rPr>
          <w:rStyle w:val="FootnoteReference"/>
        </w:rPr>
        <w:footnoteRef/>
      </w:r>
      <w:r>
        <w:t xml:space="preserve"> </w:t>
      </w:r>
      <w:r w:rsidR="001D4876">
        <w:t xml:space="preserve">A/HRC/33/42/ Add. 5., para 24, 19 Sept. 2016. </w:t>
      </w:r>
    </w:p>
  </w:footnote>
  <w:footnote w:id="18">
    <w:p w14:paraId="14954503" w14:textId="1568E285"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15. </w:t>
      </w:r>
    </w:p>
  </w:footnote>
  <w:footnote w:id="19">
    <w:p w14:paraId="72E93C62" w14:textId="1FA10CA1" w:rsidR="00410450" w:rsidRDefault="00410450">
      <w:pPr>
        <w:pStyle w:val="FootnoteText"/>
      </w:pPr>
      <w:r>
        <w:rPr>
          <w:rStyle w:val="FootnoteReference"/>
        </w:rPr>
        <w:footnoteRef/>
      </w:r>
      <w:r>
        <w:t xml:space="preserve"> </w:t>
      </w:r>
      <w:r w:rsidRPr="001D4876">
        <w:rPr>
          <w:i/>
          <w:iCs/>
        </w:rPr>
        <w:t>Id.</w:t>
      </w:r>
      <w:r>
        <w:t xml:space="preserve"> at </w:t>
      </w:r>
      <w:r w:rsidR="001D4876">
        <w:t xml:space="preserve">para 26. </w:t>
      </w:r>
    </w:p>
  </w:footnote>
  <w:footnote w:id="20">
    <w:p w14:paraId="2BF5D314" w14:textId="66B0E608" w:rsidR="00410450" w:rsidRDefault="00410450">
      <w:pPr>
        <w:pStyle w:val="FootnoteText"/>
      </w:pPr>
      <w:r>
        <w:rPr>
          <w:rStyle w:val="FootnoteReference"/>
        </w:rPr>
        <w:footnoteRef/>
      </w:r>
      <w:r>
        <w:t xml:space="preserve"> Universal Periodic Review Mid-Term Report 3</w:t>
      </w:r>
      <w:r w:rsidRPr="00410450">
        <w:rPr>
          <w:vertAlign w:val="superscript"/>
        </w:rPr>
        <w:t>rd</w:t>
      </w:r>
      <w:r>
        <w:t xml:space="preserve"> Cycle, Brazil – 2019, para 285. </w:t>
      </w:r>
    </w:p>
  </w:footnote>
  <w:footnote w:id="21">
    <w:p w14:paraId="229C74FF" w14:textId="7D498027" w:rsidR="00410450" w:rsidRDefault="00410450">
      <w:pPr>
        <w:pStyle w:val="FootnoteText"/>
      </w:pPr>
      <w:r>
        <w:rPr>
          <w:rStyle w:val="FootnoteReference"/>
        </w:rPr>
        <w:footnoteRef/>
      </w:r>
      <w:r>
        <w:t xml:space="preserve"> </w:t>
      </w:r>
      <w:r w:rsidRPr="00410450">
        <w:rPr>
          <w:i/>
          <w:iCs/>
        </w:rPr>
        <w:t>Id.</w:t>
      </w:r>
      <w:r>
        <w:t xml:space="preserve"> </w:t>
      </w:r>
    </w:p>
  </w:footnote>
  <w:footnote w:id="22">
    <w:p w14:paraId="04961C45" w14:textId="7E04B6F6" w:rsidR="00410450" w:rsidRDefault="00410450">
      <w:pPr>
        <w:pStyle w:val="FootnoteText"/>
      </w:pPr>
      <w:r>
        <w:rPr>
          <w:rStyle w:val="FootnoteReference"/>
        </w:rPr>
        <w:footnoteRef/>
      </w:r>
      <w:r>
        <w:t xml:space="preserve"> </w:t>
      </w:r>
      <w:r w:rsidRPr="00410450">
        <w:rPr>
          <w:i/>
          <w:iCs/>
        </w:rPr>
        <w:t>Id.</w:t>
      </w:r>
    </w:p>
  </w:footnote>
  <w:footnote w:id="23">
    <w:p w14:paraId="5294E8FE" w14:textId="6AD39A16" w:rsidR="00410450" w:rsidRDefault="00410450">
      <w:pPr>
        <w:pStyle w:val="FootnoteText"/>
      </w:pPr>
      <w:r>
        <w:rPr>
          <w:rStyle w:val="FootnoteReference"/>
        </w:rPr>
        <w:footnoteRef/>
      </w:r>
      <w:r>
        <w:t xml:space="preserve"> </w:t>
      </w:r>
      <w:r w:rsidRPr="00410450">
        <w:rPr>
          <w:i/>
          <w:iCs/>
        </w:rPr>
        <w:t>Id.</w:t>
      </w:r>
    </w:p>
  </w:footnote>
  <w:footnote w:id="24">
    <w:p w14:paraId="5CED7EEF" w14:textId="56FD0EA1" w:rsidR="00410450" w:rsidRDefault="00410450">
      <w:pPr>
        <w:pStyle w:val="FootnoteText"/>
      </w:pPr>
      <w:r>
        <w:rPr>
          <w:rStyle w:val="FootnoteReference"/>
        </w:rPr>
        <w:footnoteRef/>
      </w:r>
      <w:r>
        <w:t xml:space="preserve"> </w:t>
      </w:r>
      <w:r w:rsidRPr="00410450">
        <w:rPr>
          <w:i/>
          <w:iCs/>
        </w:rPr>
        <w:t>Id.</w:t>
      </w:r>
      <w:r>
        <w:t xml:space="preserve"> at para 286. </w:t>
      </w:r>
    </w:p>
  </w:footnote>
  <w:footnote w:id="25">
    <w:p w14:paraId="20305C52" w14:textId="0D751572" w:rsidR="00410450" w:rsidRDefault="00410450">
      <w:pPr>
        <w:pStyle w:val="FootnoteText"/>
      </w:pPr>
      <w:r>
        <w:rPr>
          <w:rStyle w:val="FootnoteReference"/>
        </w:rPr>
        <w:footnoteRef/>
      </w:r>
      <w:r>
        <w:t xml:space="preserve"> </w:t>
      </w:r>
      <w:r w:rsidRPr="00564568">
        <w:t>CEDAW</w:t>
      </w:r>
      <w:r w:rsidR="00564568" w:rsidRPr="00564568">
        <w:t>/C</w:t>
      </w:r>
      <w:r w:rsidR="00564568">
        <w:t xml:space="preserve">/BRA/QPR/8-9. para 5. 17 November 2020. </w:t>
      </w:r>
    </w:p>
  </w:footnote>
  <w:footnote w:id="26">
    <w:p w14:paraId="62DCCD50" w14:textId="696DF17B" w:rsidR="00410450" w:rsidRDefault="00410450">
      <w:pPr>
        <w:pStyle w:val="FootnoteText"/>
      </w:pPr>
      <w:r>
        <w:rPr>
          <w:rStyle w:val="FootnoteReference"/>
        </w:rPr>
        <w:footnoteRef/>
      </w:r>
      <w:r>
        <w:t xml:space="preserve"> </w:t>
      </w:r>
      <w:r w:rsidRPr="00564568">
        <w:rPr>
          <w:i/>
          <w:iCs/>
        </w:rPr>
        <w:t>Id.</w:t>
      </w:r>
      <w:r>
        <w:t xml:space="preserve"> </w:t>
      </w:r>
    </w:p>
  </w:footnote>
  <w:footnote w:id="27">
    <w:p w14:paraId="5C647C3A" w14:textId="1C60AC99" w:rsidR="00410450" w:rsidRPr="001E31ED" w:rsidRDefault="00410450">
      <w:pPr>
        <w:pStyle w:val="FootnoteText"/>
        <w:rPr>
          <w:highlight w:val="yellow"/>
        </w:rPr>
      </w:pPr>
      <w:r w:rsidRPr="00564568">
        <w:rPr>
          <w:rStyle w:val="FootnoteReference"/>
        </w:rPr>
        <w:footnoteRef/>
      </w:r>
      <w:r w:rsidRPr="00564568">
        <w:t xml:space="preserve"> </w:t>
      </w:r>
      <w:r w:rsidRPr="00564568">
        <w:rPr>
          <w:i/>
          <w:iCs/>
        </w:rPr>
        <w:t>Id.</w:t>
      </w:r>
      <w:r w:rsidRPr="00564568">
        <w:t xml:space="preserve"> at </w:t>
      </w:r>
      <w:r w:rsidR="00564568" w:rsidRPr="00564568">
        <w:t xml:space="preserve">para. 9. </w:t>
      </w:r>
    </w:p>
  </w:footnote>
  <w:footnote w:id="28">
    <w:p w14:paraId="01ABDDC4" w14:textId="5D22E9C0" w:rsidR="00410450" w:rsidRPr="001E31ED" w:rsidRDefault="00410450">
      <w:pPr>
        <w:pStyle w:val="FootnoteText"/>
        <w:rPr>
          <w:highlight w:val="yellow"/>
        </w:rPr>
      </w:pPr>
      <w:r w:rsidRPr="00564568">
        <w:rPr>
          <w:rStyle w:val="FootnoteReference"/>
        </w:rPr>
        <w:footnoteRef/>
      </w:r>
      <w:r w:rsidRPr="00564568">
        <w:t xml:space="preserve"> </w:t>
      </w:r>
      <w:r w:rsidR="001E31ED" w:rsidRPr="00564568">
        <w:t>CERD</w:t>
      </w:r>
      <w:r w:rsidR="00564568" w:rsidRPr="00564568">
        <w:t xml:space="preserve">/C/BRA/18-20. para 191. 15 September 2020. </w:t>
      </w:r>
    </w:p>
  </w:footnote>
  <w:footnote w:id="29">
    <w:p w14:paraId="2F1DA1EB" w14:textId="640249C2" w:rsidR="00410450" w:rsidRDefault="00410450">
      <w:pPr>
        <w:pStyle w:val="FootnoteText"/>
      </w:pPr>
      <w:r w:rsidRPr="00564568">
        <w:rPr>
          <w:rStyle w:val="FootnoteReference"/>
        </w:rPr>
        <w:footnoteRef/>
      </w:r>
      <w:r w:rsidRPr="00564568">
        <w:t xml:space="preserve"> </w:t>
      </w:r>
      <w:r w:rsidRPr="00564568">
        <w:rPr>
          <w:i/>
          <w:iCs/>
        </w:rPr>
        <w:t>Id.</w:t>
      </w:r>
      <w:r w:rsidRPr="00564568">
        <w:t xml:space="preserve"> </w:t>
      </w:r>
      <w:r>
        <w:t xml:space="preserve"> </w:t>
      </w:r>
    </w:p>
  </w:footnote>
  <w:footnote w:id="30">
    <w:p w14:paraId="2083650C" w14:textId="02E71C13" w:rsidR="00410450" w:rsidRDefault="00410450">
      <w:pPr>
        <w:pStyle w:val="FootnoteText"/>
      </w:pPr>
      <w:r w:rsidRPr="00564568">
        <w:rPr>
          <w:rStyle w:val="FootnoteReference"/>
        </w:rPr>
        <w:footnoteRef/>
      </w:r>
      <w:r w:rsidRPr="00564568">
        <w:t xml:space="preserve"> </w:t>
      </w:r>
      <w:r w:rsidRPr="00564568">
        <w:rPr>
          <w:i/>
          <w:iCs/>
        </w:rPr>
        <w:t>Id.</w:t>
      </w:r>
      <w:r w:rsidRPr="00564568">
        <w:t xml:space="preserve"> at </w:t>
      </w:r>
      <w:r w:rsidR="00564568" w:rsidRPr="00564568">
        <w:t>para</w:t>
      </w:r>
      <w:r w:rsidR="00564568">
        <w:t xml:space="preserve">. 192. </w:t>
      </w:r>
    </w:p>
  </w:footnote>
  <w:footnote w:id="31">
    <w:p w14:paraId="5C4EF658" w14:textId="4E8D2C9D" w:rsidR="0043377E" w:rsidRDefault="0043377E">
      <w:pPr>
        <w:pStyle w:val="FootnoteText"/>
      </w:pPr>
      <w:r>
        <w:rPr>
          <w:rStyle w:val="FootnoteReference"/>
        </w:rPr>
        <w:footnoteRef/>
      </w:r>
      <w:r>
        <w:t xml:space="preserve"> A/HRC/33/42/Add.1., para 96, August 8, 2016. </w:t>
      </w:r>
    </w:p>
  </w:footnote>
  <w:footnote w:id="32">
    <w:p w14:paraId="37712B63" w14:textId="0BEC4346" w:rsidR="0043377E" w:rsidRDefault="0043377E">
      <w:pPr>
        <w:pStyle w:val="FootnoteText"/>
      </w:pPr>
      <w:r>
        <w:rPr>
          <w:rStyle w:val="FootnoteReference"/>
        </w:rPr>
        <w:footnoteRef/>
      </w:r>
      <w:r>
        <w:t xml:space="preserve"> </w:t>
      </w:r>
      <w:r w:rsidRPr="0043377E">
        <w:rPr>
          <w:i/>
          <w:iCs/>
        </w:rPr>
        <w:t>Id.</w:t>
      </w:r>
      <w:r>
        <w:t xml:space="preserve"> </w:t>
      </w:r>
    </w:p>
  </w:footnote>
  <w:footnote w:id="33">
    <w:p w14:paraId="0BC58096" w14:textId="4FFA7DFD" w:rsidR="0043377E" w:rsidRDefault="0043377E">
      <w:pPr>
        <w:pStyle w:val="FootnoteText"/>
      </w:pPr>
      <w:r>
        <w:rPr>
          <w:rStyle w:val="FootnoteReference"/>
        </w:rPr>
        <w:footnoteRef/>
      </w:r>
      <w:r>
        <w:t xml:space="preserve"> </w:t>
      </w:r>
      <w:r w:rsidRPr="0043377E">
        <w:rPr>
          <w:i/>
          <w:iCs/>
        </w:rPr>
        <w:t>Id.</w:t>
      </w:r>
      <w:r>
        <w:t xml:space="preserve"> </w:t>
      </w:r>
    </w:p>
  </w:footnote>
  <w:footnote w:id="34">
    <w:p w14:paraId="123A4423" w14:textId="20120149" w:rsidR="0043377E" w:rsidRDefault="0043377E">
      <w:pPr>
        <w:pStyle w:val="FootnoteText"/>
      </w:pPr>
      <w:r>
        <w:rPr>
          <w:rStyle w:val="FootnoteReference"/>
        </w:rPr>
        <w:footnoteRef/>
      </w:r>
      <w:r>
        <w:t xml:space="preserve"> </w:t>
      </w:r>
      <w:r w:rsidRPr="0043377E">
        <w:rPr>
          <w:i/>
          <w:iCs/>
        </w:rPr>
        <w:t>Id.</w:t>
      </w:r>
      <w:r>
        <w:t xml:space="preserve"> at para 100. </w:t>
      </w:r>
    </w:p>
  </w:footnote>
  <w:footnote w:id="35">
    <w:p w14:paraId="2EA19228" w14:textId="40334B3D" w:rsidR="0043377E" w:rsidRDefault="0043377E">
      <w:pPr>
        <w:pStyle w:val="FootnoteText"/>
      </w:pPr>
      <w:r>
        <w:rPr>
          <w:rStyle w:val="FootnoteReference"/>
        </w:rPr>
        <w:footnoteRef/>
      </w:r>
      <w:r>
        <w:t xml:space="preserve"> A/HRC/36/11., para 136.46, 18 </w:t>
      </w:r>
      <w:proofErr w:type="gramStart"/>
      <w:r>
        <w:t>July,</w:t>
      </w:r>
      <w:proofErr w:type="gramEnd"/>
      <w:r>
        <w:t xml:space="preserve"> 2017. </w:t>
      </w:r>
    </w:p>
  </w:footnote>
  <w:footnote w:id="36">
    <w:p w14:paraId="14C4040B" w14:textId="37A70AA8" w:rsidR="0043377E" w:rsidRDefault="0043377E">
      <w:pPr>
        <w:pStyle w:val="FootnoteText"/>
      </w:pPr>
      <w:r>
        <w:rPr>
          <w:rStyle w:val="FootnoteReference"/>
        </w:rPr>
        <w:footnoteRef/>
      </w:r>
      <w:r>
        <w:t xml:space="preserve"> </w:t>
      </w:r>
      <w:r w:rsidRPr="0043377E">
        <w:rPr>
          <w:i/>
          <w:iCs/>
        </w:rPr>
        <w:t>Id.</w:t>
      </w:r>
      <w:r>
        <w:t xml:space="preserve"> at para 136.119. </w:t>
      </w:r>
    </w:p>
  </w:footnote>
  <w:footnote w:id="37">
    <w:p w14:paraId="00716EED" w14:textId="40FCBC1B" w:rsidR="0043377E" w:rsidRDefault="0043377E">
      <w:pPr>
        <w:pStyle w:val="FootnoteText"/>
      </w:pPr>
      <w:r>
        <w:rPr>
          <w:rStyle w:val="FootnoteReference"/>
        </w:rPr>
        <w:footnoteRef/>
      </w:r>
      <w:r>
        <w:t xml:space="preserve"> </w:t>
      </w:r>
      <w:r w:rsidRPr="0043377E">
        <w:rPr>
          <w:i/>
          <w:iCs/>
        </w:rPr>
        <w:t>Id.</w:t>
      </w:r>
      <w:r>
        <w:t xml:space="preserve"> at para 136.178-136.179. </w:t>
      </w:r>
    </w:p>
  </w:footnote>
  <w:footnote w:id="38">
    <w:p w14:paraId="0EC3EE68" w14:textId="00E97F77" w:rsidR="0043377E" w:rsidRDefault="0043377E">
      <w:pPr>
        <w:pStyle w:val="FootnoteText"/>
      </w:pPr>
      <w:r>
        <w:rPr>
          <w:rStyle w:val="FootnoteReference"/>
        </w:rPr>
        <w:footnoteRef/>
      </w:r>
      <w:r>
        <w:t xml:space="preserve"> </w:t>
      </w:r>
      <w:r w:rsidRPr="0043377E">
        <w:rPr>
          <w:i/>
          <w:iCs/>
        </w:rPr>
        <w:t>Id.</w:t>
      </w:r>
      <w:r>
        <w:t xml:space="preserve"> at para 136.189. </w:t>
      </w:r>
    </w:p>
  </w:footnote>
  <w:footnote w:id="39">
    <w:p w14:paraId="65EEC25B" w14:textId="534C9B76" w:rsidR="0043377E" w:rsidRDefault="0043377E">
      <w:pPr>
        <w:pStyle w:val="FootnoteText"/>
      </w:pPr>
      <w:r>
        <w:rPr>
          <w:rStyle w:val="FootnoteReference"/>
        </w:rPr>
        <w:footnoteRef/>
      </w:r>
      <w:r>
        <w:t xml:space="preserve"> Preliminary Observations of IACHR’s In Loco Visit to Brazil November 5-12, 2018, page </w:t>
      </w:r>
      <w:r w:rsidR="00AF35FE">
        <w:t>49 (8)</w:t>
      </w:r>
      <w:r>
        <w:t xml:space="preserve">. </w:t>
      </w:r>
    </w:p>
  </w:footnote>
  <w:footnote w:id="40">
    <w:p w14:paraId="13844291" w14:textId="302B4781" w:rsidR="0043377E" w:rsidRDefault="0043377E" w:rsidP="000B1553">
      <w:pPr>
        <w:pStyle w:val="FootnoteText"/>
        <w:jc w:val="both"/>
      </w:pPr>
      <w:r>
        <w:rPr>
          <w:rStyle w:val="FootnoteReference"/>
        </w:rPr>
        <w:footnoteRef/>
      </w:r>
      <w:r>
        <w:t xml:space="preserve"> </w:t>
      </w:r>
      <w:r w:rsidRPr="0043377E">
        <w:rPr>
          <w:i/>
          <w:iCs/>
        </w:rPr>
        <w:t xml:space="preserve">Id. </w:t>
      </w:r>
      <w:r w:rsidR="000B1553" w:rsidRPr="00D14EB6">
        <w:t>page 60</w:t>
      </w:r>
      <w:r w:rsidR="000B1553">
        <w:rPr>
          <w:i/>
          <w:iCs/>
        </w:rP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0487" w14:textId="75BE4BC2" w:rsidR="00B72CC9" w:rsidRPr="00B72CC9" w:rsidRDefault="00B72CC9" w:rsidP="00B72CC9">
    <w:pPr>
      <w:pStyle w:val="Header"/>
      <w:jc w:val="right"/>
      <w:rPr>
        <w:rFonts w:ascii="Century Schoolbook" w:hAnsi="Century Schoolboo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67C9"/>
    <w:multiLevelType w:val="hybridMultilevel"/>
    <w:tmpl w:val="88EA1D2C"/>
    <w:lvl w:ilvl="0" w:tplc="84762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2BA9"/>
    <w:multiLevelType w:val="hybridMultilevel"/>
    <w:tmpl w:val="CE844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F42B3"/>
    <w:multiLevelType w:val="hybridMultilevel"/>
    <w:tmpl w:val="E35E1F6A"/>
    <w:lvl w:ilvl="0" w:tplc="E6B67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3241B"/>
    <w:multiLevelType w:val="hybridMultilevel"/>
    <w:tmpl w:val="5420B732"/>
    <w:lvl w:ilvl="0" w:tplc="69C08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861B9"/>
    <w:multiLevelType w:val="hybridMultilevel"/>
    <w:tmpl w:val="FDD2117A"/>
    <w:lvl w:ilvl="0" w:tplc="7474E7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F3536"/>
    <w:multiLevelType w:val="hybridMultilevel"/>
    <w:tmpl w:val="3C08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934B4"/>
    <w:multiLevelType w:val="hybridMultilevel"/>
    <w:tmpl w:val="C162651A"/>
    <w:lvl w:ilvl="0" w:tplc="25C2D9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26ECB"/>
    <w:multiLevelType w:val="hybridMultilevel"/>
    <w:tmpl w:val="4BB61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E564BD"/>
    <w:multiLevelType w:val="hybridMultilevel"/>
    <w:tmpl w:val="34FC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D2653"/>
    <w:multiLevelType w:val="hybridMultilevel"/>
    <w:tmpl w:val="E3A0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653D9"/>
    <w:multiLevelType w:val="hybridMultilevel"/>
    <w:tmpl w:val="33A2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53A4E"/>
    <w:multiLevelType w:val="hybridMultilevel"/>
    <w:tmpl w:val="711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A206E"/>
    <w:multiLevelType w:val="hybridMultilevel"/>
    <w:tmpl w:val="19D0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841C4"/>
    <w:multiLevelType w:val="hybridMultilevel"/>
    <w:tmpl w:val="58EA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9"/>
  </w:num>
  <w:num w:numId="7">
    <w:abstractNumId w:val="5"/>
  </w:num>
  <w:num w:numId="8">
    <w:abstractNumId w:val="12"/>
  </w:num>
  <w:num w:numId="9">
    <w:abstractNumId w:val="11"/>
  </w:num>
  <w:num w:numId="10">
    <w:abstractNumId w:val="10"/>
  </w:num>
  <w:num w:numId="11">
    <w:abstractNumId w:val="7"/>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C9"/>
    <w:rsid w:val="000002CA"/>
    <w:rsid w:val="00011907"/>
    <w:rsid w:val="00060E36"/>
    <w:rsid w:val="00067927"/>
    <w:rsid w:val="00073C90"/>
    <w:rsid w:val="0008435B"/>
    <w:rsid w:val="000B1553"/>
    <w:rsid w:val="000D3300"/>
    <w:rsid w:val="000F1160"/>
    <w:rsid w:val="000F4B8B"/>
    <w:rsid w:val="00134C71"/>
    <w:rsid w:val="00140FB1"/>
    <w:rsid w:val="00145ECA"/>
    <w:rsid w:val="00154913"/>
    <w:rsid w:val="0015686A"/>
    <w:rsid w:val="00172683"/>
    <w:rsid w:val="00172D9A"/>
    <w:rsid w:val="00175DE7"/>
    <w:rsid w:val="001B466E"/>
    <w:rsid w:val="001B7299"/>
    <w:rsid w:val="001D4876"/>
    <w:rsid w:val="001E31ED"/>
    <w:rsid w:val="00203AE9"/>
    <w:rsid w:val="0021261F"/>
    <w:rsid w:val="0021369D"/>
    <w:rsid w:val="0021638D"/>
    <w:rsid w:val="0025346C"/>
    <w:rsid w:val="002651C6"/>
    <w:rsid w:val="00266EA3"/>
    <w:rsid w:val="00270EE4"/>
    <w:rsid w:val="00271255"/>
    <w:rsid w:val="00280C32"/>
    <w:rsid w:val="002A41B6"/>
    <w:rsid w:val="002B3BCB"/>
    <w:rsid w:val="002C6FDE"/>
    <w:rsid w:val="002E6562"/>
    <w:rsid w:val="00300F87"/>
    <w:rsid w:val="00310C70"/>
    <w:rsid w:val="0032044D"/>
    <w:rsid w:val="003347AF"/>
    <w:rsid w:val="0037463D"/>
    <w:rsid w:val="00386773"/>
    <w:rsid w:val="00391E93"/>
    <w:rsid w:val="00393170"/>
    <w:rsid w:val="0039500F"/>
    <w:rsid w:val="003C692E"/>
    <w:rsid w:val="003D1AFA"/>
    <w:rsid w:val="003E590F"/>
    <w:rsid w:val="00410450"/>
    <w:rsid w:val="0043093C"/>
    <w:rsid w:val="0043377E"/>
    <w:rsid w:val="004625BF"/>
    <w:rsid w:val="004631F5"/>
    <w:rsid w:val="00475166"/>
    <w:rsid w:val="004969FF"/>
    <w:rsid w:val="004D35CF"/>
    <w:rsid w:val="00505D73"/>
    <w:rsid w:val="005338E3"/>
    <w:rsid w:val="005357A1"/>
    <w:rsid w:val="00546C07"/>
    <w:rsid w:val="00564568"/>
    <w:rsid w:val="00593285"/>
    <w:rsid w:val="005A1328"/>
    <w:rsid w:val="005D0BC3"/>
    <w:rsid w:val="005D172B"/>
    <w:rsid w:val="005E360A"/>
    <w:rsid w:val="005F4B13"/>
    <w:rsid w:val="00602DE6"/>
    <w:rsid w:val="00631BC4"/>
    <w:rsid w:val="0063474D"/>
    <w:rsid w:val="00642D13"/>
    <w:rsid w:val="0067627D"/>
    <w:rsid w:val="00676E79"/>
    <w:rsid w:val="006A53CA"/>
    <w:rsid w:val="006B59EC"/>
    <w:rsid w:val="006C0690"/>
    <w:rsid w:val="006D2825"/>
    <w:rsid w:val="006E4C7D"/>
    <w:rsid w:val="006E59B1"/>
    <w:rsid w:val="006E7031"/>
    <w:rsid w:val="006F7DEE"/>
    <w:rsid w:val="0070445E"/>
    <w:rsid w:val="00733500"/>
    <w:rsid w:val="00744F7C"/>
    <w:rsid w:val="00757AB2"/>
    <w:rsid w:val="00765748"/>
    <w:rsid w:val="007921D4"/>
    <w:rsid w:val="00797C85"/>
    <w:rsid w:val="007A4B35"/>
    <w:rsid w:val="007A70FA"/>
    <w:rsid w:val="007C0764"/>
    <w:rsid w:val="007D6AE6"/>
    <w:rsid w:val="007F0A3E"/>
    <w:rsid w:val="0080215F"/>
    <w:rsid w:val="00804EFD"/>
    <w:rsid w:val="00821C20"/>
    <w:rsid w:val="0083641A"/>
    <w:rsid w:val="008377B4"/>
    <w:rsid w:val="0086688F"/>
    <w:rsid w:val="00873307"/>
    <w:rsid w:val="008B7CF5"/>
    <w:rsid w:val="008D7098"/>
    <w:rsid w:val="008D75C6"/>
    <w:rsid w:val="00912DCE"/>
    <w:rsid w:val="009430C1"/>
    <w:rsid w:val="00974A64"/>
    <w:rsid w:val="0099402C"/>
    <w:rsid w:val="009C07A3"/>
    <w:rsid w:val="009E061F"/>
    <w:rsid w:val="009E10A4"/>
    <w:rsid w:val="00A0221A"/>
    <w:rsid w:val="00A22B42"/>
    <w:rsid w:val="00A25A9A"/>
    <w:rsid w:val="00A344F6"/>
    <w:rsid w:val="00A4147E"/>
    <w:rsid w:val="00A4605B"/>
    <w:rsid w:val="00A54B25"/>
    <w:rsid w:val="00A72B00"/>
    <w:rsid w:val="00A90C67"/>
    <w:rsid w:val="00AB70C6"/>
    <w:rsid w:val="00AF337B"/>
    <w:rsid w:val="00AF35FE"/>
    <w:rsid w:val="00B15C92"/>
    <w:rsid w:val="00B16DBF"/>
    <w:rsid w:val="00B30EFF"/>
    <w:rsid w:val="00B371D6"/>
    <w:rsid w:val="00B475F0"/>
    <w:rsid w:val="00B56D59"/>
    <w:rsid w:val="00B72CC9"/>
    <w:rsid w:val="00B7317C"/>
    <w:rsid w:val="00BA2616"/>
    <w:rsid w:val="00BA45ED"/>
    <w:rsid w:val="00BB5CE6"/>
    <w:rsid w:val="00BD43C6"/>
    <w:rsid w:val="00C209AE"/>
    <w:rsid w:val="00CC254B"/>
    <w:rsid w:val="00CC47A8"/>
    <w:rsid w:val="00CC72F5"/>
    <w:rsid w:val="00D11EE1"/>
    <w:rsid w:val="00D1212D"/>
    <w:rsid w:val="00D14EB6"/>
    <w:rsid w:val="00D15203"/>
    <w:rsid w:val="00D26D1F"/>
    <w:rsid w:val="00D30477"/>
    <w:rsid w:val="00D800BF"/>
    <w:rsid w:val="00D85C96"/>
    <w:rsid w:val="00D90B61"/>
    <w:rsid w:val="00DB0867"/>
    <w:rsid w:val="00DB7C40"/>
    <w:rsid w:val="00DD2C02"/>
    <w:rsid w:val="00DE6D96"/>
    <w:rsid w:val="00E04FFE"/>
    <w:rsid w:val="00E3219A"/>
    <w:rsid w:val="00E37793"/>
    <w:rsid w:val="00E46F2C"/>
    <w:rsid w:val="00E516A5"/>
    <w:rsid w:val="00E62ADC"/>
    <w:rsid w:val="00E67EAB"/>
    <w:rsid w:val="00E75E98"/>
    <w:rsid w:val="00E9775A"/>
    <w:rsid w:val="00EC1D27"/>
    <w:rsid w:val="00EE58CB"/>
    <w:rsid w:val="00EE61E1"/>
    <w:rsid w:val="00EF0F76"/>
    <w:rsid w:val="00F269B7"/>
    <w:rsid w:val="00F51A3D"/>
    <w:rsid w:val="00F662D4"/>
    <w:rsid w:val="00F73166"/>
    <w:rsid w:val="00F75797"/>
    <w:rsid w:val="00FB33D4"/>
    <w:rsid w:val="00FC6AC5"/>
    <w:rsid w:val="00FD0890"/>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BEE0"/>
  <w15:chartTrackingRefBased/>
  <w15:docId w15:val="{C0D35E4F-82B4-45F0-86CB-4EB80B06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C9"/>
  </w:style>
  <w:style w:type="paragraph" w:styleId="Heading1">
    <w:name w:val="heading 1"/>
    <w:basedOn w:val="Normal"/>
    <w:next w:val="Normal"/>
    <w:link w:val="Heading1Char"/>
    <w:uiPriority w:val="9"/>
    <w:qFormat/>
    <w:rsid w:val="006F7DEE"/>
    <w:pPr>
      <w:keepNext/>
      <w:keepLines/>
      <w:spacing w:before="240" w:after="0"/>
      <w:outlineLvl w:val="0"/>
    </w:pPr>
    <w:rPr>
      <w:rFonts w:ascii="Century Schoolbook" w:eastAsiaTheme="majorEastAsia" w:hAnsi="Century Schoolbook" w:cstheme="majorBidi"/>
      <w:sz w:val="24"/>
      <w:szCs w:val="32"/>
    </w:rPr>
  </w:style>
  <w:style w:type="paragraph" w:styleId="Heading2">
    <w:name w:val="heading 2"/>
    <w:basedOn w:val="Normal"/>
    <w:next w:val="Normal"/>
    <w:link w:val="Heading2Char"/>
    <w:autoRedefine/>
    <w:uiPriority w:val="9"/>
    <w:semiHidden/>
    <w:unhideWhenUsed/>
    <w:qFormat/>
    <w:rsid w:val="002B3BCB"/>
    <w:pPr>
      <w:keepNext/>
      <w:keepLines/>
      <w:spacing w:before="40" w:after="0" w:line="240" w:lineRule="auto"/>
      <w:outlineLvl w:val="1"/>
    </w:pPr>
    <w:rPr>
      <w:rFonts w:ascii="Century Schoolbook" w:eastAsiaTheme="majorEastAsia" w:hAnsi="Century Schoolbook"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DEE"/>
    <w:rPr>
      <w:rFonts w:ascii="Century Schoolbook" w:eastAsiaTheme="majorEastAsia" w:hAnsi="Century Schoolbook" w:cstheme="majorBidi"/>
      <w:sz w:val="24"/>
      <w:szCs w:val="32"/>
    </w:rPr>
  </w:style>
  <w:style w:type="character" w:customStyle="1" w:styleId="Heading2Char">
    <w:name w:val="Heading 2 Char"/>
    <w:basedOn w:val="DefaultParagraphFont"/>
    <w:link w:val="Heading2"/>
    <w:uiPriority w:val="9"/>
    <w:semiHidden/>
    <w:rsid w:val="002B3BCB"/>
    <w:rPr>
      <w:rFonts w:ascii="Century Schoolbook" w:eastAsiaTheme="majorEastAsia" w:hAnsi="Century Schoolbook" w:cstheme="majorBidi"/>
      <w:szCs w:val="26"/>
    </w:rPr>
  </w:style>
  <w:style w:type="paragraph" w:styleId="ListParagraph">
    <w:name w:val="List Paragraph"/>
    <w:basedOn w:val="Normal"/>
    <w:uiPriority w:val="34"/>
    <w:qFormat/>
    <w:rsid w:val="00B72CC9"/>
    <w:pPr>
      <w:ind w:left="720"/>
      <w:contextualSpacing/>
    </w:pPr>
  </w:style>
  <w:style w:type="paragraph" w:styleId="Header">
    <w:name w:val="header"/>
    <w:basedOn w:val="Normal"/>
    <w:link w:val="HeaderChar"/>
    <w:uiPriority w:val="99"/>
    <w:unhideWhenUsed/>
    <w:rsid w:val="00B7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CC9"/>
  </w:style>
  <w:style w:type="paragraph" w:styleId="Footer">
    <w:name w:val="footer"/>
    <w:basedOn w:val="Normal"/>
    <w:link w:val="FooterChar"/>
    <w:uiPriority w:val="99"/>
    <w:unhideWhenUsed/>
    <w:rsid w:val="00B7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CC9"/>
  </w:style>
  <w:style w:type="paragraph" w:styleId="FootnoteText">
    <w:name w:val="footnote text"/>
    <w:basedOn w:val="Normal"/>
    <w:link w:val="FootnoteTextChar"/>
    <w:uiPriority w:val="99"/>
    <w:semiHidden/>
    <w:unhideWhenUsed/>
    <w:rsid w:val="00A41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47E"/>
    <w:rPr>
      <w:sz w:val="20"/>
      <w:szCs w:val="20"/>
    </w:rPr>
  </w:style>
  <w:style w:type="character" w:styleId="FootnoteReference">
    <w:name w:val="footnote reference"/>
    <w:basedOn w:val="DefaultParagraphFont"/>
    <w:uiPriority w:val="99"/>
    <w:semiHidden/>
    <w:unhideWhenUsed/>
    <w:rsid w:val="00A4147E"/>
    <w:rPr>
      <w:vertAlign w:val="superscript"/>
    </w:rPr>
  </w:style>
  <w:style w:type="paragraph" w:styleId="NormalWeb">
    <w:name w:val="Normal (Web)"/>
    <w:basedOn w:val="Normal"/>
    <w:uiPriority w:val="99"/>
    <w:semiHidden/>
    <w:unhideWhenUsed/>
    <w:rsid w:val="007A4B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9B1"/>
    <w:rPr>
      <w:b/>
      <w:bCs/>
    </w:rPr>
  </w:style>
  <w:style w:type="character" w:styleId="PageNumber">
    <w:name w:val="page number"/>
    <w:basedOn w:val="DefaultParagraphFont"/>
    <w:uiPriority w:val="99"/>
    <w:semiHidden/>
    <w:unhideWhenUsed/>
    <w:rsid w:val="0079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4448">
      <w:bodyDiv w:val="1"/>
      <w:marLeft w:val="0"/>
      <w:marRight w:val="0"/>
      <w:marTop w:val="0"/>
      <w:marBottom w:val="0"/>
      <w:divBdr>
        <w:top w:val="none" w:sz="0" w:space="0" w:color="auto"/>
        <w:left w:val="none" w:sz="0" w:space="0" w:color="auto"/>
        <w:bottom w:val="none" w:sz="0" w:space="0" w:color="auto"/>
        <w:right w:val="none" w:sz="0" w:space="0" w:color="auto"/>
      </w:divBdr>
      <w:divsChild>
        <w:div w:id="74785462">
          <w:marLeft w:val="0"/>
          <w:marRight w:val="0"/>
          <w:marTop w:val="0"/>
          <w:marBottom w:val="0"/>
          <w:divBdr>
            <w:top w:val="none" w:sz="0" w:space="0" w:color="auto"/>
            <w:left w:val="none" w:sz="0" w:space="0" w:color="auto"/>
            <w:bottom w:val="none" w:sz="0" w:space="0" w:color="auto"/>
            <w:right w:val="none" w:sz="0" w:space="0" w:color="auto"/>
          </w:divBdr>
          <w:divsChild>
            <w:div w:id="1838497646">
              <w:marLeft w:val="0"/>
              <w:marRight w:val="0"/>
              <w:marTop w:val="0"/>
              <w:marBottom w:val="0"/>
              <w:divBdr>
                <w:top w:val="none" w:sz="0" w:space="0" w:color="auto"/>
                <w:left w:val="none" w:sz="0" w:space="0" w:color="auto"/>
                <w:bottom w:val="none" w:sz="0" w:space="0" w:color="auto"/>
                <w:right w:val="none" w:sz="0" w:space="0" w:color="auto"/>
              </w:divBdr>
              <w:divsChild>
                <w:div w:id="1966421889">
                  <w:marLeft w:val="0"/>
                  <w:marRight w:val="0"/>
                  <w:marTop w:val="0"/>
                  <w:marBottom w:val="0"/>
                  <w:divBdr>
                    <w:top w:val="none" w:sz="0" w:space="0" w:color="auto"/>
                    <w:left w:val="none" w:sz="0" w:space="0" w:color="auto"/>
                    <w:bottom w:val="none" w:sz="0" w:space="0" w:color="auto"/>
                    <w:right w:val="none" w:sz="0" w:space="0" w:color="auto"/>
                  </w:divBdr>
                  <w:divsChild>
                    <w:div w:id="2377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4971">
      <w:bodyDiv w:val="1"/>
      <w:marLeft w:val="0"/>
      <w:marRight w:val="0"/>
      <w:marTop w:val="0"/>
      <w:marBottom w:val="0"/>
      <w:divBdr>
        <w:top w:val="none" w:sz="0" w:space="0" w:color="auto"/>
        <w:left w:val="none" w:sz="0" w:space="0" w:color="auto"/>
        <w:bottom w:val="none" w:sz="0" w:space="0" w:color="auto"/>
        <w:right w:val="none" w:sz="0" w:space="0" w:color="auto"/>
      </w:divBdr>
      <w:divsChild>
        <w:div w:id="1623926561">
          <w:marLeft w:val="0"/>
          <w:marRight w:val="0"/>
          <w:marTop w:val="0"/>
          <w:marBottom w:val="0"/>
          <w:divBdr>
            <w:top w:val="none" w:sz="0" w:space="0" w:color="auto"/>
            <w:left w:val="none" w:sz="0" w:space="0" w:color="auto"/>
            <w:bottom w:val="none" w:sz="0" w:space="0" w:color="auto"/>
            <w:right w:val="none" w:sz="0" w:space="0" w:color="auto"/>
          </w:divBdr>
          <w:divsChild>
            <w:div w:id="1318651360">
              <w:marLeft w:val="0"/>
              <w:marRight w:val="0"/>
              <w:marTop w:val="0"/>
              <w:marBottom w:val="0"/>
              <w:divBdr>
                <w:top w:val="none" w:sz="0" w:space="0" w:color="auto"/>
                <w:left w:val="none" w:sz="0" w:space="0" w:color="auto"/>
                <w:bottom w:val="none" w:sz="0" w:space="0" w:color="auto"/>
                <w:right w:val="none" w:sz="0" w:space="0" w:color="auto"/>
              </w:divBdr>
              <w:divsChild>
                <w:div w:id="2028747919">
                  <w:marLeft w:val="0"/>
                  <w:marRight w:val="0"/>
                  <w:marTop w:val="0"/>
                  <w:marBottom w:val="0"/>
                  <w:divBdr>
                    <w:top w:val="none" w:sz="0" w:space="0" w:color="auto"/>
                    <w:left w:val="none" w:sz="0" w:space="0" w:color="auto"/>
                    <w:bottom w:val="none" w:sz="0" w:space="0" w:color="auto"/>
                    <w:right w:val="none" w:sz="0" w:space="0" w:color="auto"/>
                  </w:divBdr>
                  <w:divsChild>
                    <w:div w:id="1795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7177">
      <w:bodyDiv w:val="1"/>
      <w:marLeft w:val="0"/>
      <w:marRight w:val="0"/>
      <w:marTop w:val="0"/>
      <w:marBottom w:val="0"/>
      <w:divBdr>
        <w:top w:val="none" w:sz="0" w:space="0" w:color="auto"/>
        <w:left w:val="none" w:sz="0" w:space="0" w:color="auto"/>
        <w:bottom w:val="none" w:sz="0" w:space="0" w:color="auto"/>
        <w:right w:val="none" w:sz="0" w:space="0" w:color="auto"/>
      </w:divBdr>
      <w:divsChild>
        <w:div w:id="1466774854">
          <w:marLeft w:val="0"/>
          <w:marRight w:val="0"/>
          <w:marTop w:val="0"/>
          <w:marBottom w:val="0"/>
          <w:divBdr>
            <w:top w:val="none" w:sz="0" w:space="0" w:color="auto"/>
            <w:left w:val="none" w:sz="0" w:space="0" w:color="auto"/>
            <w:bottom w:val="none" w:sz="0" w:space="0" w:color="auto"/>
            <w:right w:val="none" w:sz="0" w:space="0" w:color="auto"/>
          </w:divBdr>
          <w:divsChild>
            <w:div w:id="2048992868">
              <w:marLeft w:val="0"/>
              <w:marRight w:val="0"/>
              <w:marTop w:val="0"/>
              <w:marBottom w:val="0"/>
              <w:divBdr>
                <w:top w:val="none" w:sz="0" w:space="0" w:color="auto"/>
                <w:left w:val="none" w:sz="0" w:space="0" w:color="auto"/>
                <w:bottom w:val="none" w:sz="0" w:space="0" w:color="auto"/>
                <w:right w:val="none" w:sz="0" w:space="0" w:color="auto"/>
              </w:divBdr>
              <w:divsChild>
                <w:div w:id="494151482">
                  <w:marLeft w:val="0"/>
                  <w:marRight w:val="0"/>
                  <w:marTop w:val="0"/>
                  <w:marBottom w:val="0"/>
                  <w:divBdr>
                    <w:top w:val="none" w:sz="0" w:space="0" w:color="auto"/>
                    <w:left w:val="none" w:sz="0" w:space="0" w:color="auto"/>
                    <w:bottom w:val="none" w:sz="0" w:space="0" w:color="auto"/>
                    <w:right w:val="none" w:sz="0" w:space="0" w:color="auto"/>
                  </w:divBdr>
                  <w:divsChild>
                    <w:div w:id="12479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9ABA84-27BC-41B4-A8B0-5E1EE25D1EEB}">
  <ds:schemaRefs>
    <ds:schemaRef ds:uri="http://schemas.openxmlformats.org/officeDocument/2006/bibliography"/>
  </ds:schemaRefs>
</ds:datastoreItem>
</file>

<file path=customXml/itemProps2.xml><?xml version="1.0" encoding="utf-8"?>
<ds:datastoreItem xmlns:ds="http://schemas.openxmlformats.org/officeDocument/2006/customXml" ds:itemID="{7E18740B-55AD-4B77-BF27-7C7C20B3DACA}"/>
</file>

<file path=customXml/itemProps3.xml><?xml version="1.0" encoding="utf-8"?>
<ds:datastoreItem xmlns:ds="http://schemas.openxmlformats.org/officeDocument/2006/customXml" ds:itemID="{386CD317-E91D-497A-991D-A4C022757002}"/>
</file>

<file path=customXml/itemProps4.xml><?xml version="1.0" encoding="utf-8"?>
<ds:datastoreItem xmlns:ds="http://schemas.openxmlformats.org/officeDocument/2006/customXml" ds:itemID="{4FA3EE77-C8BF-4DEA-B17C-D1FD26F9F07C}"/>
</file>

<file path=docProps/app.xml><?xml version="1.0" encoding="utf-8"?>
<Properties xmlns="http://schemas.openxmlformats.org/officeDocument/2006/extended-properties" xmlns:vt="http://schemas.openxmlformats.org/officeDocument/2006/docPropsVTypes">
  <Template>Normal.dotm</Template>
  <TotalTime>1</TotalTime>
  <Pages>8</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McGruder, Melanie M.</dc:creator>
  <cp:keywords/>
  <dc:description/>
  <cp:lastModifiedBy>Baca, Alvaro E.</cp:lastModifiedBy>
  <cp:revision>2</cp:revision>
  <dcterms:created xsi:type="dcterms:W3CDTF">2021-06-18T19:55:00Z</dcterms:created>
  <dcterms:modified xsi:type="dcterms:W3CDTF">2021-06-18T19:55:00Z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