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4A6C2" w14:textId="6BDE40EE" w:rsidR="0036480D" w:rsidRDefault="0036480D" w:rsidP="0036480D">
      <w:pPr>
        <w:spacing w:after="0" w:line="240" w:lineRule="auto"/>
        <w:jc w:val="center"/>
        <w:rPr>
          <w:rFonts w:ascii="Times New Roman" w:eastAsia="Times New Roman" w:hAnsi="Times New Roman" w:cs="Times New Roman"/>
          <w:b/>
          <w:bCs/>
          <w:color w:val="000000"/>
          <w:lang w:val="es-419"/>
        </w:rPr>
      </w:pPr>
      <w:r>
        <w:rPr>
          <w:rFonts w:ascii="Times New Roman" w:eastAsia="Times New Roman" w:hAnsi="Times New Roman" w:cs="Times New Roman"/>
          <w:b/>
          <w:bCs/>
          <w:noProof/>
          <w:color w:val="000000"/>
          <w:lang w:eastAsia="es-PE"/>
        </w:rPr>
        <w:drawing>
          <wp:inline distT="0" distB="0" distL="0" distR="0" wp14:anchorId="486DD276" wp14:editId="1638860E">
            <wp:extent cx="2190750" cy="88747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DEH.png"/>
                    <pic:cNvPicPr/>
                  </pic:nvPicPr>
                  <pic:blipFill>
                    <a:blip r:embed="rId8">
                      <a:extLst>
                        <a:ext uri="{28A0092B-C50C-407E-A947-70E740481C1C}">
                          <a14:useLocalDpi xmlns:a14="http://schemas.microsoft.com/office/drawing/2010/main" val="0"/>
                        </a:ext>
                      </a:extLst>
                    </a:blip>
                    <a:stretch>
                      <a:fillRect/>
                    </a:stretch>
                  </pic:blipFill>
                  <pic:spPr>
                    <a:xfrm>
                      <a:off x="0" y="0"/>
                      <a:ext cx="2209825" cy="895198"/>
                    </a:xfrm>
                    <a:prstGeom prst="rect">
                      <a:avLst/>
                    </a:prstGeom>
                  </pic:spPr>
                </pic:pic>
              </a:graphicData>
            </a:graphic>
          </wp:inline>
        </w:drawing>
      </w:r>
    </w:p>
    <w:p w14:paraId="40EBEE53" w14:textId="77777777" w:rsidR="0036480D" w:rsidRDefault="0036480D" w:rsidP="00AD387E">
      <w:pPr>
        <w:spacing w:after="0" w:line="240" w:lineRule="auto"/>
        <w:jc w:val="both"/>
        <w:rPr>
          <w:rFonts w:ascii="Times New Roman" w:eastAsia="Times New Roman" w:hAnsi="Times New Roman" w:cs="Times New Roman"/>
          <w:b/>
          <w:bCs/>
          <w:color w:val="000000"/>
          <w:lang w:val="es-419"/>
        </w:rPr>
      </w:pPr>
    </w:p>
    <w:p w14:paraId="3DBC8597" w14:textId="570BA734" w:rsidR="0036480D" w:rsidRDefault="0036480D" w:rsidP="0036480D">
      <w:pPr>
        <w:spacing w:after="0" w:line="240" w:lineRule="auto"/>
        <w:jc w:val="center"/>
        <w:rPr>
          <w:rFonts w:ascii="Times New Roman" w:eastAsia="Times New Roman" w:hAnsi="Times New Roman" w:cs="Times New Roman"/>
          <w:b/>
          <w:bCs/>
          <w:color w:val="000000"/>
          <w:lang w:val="es-419"/>
        </w:rPr>
      </w:pPr>
      <w:r>
        <w:rPr>
          <w:rFonts w:ascii="Times New Roman" w:eastAsia="Times New Roman" w:hAnsi="Times New Roman" w:cs="Times New Roman"/>
          <w:b/>
          <w:bCs/>
          <w:color w:val="000000"/>
          <w:lang w:val="es-419"/>
        </w:rPr>
        <w:t>Documento elaborado por el Instituto de Democracia y Derechos Humanos de la Pontificia Universidad Católica del Perú (IDEHPUCP) para el Comité para la Eliminación de la Discriminación contra la Mujer</w:t>
      </w:r>
    </w:p>
    <w:p w14:paraId="43DB427E" w14:textId="77777777" w:rsidR="0036480D" w:rsidRDefault="0036480D" w:rsidP="00AD387E">
      <w:pPr>
        <w:spacing w:after="0" w:line="240" w:lineRule="auto"/>
        <w:jc w:val="both"/>
        <w:rPr>
          <w:rFonts w:ascii="Times New Roman" w:eastAsia="Times New Roman" w:hAnsi="Times New Roman" w:cs="Times New Roman"/>
          <w:b/>
          <w:bCs/>
          <w:color w:val="000000"/>
          <w:lang w:val="es-419"/>
        </w:rPr>
      </w:pPr>
    </w:p>
    <w:p w14:paraId="45EC6A56" w14:textId="77777777" w:rsidR="0036480D" w:rsidRDefault="0036480D" w:rsidP="00AD387E">
      <w:pPr>
        <w:spacing w:after="0" w:line="240" w:lineRule="auto"/>
        <w:jc w:val="both"/>
        <w:rPr>
          <w:rFonts w:ascii="Times New Roman" w:eastAsia="Times New Roman" w:hAnsi="Times New Roman" w:cs="Times New Roman"/>
          <w:b/>
          <w:bCs/>
          <w:color w:val="000000"/>
          <w:lang w:val="es-419"/>
        </w:rPr>
      </w:pPr>
    </w:p>
    <w:p w14:paraId="034CE6A1" w14:textId="6DB7F986" w:rsidR="00066BC3" w:rsidRPr="009E2DE4" w:rsidRDefault="00066BC3" w:rsidP="00AD387E">
      <w:pPr>
        <w:spacing w:after="0" w:line="240" w:lineRule="auto"/>
        <w:jc w:val="both"/>
        <w:rPr>
          <w:rFonts w:ascii="Times New Roman" w:eastAsia="Times New Roman" w:hAnsi="Times New Roman" w:cs="Times New Roman"/>
          <w:b/>
          <w:bCs/>
          <w:lang w:val="es-419"/>
        </w:rPr>
      </w:pPr>
      <w:r w:rsidRPr="009E2DE4">
        <w:rPr>
          <w:rFonts w:ascii="Times New Roman" w:eastAsia="Times New Roman" w:hAnsi="Times New Roman" w:cs="Times New Roman"/>
          <w:b/>
          <w:bCs/>
          <w:color w:val="000000"/>
          <w:lang w:val="es-419"/>
        </w:rPr>
        <w:t>Introducción</w:t>
      </w:r>
    </w:p>
    <w:p w14:paraId="38385839" w14:textId="77777777" w:rsidR="00066BC3" w:rsidRPr="009E2DE4" w:rsidRDefault="00066BC3" w:rsidP="00AD387E">
      <w:pPr>
        <w:spacing w:after="0" w:line="240" w:lineRule="auto"/>
        <w:jc w:val="both"/>
        <w:rPr>
          <w:rFonts w:ascii="Times New Roman" w:eastAsia="Times New Roman" w:hAnsi="Times New Roman" w:cs="Times New Roman"/>
          <w:lang w:val="es-419"/>
        </w:rPr>
      </w:pPr>
    </w:p>
    <w:p w14:paraId="649D6337" w14:textId="3942FBFF" w:rsidR="00066BC3" w:rsidRPr="009E2DE4" w:rsidRDefault="00066BC3" w:rsidP="00AD387E">
      <w:pPr>
        <w:spacing w:after="0" w:line="240" w:lineRule="auto"/>
        <w:ind w:firstLine="720"/>
        <w:jc w:val="both"/>
        <w:rPr>
          <w:rFonts w:ascii="Times New Roman" w:eastAsia="Times New Roman" w:hAnsi="Times New Roman" w:cs="Times New Roman"/>
          <w:lang w:val="es-419"/>
        </w:rPr>
      </w:pPr>
      <w:r w:rsidRPr="009E2DE4">
        <w:rPr>
          <w:rFonts w:ascii="Times New Roman" w:eastAsia="Times New Roman" w:hAnsi="Times New Roman" w:cs="Times New Roman"/>
          <w:color w:val="000000"/>
          <w:lang w:val="es-419"/>
        </w:rPr>
        <w:t xml:space="preserve">El presente documento busca brindar insumos al Comité para la Eliminación de la Discriminación contra la Mujer </w:t>
      </w:r>
      <w:r w:rsidR="00312840" w:rsidRPr="009E2DE4">
        <w:rPr>
          <w:rFonts w:ascii="Times New Roman" w:eastAsia="Times New Roman" w:hAnsi="Times New Roman" w:cs="Times New Roman"/>
          <w:color w:val="000000"/>
          <w:lang w:val="es-419"/>
        </w:rPr>
        <w:t xml:space="preserve">(CEDAW, por sus siglas en inglés) </w:t>
      </w:r>
      <w:r w:rsidRPr="009E2DE4">
        <w:rPr>
          <w:rFonts w:ascii="Times New Roman" w:eastAsia="Times New Roman" w:hAnsi="Times New Roman" w:cs="Times New Roman"/>
          <w:color w:val="000000"/>
          <w:lang w:val="es-419"/>
        </w:rPr>
        <w:t xml:space="preserve">en el marco del proceso abierto con miras a la elaboración de una Recomendación General sobre los derechos de las mujeres y niñas indígenas. </w:t>
      </w:r>
      <w:r w:rsidR="00312840" w:rsidRPr="009E2DE4">
        <w:rPr>
          <w:rFonts w:ascii="Times New Roman" w:eastAsia="Times New Roman" w:hAnsi="Times New Roman" w:cs="Times New Roman"/>
          <w:color w:val="000000"/>
          <w:lang w:val="es-419"/>
        </w:rPr>
        <w:t>La información que a continuación se presenta fue elaborada por el equipo de investigaciones del IDEHPUCP</w:t>
      </w:r>
      <w:r w:rsidR="0036480D">
        <w:rPr>
          <w:rStyle w:val="Refdenotaalpie"/>
          <w:rFonts w:ascii="Times New Roman" w:eastAsia="Times New Roman" w:hAnsi="Times New Roman" w:cs="Times New Roman"/>
          <w:b/>
          <w:bCs/>
          <w:color w:val="000000"/>
          <w:lang w:val="es-419"/>
        </w:rPr>
        <w:footnoteReference w:id="1"/>
      </w:r>
      <w:r w:rsidR="00312840" w:rsidRPr="009E2DE4">
        <w:rPr>
          <w:rFonts w:ascii="Times New Roman" w:eastAsia="Times New Roman" w:hAnsi="Times New Roman" w:cs="Times New Roman"/>
          <w:color w:val="000000"/>
          <w:lang w:val="es-419"/>
        </w:rPr>
        <w:t xml:space="preserve">. </w:t>
      </w:r>
    </w:p>
    <w:p w14:paraId="2516DB5D" w14:textId="5976AB0A" w:rsidR="00066BC3" w:rsidRPr="009E2DE4" w:rsidRDefault="00066BC3" w:rsidP="00AD387E">
      <w:pPr>
        <w:spacing w:after="240" w:line="240" w:lineRule="auto"/>
        <w:jc w:val="both"/>
        <w:rPr>
          <w:rFonts w:ascii="Times New Roman" w:eastAsia="Times New Roman" w:hAnsi="Times New Roman" w:cs="Times New Roman"/>
          <w:b/>
          <w:bCs/>
          <w:lang w:val="es-419"/>
        </w:rPr>
      </w:pPr>
      <w:r w:rsidRPr="009E2DE4">
        <w:rPr>
          <w:rFonts w:ascii="Times New Roman" w:eastAsia="Times New Roman" w:hAnsi="Times New Roman" w:cs="Times New Roman"/>
          <w:lang w:val="es-419"/>
        </w:rPr>
        <w:br/>
      </w:r>
      <w:r w:rsidRPr="009E2DE4">
        <w:rPr>
          <w:rFonts w:ascii="Times New Roman" w:eastAsia="Times New Roman" w:hAnsi="Times New Roman" w:cs="Times New Roman"/>
          <w:b/>
          <w:bCs/>
          <w:color w:val="000000"/>
          <w:lang w:val="es-419"/>
        </w:rPr>
        <w:t>Presentación del IDEHPUCP y líneas de trabajo</w:t>
      </w:r>
    </w:p>
    <w:p w14:paraId="1BFABBD1" w14:textId="0AD7DE33" w:rsidR="00066BC3" w:rsidRPr="009E2DE4" w:rsidRDefault="00066BC3" w:rsidP="00AD387E">
      <w:pPr>
        <w:spacing w:after="0" w:line="240" w:lineRule="auto"/>
        <w:ind w:firstLine="720"/>
        <w:jc w:val="both"/>
        <w:rPr>
          <w:rFonts w:ascii="Times New Roman" w:eastAsia="Times New Roman" w:hAnsi="Times New Roman" w:cs="Times New Roman"/>
          <w:lang w:val="es-419"/>
        </w:rPr>
      </w:pPr>
      <w:r w:rsidRPr="009E2DE4">
        <w:rPr>
          <w:rFonts w:ascii="Times New Roman" w:eastAsia="Times New Roman" w:hAnsi="Times New Roman" w:cs="Times New Roman"/>
          <w:color w:val="000000"/>
          <w:lang w:val="es-419"/>
        </w:rPr>
        <w:t>El Instituto de Democracia y Derechos Humanos (</w:t>
      </w:r>
      <w:r w:rsidR="00312840" w:rsidRPr="009E2DE4">
        <w:rPr>
          <w:rFonts w:ascii="Times New Roman" w:eastAsia="Times New Roman" w:hAnsi="Times New Roman" w:cs="Times New Roman"/>
          <w:color w:val="000000"/>
          <w:lang w:val="es-419"/>
        </w:rPr>
        <w:t>IDEHPUCP</w:t>
      </w:r>
      <w:r w:rsidRPr="009E2DE4">
        <w:rPr>
          <w:rFonts w:ascii="Times New Roman" w:eastAsia="Times New Roman" w:hAnsi="Times New Roman" w:cs="Times New Roman"/>
          <w:color w:val="000000"/>
          <w:lang w:val="es-419"/>
        </w:rPr>
        <w:t xml:space="preserve">) es una unidad académica de la Pontificia Universidad Católica del Perú, cuyo fin está orientado al fortalecimiento de la democracia y a la vigencia de los derechos humanos en el Perú. La labor del </w:t>
      </w:r>
      <w:r w:rsidR="00312840" w:rsidRPr="009E2DE4">
        <w:rPr>
          <w:rFonts w:ascii="Times New Roman" w:eastAsia="Times New Roman" w:hAnsi="Times New Roman" w:cs="Times New Roman"/>
          <w:color w:val="000000"/>
          <w:lang w:val="es-419"/>
        </w:rPr>
        <w:t xml:space="preserve">IDEHPUCP </w:t>
      </w:r>
      <w:r w:rsidRPr="009E2DE4">
        <w:rPr>
          <w:rFonts w:ascii="Times New Roman" w:eastAsia="Times New Roman" w:hAnsi="Times New Roman" w:cs="Times New Roman"/>
          <w:color w:val="000000"/>
          <w:lang w:val="es-419"/>
        </w:rPr>
        <w:t xml:space="preserve">se desarrolla, en la práctica, a través de la formación académica y la capacitación profesional, la investigación aplicada, la generación de espacios de diálogo y debate, y la promoción de políticas públicas en la sociedad civil y el Estado. En toda su actividad el </w:t>
      </w:r>
      <w:r w:rsidR="00312840" w:rsidRPr="009E2DE4">
        <w:rPr>
          <w:rFonts w:ascii="Times New Roman" w:eastAsia="Times New Roman" w:hAnsi="Times New Roman" w:cs="Times New Roman"/>
          <w:color w:val="000000"/>
          <w:lang w:val="es-419"/>
        </w:rPr>
        <w:t xml:space="preserve">IDEHPUCP </w:t>
      </w:r>
      <w:r w:rsidRPr="009E2DE4">
        <w:rPr>
          <w:rFonts w:ascii="Times New Roman" w:eastAsia="Times New Roman" w:hAnsi="Times New Roman" w:cs="Times New Roman"/>
          <w:color w:val="000000"/>
          <w:lang w:val="es-419"/>
        </w:rPr>
        <w:t>está comprometido con la transversalización del enfoque de género.</w:t>
      </w:r>
      <w:r w:rsidR="00312840" w:rsidRPr="009E2DE4">
        <w:rPr>
          <w:rFonts w:ascii="Times New Roman" w:eastAsia="Times New Roman" w:hAnsi="Times New Roman" w:cs="Times New Roman"/>
          <w:color w:val="000000"/>
          <w:lang w:val="es-419"/>
        </w:rPr>
        <w:t xml:space="preserve"> </w:t>
      </w:r>
      <w:r w:rsidRPr="009E2DE4">
        <w:rPr>
          <w:rFonts w:ascii="Times New Roman" w:eastAsia="Times New Roman" w:hAnsi="Times New Roman" w:cs="Times New Roman"/>
          <w:color w:val="000000"/>
          <w:lang w:val="es-419"/>
        </w:rPr>
        <w:t>El IDEHPUCP se funda en el año 2004, y desde entonces ha desarrollado su labor en alianza con diversos organismos nacionales e internacionales, gobiernos regionales y locales, organizaciones e instituciones de la sociedad civil, y ciudadanos comprometidos con la cultura democrática del país.</w:t>
      </w:r>
    </w:p>
    <w:p w14:paraId="7D03F05A" w14:textId="77777777" w:rsidR="00066BC3" w:rsidRPr="009E2DE4" w:rsidRDefault="00066BC3" w:rsidP="00AD387E">
      <w:pPr>
        <w:spacing w:after="0" w:line="240" w:lineRule="auto"/>
        <w:jc w:val="both"/>
        <w:rPr>
          <w:rFonts w:ascii="Times New Roman" w:eastAsia="Times New Roman" w:hAnsi="Times New Roman" w:cs="Times New Roman"/>
          <w:lang w:val="es-419"/>
        </w:rPr>
      </w:pPr>
    </w:p>
    <w:p w14:paraId="1B28AC13" w14:textId="001D3445" w:rsidR="00066BC3" w:rsidRPr="009E2DE4" w:rsidRDefault="00066BC3" w:rsidP="00AD387E">
      <w:pPr>
        <w:spacing w:after="0" w:line="240" w:lineRule="auto"/>
        <w:jc w:val="both"/>
        <w:rPr>
          <w:rFonts w:ascii="Times New Roman" w:eastAsia="Times New Roman" w:hAnsi="Times New Roman" w:cs="Times New Roman"/>
          <w:b/>
          <w:bCs/>
          <w:lang w:val="es-419"/>
        </w:rPr>
      </w:pPr>
      <w:r w:rsidRPr="009E2DE4">
        <w:rPr>
          <w:rFonts w:ascii="Times New Roman" w:eastAsia="Times New Roman" w:hAnsi="Times New Roman" w:cs="Times New Roman"/>
          <w:b/>
          <w:bCs/>
          <w:color w:val="000000"/>
          <w:lang w:val="es-419"/>
        </w:rPr>
        <w:t>Línea de</w:t>
      </w:r>
      <w:r w:rsidR="00312840" w:rsidRPr="009E2DE4">
        <w:rPr>
          <w:rFonts w:ascii="Times New Roman" w:eastAsia="Times New Roman" w:hAnsi="Times New Roman" w:cs="Times New Roman"/>
          <w:b/>
          <w:bCs/>
          <w:color w:val="000000"/>
          <w:lang w:val="es-419"/>
        </w:rPr>
        <w:t xml:space="preserve"> </w:t>
      </w:r>
      <w:r w:rsidR="000846EE" w:rsidRPr="009E2DE4">
        <w:rPr>
          <w:rFonts w:ascii="Times New Roman" w:eastAsia="Times New Roman" w:hAnsi="Times New Roman" w:cs="Times New Roman"/>
          <w:b/>
          <w:bCs/>
          <w:color w:val="000000"/>
          <w:lang w:val="es-419"/>
        </w:rPr>
        <w:t>trabajo</w:t>
      </w:r>
      <w:r w:rsidR="00312840" w:rsidRPr="009E2DE4">
        <w:rPr>
          <w:rFonts w:ascii="Times New Roman" w:eastAsia="Times New Roman" w:hAnsi="Times New Roman" w:cs="Times New Roman"/>
          <w:b/>
          <w:bCs/>
          <w:color w:val="000000"/>
          <w:lang w:val="es-419"/>
        </w:rPr>
        <w:t>:</w:t>
      </w:r>
      <w:r w:rsidRPr="009E2DE4">
        <w:rPr>
          <w:rFonts w:ascii="Times New Roman" w:eastAsia="Times New Roman" w:hAnsi="Times New Roman" w:cs="Times New Roman"/>
          <w:b/>
          <w:bCs/>
          <w:color w:val="000000"/>
          <w:lang w:val="es-419"/>
        </w:rPr>
        <w:t xml:space="preserve"> pueblos indígenas </w:t>
      </w:r>
    </w:p>
    <w:p w14:paraId="025E26A7" w14:textId="66985AB7" w:rsidR="00066BC3" w:rsidRPr="009E2DE4" w:rsidRDefault="00066BC3" w:rsidP="00AD387E">
      <w:pPr>
        <w:spacing w:after="0" w:line="240" w:lineRule="auto"/>
        <w:jc w:val="both"/>
        <w:rPr>
          <w:rFonts w:ascii="Times New Roman" w:eastAsia="Times New Roman" w:hAnsi="Times New Roman" w:cs="Times New Roman"/>
          <w:lang w:val="es-419"/>
        </w:rPr>
      </w:pPr>
    </w:p>
    <w:p w14:paraId="7DDD1038" w14:textId="7ABB9B14" w:rsidR="00312840" w:rsidRPr="009E2DE4" w:rsidRDefault="00312840" w:rsidP="00AD387E">
      <w:pPr>
        <w:spacing w:after="0" w:line="240" w:lineRule="auto"/>
        <w:ind w:firstLine="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El IDEHPUCP cuenta con siete líneas de investigación en materia de derechos humanos</w:t>
      </w:r>
      <w:r w:rsidRPr="009E2DE4">
        <w:rPr>
          <w:rStyle w:val="Refdenotaalpie"/>
          <w:rFonts w:ascii="Times New Roman" w:eastAsia="Times New Roman" w:hAnsi="Times New Roman" w:cs="Times New Roman"/>
          <w:lang w:val="es-419"/>
        </w:rPr>
        <w:footnoteReference w:id="2"/>
      </w:r>
      <w:r w:rsidRPr="009E2DE4">
        <w:rPr>
          <w:rFonts w:ascii="Times New Roman" w:eastAsia="Times New Roman" w:hAnsi="Times New Roman" w:cs="Times New Roman"/>
          <w:lang w:val="es-419"/>
        </w:rPr>
        <w:t xml:space="preserve">. Una de ellas es aquella enfocada en los derechos de los pueblos indígenas, en el marco de la </w:t>
      </w:r>
      <w:r w:rsidR="00C07409" w:rsidRPr="009E2DE4">
        <w:rPr>
          <w:rFonts w:ascii="Times New Roman" w:eastAsia="Times New Roman" w:hAnsi="Times New Roman" w:cs="Times New Roman"/>
          <w:lang w:val="es-419"/>
        </w:rPr>
        <w:t>cual</w:t>
      </w:r>
      <w:r w:rsidRPr="009E2DE4">
        <w:rPr>
          <w:rFonts w:ascii="Times New Roman" w:eastAsia="Times New Roman" w:hAnsi="Times New Roman" w:cs="Times New Roman"/>
          <w:lang w:val="es-419"/>
        </w:rPr>
        <w:t xml:space="preserve"> se impulsan proyectos de investigación sobre diversos temas. A la fecha, el IDEHPUCP ha elaborado diversos proyectos de investigación, pudiendo resultar relevantes para la CEDAW las siguientes investigaciones:</w:t>
      </w:r>
    </w:p>
    <w:p w14:paraId="23D0349F" w14:textId="057F8684" w:rsidR="00312840" w:rsidRPr="009E2DE4" w:rsidRDefault="00312840" w:rsidP="00AD387E">
      <w:pPr>
        <w:spacing w:after="0" w:line="240" w:lineRule="auto"/>
        <w:jc w:val="both"/>
        <w:rPr>
          <w:rFonts w:ascii="Times New Roman" w:eastAsia="Times New Roman" w:hAnsi="Times New Roman" w:cs="Times New Roman"/>
          <w:lang w:val="es-419"/>
        </w:rPr>
      </w:pPr>
    </w:p>
    <w:p w14:paraId="085825C3" w14:textId="3A0FCF4D" w:rsidR="00312840" w:rsidRPr="009E2DE4" w:rsidRDefault="00312840" w:rsidP="00AD387E">
      <w:pPr>
        <w:pStyle w:val="Prrafodelista"/>
        <w:numPr>
          <w:ilvl w:val="0"/>
          <w:numId w:val="1"/>
        </w:numPr>
        <w:spacing w:after="0" w:line="240" w:lineRule="auto"/>
        <w:jc w:val="both"/>
        <w:rPr>
          <w:rFonts w:ascii="Times New Roman" w:eastAsia="Times New Roman" w:hAnsi="Times New Roman" w:cs="Times New Roman"/>
          <w:i/>
          <w:iCs/>
          <w:lang w:val="es-419"/>
        </w:rPr>
      </w:pPr>
      <w:r w:rsidRPr="009E2DE4">
        <w:rPr>
          <w:rFonts w:ascii="Times New Roman" w:eastAsia="Times New Roman" w:hAnsi="Times New Roman" w:cs="Times New Roman"/>
          <w:i/>
          <w:iCs/>
          <w:lang w:val="es-419"/>
        </w:rPr>
        <w:t>Guía de campañas electorales: narrativas desde las mujeres indígenas (2018)</w:t>
      </w:r>
    </w:p>
    <w:p w14:paraId="0B909385" w14:textId="447800ED" w:rsidR="00312840" w:rsidRPr="009E2DE4" w:rsidRDefault="00312840" w:rsidP="00AD387E">
      <w:pPr>
        <w:pStyle w:val="Prrafodelista"/>
        <w:spacing w:after="0" w:line="240" w:lineRule="auto"/>
        <w:jc w:val="both"/>
        <w:rPr>
          <w:rFonts w:ascii="Times New Roman" w:eastAsia="Times New Roman" w:hAnsi="Times New Roman" w:cs="Times New Roman"/>
          <w:lang w:val="es-419"/>
        </w:rPr>
      </w:pPr>
    </w:p>
    <w:p w14:paraId="7179C6D4" w14:textId="77777777" w:rsidR="0009052D" w:rsidRPr="009E2DE4" w:rsidRDefault="00312840" w:rsidP="00AD387E">
      <w:pPr>
        <w:spacing w:after="0" w:line="240" w:lineRule="auto"/>
        <w:ind w:firstLine="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Esta Guía fue publica</w:t>
      </w:r>
      <w:r w:rsidR="00334FAB" w:rsidRPr="009E2DE4">
        <w:rPr>
          <w:rFonts w:ascii="Times New Roman" w:eastAsia="Times New Roman" w:hAnsi="Times New Roman" w:cs="Times New Roman"/>
          <w:lang w:val="es-419"/>
        </w:rPr>
        <w:t xml:space="preserve">da </w:t>
      </w:r>
      <w:r w:rsidRPr="009E2DE4">
        <w:rPr>
          <w:rFonts w:ascii="Times New Roman" w:eastAsia="Times New Roman" w:hAnsi="Times New Roman" w:cs="Times New Roman"/>
          <w:lang w:val="es-419"/>
        </w:rPr>
        <w:t>con</w:t>
      </w:r>
      <w:r w:rsidR="00334FAB"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el</w:t>
      </w:r>
      <w:r w:rsidR="00334FAB"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IDEHPUCP en alianza con la Organización Nacional de Mujeres Indígenas Andinas y Amazónicas</w:t>
      </w:r>
      <w:r w:rsidR="00334FAB"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del</w:t>
      </w:r>
      <w:r w:rsidR="00334FAB"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Perú</w:t>
      </w:r>
      <w:r w:rsidR="00334FAB"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(ONAMIAP) y con el apoyo de la Konrad Adenauer Stiftung (KAS) con la finalidad de aportar herramientas prácticas a las mujeres indígenas, andinas y amazónicas que participan en política y que aspiran a diferentes cargos de representación a nivel local, regional y nacional a partir de sus propias experiencias y trayectorias.</w:t>
      </w:r>
      <w:r w:rsidR="000F5325" w:rsidRPr="009E2DE4">
        <w:rPr>
          <w:rFonts w:ascii="Times New Roman" w:eastAsia="Times New Roman" w:hAnsi="Times New Roman" w:cs="Times New Roman"/>
          <w:lang w:val="es-419"/>
        </w:rPr>
        <w:t xml:space="preserve"> </w:t>
      </w:r>
    </w:p>
    <w:p w14:paraId="58E2C2C8" w14:textId="77777777" w:rsidR="0009052D" w:rsidRPr="009E2DE4" w:rsidRDefault="0009052D" w:rsidP="00AD387E">
      <w:pPr>
        <w:spacing w:after="0" w:line="240" w:lineRule="auto"/>
        <w:ind w:firstLine="360"/>
        <w:jc w:val="both"/>
        <w:rPr>
          <w:rFonts w:ascii="Times New Roman" w:eastAsia="Times New Roman" w:hAnsi="Times New Roman" w:cs="Times New Roman"/>
          <w:lang w:val="es-419"/>
        </w:rPr>
      </w:pPr>
    </w:p>
    <w:p w14:paraId="5EF3EC9F" w14:textId="67CDAFEB" w:rsidR="00334FAB" w:rsidRPr="009E2DE4" w:rsidRDefault="00334FAB" w:rsidP="00AD387E">
      <w:pPr>
        <w:spacing w:after="0" w:line="240" w:lineRule="auto"/>
        <w:ind w:firstLine="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Para acceder a la Guía</w:t>
      </w:r>
      <w:r w:rsidR="000F5325" w:rsidRPr="009E2DE4">
        <w:rPr>
          <w:rFonts w:ascii="Times New Roman" w:eastAsia="Times New Roman" w:hAnsi="Times New Roman" w:cs="Times New Roman"/>
          <w:lang w:val="es-419"/>
        </w:rPr>
        <w:t>, véase e</w:t>
      </w:r>
      <w:r w:rsidRPr="009E2DE4">
        <w:rPr>
          <w:rFonts w:ascii="Times New Roman" w:eastAsia="Times New Roman" w:hAnsi="Times New Roman" w:cs="Times New Roman"/>
          <w:lang w:val="es-419"/>
        </w:rPr>
        <w:t xml:space="preserve">l siguiente enlace: </w:t>
      </w:r>
      <w:hyperlink r:id="rId9" w:history="1">
        <w:r w:rsidRPr="009E2DE4">
          <w:rPr>
            <w:rStyle w:val="Hipervnculo"/>
            <w:rFonts w:ascii="Times New Roman" w:eastAsia="Times New Roman" w:hAnsi="Times New Roman" w:cs="Times New Roman"/>
            <w:lang w:val="es-419"/>
          </w:rPr>
          <w:t>https://cdn01.pucp.education/idehpucp/wp-content/uploads/2018/10/11222606/guia-mujeres.pdf</w:t>
        </w:r>
      </w:hyperlink>
      <w:r w:rsidRPr="009E2DE4">
        <w:rPr>
          <w:rFonts w:ascii="Times New Roman" w:eastAsia="Times New Roman" w:hAnsi="Times New Roman" w:cs="Times New Roman"/>
          <w:lang w:val="es-419"/>
        </w:rPr>
        <w:t xml:space="preserve"> </w:t>
      </w:r>
    </w:p>
    <w:p w14:paraId="361AEFE7" w14:textId="77777777" w:rsidR="0036480D" w:rsidRDefault="00066BC3" w:rsidP="00AD387E">
      <w:pPr>
        <w:pStyle w:val="Prrafodelista"/>
        <w:spacing w:after="0" w:line="240" w:lineRule="auto"/>
        <w:jc w:val="both"/>
        <w:rPr>
          <w:rFonts w:ascii="Times New Roman" w:eastAsia="Times New Roman" w:hAnsi="Times New Roman" w:cs="Times New Roman"/>
          <w:i/>
          <w:iCs/>
          <w:lang w:val="es-419"/>
        </w:rPr>
      </w:pPr>
      <w:r w:rsidRPr="009E2DE4">
        <w:rPr>
          <w:rFonts w:ascii="Times New Roman" w:eastAsia="Times New Roman" w:hAnsi="Times New Roman" w:cs="Times New Roman"/>
          <w:lang w:val="es-419"/>
        </w:rPr>
        <w:lastRenderedPageBreak/>
        <w:br/>
      </w:r>
      <w:r w:rsidR="00334FAB" w:rsidRPr="009E2DE4">
        <w:rPr>
          <w:rFonts w:ascii="Times New Roman" w:eastAsia="Times New Roman" w:hAnsi="Times New Roman" w:cs="Times New Roman"/>
          <w:lang w:val="es-419"/>
        </w:rPr>
        <w:t xml:space="preserve">- </w:t>
      </w:r>
      <w:r w:rsidR="000F5325" w:rsidRPr="009E2DE4">
        <w:rPr>
          <w:rFonts w:ascii="Times New Roman" w:eastAsia="Times New Roman" w:hAnsi="Times New Roman" w:cs="Times New Roman"/>
          <w:i/>
          <w:iCs/>
          <w:lang w:val="es-419"/>
        </w:rPr>
        <w:t>Agenda indígena: Mujeres indígenas awajún y wampís (2018)</w:t>
      </w:r>
    </w:p>
    <w:p w14:paraId="4A56D9DD" w14:textId="31F645E8" w:rsidR="00066BC3" w:rsidRPr="009E2DE4" w:rsidRDefault="00066BC3" w:rsidP="00AD387E">
      <w:pPr>
        <w:pStyle w:val="Prrafodelista"/>
        <w:spacing w:after="0" w:line="240" w:lineRule="auto"/>
        <w:jc w:val="both"/>
        <w:rPr>
          <w:rFonts w:ascii="Times New Roman" w:eastAsia="Times New Roman" w:hAnsi="Times New Roman" w:cs="Times New Roman"/>
          <w:lang w:val="es-419"/>
        </w:rPr>
      </w:pPr>
    </w:p>
    <w:p w14:paraId="322C19F5" w14:textId="7B12BBC8" w:rsidR="000F5325" w:rsidRPr="009E2DE4" w:rsidRDefault="000F5325" w:rsidP="00AD387E">
      <w:pPr>
        <w:spacing w:after="0" w:line="240" w:lineRule="auto"/>
        <w:ind w:firstLine="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Esta Agenda fue trabajada por el IDEHPUCP con el apoyo del Programa País Perú de la Fundación</w:t>
      </w:r>
    </w:p>
    <w:p w14:paraId="305C2A5E" w14:textId="77777777" w:rsidR="0009052D" w:rsidRPr="009E2DE4" w:rsidRDefault="000F5325" w:rsidP="00AD387E">
      <w:p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Konrad Adenauer (KAS) en el Perú. Busca apoyar el trabajo de fortalecimiento de capacidades en agencia política de las mujeres líderes indígenas dentro de la selección de candidatos provinciales de Amazonas para las elecciones subnacionales de 2018. Busca contribu</w:t>
      </w:r>
      <w:bookmarkStart w:id="0" w:name="_GoBack"/>
      <w:bookmarkEnd w:id="0"/>
      <w:r w:rsidRPr="009E2DE4">
        <w:rPr>
          <w:rFonts w:ascii="Times New Roman" w:eastAsia="Times New Roman" w:hAnsi="Times New Roman" w:cs="Times New Roman"/>
          <w:lang w:val="es-419"/>
        </w:rPr>
        <w:t xml:space="preserve">ir con la elaboración de este documento que tiene como fin ser un instrumento útil para difundir la agenda de los pueblos indígenas y, específicamente, de las mujeres indígenas awajún y wampís en la región Amazonas. </w:t>
      </w:r>
    </w:p>
    <w:p w14:paraId="4B929711" w14:textId="77777777" w:rsidR="0009052D" w:rsidRPr="009E2DE4" w:rsidRDefault="0009052D" w:rsidP="00AD387E">
      <w:pPr>
        <w:spacing w:after="0" w:line="240" w:lineRule="auto"/>
        <w:jc w:val="both"/>
        <w:rPr>
          <w:rFonts w:ascii="Times New Roman" w:eastAsia="Times New Roman" w:hAnsi="Times New Roman" w:cs="Times New Roman"/>
          <w:lang w:val="es-419"/>
        </w:rPr>
      </w:pPr>
    </w:p>
    <w:p w14:paraId="6523A9E1" w14:textId="5AD22998" w:rsidR="000F5325" w:rsidRPr="009E2DE4" w:rsidRDefault="000F5325" w:rsidP="00AD387E">
      <w:pPr>
        <w:spacing w:after="0" w:line="240" w:lineRule="auto"/>
        <w:ind w:firstLine="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 xml:space="preserve">Para acceder a la Agenda, véase el siguiente enlace: </w:t>
      </w:r>
      <w:hyperlink r:id="rId10" w:history="1">
        <w:r w:rsidRPr="009E2DE4">
          <w:rPr>
            <w:rStyle w:val="Hipervnculo"/>
            <w:rFonts w:ascii="Times New Roman" w:eastAsia="Times New Roman" w:hAnsi="Times New Roman" w:cs="Times New Roman"/>
            <w:lang w:val="es-419"/>
          </w:rPr>
          <w:t>https://cdn01.pucp.education/idehpucp/wp-content/uploads/2018/09/24211819/agenda-indigena_kas_idehpucp.pdf</w:t>
        </w:r>
      </w:hyperlink>
      <w:r w:rsidRPr="009E2DE4">
        <w:rPr>
          <w:rFonts w:ascii="Times New Roman" w:eastAsia="Times New Roman" w:hAnsi="Times New Roman" w:cs="Times New Roman"/>
          <w:lang w:val="es-419"/>
        </w:rPr>
        <w:t xml:space="preserve"> </w:t>
      </w:r>
    </w:p>
    <w:p w14:paraId="2515033F" w14:textId="77777777" w:rsidR="0036480D" w:rsidRDefault="0036480D" w:rsidP="00AD387E">
      <w:pPr>
        <w:spacing w:after="240" w:line="240" w:lineRule="auto"/>
        <w:jc w:val="both"/>
        <w:rPr>
          <w:rFonts w:ascii="Times New Roman" w:eastAsia="Times New Roman" w:hAnsi="Times New Roman" w:cs="Times New Roman"/>
          <w:b/>
          <w:bCs/>
          <w:color w:val="000000"/>
          <w:lang w:val="es-419"/>
        </w:rPr>
      </w:pPr>
    </w:p>
    <w:p w14:paraId="00F0D66B" w14:textId="5438E0CD" w:rsidR="00066BC3" w:rsidRPr="009E2DE4" w:rsidRDefault="00066BC3" w:rsidP="00AD387E">
      <w:pPr>
        <w:spacing w:after="240" w:line="240" w:lineRule="auto"/>
        <w:jc w:val="both"/>
        <w:rPr>
          <w:rFonts w:ascii="Times New Roman" w:eastAsia="Times New Roman" w:hAnsi="Times New Roman" w:cs="Times New Roman"/>
          <w:b/>
          <w:bCs/>
          <w:lang w:val="es-419"/>
        </w:rPr>
      </w:pPr>
      <w:r w:rsidRPr="009E2DE4">
        <w:rPr>
          <w:rFonts w:ascii="Times New Roman" w:eastAsia="Times New Roman" w:hAnsi="Times New Roman" w:cs="Times New Roman"/>
          <w:b/>
          <w:bCs/>
          <w:color w:val="000000"/>
          <w:lang w:val="es-419"/>
        </w:rPr>
        <w:t xml:space="preserve">Consideraciones para </w:t>
      </w:r>
      <w:r w:rsidR="0009052D" w:rsidRPr="009E2DE4">
        <w:rPr>
          <w:rFonts w:ascii="Times New Roman" w:eastAsia="Times New Roman" w:hAnsi="Times New Roman" w:cs="Times New Roman"/>
          <w:b/>
          <w:bCs/>
          <w:color w:val="000000"/>
          <w:lang w:val="es-419"/>
        </w:rPr>
        <w:t xml:space="preserve">la elaboración </w:t>
      </w:r>
      <w:r w:rsidRPr="009E2DE4">
        <w:rPr>
          <w:rFonts w:ascii="Times New Roman" w:eastAsia="Times New Roman" w:hAnsi="Times New Roman" w:cs="Times New Roman"/>
          <w:b/>
          <w:bCs/>
          <w:color w:val="000000"/>
          <w:lang w:val="es-419"/>
        </w:rPr>
        <w:t>de la Recomendación General sobre los derechos de las mujeres y niñas indígenas</w:t>
      </w:r>
    </w:p>
    <w:p w14:paraId="15658B72" w14:textId="0B1AB77F" w:rsidR="00401EED" w:rsidRPr="009E2DE4" w:rsidRDefault="00401EED" w:rsidP="00AD387E">
      <w:p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ab/>
        <w:t xml:space="preserve">A continuación, nos permitimos destacar determinados pronunciamientos </w:t>
      </w:r>
      <w:r w:rsidR="000846EE" w:rsidRPr="009E2DE4">
        <w:rPr>
          <w:rFonts w:ascii="Times New Roman" w:eastAsia="Times New Roman" w:hAnsi="Times New Roman" w:cs="Times New Roman"/>
          <w:lang w:val="es-419"/>
        </w:rPr>
        <w:t xml:space="preserve">emitidos </w:t>
      </w:r>
      <w:r w:rsidRPr="009E2DE4">
        <w:rPr>
          <w:rFonts w:ascii="Times New Roman" w:eastAsia="Times New Roman" w:hAnsi="Times New Roman" w:cs="Times New Roman"/>
          <w:lang w:val="es-419"/>
        </w:rPr>
        <w:t>desde el Sistema Universal e Interamericano de Protección de Derechos Humanos. Tales pronunciamientos permit</w:t>
      </w:r>
      <w:r w:rsidR="000846EE" w:rsidRPr="009E2DE4">
        <w:rPr>
          <w:rFonts w:ascii="Times New Roman" w:eastAsia="Times New Roman" w:hAnsi="Times New Roman" w:cs="Times New Roman"/>
          <w:lang w:val="es-419"/>
        </w:rPr>
        <w:t>e</w:t>
      </w:r>
      <w:r w:rsidRPr="009E2DE4">
        <w:rPr>
          <w:rFonts w:ascii="Times New Roman" w:eastAsia="Times New Roman" w:hAnsi="Times New Roman" w:cs="Times New Roman"/>
          <w:lang w:val="es-419"/>
        </w:rPr>
        <w:t xml:space="preserve">n ilustrar a la CEDAW sobre </w:t>
      </w:r>
      <w:r w:rsidR="000846EE" w:rsidRPr="009E2DE4">
        <w:rPr>
          <w:rFonts w:ascii="Times New Roman" w:eastAsia="Times New Roman" w:hAnsi="Times New Roman" w:cs="Times New Roman"/>
          <w:lang w:val="es-419"/>
        </w:rPr>
        <w:t>cuestiones</w:t>
      </w:r>
      <w:r w:rsidRPr="009E2DE4">
        <w:rPr>
          <w:rFonts w:ascii="Times New Roman" w:eastAsia="Times New Roman" w:hAnsi="Times New Roman" w:cs="Times New Roman"/>
          <w:lang w:val="es-419"/>
        </w:rPr>
        <w:t xml:space="preserve"> relevantes en la materia para efectos de las consideraciones que consideren pertinentes al momento de elaborar la Recomendación General sobre derechos de las mujeres y niñas indígenas. </w:t>
      </w:r>
    </w:p>
    <w:p w14:paraId="6FC75DB9" w14:textId="4E6363FD" w:rsidR="00B21E8E" w:rsidRPr="009E2DE4" w:rsidRDefault="00B21E8E" w:rsidP="00AD387E">
      <w:pPr>
        <w:spacing w:after="0" w:line="240" w:lineRule="auto"/>
        <w:jc w:val="both"/>
        <w:rPr>
          <w:rFonts w:ascii="Times New Roman" w:eastAsia="Times New Roman" w:hAnsi="Times New Roman" w:cs="Times New Roman"/>
          <w:lang w:val="es-419"/>
        </w:rPr>
      </w:pPr>
    </w:p>
    <w:p w14:paraId="55FFBC66" w14:textId="1699614E" w:rsidR="00B21E8E" w:rsidRPr="009E2DE4" w:rsidRDefault="00B21E8E" w:rsidP="00AD387E">
      <w:p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ab/>
        <w:t>En lo que se refiere al Sistema Universal:</w:t>
      </w:r>
    </w:p>
    <w:p w14:paraId="1536AA2E" w14:textId="6D2B6D11" w:rsidR="00B21E8E" w:rsidRPr="009E2DE4" w:rsidRDefault="00B21E8E" w:rsidP="00AD387E">
      <w:pPr>
        <w:spacing w:after="0" w:line="240" w:lineRule="auto"/>
        <w:jc w:val="both"/>
        <w:rPr>
          <w:rFonts w:ascii="Times New Roman" w:eastAsia="Times New Roman" w:hAnsi="Times New Roman" w:cs="Times New Roman"/>
          <w:lang w:val="es-419"/>
        </w:rPr>
      </w:pPr>
    </w:p>
    <w:p w14:paraId="36041485" w14:textId="70EBBC36" w:rsidR="00B21E8E" w:rsidRPr="009E2DE4" w:rsidRDefault="00B21E8E" w:rsidP="00AD387E">
      <w:pPr>
        <w:pStyle w:val="Prrafodelista"/>
        <w:numPr>
          <w:ilvl w:val="0"/>
          <w:numId w:val="1"/>
        </w:num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i/>
          <w:iCs/>
          <w:lang w:val="es-419"/>
        </w:rPr>
        <w:t>Caso Angela Poma Poma Vs. Perú</w:t>
      </w:r>
      <w:r w:rsidRPr="009E2DE4">
        <w:rPr>
          <w:rFonts w:ascii="Times New Roman" w:eastAsia="Times New Roman" w:hAnsi="Times New Roman" w:cs="Times New Roman"/>
          <w:lang w:val="es-419"/>
        </w:rPr>
        <w:t xml:space="preserve"> (Decisión del Comité de Derechos Humanos de 2006)</w:t>
      </w:r>
      <w:r w:rsidRPr="009E2DE4">
        <w:rPr>
          <w:rStyle w:val="Refdenotaalpie"/>
          <w:rFonts w:ascii="Times New Roman" w:eastAsia="Times New Roman" w:hAnsi="Times New Roman" w:cs="Times New Roman"/>
          <w:lang w:val="es-419"/>
        </w:rPr>
        <w:footnoteReference w:id="3"/>
      </w:r>
    </w:p>
    <w:p w14:paraId="71439D11" w14:textId="441071E9" w:rsidR="00401EED" w:rsidRPr="009E2DE4" w:rsidRDefault="00401EED" w:rsidP="00AD387E">
      <w:pPr>
        <w:spacing w:after="0" w:line="240" w:lineRule="auto"/>
        <w:jc w:val="both"/>
        <w:rPr>
          <w:rFonts w:ascii="Times New Roman" w:eastAsia="Times New Roman" w:hAnsi="Times New Roman" w:cs="Times New Roman"/>
          <w:lang w:val="es-419"/>
        </w:rPr>
      </w:pPr>
    </w:p>
    <w:p w14:paraId="45EEDB73" w14:textId="6F91E195" w:rsidR="004055AC" w:rsidRPr="009E2DE4" w:rsidRDefault="00010BA3" w:rsidP="00AD387E">
      <w:pPr>
        <w:spacing w:after="0" w:line="240" w:lineRule="auto"/>
        <w:ind w:left="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 xml:space="preserve">La decisión del Comité resulta relevante en la medida que refleja la defensa del derecho al territorio de una mujer aymara de la región de Tacna de Perú frente a proyectos de desarrollo o inversión. Si bien la denuncia se presentó de manera individual, el Comité de Derechos Humanos analizó los alegatos de la peticionaria desde un enfoque colectivo en tanto entendió que la peticionaria formaba parte de un colectivo determinado en el cual ejerce sus derechos. Esto es en una comunidad indígena Aymara. En el caso indicado, el Comité indicó lo siguiente: </w:t>
      </w:r>
    </w:p>
    <w:p w14:paraId="257921DF" w14:textId="1B482FA3" w:rsidR="00066BC3" w:rsidRPr="009E2DE4" w:rsidRDefault="00066BC3" w:rsidP="00AD387E">
      <w:pPr>
        <w:spacing w:after="0" w:line="240" w:lineRule="auto"/>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 </w:t>
      </w:r>
    </w:p>
    <w:p w14:paraId="3B58303F" w14:textId="5F273F6A" w:rsidR="00010BA3" w:rsidRPr="009E2DE4" w:rsidRDefault="00010BA3" w:rsidP="00AD387E">
      <w:pPr>
        <w:spacing w:after="0" w:line="240" w:lineRule="auto"/>
        <w:ind w:left="72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 xml:space="preserve">“7.6 El Comité considera que la permisibilidad de las medidas que comprometen significativamente las actividades económicas de valor cultural de una minoría o comunidad indígena o interfieren en ellas, guarda relación con el hecho de que los miembros de esa comunidad hayan tenido oportunidad de participar en el proceso de adopción de decisiones relativas a esas medidas y de que sigan beneficiándose de su economía tradicional. El Comité considera que la participación en el proceso de decisión debe ser efectiva, por lo que no es suficiente la mera </w:t>
      </w:r>
      <w:r w:rsidR="00AD387E" w:rsidRPr="009E2DE4">
        <w:rPr>
          <w:rFonts w:ascii="Times New Roman" w:eastAsia="Times New Roman" w:hAnsi="Times New Roman" w:cs="Times New Roman"/>
          <w:color w:val="000000"/>
          <w:lang w:val="es-419"/>
        </w:rPr>
        <w:t>consulta,</w:t>
      </w:r>
      <w:r w:rsidRPr="009E2DE4">
        <w:rPr>
          <w:rFonts w:ascii="Times New Roman" w:eastAsia="Times New Roman" w:hAnsi="Times New Roman" w:cs="Times New Roman"/>
          <w:color w:val="000000"/>
          <w:lang w:val="es-419"/>
        </w:rPr>
        <w:t xml:space="preserve"> sino que se requiere el consentimiento libre, previo e informado de los miembros de la comunidad. Además, las medidas deben respetar el principio de proporcionalidad, de manera que no pongan en peligro la propia subsistencia de la comunidad y de sus miembros</w:t>
      </w:r>
      <w:bookmarkStart w:id="1" w:name="_Hlk74774736"/>
      <w:r w:rsidRPr="009E2DE4">
        <w:rPr>
          <w:rFonts w:ascii="Times New Roman" w:eastAsia="Times New Roman" w:hAnsi="Times New Roman" w:cs="Times New Roman"/>
          <w:color w:val="000000"/>
          <w:lang w:val="es-419"/>
        </w:rPr>
        <w:t>”</w:t>
      </w:r>
      <w:bookmarkEnd w:id="1"/>
      <w:r w:rsidRPr="009E2DE4">
        <w:rPr>
          <w:rFonts w:ascii="Times New Roman" w:eastAsia="Times New Roman" w:hAnsi="Times New Roman" w:cs="Times New Roman"/>
          <w:color w:val="000000"/>
          <w:lang w:val="es-419"/>
        </w:rPr>
        <w:t xml:space="preserve">. </w:t>
      </w:r>
    </w:p>
    <w:p w14:paraId="41A6C8E0" w14:textId="3C21B2C7" w:rsidR="00010BA3" w:rsidRPr="009E2DE4" w:rsidRDefault="00010BA3" w:rsidP="00AD387E">
      <w:pPr>
        <w:spacing w:after="0" w:line="240" w:lineRule="auto"/>
        <w:jc w:val="both"/>
        <w:rPr>
          <w:rFonts w:ascii="Times New Roman" w:eastAsia="Times New Roman" w:hAnsi="Times New Roman" w:cs="Times New Roman"/>
          <w:lang w:val="es-419"/>
        </w:rPr>
      </w:pPr>
    </w:p>
    <w:p w14:paraId="73D460C5" w14:textId="23FAD529" w:rsidR="005C1D49" w:rsidRPr="009E2DE4" w:rsidRDefault="00503768" w:rsidP="00AD387E">
      <w:pPr>
        <w:pStyle w:val="Prrafodelista"/>
        <w:numPr>
          <w:ilvl w:val="0"/>
          <w:numId w:val="1"/>
        </w:num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i/>
          <w:iCs/>
          <w:lang w:val="es-419"/>
        </w:rPr>
        <w:t>Informe de la Relatora Especial sobre los derechos de los pueblos indígenas: Estudio sobre la situación de las mujeres indígenas</w:t>
      </w:r>
      <w:r w:rsidRPr="009E2DE4">
        <w:rPr>
          <w:rFonts w:ascii="Times New Roman" w:eastAsia="Times New Roman" w:hAnsi="Times New Roman" w:cs="Times New Roman"/>
          <w:lang w:val="es-419"/>
        </w:rPr>
        <w:t xml:space="preserve"> (2015)</w:t>
      </w:r>
      <w:r w:rsidR="00CC3F72" w:rsidRPr="009E2DE4">
        <w:rPr>
          <w:rStyle w:val="Refdenotaalpie"/>
          <w:rFonts w:ascii="Times New Roman" w:eastAsia="Times New Roman" w:hAnsi="Times New Roman" w:cs="Times New Roman"/>
          <w:lang w:val="es-419"/>
        </w:rPr>
        <w:footnoteReference w:id="4"/>
      </w:r>
    </w:p>
    <w:p w14:paraId="2390040C" w14:textId="66F7F70E" w:rsidR="005C1D49" w:rsidRPr="009E2DE4" w:rsidRDefault="005C1D49" w:rsidP="00AD387E">
      <w:pPr>
        <w:spacing w:after="0" w:line="240" w:lineRule="auto"/>
        <w:jc w:val="both"/>
        <w:rPr>
          <w:rFonts w:ascii="Times New Roman" w:eastAsia="Times New Roman" w:hAnsi="Times New Roman" w:cs="Times New Roman"/>
          <w:lang w:val="es-419"/>
        </w:rPr>
      </w:pPr>
    </w:p>
    <w:p w14:paraId="1CD9A8EA" w14:textId="392E2D33" w:rsidR="00536E21" w:rsidRPr="009E2DE4" w:rsidRDefault="00503768" w:rsidP="00AD387E">
      <w:pPr>
        <w:spacing w:after="0" w:line="240" w:lineRule="auto"/>
        <w:ind w:left="36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lastRenderedPageBreak/>
        <w:t>El Informe aborda la situación de las mujeres indígenas y los desafíos existentes en el mundo para que puedan ejercer plenamente sus derechos. En particular, la Relatora se centra en las múltiples formas de violencia que enfrentan</w:t>
      </w:r>
      <w:r w:rsidR="00914E67" w:rsidRPr="009E2DE4">
        <w:rPr>
          <w:rFonts w:ascii="Times New Roman" w:eastAsia="Times New Roman" w:hAnsi="Times New Roman" w:cs="Times New Roman"/>
          <w:lang w:val="es-419"/>
        </w:rPr>
        <w:t>, destacándose las siguientes conclusiones:</w:t>
      </w:r>
    </w:p>
    <w:p w14:paraId="3B88E321" w14:textId="4196FC83" w:rsidR="00CC3F72" w:rsidRPr="009E2DE4" w:rsidRDefault="00CC3F72" w:rsidP="00AD387E">
      <w:pPr>
        <w:spacing w:after="0" w:line="240" w:lineRule="auto"/>
        <w:ind w:left="360"/>
        <w:jc w:val="both"/>
        <w:rPr>
          <w:rFonts w:ascii="Times New Roman" w:eastAsia="Times New Roman" w:hAnsi="Times New Roman" w:cs="Times New Roman"/>
          <w:lang w:val="es-419"/>
        </w:rPr>
      </w:pPr>
    </w:p>
    <w:p w14:paraId="7A4FD0AE" w14:textId="7A905CDA" w:rsidR="00914E67" w:rsidRPr="009E2DE4" w:rsidRDefault="00CC3F72" w:rsidP="00AD387E">
      <w:pPr>
        <w:spacing w:after="0" w:line="240" w:lineRule="auto"/>
        <w:ind w:left="72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w:t>
      </w:r>
      <w:r w:rsidR="00503768" w:rsidRPr="009E2DE4">
        <w:rPr>
          <w:rFonts w:ascii="Times New Roman" w:eastAsia="Times New Roman" w:hAnsi="Times New Roman" w:cs="Times New Roman"/>
          <w:lang w:val="es-419"/>
        </w:rPr>
        <w:t>73. Las mujeres y niñas indígenas se enfrentan a violaciones de los derechos</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humanos complejas, multidimensionales y que se refuerzan mutuamente. Las</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violaciones de los derechos colectivos; económicos, sociales y culturales, y civiles y</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políticos de que son objeto las mujeres indígenas son variadas y graves. Tales</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violaciones son de por sí alarmantes infracciones, pero además constituyen una</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forma de violencia estructural contra las mujeres indígenas que las convierte en</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víctimas de las realidades de las circunstancias de su vida cotidiana e impide</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sistemáticamente que disfruten los derechos y recursos que tienen garantizados</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otros ciudadanos. Las mujeres indígenas también sufren otras formas de</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violencia, como las derivadas de prácticas tradicionales, la violencia sexual, la</w:t>
      </w:r>
      <w:r w:rsidR="00914E67" w:rsidRPr="009E2DE4">
        <w:rPr>
          <w:rFonts w:ascii="Times New Roman" w:eastAsia="Times New Roman" w:hAnsi="Times New Roman" w:cs="Times New Roman"/>
          <w:lang w:val="es-419"/>
        </w:rPr>
        <w:t xml:space="preserve"> </w:t>
      </w:r>
      <w:r w:rsidR="00503768" w:rsidRPr="009E2DE4">
        <w:rPr>
          <w:rFonts w:ascii="Times New Roman" w:eastAsia="Times New Roman" w:hAnsi="Times New Roman" w:cs="Times New Roman"/>
          <w:lang w:val="es-419"/>
        </w:rPr>
        <w:t>trata, la violencia doméstica y los asesinatos por motivos de género.</w:t>
      </w:r>
      <w:r w:rsidR="00914E67" w:rsidRPr="009E2DE4">
        <w:rPr>
          <w:rFonts w:ascii="Times New Roman" w:eastAsia="Times New Roman" w:hAnsi="Times New Roman" w:cs="Times New Roman"/>
          <w:lang w:val="es-419"/>
        </w:rPr>
        <w:t xml:space="preserve"> </w:t>
      </w:r>
    </w:p>
    <w:p w14:paraId="6BEA795A" w14:textId="77777777" w:rsidR="00914E67" w:rsidRPr="009E2DE4" w:rsidRDefault="00914E67" w:rsidP="00AD387E">
      <w:pPr>
        <w:spacing w:after="0" w:line="240" w:lineRule="auto"/>
        <w:ind w:left="720"/>
        <w:jc w:val="both"/>
        <w:rPr>
          <w:rFonts w:ascii="Times New Roman" w:eastAsia="Times New Roman" w:hAnsi="Times New Roman" w:cs="Times New Roman"/>
          <w:lang w:val="es-419"/>
        </w:rPr>
      </w:pPr>
    </w:p>
    <w:p w14:paraId="73E1F051" w14:textId="53C95875" w:rsidR="00503768" w:rsidRPr="009E2DE4" w:rsidRDefault="00503768" w:rsidP="00AD387E">
      <w:pPr>
        <w:spacing w:after="0" w:line="240" w:lineRule="auto"/>
        <w:ind w:left="72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74. A pesar de la gravedad y la regularidad de las violaciones de los derechos de</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las mujeres indígenas, la atención prestada por la estructura normativa de las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Naciones Unidas en materia de derechos humanos y desarrollo ha sido limitada.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Entre las lagunas y deficiencias que plantean los análisis cabe mencionar la falta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de equilibrio geográfico, una inclusión limitada de los derechos colectivos, poca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investigación sobre la concomitancia en cuanto a la vulnerabilidad de las mujeres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indígenas y falta de investigación sobre las repercusiones de género de los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problemas que afectan a las comunidades indígenas por lo que hace a los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derechos. No obstante, hay ciertos indicios que hacen esperar que se estén</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salvando las deficiencias en materia de seguimiento de los derechos de las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mujeres indígenas.</w:t>
      </w:r>
    </w:p>
    <w:p w14:paraId="1848C3AB" w14:textId="77777777" w:rsidR="00914E67" w:rsidRPr="009E2DE4" w:rsidRDefault="00914E67" w:rsidP="00AD387E">
      <w:pPr>
        <w:spacing w:after="0" w:line="240" w:lineRule="auto"/>
        <w:ind w:left="720"/>
        <w:jc w:val="both"/>
        <w:rPr>
          <w:rFonts w:ascii="Times New Roman" w:eastAsia="Times New Roman" w:hAnsi="Times New Roman" w:cs="Times New Roman"/>
          <w:lang w:val="es-419"/>
        </w:rPr>
      </w:pPr>
    </w:p>
    <w:p w14:paraId="39089213" w14:textId="4902C149" w:rsidR="00503768" w:rsidRPr="009E2DE4" w:rsidRDefault="00503768" w:rsidP="00AD387E">
      <w:pPr>
        <w:spacing w:after="0" w:line="240" w:lineRule="auto"/>
        <w:ind w:left="72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75. Para proteger los derechos de las mujeres indígenas se necesita tanto un</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cambio de paradigma como la formulación de un enfoque multidimensional. Los</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Estados deben encontrar la manera de lograr un delicado equilibrio entre la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protección de las mujeres indígenas y el respeto a la libre determinación y</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autonomía de los pueblos indígenas. Para encontrar tal equilibrio resulta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fundamental la participación y consulta de las mujeres y niñas indígenas.</w:t>
      </w:r>
    </w:p>
    <w:p w14:paraId="6C751EC7" w14:textId="77777777" w:rsidR="00914E67" w:rsidRPr="009E2DE4" w:rsidRDefault="00914E67" w:rsidP="00AD387E">
      <w:pPr>
        <w:spacing w:after="0" w:line="240" w:lineRule="auto"/>
        <w:ind w:left="720"/>
        <w:jc w:val="both"/>
        <w:rPr>
          <w:rFonts w:ascii="Times New Roman" w:eastAsia="Times New Roman" w:hAnsi="Times New Roman" w:cs="Times New Roman"/>
          <w:lang w:val="es-419"/>
        </w:rPr>
      </w:pPr>
    </w:p>
    <w:p w14:paraId="3451C2B0" w14:textId="6C49DDEF" w:rsidR="005C1D49" w:rsidRPr="009E2DE4" w:rsidRDefault="00503768" w:rsidP="00AD387E">
      <w:pPr>
        <w:spacing w:after="0" w:line="240" w:lineRule="auto"/>
        <w:ind w:left="72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76. El sistema de las Naciones Unidas debe ayudar a los Estados miembros 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alcanzar tal equilibrio y contribuir a efectuar el cambio de paradigma necesario</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prestando mayor atención a las necesidades de las mujeres indígenas y</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reconceptualizando las cuestiones relativas a los derechos a fin de que incluyan el</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nexo entre los derechos individuales y los colectivos, así como la concomitancia</w:t>
      </w:r>
      <w:r w:rsidR="00914E67" w:rsidRPr="009E2DE4">
        <w:rPr>
          <w:rFonts w:ascii="Times New Roman" w:eastAsia="Times New Roman" w:hAnsi="Times New Roman" w:cs="Times New Roman"/>
          <w:lang w:val="es-419"/>
        </w:rPr>
        <w:t xml:space="preserve"> </w:t>
      </w:r>
      <w:r w:rsidRPr="009E2DE4">
        <w:rPr>
          <w:rFonts w:ascii="Times New Roman" w:eastAsia="Times New Roman" w:hAnsi="Times New Roman" w:cs="Times New Roman"/>
          <w:lang w:val="es-419"/>
        </w:rPr>
        <w:t>entre las diferentes formas de desigualdad y discriminación</w:t>
      </w:r>
      <w:r w:rsidR="00CC3F72" w:rsidRPr="009E2DE4">
        <w:rPr>
          <w:rFonts w:ascii="Times New Roman" w:eastAsia="Times New Roman" w:hAnsi="Times New Roman" w:cs="Times New Roman"/>
          <w:lang w:val="es-419"/>
        </w:rPr>
        <w:t>”</w:t>
      </w:r>
      <w:r w:rsidRPr="009E2DE4">
        <w:rPr>
          <w:rFonts w:ascii="Times New Roman" w:eastAsia="Times New Roman" w:hAnsi="Times New Roman" w:cs="Times New Roman"/>
          <w:lang w:val="es-419"/>
        </w:rPr>
        <w:t>.</w:t>
      </w:r>
      <w:r w:rsidRPr="009E2DE4">
        <w:rPr>
          <w:rFonts w:ascii="Times New Roman" w:eastAsia="Times New Roman" w:hAnsi="Times New Roman" w:cs="Times New Roman"/>
          <w:lang w:val="es-419"/>
        </w:rPr>
        <w:cr/>
      </w:r>
    </w:p>
    <w:p w14:paraId="7A541F10" w14:textId="0838AD11" w:rsidR="005C1D49" w:rsidRPr="009E2DE4" w:rsidRDefault="005C1D49" w:rsidP="00AD387E">
      <w:pPr>
        <w:spacing w:after="0" w:line="240" w:lineRule="auto"/>
        <w:jc w:val="both"/>
        <w:rPr>
          <w:rFonts w:ascii="Times New Roman" w:eastAsia="Times New Roman" w:hAnsi="Times New Roman" w:cs="Times New Roman"/>
          <w:lang w:val="es-419"/>
        </w:rPr>
      </w:pPr>
    </w:p>
    <w:p w14:paraId="01540938" w14:textId="374278C0" w:rsidR="005C1D49" w:rsidRPr="009E2DE4" w:rsidRDefault="00CC3F72" w:rsidP="00AD387E">
      <w:pPr>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ab/>
        <w:t xml:space="preserve">En lo que se refiere al Sistema Interamericano: </w:t>
      </w:r>
    </w:p>
    <w:p w14:paraId="61FEFD85" w14:textId="77777777" w:rsidR="005C1D49" w:rsidRPr="009E2DE4" w:rsidRDefault="005C1D49" w:rsidP="00AD387E">
      <w:pPr>
        <w:spacing w:after="0" w:line="240" w:lineRule="auto"/>
        <w:jc w:val="both"/>
        <w:rPr>
          <w:rFonts w:ascii="Times New Roman" w:eastAsia="Times New Roman" w:hAnsi="Times New Roman" w:cs="Times New Roman"/>
          <w:lang w:val="es-419"/>
        </w:rPr>
      </w:pPr>
    </w:p>
    <w:p w14:paraId="5D106DD9" w14:textId="7852C6EF" w:rsidR="00D66DE0" w:rsidRPr="009E2DE4" w:rsidRDefault="00D66DE0" w:rsidP="00AD387E">
      <w:pPr>
        <w:pStyle w:val="Prrafodelista"/>
        <w:numPr>
          <w:ilvl w:val="0"/>
          <w:numId w:val="1"/>
        </w:numPr>
        <w:spacing w:after="0" w:line="240" w:lineRule="auto"/>
        <w:jc w:val="both"/>
        <w:rPr>
          <w:rFonts w:ascii="Times New Roman" w:eastAsia="Times New Roman" w:hAnsi="Times New Roman" w:cs="Times New Roman"/>
          <w:i/>
          <w:iCs/>
          <w:lang w:val="es-419"/>
        </w:rPr>
      </w:pPr>
      <w:r w:rsidRPr="009E2DE4">
        <w:rPr>
          <w:rFonts w:ascii="Times New Roman" w:eastAsia="Times New Roman" w:hAnsi="Times New Roman" w:cs="Times New Roman"/>
          <w:i/>
          <w:iCs/>
          <w:lang w:val="es-419"/>
        </w:rPr>
        <w:t xml:space="preserve">Informe temático sobre derechos de las mujeres indígenas </w:t>
      </w:r>
      <w:r w:rsidR="00A02674" w:rsidRPr="009E2DE4">
        <w:rPr>
          <w:rFonts w:ascii="Times New Roman" w:eastAsia="Times New Roman" w:hAnsi="Times New Roman" w:cs="Times New Roman"/>
          <w:i/>
          <w:iCs/>
          <w:lang w:val="es-419"/>
        </w:rPr>
        <w:t>(2017)</w:t>
      </w:r>
      <w:r w:rsidR="00A02674" w:rsidRPr="009E2DE4">
        <w:rPr>
          <w:rStyle w:val="Refdenotaalpie"/>
          <w:rFonts w:ascii="Times New Roman" w:eastAsia="Times New Roman" w:hAnsi="Times New Roman" w:cs="Times New Roman"/>
          <w:i/>
          <w:iCs/>
          <w:lang w:val="es-419"/>
        </w:rPr>
        <w:footnoteReference w:id="5"/>
      </w:r>
    </w:p>
    <w:p w14:paraId="46A94825" w14:textId="6741833D" w:rsidR="00D66DE0" w:rsidRPr="009E2DE4" w:rsidRDefault="00D66DE0" w:rsidP="00AD387E">
      <w:pPr>
        <w:pStyle w:val="Prrafodelista"/>
        <w:spacing w:after="0" w:line="240" w:lineRule="auto"/>
        <w:jc w:val="both"/>
        <w:rPr>
          <w:rFonts w:ascii="Times New Roman" w:eastAsia="Times New Roman" w:hAnsi="Times New Roman" w:cs="Times New Roman"/>
          <w:lang w:val="es-419"/>
        </w:rPr>
      </w:pPr>
    </w:p>
    <w:p w14:paraId="5754A628" w14:textId="7F79D2BE" w:rsidR="00D66DE0" w:rsidRPr="009E2DE4" w:rsidRDefault="00A02674" w:rsidP="00AD387E">
      <w:pPr>
        <w:pStyle w:val="Prrafodelista"/>
        <w:spacing w:after="0" w:line="240" w:lineRule="auto"/>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 xml:space="preserve">En el informe temático sobre Mujeres Indígenas, la Comisión Interamericana de Derechos Humanos llamó la atención sobre la necesidad de tener un enfoque holístico e integral al momento de establecer las medidas necesaria para proteger los derechos de las mujeres indígenas en las Américas. En palabras de la Comisión:  </w:t>
      </w:r>
    </w:p>
    <w:p w14:paraId="33B146C3" w14:textId="32F472BE" w:rsidR="00A02674" w:rsidRPr="009E2DE4" w:rsidRDefault="00A02674" w:rsidP="00AD387E">
      <w:pPr>
        <w:pStyle w:val="Prrafodelista"/>
        <w:spacing w:after="0" w:line="240" w:lineRule="auto"/>
        <w:jc w:val="both"/>
        <w:rPr>
          <w:rFonts w:ascii="Times New Roman" w:eastAsia="Times New Roman" w:hAnsi="Times New Roman" w:cs="Times New Roman"/>
          <w:lang w:val="es-419"/>
        </w:rPr>
      </w:pPr>
    </w:p>
    <w:p w14:paraId="66E2BCEF" w14:textId="46DAE0DA" w:rsidR="00A02674" w:rsidRPr="009E2DE4" w:rsidRDefault="00A02674" w:rsidP="00AD387E">
      <w:pPr>
        <w:pStyle w:val="Prrafodelista"/>
        <w:spacing w:after="0" w:line="240" w:lineRule="auto"/>
        <w:ind w:left="1440"/>
        <w:jc w:val="both"/>
        <w:rPr>
          <w:rFonts w:ascii="Times New Roman" w:eastAsia="Times New Roman" w:hAnsi="Times New Roman" w:cs="Times New Roman"/>
          <w:lang w:val="es-419"/>
        </w:rPr>
      </w:pPr>
      <w:r w:rsidRPr="009E2DE4">
        <w:rPr>
          <w:rFonts w:ascii="Times New Roman" w:eastAsia="Times New Roman" w:hAnsi="Times New Roman" w:cs="Times New Roman"/>
          <w:lang w:val="es-419"/>
        </w:rPr>
        <w:t xml:space="preserve">“76. En conclusión, la Comisión Interamericana subraya que la eficacia de toda medida que se adopte con el fin de proteger los derechos de las mujeres indígenas dependerá en gran medida de la inclusión de un enfoque integral que propicie su participación, teniendo </w:t>
      </w:r>
      <w:r w:rsidRPr="009E2DE4">
        <w:rPr>
          <w:rFonts w:ascii="Times New Roman" w:eastAsia="Times New Roman" w:hAnsi="Times New Roman" w:cs="Times New Roman"/>
          <w:lang w:val="es-419"/>
        </w:rPr>
        <w:lastRenderedPageBreak/>
        <w:t>en cuenta su cosmovisión y sus ideas, la dimensión individual y colectiva de sus derechos, y la relación singular que tienen con su territorio y los recursos naturales presentes en su territorio. Es esencial que los Estados tengan en cuenta la historia de discriminación y racismo institucional y estructural que han enfrentado las mujeres indígenas, así como la intersección de factores que sustentan esos antecedentes. Es indispensable también que los Estados garanticen el acceso efectivo de las mujeres indígenas a la justicia en los casos de violaciones de derechos humanos, así como una respuesta policial y judicial apropiada desde el punto de vista cultural y lingüístico. Sólo de esta forma podrán los agentes estatales abordar plena y debidamente las violaciones de derechos humanos fundamentales de las mujeres indígenas.”</w:t>
      </w:r>
    </w:p>
    <w:p w14:paraId="14808E7E" w14:textId="22E72AA7" w:rsidR="00A02674" w:rsidRPr="009E2DE4" w:rsidRDefault="00A02674" w:rsidP="00AD387E">
      <w:pPr>
        <w:pStyle w:val="Prrafodelista"/>
        <w:spacing w:after="0" w:line="240" w:lineRule="auto"/>
        <w:jc w:val="both"/>
        <w:rPr>
          <w:rFonts w:ascii="Times New Roman" w:eastAsia="Times New Roman" w:hAnsi="Times New Roman" w:cs="Times New Roman"/>
          <w:lang w:val="es-419"/>
        </w:rPr>
      </w:pPr>
    </w:p>
    <w:p w14:paraId="3578E16A" w14:textId="134DF31C" w:rsidR="00066BC3" w:rsidRPr="009E2DE4" w:rsidRDefault="00066BC3" w:rsidP="00AD387E">
      <w:pPr>
        <w:pStyle w:val="Prrafodelista"/>
        <w:numPr>
          <w:ilvl w:val="0"/>
          <w:numId w:val="1"/>
        </w:numPr>
        <w:spacing w:after="0" w:line="240" w:lineRule="auto"/>
        <w:jc w:val="both"/>
        <w:rPr>
          <w:rFonts w:ascii="Times New Roman" w:eastAsia="Times New Roman" w:hAnsi="Times New Roman" w:cs="Times New Roman"/>
          <w:i/>
          <w:iCs/>
          <w:lang w:val="es-419"/>
        </w:rPr>
      </w:pPr>
      <w:r w:rsidRPr="009E2DE4">
        <w:rPr>
          <w:rFonts w:ascii="Times New Roman" w:eastAsia="Times New Roman" w:hAnsi="Times New Roman" w:cs="Times New Roman"/>
          <w:i/>
          <w:iCs/>
          <w:color w:val="000000"/>
          <w:lang w:val="es-419"/>
        </w:rPr>
        <w:t>Informe sobre Mujeres indígenas en Canadá</w:t>
      </w:r>
      <w:r w:rsidR="00E800D0" w:rsidRPr="009E2DE4">
        <w:rPr>
          <w:rFonts w:ascii="Times New Roman" w:eastAsia="Times New Roman" w:hAnsi="Times New Roman" w:cs="Times New Roman"/>
          <w:i/>
          <w:iCs/>
          <w:color w:val="000000"/>
          <w:lang w:val="es-419"/>
        </w:rPr>
        <w:t xml:space="preserve"> (2015)</w:t>
      </w:r>
      <w:r w:rsidR="00E800D0" w:rsidRPr="009E2DE4">
        <w:rPr>
          <w:rStyle w:val="Refdenotaalpie"/>
          <w:rFonts w:ascii="Times New Roman" w:eastAsia="Times New Roman" w:hAnsi="Times New Roman" w:cs="Times New Roman"/>
          <w:i/>
          <w:iCs/>
          <w:color w:val="000000"/>
          <w:lang w:val="es-419"/>
        </w:rPr>
        <w:footnoteReference w:id="6"/>
      </w:r>
    </w:p>
    <w:p w14:paraId="5BF63FCF" w14:textId="77777777" w:rsidR="00A02674" w:rsidRPr="009E2DE4" w:rsidRDefault="00A02674" w:rsidP="00AD387E">
      <w:pPr>
        <w:spacing w:after="0" w:line="240" w:lineRule="auto"/>
        <w:jc w:val="both"/>
        <w:rPr>
          <w:rFonts w:ascii="Times New Roman" w:eastAsia="Times New Roman" w:hAnsi="Times New Roman" w:cs="Times New Roman"/>
          <w:color w:val="000000"/>
          <w:lang w:val="es-419"/>
        </w:rPr>
      </w:pPr>
    </w:p>
    <w:p w14:paraId="0173CE78" w14:textId="23E0D058" w:rsidR="00A02674" w:rsidRPr="009E2DE4" w:rsidRDefault="00E800D0" w:rsidP="00AD387E">
      <w:pPr>
        <w:spacing w:after="0" w:line="240" w:lineRule="auto"/>
        <w:ind w:left="72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En el Informe temático, la Comisión valoró el impacto diferenciado que enfrentan las mujeres indígenas en Canadá frente a determinados hechos de violencia, como la</w:t>
      </w:r>
      <w:r w:rsidR="00564144" w:rsidRPr="009E2DE4">
        <w:rPr>
          <w:rFonts w:ascii="Times New Roman" w:eastAsia="Times New Roman" w:hAnsi="Times New Roman" w:cs="Times New Roman"/>
          <w:color w:val="000000"/>
          <w:lang w:val="es-419"/>
        </w:rPr>
        <w:t>s desapariciones y asesinatos. Al respecto, la Comisión resaltó:</w:t>
      </w:r>
    </w:p>
    <w:p w14:paraId="02A58D60" w14:textId="242D4157" w:rsidR="00564144" w:rsidRPr="009E2DE4" w:rsidRDefault="00564144" w:rsidP="00AD387E">
      <w:pPr>
        <w:spacing w:after="0" w:line="240" w:lineRule="auto"/>
        <w:ind w:left="720"/>
        <w:jc w:val="both"/>
        <w:rPr>
          <w:rFonts w:ascii="Times New Roman" w:eastAsia="Times New Roman" w:hAnsi="Times New Roman" w:cs="Times New Roman"/>
          <w:color w:val="000000"/>
          <w:lang w:val="es-419"/>
        </w:rPr>
      </w:pPr>
    </w:p>
    <w:p w14:paraId="2AEFFAD0" w14:textId="5EADE4D4" w:rsidR="00564144" w:rsidRPr="009E2DE4" w:rsidRDefault="00564144" w:rsidP="00AD387E">
      <w:pPr>
        <w:spacing w:after="0" w:line="240" w:lineRule="auto"/>
        <w:ind w:left="144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“305. Las desapariciones y asesinatos de mujeres indígenas en Canadá son parte de un patrón de violencia y discriminación más amplio contra las mujeres indígenas en Canadá. El hecho de que las mujeres indígenas en Canadá experimentan desigualdades institucionales y estructurales como resultado de la desigualdad y discriminación históricas, enraizadas en la sociedad, ha sido reconocido por el gobierno de Canadá y por las organizaciones de la sociedad civil. También existe acuerdo con respecto a algunas de las causas fundamentales de los altos niveles de violencia contra las mujeres indígenas y las vulnerabilidades existentes que hacen a las mujeres indígenas más susceptibles a la violencia”.</w:t>
      </w:r>
    </w:p>
    <w:p w14:paraId="5862B303" w14:textId="77777777" w:rsidR="00A02674" w:rsidRPr="009E2DE4" w:rsidRDefault="00A02674" w:rsidP="00AD387E">
      <w:pPr>
        <w:spacing w:after="0" w:line="240" w:lineRule="auto"/>
        <w:jc w:val="both"/>
        <w:rPr>
          <w:rFonts w:ascii="Times New Roman" w:eastAsia="Times New Roman" w:hAnsi="Times New Roman" w:cs="Times New Roman"/>
          <w:color w:val="000000"/>
          <w:lang w:val="es-419"/>
        </w:rPr>
      </w:pPr>
    </w:p>
    <w:p w14:paraId="796C797E" w14:textId="0BCB343E" w:rsidR="00066BC3" w:rsidRPr="009E2DE4" w:rsidRDefault="00066BC3" w:rsidP="00AD387E">
      <w:pPr>
        <w:pStyle w:val="Prrafodelista"/>
        <w:numPr>
          <w:ilvl w:val="0"/>
          <w:numId w:val="1"/>
        </w:numPr>
        <w:spacing w:after="0" w:line="240" w:lineRule="auto"/>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i/>
          <w:iCs/>
          <w:color w:val="000000"/>
          <w:lang w:val="es-419"/>
        </w:rPr>
        <w:t>Informe</w:t>
      </w:r>
      <w:r w:rsidR="00C07409" w:rsidRPr="009E2DE4">
        <w:rPr>
          <w:rFonts w:ascii="Times New Roman" w:eastAsia="Times New Roman" w:hAnsi="Times New Roman" w:cs="Times New Roman"/>
          <w:i/>
          <w:iCs/>
          <w:color w:val="000000"/>
          <w:lang w:val="es-419"/>
        </w:rPr>
        <w:t xml:space="preserve"> sobre Pueblos indígenas, comunidades afrodescendientes y recursos naturales: protección de derechos humanos en el contexto de actividades de extracción, explotación y desarrollo (2015)</w:t>
      </w:r>
      <w:r w:rsidR="00C07409" w:rsidRPr="009E2DE4">
        <w:rPr>
          <w:rStyle w:val="Refdenotaalpie"/>
          <w:rFonts w:ascii="Times New Roman" w:eastAsia="Times New Roman" w:hAnsi="Times New Roman" w:cs="Times New Roman"/>
          <w:i/>
          <w:iCs/>
          <w:color w:val="000000"/>
          <w:lang w:val="es-419"/>
        </w:rPr>
        <w:footnoteReference w:id="7"/>
      </w:r>
    </w:p>
    <w:p w14:paraId="6E241649" w14:textId="7977D41E" w:rsidR="00D66DE0" w:rsidRPr="009E2DE4" w:rsidRDefault="00D66DE0" w:rsidP="00AD387E">
      <w:pPr>
        <w:spacing w:after="0" w:line="240" w:lineRule="auto"/>
        <w:jc w:val="both"/>
        <w:rPr>
          <w:rFonts w:ascii="Times New Roman" w:eastAsia="Times New Roman" w:hAnsi="Times New Roman" w:cs="Times New Roman"/>
          <w:color w:val="000000"/>
          <w:lang w:val="es-419"/>
        </w:rPr>
      </w:pPr>
    </w:p>
    <w:p w14:paraId="05118ECB" w14:textId="299FA8E3" w:rsidR="00D66DE0" w:rsidRPr="009E2DE4" w:rsidRDefault="00C07409" w:rsidP="00AD387E">
      <w:pPr>
        <w:spacing w:after="0" w:line="240" w:lineRule="auto"/>
        <w:ind w:left="72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En el Informe, la Comisión aborda los impactos colectivos que enfrentan los pueblos indígenas frente a actividades extractivas en sus territorios. En lo referente a las mujeres indígenas, como grupo en particular, la Comisión advierte de los impactos diferenciados que enfrentan:</w:t>
      </w:r>
    </w:p>
    <w:p w14:paraId="6D1EDF1C" w14:textId="54621C6C" w:rsidR="00C07409" w:rsidRPr="009E2DE4" w:rsidRDefault="00C07409" w:rsidP="00AD387E">
      <w:pPr>
        <w:spacing w:after="0" w:line="240" w:lineRule="auto"/>
        <w:ind w:left="720"/>
        <w:jc w:val="both"/>
        <w:rPr>
          <w:rFonts w:ascii="Times New Roman" w:eastAsia="Times New Roman" w:hAnsi="Times New Roman" w:cs="Times New Roman"/>
          <w:color w:val="000000"/>
          <w:lang w:val="es-419"/>
        </w:rPr>
      </w:pPr>
    </w:p>
    <w:p w14:paraId="52E940C3" w14:textId="41DC35A6" w:rsidR="00C07409" w:rsidRPr="009E2DE4" w:rsidRDefault="00C07409" w:rsidP="00AD387E">
      <w:pPr>
        <w:spacing w:after="0" w:line="240" w:lineRule="auto"/>
        <w:ind w:left="144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“318. La CIDH ha identificado un patrón de discriminación y diversas formas de violencia específicas hacia las mujeres indígenas, tribales y afrodescendientes. Así, frente a la presencia de terceros en sus tierras y territorios, el acceso a los recursos naturales que usan las mujeres para proveer a sus familias se ve limitado por estas incursiones. Ello vulnera la armonía de los pueblos indígenas y tribales con su medio de vida, erosiona las actividades que realizan las mujeres, conduce a menudo a la pérdida o disminución de su rol en la comunidad, y puede provocar una paulatina y lenta desintegración de las redes y tejidos sociales de tales pueblos. La presión sobre las tierras y recursos naturales en manos de terceros y empresas hace que las mujeres tengan que buscar cómo proveer recursos para sus familias o puedan verse obligadas a migrar a centros urbanos en busca de empleos remunerados. En las ciudades, suelen enfrentar numerosas dificultades y tienen pocas posibilidades de subsistencia por la discriminación existente.”</w:t>
      </w:r>
    </w:p>
    <w:p w14:paraId="22F685C6" w14:textId="6676D0FF" w:rsidR="00C07409" w:rsidRPr="009E2DE4" w:rsidRDefault="00C07409" w:rsidP="00AD387E">
      <w:pPr>
        <w:spacing w:after="0" w:line="240" w:lineRule="auto"/>
        <w:ind w:left="720"/>
        <w:jc w:val="both"/>
        <w:rPr>
          <w:rFonts w:ascii="Times New Roman" w:eastAsia="Times New Roman" w:hAnsi="Times New Roman" w:cs="Times New Roman"/>
          <w:color w:val="000000"/>
          <w:lang w:val="es-419"/>
        </w:rPr>
      </w:pPr>
    </w:p>
    <w:p w14:paraId="517DDCBF" w14:textId="14331D64" w:rsidR="00066BC3" w:rsidRPr="009E2DE4" w:rsidRDefault="00C07409" w:rsidP="00AD387E">
      <w:pPr>
        <w:pStyle w:val="Prrafodelista"/>
        <w:numPr>
          <w:ilvl w:val="0"/>
          <w:numId w:val="1"/>
        </w:numPr>
        <w:spacing w:after="0" w:line="240" w:lineRule="auto"/>
        <w:jc w:val="both"/>
        <w:rPr>
          <w:rFonts w:ascii="Times New Roman" w:eastAsia="Times New Roman" w:hAnsi="Times New Roman" w:cs="Times New Roman"/>
          <w:i/>
          <w:iCs/>
          <w:lang w:val="es-419"/>
        </w:rPr>
      </w:pPr>
      <w:r w:rsidRPr="009E2DE4">
        <w:rPr>
          <w:rFonts w:ascii="Times New Roman" w:eastAsia="Times New Roman" w:hAnsi="Times New Roman" w:cs="Times New Roman"/>
          <w:i/>
          <w:iCs/>
          <w:color w:val="000000"/>
          <w:lang w:val="es-419"/>
        </w:rPr>
        <w:lastRenderedPageBreak/>
        <w:t xml:space="preserve">Jurisprudencia </w:t>
      </w:r>
      <w:r w:rsidR="00A541ED">
        <w:rPr>
          <w:rFonts w:ascii="Times New Roman" w:eastAsia="Times New Roman" w:hAnsi="Times New Roman" w:cs="Times New Roman"/>
          <w:i/>
          <w:iCs/>
          <w:color w:val="000000"/>
          <w:lang w:val="es-419"/>
        </w:rPr>
        <w:t xml:space="preserve">relevante </w:t>
      </w:r>
      <w:r w:rsidRPr="009E2DE4">
        <w:rPr>
          <w:rFonts w:ascii="Times New Roman" w:eastAsia="Times New Roman" w:hAnsi="Times New Roman" w:cs="Times New Roman"/>
          <w:i/>
          <w:iCs/>
          <w:color w:val="000000"/>
          <w:lang w:val="es-419"/>
        </w:rPr>
        <w:t xml:space="preserve">sobre violencia sexual frente a mujeres </w:t>
      </w:r>
      <w:r w:rsidR="001A412F" w:rsidRPr="009E2DE4">
        <w:rPr>
          <w:rFonts w:ascii="Times New Roman" w:eastAsia="Times New Roman" w:hAnsi="Times New Roman" w:cs="Times New Roman"/>
          <w:i/>
          <w:iCs/>
          <w:color w:val="000000"/>
          <w:lang w:val="es-419"/>
        </w:rPr>
        <w:t xml:space="preserve">y niñas </w:t>
      </w:r>
      <w:r w:rsidRPr="009E2DE4">
        <w:rPr>
          <w:rFonts w:ascii="Times New Roman" w:eastAsia="Times New Roman" w:hAnsi="Times New Roman" w:cs="Times New Roman"/>
          <w:i/>
          <w:iCs/>
          <w:color w:val="000000"/>
          <w:lang w:val="es-419"/>
        </w:rPr>
        <w:t>indígenas</w:t>
      </w:r>
      <w:r w:rsidR="00BA57E2" w:rsidRPr="009E2DE4">
        <w:rPr>
          <w:rStyle w:val="Refdenotaalpie"/>
          <w:rFonts w:ascii="Times New Roman" w:eastAsia="Times New Roman" w:hAnsi="Times New Roman" w:cs="Times New Roman"/>
          <w:i/>
          <w:iCs/>
          <w:color w:val="000000"/>
          <w:lang w:val="es-419"/>
        </w:rPr>
        <w:footnoteReference w:id="8"/>
      </w:r>
    </w:p>
    <w:p w14:paraId="029DA2A8" w14:textId="77777777" w:rsidR="00A02674" w:rsidRPr="009E2DE4" w:rsidRDefault="00A02674" w:rsidP="00AD387E">
      <w:pPr>
        <w:spacing w:after="0" w:line="240" w:lineRule="auto"/>
        <w:jc w:val="both"/>
        <w:rPr>
          <w:rFonts w:ascii="Times New Roman" w:eastAsia="Times New Roman" w:hAnsi="Times New Roman" w:cs="Times New Roman"/>
          <w:color w:val="000000"/>
          <w:lang w:val="es-419"/>
        </w:rPr>
      </w:pPr>
    </w:p>
    <w:p w14:paraId="2B0CC2BF" w14:textId="57C6DE33" w:rsidR="00066BC3" w:rsidRPr="009E2DE4" w:rsidRDefault="0009052D" w:rsidP="00AD387E">
      <w:pPr>
        <w:spacing w:after="0" w:line="240" w:lineRule="auto"/>
        <w:ind w:left="720"/>
        <w:jc w:val="both"/>
        <w:rPr>
          <w:rFonts w:ascii="Times New Roman" w:eastAsia="Times New Roman" w:hAnsi="Times New Roman" w:cs="Times New Roman"/>
          <w:color w:val="000000"/>
          <w:lang w:val="es-419"/>
        </w:rPr>
      </w:pPr>
      <w:r w:rsidRPr="009E2DE4">
        <w:rPr>
          <w:rFonts w:ascii="Times New Roman" w:eastAsia="Times New Roman" w:hAnsi="Times New Roman" w:cs="Times New Roman"/>
          <w:color w:val="000000"/>
          <w:lang w:val="es-419"/>
        </w:rPr>
        <w:t xml:space="preserve">En los casos de </w:t>
      </w:r>
      <w:r w:rsidRPr="00A541ED">
        <w:rPr>
          <w:rFonts w:ascii="Times New Roman" w:eastAsia="Times New Roman" w:hAnsi="Times New Roman" w:cs="Times New Roman"/>
          <w:i/>
          <w:iCs/>
          <w:color w:val="000000"/>
          <w:lang w:val="es-419"/>
        </w:rPr>
        <w:t>Rosendo Cantú y otra Vs. México</w:t>
      </w:r>
      <w:r w:rsidRPr="009E2DE4">
        <w:rPr>
          <w:rFonts w:ascii="Times New Roman" w:eastAsia="Times New Roman" w:hAnsi="Times New Roman" w:cs="Times New Roman"/>
          <w:color w:val="000000"/>
          <w:lang w:val="es-419"/>
        </w:rPr>
        <w:t xml:space="preserve"> y </w:t>
      </w:r>
      <w:r w:rsidRPr="00A541ED">
        <w:rPr>
          <w:rFonts w:ascii="Times New Roman" w:eastAsia="Times New Roman" w:hAnsi="Times New Roman" w:cs="Times New Roman"/>
          <w:i/>
          <w:iCs/>
          <w:color w:val="000000"/>
          <w:lang w:val="es-419"/>
        </w:rPr>
        <w:t>Fernández Ortega y otros Vs. México</w:t>
      </w:r>
      <w:r w:rsidRPr="009E2DE4">
        <w:rPr>
          <w:rFonts w:ascii="Times New Roman" w:eastAsia="Times New Roman" w:hAnsi="Times New Roman" w:cs="Times New Roman"/>
          <w:color w:val="000000"/>
          <w:lang w:val="es-419"/>
        </w:rPr>
        <w:t xml:space="preserve">, ambos del 2010, la Corte Interamericana de Derechos Humanos abordó </w:t>
      </w:r>
      <w:r w:rsidR="001A412F" w:rsidRPr="009E2DE4">
        <w:rPr>
          <w:rFonts w:ascii="Times New Roman" w:eastAsia="Times New Roman" w:hAnsi="Times New Roman" w:cs="Times New Roman"/>
          <w:color w:val="000000"/>
          <w:lang w:val="es-419"/>
        </w:rPr>
        <w:t xml:space="preserve">el caso de violación sexual de una mujer y niña indígenas, así como las obligaciones reforzadas que tiene un Estado frente a situaciones de violencia. </w:t>
      </w:r>
    </w:p>
    <w:p w14:paraId="5D86244E" w14:textId="3BF95F65" w:rsidR="00A541ED" w:rsidRPr="004A16DC" w:rsidRDefault="004A16DC" w:rsidP="00AD387E">
      <w:pPr>
        <w:spacing w:after="0" w:line="240" w:lineRule="auto"/>
        <w:jc w:val="both"/>
        <w:rPr>
          <w:rFonts w:ascii="Times New Roman" w:eastAsia="Times New Roman" w:hAnsi="Times New Roman" w:cs="Times New Roman"/>
          <w:lang w:val="es-419"/>
        </w:rPr>
      </w:pPr>
      <w:r w:rsidRPr="004A16DC">
        <w:rPr>
          <w:rFonts w:ascii="Times New Roman" w:eastAsia="Times New Roman" w:hAnsi="Times New Roman" w:cs="Times New Roman"/>
          <w:lang w:val="es-419"/>
        </w:rPr>
        <w:tab/>
      </w:r>
    </w:p>
    <w:p w14:paraId="1DFDD663" w14:textId="240778BF" w:rsidR="00300BB5" w:rsidRPr="004A16DC" w:rsidRDefault="00300BB5" w:rsidP="00AD387E">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lang w:val="es-419"/>
        </w:rPr>
        <w:t>“</w:t>
      </w:r>
      <w:r w:rsidR="004A16DC" w:rsidRPr="004A16DC">
        <w:rPr>
          <w:rFonts w:ascii="Times New Roman" w:eastAsia="Times New Roman" w:hAnsi="Times New Roman" w:cs="Times New Roman"/>
        </w:rPr>
        <w:t>128. Por otra parte, esta Corte considera que una violación sexual puede constituir tortura aún cuando consista en un solo hecho u ocurra fuera de instalaciones estatales, como puede ser el domicilio de la víctima. Esto es así ya que los elementos objetivos y subjetivos que califican un hecho como tortura no se refieren ni a la acumulación de hechos ni al lugar donde el acto se realiza, sino a la intencionalidad, a la severidad del sufrimiento y a la finalidad del acto, requisitos que en el presente caso se encuentran cumplidos. Con base en lo anterior, la Corte concluye que la violación sexual en el presente caso implicó una violación a la integridad personal de la señora Fernández Ortega, constituyendo un acto de tortura en los términos del artículo 5.2 de la Convención Americana y 2 de la Convención Interamericana para Prevenir y Sancionar la Tortura.</w:t>
      </w:r>
      <w:r w:rsidR="004A16DC">
        <w:rPr>
          <w:rFonts w:ascii="Times New Roman" w:eastAsia="Times New Roman" w:hAnsi="Times New Roman" w:cs="Times New Roman"/>
        </w:rPr>
        <w:t xml:space="preserve">” (Caso </w:t>
      </w:r>
      <w:r w:rsidR="004A16DC" w:rsidRPr="00A541ED">
        <w:rPr>
          <w:rFonts w:ascii="Times New Roman" w:eastAsia="Times New Roman" w:hAnsi="Times New Roman" w:cs="Times New Roman"/>
          <w:i/>
          <w:iCs/>
          <w:color w:val="000000"/>
          <w:lang w:val="es-419"/>
        </w:rPr>
        <w:t>Fernández Ortega y otros Vs. México</w:t>
      </w:r>
      <w:r w:rsidR="004A16DC">
        <w:rPr>
          <w:rFonts w:ascii="Times New Roman" w:eastAsia="Times New Roman" w:hAnsi="Times New Roman" w:cs="Times New Roman"/>
          <w:color w:val="000000"/>
          <w:lang w:val="es-419"/>
        </w:rPr>
        <w:t>)</w:t>
      </w:r>
    </w:p>
    <w:p w14:paraId="3C3F7F55" w14:textId="77777777" w:rsidR="004A16DC" w:rsidRDefault="004A16DC" w:rsidP="00AD387E">
      <w:pPr>
        <w:spacing w:after="0" w:line="240" w:lineRule="auto"/>
        <w:ind w:left="1440"/>
        <w:jc w:val="both"/>
        <w:rPr>
          <w:rFonts w:ascii="Times New Roman" w:eastAsia="Times New Roman" w:hAnsi="Times New Roman" w:cs="Times New Roman"/>
          <w:lang w:val="es-419"/>
        </w:rPr>
      </w:pPr>
    </w:p>
    <w:p w14:paraId="31E7DEA3" w14:textId="4F30CB8E" w:rsidR="00D359AF" w:rsidRPr="00300BB5" w:rsidRDefault="007067C2" w:rsidP="00AD387E">
      <w:pPr>
        <w:spacing w:after="0" w:line="240" w:lineRule="auto"/>
        <w:ind w:left="1440"/>
        <w:jc w:val="both"/>
        <w:rPr>
          <w:rFonts w:ascii="Times New Roman" w:eastAsia="Times New Roman" w:hAnsi="Times New Roman" w:cs="Times New Roman"/>
          <w:lang w:val="es-419"/>
        </w:rPr>
      </w:pPr>
      <w:r>
        <w:rPr>
          <w:rFonts w:ascii="Times New Roman" w:eastAsia="Times New Roman" w:hAnsi="Times New Roman" w:cs="Times New Roman"/>
          <w:lang w:val="es-419"/>
        </w:rPr>
        <w:t>“</w:t>
      </w:r>
      <w:r w:rsidRPr="007067C2">
        <w:rPr>
          <w:rFonts w:ascii="Times New Roman" w:eastAsia="Times New Roman" w:hAnsi="Times New Roman" w:cs="Times New Roman"/>
        </w:rPr>
        <w:t>103. Consta en el expediente del caso que, una vez conocidos los hechos por las autoridades, la víctima no recibió atención psicológica que hubiera permitido obtener mayor información para el esclarecimiento de los hechos, ni se practicaron determinadas pruebas, entre otras, periciales, con el objeto de determinar la verdad de lo ocurrido. Al respecto, cabe señalar lo reconocido por el Estado en el sentido de que, a partir de la denuncia interpuesta el 8 de marzo de 2002, hubo un retraso en la atención médica especializada de la señora Rosendo Cantú y transcurrió más de un mes del hecho, cuando el 19 de marzo de 2002 fue examinada por un médico legista adscrito a la agencia del Ministerio Público del fuero común. El Estado no presentó ante este Tribunal avances en la investigación iniciada por las autoridades que permitieran desvirtuar los indicios que apuntan a la existencia de la violación sexual por parte de militares. La Corte advierte que, por el contrario, la defensa del Estado se apoya en el desconocimiento de si la violación había existido y su autoría, lo cual es atribuible a sus propias autoridades. Desde el momento en que el Estado tuvo conocimiento de la existencia de una violación sexual cometida contra quien pertenece a un grupo en situación de especial vulnerabilidad por su condición de indígena y de niña, tiene la obligación de realizar una investigación seria y efectiva que le permita confirmar la veracidad de los hechos y determinar los responsables de los mismos</w:t>
      </w:r>
      <w:r w:rsidR="00D359AF">
        <w:rPr>
          <w:rFonts w:ascii="Times New Roman" w:eastAsia="Times New Roman" w:hAnsi="Times New Roman" w:cs="Times New Roman"/>
          <w:lang w:val="es-419"/>
        </w:rPr>
        <w:t>.</w:t>
      </w:r>
      <w:r>
        <w:rPr>
          <w:rFonts w:ascii="Times New Roman" w:eastAsia="Times New Roman" w:hAnsi="Times New Roman" w:cs="Times New Roman"/>
          <w:lang w:val="es-419"/>
        </w:rPr>
        <w:t>” (</w:t>
      </w:r>
      <w:r w:rsidR="00300BB5">
        <w:rPr>
          <w:rFonts w:ascii="Times New Roman" w:eastAsia="Times New Roman" w:hAnsi="Times New Roman" w:cs="Times New Roman"/>
          <w:lang w:val="es-419"/>
        </w:rPr>
        <w:t xml:space="preserve">Caso </w:t>
      </w:r>
      <w:r w:rsidR="00300BB5" w:rsidRPr="00A541ED">
        <w:rPr>
          <w:rFonts w:ascii="Times New Roman" w:eastAsia="Times New Roman" w:hAnsi="Times New Roman" w:cs="Times New Roman"/>
          <w:i/>
          <w:iCs/>
          <w:color w:val="000000"/>
          <w:lang w:val="es-419"/>
        </w:rPr>
        <w:t>Rosendo Cantú y otra Vs. México</w:t>
      </w:r>
      <w:r w:rsidR="00300BB5">
        <w:rPr>
          <w:rFonts w:ascii="Times New Roman" w:eastAsia="Times New Roman" w:hAnsi="Times New Roman" w:cs="Times New Roman"/>
          <w:color w:val="000000"/>
          <w:lang w:val="es-419"/>
        </w:rPr>
        <w:t>)</w:t>
      </w:r>
    </w:p>
    <w:p w14:paraId="74E3EBD1" w14:textId="77777777" w:rsidR="00C07409" w:rsidRPr="009E2DE4" w:rsidRDefault="00C07409" w:rsidP="00AD387E">
      <w:pPr>
        <w:spacing w:after="0" w:line="240" w:lineRule="auto"/>
        <w:ind w:left="2880"/>
        <w:jc w:val="both"/>
        <w:rPr>
          <w:rFonts w:ascii="Times New Roman" w:eastAsia="Times New Roman" w:hAnsi="Times New Roman" w:cs="Times New Roman"/>
          <w:lang w:val="es-419"/>
        </w:rPr>
      </w:pPr>
    </w:p>
    <w:p w14:paraId="45BEC65E" w14:textId="32CCBBBD" w:rsidR="00BA57E2" w:rsidRPr="009E2DE4" w:rsidRDefault="0022472E" w:rsidP="00AD387E">
      <w:pPr>
        <w:spacing w:line="240" w:lineRule="auto"/>
        <w:jc w:val="both"/>
        <w:rPr>
          <w:rFonts w:ascii="Times New Roman" w:hAnsi="Times New Roman" w:cs="Times New Roman"/>
          <w:b/>
          <w:bCs/>
        </w:rPr>
      </w:pPr>
      <w:r w:rsidRPr="009E2DE4">
        <w:rPr>
          <w:rFonts w:ascii="Times New Roman" w:hAnsi="Times New Roman" w:cs="Times New Roman"/>
          <w:b/>
          <w:bCs/>
        </w:rPr>
        <w:t>Desafíos identificados en el Perú para el respeto y garantía de los derechos de las mujeres y niñas indígenas</w:t>
      </w:r>
    </w:p>
    <w:p w14:paraId="5215C2BD" w14:textId="77777777" w:rsidR="009E2DE4" w:rsidRPr="009E2DE4" w:rsidRDefault="009E2DE4" w:rsidP="00AD387E">
      <w:pPr>
        <w:spacing w:before="240" w:after="240" w:line="240" w:lineRule="auto"/>
        <w:ind w:firstLine="720"/>
        <w:jc w:val="both"/>
        <w:rPr>
          <w:rFonts w:ascii="Times New Roman" w:eastAsia="Calibri" w:hAnsi="Times New Roman" w:cs="Times New Roman"/>
          <w:lang w:val="es-ES"/>
        </w:rPr>
      </w:pPr>
      <w:r w:rsidRPr="009E2DE4">
        <w:rPr>
          <w:rFonts w:ascii="Times New Roman" w:eastAsia="Calibri" w:hAnsi="Times New Roman" w:cs="Times New Roman"/>
          <w:lang w:val="es-ES"/>
        </w:rPr>
        <w:t>La Defensoría del Pueblo en su Informe “Situación de los derechos de las mujeres indígenas en el Perú”, concluido antes del inicio de la pandemia, identificó una serie de limitaciones para el ejercicio efectivo de los derechos de las mujeres indígenas. Estas limitaciones se apreciaron principalmente en los derechos a la educación, a la salud, a una vida libre de violencia, a la propiedad y a la participación política.</w:t>
      </w:r>
    </w:p>
    <w:p w14:paraId="27DCA155" w14:textId="12BE6E78" w:rsidR="009E2DE4" w:rsidRPr="009E2DE4" w:rsidRDefault="009E2DE4" w:rsidP="00AD387E">
      <w:pPr>
        <w:spacing w:before="240" w:after="240" w:line="240" w:lineRule="auto"/>
        <w:ind w:firstLine="720"/>
        <w:jc w:val="both"/>
        <w:rPr>
          <w:rFonts w:ascii="Times New Roman" w:eastAsia="Calibri" w:hAnsi="Times New Roman" w:cs="Times New Roman"/>
          <w:lang w:val="es-ES"/>
        </w:rPr>
      </w:pPr>
      <w:r w:rsidRPr="009E2DE4">
        <w:rPr>
          <w:rFonts w:ascii="Times New Roman" w:eastAsia="Calibri" w:hAnsi="Times New Roman" w:cs="Times New Roman"/>
          <w:lang w:val="es-ES"/>
        </w:rPr>
        <w:lastRenderedPageBreak/>
        <w:t xml:space="preserve">En cuanto al derecho a la educación, se evidenció que las mujeres indígenas, en especial de la Amazonía, tienen uno de los porcentajes más elevados en analfabetismo. Asimismo, aunque una gran mayoría de niñas indígenas han cursado estudios a nivel primario, no sucede lo mismo a nivel secundario, puesto que más del 40% de mujeres indígenas no están matriculadas en dicho nivel, </w:t>
      </w:r>
      <w:r w:rsidR="00AD387E" w:rsidRPr="009E2DE4">
        <w:rPr>
          <w:rFonts w:ascii="Times New Roman" w:eastAsia="Calibri" w:hAnsi="Times New Roman" w:cs="Times New Roman"/>
          <w:lang w:val="es-ES"/>
        </w:rPr>
        <w:t>y,</w:t>
      </w:r>
      <w:r w:rsidRPr="009E2DE4">
        <w:rPr>
          <w:rFonts w:ascii="Times New Roman" w:eastAsia="Calibri" w:hAnsi="Times New Roman" w:cs="Times New Roman"/>
          <w:lang w:val="es-ES"/>
        </w:rPr>
        <w:t xml:space="preserve"> por ende, no logran concluir la educación básica. Esto último estaría relacionado con los roles asignados a las mujeres en las labores domésticas, las uniones a temprana edad, el riesgo a sufrir violencia sexual en los largos trayectos hacia la escuela, entre otros</w:t>
      </w:r>
      <w:r w:rsidRPr="009E2DE4">
        <w:rPr>
          <w:rFonts w:ascii="Times New Roman" w:eastAsia="Calibri" w:hAnsi="Times New Roman" w:cs="Times New Roman"/>
          <w:vertAlign w:val="superscript"/>
          <w:lang w:val="es-ES"/>
        </w:rPr>
        <w:footnoteReference w:id="9"/>
      </w:r>
      <w:r w:rsidRPr="009E2DE4">
        <w:rPr>
          <w:rFonts w:ascii="Times New Roman" w:eastAsia="Calibri" w:hAnsi="Times New Roman" w:cs="Times New Roman"/>
          <w:lang w:val="es-ES"/>
        </w:rPr>
        <w:t>. Respecto al derecho a la salud, la falta de establecimientos de salud dentro de las propias comunidades afecta particularmente a las mujeres indígenas, quienes son las que demandan mayor atención en salud. Aunado a ello, por su condición, requieren de servicios de salud específicos vinculados al embarazo y el parto, por lo que se ven obligadas a trasladarse fuera de sus localidades para poder ser atendidas</w:t>
      </w:r>
      <w:r w:rsidRPr="009E2DE4">
        <w:rPr>
          <w:rFonts w:ascii="Times New Roman" w:eastAsia="Calibri" w:hAnsi="Times New Roman" w:cs="Times New Roman"/>
          <w:vertAlign w:val="superscript"/>
          <w:lang w:val="es-ES"/>
        </w:rPr>
        <w:footnoteReference w:id="10"/>
      </w:r>
      <w:r w:rsidRPr="009E2DE4">
        <w:rPr>
          <w:rFonts w:ascii="Times New Roman" w:eastAsia="Calibri" w:hAnsi="Times New Roman" w:cs="Times New Roman"/>
          <w:lang w:val="es-ES"/>
        </w:rPr>
        <w:t>. En esa línea, la elevada incidencia de maternidad precoz, con mayor proporción en la Amazonía, sigue siendo un reto vigente, puesto que entre el 2007 y 2017 no se han evidenciado reducciones significativas</w:t>
      </w:r>
      <w:r w:rsidRPr="009E2DE4">
        <w:rPr>
          <w:rFonts w:ascii="Times New Roman" w:eastAsia="Calibri" w:hAnsi="Times New Roman" w:cs="Times New Roman"/>
          <w:vertAlign w:val="superscript"/>
          <w:lang w:val="es-ES"/>
        </w:rPr>
        <w:footnoteReference w:id="11"/>
      </w:r>
      <w:r w:rsidRPr="009E2DE4">
        <w:rPr>
          <w:rFonts w:ascii="Times New Roman" w:eastAsia="Calibri" w:hAnsi="Times New Roman" w:cs="Times New Roman"/>
          <w:lang w:val="es-ES"/>
        </w:rPr>
        <w:t>.</w:t>
      </w:r>
    </w:p>
    <w:p w14:paraId="5625F718" w14:textId="77777777" w:rsidR="009E2DE4" w:rsidRPr="009E2DE4" w:rsidRDefault="009E2DE4" w:rsidP="00AD387E">
      <w:pPr>
        <w:spacing w:before="240" w:after="240" w:line="240" w:lineRule="auto"/>
        <w:ind w:firstLine="720"/>
        <w:jc w:val="both"/>
        <w:rPr>
          <w:rFonts w:ascii="Times New Roman" w:eastAsia="Calibri" w:hAnsi="Times New Roman" w:cs="Times New Roman"/>
          <w:lang w:val="es-ES"/>
        </w:rPr>
      </w:pPr>
      <w:r w:rsidRPr="009E2DE4">
        <w:rPr>
          <w:rFonts w:ascii="Times New Roman" w:eastAsia="Calibri" w:hAnsi="Times New Roman" w:cs="Times New Roman"/>
          <w:lang w:val="es-ES"/>
        </w:rPr>
        <w:t>El derecho de las mujeres indígenas a una vida libre de violencia también presenta obstáculos.  Así, según cifras del Instituto Nacional de Estadística e Informática (INEI), el porcentaje de mujeres indígenas que han experimentado alguna forma de violencia por parte de su pareja (74.7% quechuahablantes y 72.9% aimarahablantes) es mayor en comparación a las mujeres castellanohablantes (61.3%). Además, se presentan dificultades para iniciar denuncias por estos hechos, hay ausencia de información y de asistencia socioemocional oportuna</w:t>
      </w:r>
      <w:r w:rsidRPr="009E2DE4">
        <w:rPr>
          <w:rFonts w:ascii="Times New Roman" w:eastAsia="Calibri" w:hAnsi="Times New Roman" w:cs="Times New Roman"/>
          <w:vertAlign w:val="superscript"/>
          <w:lang w:val="es-ES"/>
        </w:rPr>
        <w:footnoteReference w:id="12"/>
      </w:r>
      <w:r w:rsidRPr="009E2DE4">
        <w:rPr>
          <w:rFonts w:ascii="Times New Roman" w:eastAsia="Calibri" w:hAnsi="Times New Roman" w:cs="Times New Roman"/>
          <w:lang w:val="es-ES"/>
        </w:rPr>
        <w:t>. En cuanto al derecho a la propiedad, existe un mayor número de varones con la condición de comuneros inscritos en los padrones comunales en comparación a las mujeres indígenas. Esto repercute en el acceso limitado a espacios de decisión comunal, donde se discute la participación en la lista de candidatos(as) para la elección de la directiva comunal o el uso de parcelas para el trabajo agrícola</w:t>
      </w:r>
      <w:r w:rsidRPr="009E2DE4">
        <w:rPr>
          <w:rFonts w:ascii="Times New Roman" w:eastAsia="Calibri" w:hAnsi="Times New Roman" w:cs="Times New Roman"/>
          <w:vertAlign w:val="superscript"/>
          <w:lang w:val="es-ES"/>
        </w:rPr>
        <w:footnoteReference w:id="13"/>
      </w:r>
      <w:r w:rsidRPr="009E2DE4">
        <w:rPr>
          <w:rFonts w:ascii="Times New Roman" w:eastAsia="Calibri" w:hAnsi="Times New Roman" w:cs="Times New Roman"/>
          <w:lang w:val="es-ES"/>
        </w:rPr>
        <w:t>.</w:t>
      </w:r>
    </w:p>
    <w:p w14:paraId="09853CEC" w14:textId="77777777" w:rsidR="009E2DE4" w:rsidRPr="009E2DE4" w:rsidRDefault="009E2DE4" w:rsidP="00AD387E">
      <w:pPr>
        <w:spacing w:before="240" w:after="240" w:line="240" w:lineRule="auto"/>
        <w:ind w:firstLine="720"/>
        <w:jc w:val="both"/>
        <w:rPr>
          <w:rFonts w:ascii="Times New Roman" w:eastAsia="Calibri" w:hAnsi="Times New Roman" w:cs="Times New Roman"/>
          <w:lang w:val="es-ES"/>
        </w:rPr>
      </w:pPr>
      <w:r w:rsidRPr="009E2DE4">
        <w:rPr>
          <w:rFonts w:ascii="Times New Roman" w:eastAsia="Calibri" w:hAnsi="Times New Roman" w:cs="Times New Roman"/>
          <w:lang w:val="es-ES"/>
        </w:rPr>
        <w:t>La participación de las mujeres indígenas ha obtenido visibilización a raíz de la constitución de organizaciones, que tienen una importante presencia en los espacios de decisión pública. Por ejemplo, la Federación Nacional de Mujeres Campesinas, Artesanas, Indígenas, Nativas y Asalariadas del Perú (Femucarinap) y la Organización Nacional de Mujeres Indígenas Andinas y Amazónicas del Perú (Onamiap) son colectivos que asumen una participación activa estos espacios. Sin embargo, en el ámbito de la participación política, la implementación de la cuota indígena en la lista de candidaturas a Gobiernos Regionales y Municipalidades Provinciales no ha tenido un impacto significativo en la elección de mujeres indígenas como autoridades durante el período de 2006 a 2018, a pesar de que incrementó su participación como candidatas</w:t>
      </w:r>
      <w:r w:rsidRPr="009E2DE4">
        <w:rPr>
          <w:rFonts w:ascii="Times New Roman" w:eastAsia="Calibri" w:hAnsi="Times New Roman" w:cs="Times New Roman"/>
          <w:vertAlign w:val="superscript"/>
          <w:lang w:val="es-ES"/>
        </w:rPr>
        <w:footnoteReference w:id="14"/>
      </w:r>
      <w:r w:rsidRPr="009E2DE4">
        <w:rPr>
          <w:rFonts w:ascii="Times New Roman" w:eastAsia="Calibri" w:hAnsi="Times New Roman" w:cs="Times New Roman"/>
          <w:lang w:val="es-ES"/>
        </w:rPr>
        <w:t>.</w:t>
      </w:r>
    </w:p>
    <w:p w14:paraId="12D54656" w14:textId="77777777" w:rsidR="004A16DC" w:rsidRDefault="009E2DE4" w:rsidP="00AD387E">
      <w:pPr>
        <w:spacing w:before="240" w:after="240" w:line="240" w:lineRule="auto"/>
        <w:ind w:firstLine="720"/>
        <w:jc w:val="both"/>
        <w:rPr>
          <w:rFonts w:ascii="Times New Roman" w:eastAsia="Calibri" w:hAnsi="Times New Roman" w:cs="Times New Roman"/>
          <w:lang w:val="es-ES"/>
        </w:rPr>
      </w:pPr>
      <w:r w:rsidRPr="009E2DE4">
        <w:rPr>
          <w:rFonts w:ascii="Times New Roman" w:eastAsia="Calibri" w:hAnsi="Times New Roman" w:cs="Times New Roman"/>
          <w:lang w:val="es-ES"/>
        </w:rPr>
        <w:t xml:space="preserve">Por otro lado, en cuanto a su situación laboral, la Organización Internacional del Trabajo (OIT) </w:t>
      </w:r>
      <w:r w:rsidR="004E35EB">
        <w:rPr>
          <w:rFonts w:ascii="Times New Roman" w:eastAsia="Calibri" w:hAnsi="Times New Roman" w:cs="Times New Roman"/>
          <w:lang w:val="es-ES"/>
        </w:rPr>
        <w:t xml:space="preserve">ha </w:t>
      </w:r>
      <w:r w:rsidRPr="009E2DE4">
        <w:rPr>
          <w:rFonts w:ascii="Times New Roman" w:eastAsia="Calibri" w:hAnsi="Times New Roman" w:cs="Times New Roman"/>
          <w:lang w:val="es-ES"/>
        </w:rPr>
        <w:t>sost</w:t>
      </w:r>
      <w:r w:rsidR="004E35EB">
        <w:rPr>
          <w:rFonts w:ascii="Times New Roman" w:eastAsia="Calibri" w:hAnsi="Times New Roman" w:cs="Times New Roman"/>
          <w:lang w:val="es-ES"/>
        </w:rPr>
        <w:t>enido</w:t>
      </w:r>
      <w:r w:rsidRPr="009E2DE4">
        <w:rPr>
          <w:rFonts w:ascii="Times New Roman" w:eastAsia="Calibri" w:hAnsi="Times New Roman" w:cs="Times New Roman"/>
          <w:lang w:val="es-ES"/>
        </w:rPr>
        <w:t xml:space="preserve"> que las mujeres indígenas enfrentan condiciones laborales bastante precarias, que terminan incidiendo, particularmente, en las niñas y adultas mayores. En el caso de las niñas indígenas, se les encarga el trabajo doméstico de otros hogares, ubicados muchas veces lejos de su comunidad, lo que las expone a situaciones de trata de personas, explotación laboral y prostitución. Las adultas mayores, por su parte, tienen que continuar trabajando para su subsistencia debido a que carecen de pensiones. En esa medida, a pesar de que el Gobierno implementó la pensión no contributiva “Pensión 65”, la población indígena de la Amazonía rural y algunas zonas altoandinas ocupan los menores niveles de población beneficiaria, lo que </w:t>
      </w:r>
      <w:r w:rsidRPr="009E2DE4">
        <w:rPr>
          <w:rFonts w:ascii="Times New Roman" w:eastAsia="Calibri" w:hAnsi="Times New Roman" w:cs="Times New Roman"/>
          <w:lang w:val="es-ES"/>
        </w:rPr>
        <w:lastRenderedPageBreak/>
        <w:t>podría guardar relación, entre otras causas, con la ausencia de documentos de identidad</w:t>
      </w:r>
      <w:r w:rsidRPr="009E2DE4">
        <w:rPr>
          <w:rFonts w:ascii="Times New Roman" w:eastAsia="Calibri" w:hAnsi="Times New Roman" w:cs="Times New Roman"/>
          <w:vertAlign w:val="superscript"/>
          <w:lang w:val="es-ES"/>
        </w:rPr>
        <w:footnoteReference w:id="15"/>
      </w:r>
      <w:r w:rsidRPr="009E2DE4">
        <w:rPr>
          <w:rFonts w:ascii="Times New Roman" w:eastAsia="Calibri" w:hAnsi="Times New Roman" w:cs="Times New Roman"/>
          <w:lang w:val="es-ES"/>
        </w:rPr>
        <w:t>. Asimismo, se identificó que las principales actividades económicas que realizan son las actividades agropecuarias, el comercio minorista y el servicio doméstico; y en cuanto a su nivel de ingresos, las mujeres indígenas representan el porcentaje más alto de personas sin ingresos propios, y no precisamente porque no laboren, sino porque muchas trabajan sin remuneración</w:t>
      </w:r>
      <w:r w:rsidRPr="009E2DE4">
        <w:rPr>
          <w:rFonts w:ascii="Times New Roman" w:eastAsia="Calibri" w:hAnsi="Times New Roman" w:cs="Times New Roman"/>
          <w:vertAlign w:val="superscript"/>
          <w:lang w:val="es-ES"/>
        </w:rPr>
        <w:footnoteReference w:id="16"/>
      </w:r>
      <w:r w:rsidRPr="009E2DE4">
        <w:rPr>
          <w:rFonts w:ascii="Times New Roman" w:eastAsia="Calibri" w:hAnsi="Times New Roman" w:cs="Times New Roman"/>
          <w:lang w:val="es-ES"/>
        </w:rPr>
        <w:t>.</w:t>
      </w:r>
    </w:p>
    <w:p w14:paraId="3683CBB4" w14:textId="77142CFC" w:rsidR="00A02674" w:rsidRPr="009E2DE4" w:rsidRDefault="009E2DE4" w:rsidP="00AD387E">
      <w:pPr>
        <w:spacing w:before="240" w:after="240" w:line="240" w:lineRule="auto"/>
        <w:ind w:firstLine="720"/>
        <w:jc w:val="both"/>
        <w:rPr>
          <w:rFonts w:ascii="Times New Roman" w:hAnsi="Times New Roman" w:cs="Times New Roman"/>
          <w:b/>
          <w:bCs/>
        </w:rPr>
      </w:pPr>
      <w:r w:rsidRPr="009E2DE4">
        <w:rPr>
          <w:rFonts w:ascii="Times New Roman" w:eastAsia="Calibri" w:hAnsi="Times New Roman" w:cs="Times New Roman"/>
          <w:lang w:val="es-ES"/>
        </w:rPr>
        <w:t>Por último, la llegada de la pandemia colocó a las mujeres indígenas en una situación de mayor vulnerabilidad, toda vez que enfrentaron la COVID-19 en condiciones de desigualdad preexistentes</w:t>
      </w:r>
      <w:r w:rsidR="004A16DC">
        <w:rPr>
          <w:rFonts w:ascii="Times New Roman" w:eastAsia="Calibri" w:hAnsi="Times New Roman" w:cs="Times New Roman"/>
          <w:lang w:val="es-ES"/>
        </w:rPr>
        <w:t>, tal como ha sido reseñado en algunos informes</w:t>
      </w:r>
      <w:r w:rsidR="004A16DC">
        <w:rPr>
          <w:rStyle w:val="Refdenotaalpie"/>
          <w:rFonts w:ascii="Times New Roman" w:eastAsia="Calibri" w:hAnsi="Times New Roman" w:cs="Times New Roman"/>
          <w:lang w:val="es-ES"/>
        </w:rPr>
        <w:footnoteReference w:id="17"/>
      </w:r>
      <w:r w:rsidRPr="009E2DE4">
        <w:rPr>
          <w:rFonts w:ascii="Times New Roman" w:eastAsia="Calibri" w:hAnsi="Times New Roman" w:cs="Times New Roman"/>
          <w:lang w:val="es-ES"/>
        </w:rPr>
        <w:t xml:space="preserve">. </w:t>
      </w:r>
      <w:r w:rsidR="00E859B6">
        <w:rPr>
          <w:rFonts w:ascii="Times New Roman" w:eastAsia="Calibri" w:hAnsi="Times New Roman" w:cs="Times New Roman"/>
          <w:lang w:val="es-ES"/>
        </w:rPr>
        <w:t xml:space="preserve"> </w:t>
      </w:r>
    </w:p>
    <w:sectPr w:rsidR="00A02674" w:rsidRPr="009E2DE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19B03" w14:textId="77777777" w:rsidR="002B1A77" w:rsidRDefault="002B1A77" w:rsidP="00312840">
      <w:pPr>
        <w:spacing w:after="0" w:line="240" w:lineRule="auto"/>
      </w:pPr>
      <w:r>
        <w:separator/>
      </w:r>
    </w:p>
  </w:endnote>
  <w:endnote w:type="continuationSeparator" w:id="0">
    <w:p w14:paraId="03E3E924" w14:textId="77777777" w:rsidR="002B1A77" w:rsidRDefault="002B1A77" w:rsidP="0031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5534"/>
      <w:docPartObj>
        <w:docPartGallery w:val="Page Numbers (Bottom of Page)"/>
        <w:docPartUnique/>
      </w:docPartObj>
    </w:sdtPr>
    <w:sdtEndPr>
      <w:rPr>
        <w:noProof/>
      </w:rPr>
    </w:sdtEndPr>
    <w:sdtContent>
      <w:p w14:paraId="547E0402" w14:textId="0E953036" w:rsidR="00B21E8E" w:rsidRDefault="00B21E8E">
        <w:pPr>
          <w:pStyle w:val="Piedepgina"/>
          <w:jc w:val="center"/>
        </w:pPr>
        <w:r>
          <w:fldChar w:fldCharType="begin"/>
        </w:r>
        <w:r>
          <w:instrText xml:space="preserve"> PAGE   \* MERGEFORMAT </w:instrText>
        </w:r>
        <w:r>
          <w:fldChar w:fldCharType="separate"/>
        </w:r>
        <w:r w:rsidR="0036480D">
          <w:rPr>
            <w:noProof/>
          </w:rPr>
          <w:t>3</w:t>
        </w:r>
        <w:r>
          <w:rPr>
            <w:noProof/>
          </w:rPr>
          <w:fldChar w:fldCharType="end"/>
        </w:r>
      </w:p>
    </w:sdtContent>
  </w:sdt>
  <w:p w14:paraId="6A484EF1" w14:textId="77777777" w:rsidR="00B21E8E" w:rsidRDefault="00B21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AAC3" w14:textId="77777777" w:rsidR="002B1A77" w:rsidRDefault="002B1A77" w:rsidP="00312840">
      <w:pPr>
        <w:spacing w:after="0" w:line="240" w:lineRule="auto"/>
      </w:pPr>
      <w:r>
        <w:separator/>
      </w:r>
    </w:p>
  </w:footnote>
  <w:footnote w:type="continuationSeparator" w:id="0">
    <w:p w14:paraId="0F0CD885" w14:textId="77777777" w:rsidR="002B1A77" w:rsidRDefault="002B1A77" w:rsidP="00312840">
      <w:pPr>
        <w:spacing w:after="0" w:line="240" w:lineRule="auto"/>
      </w:pPr>
      <w:r>
        <w:continuationSeparator/>
      </w:r>
    </w:p>
  </w:footnote>
  <w:footnote w:id="1">
    <w:p w14:paraId="59CA4B17" w14:textId="77777777" w:rsidR="0036480D" w:rsidRDefault="0036480D" w:rsidP="0036480D">
      <w:pPr>
        <w:pStyle w:val="Textonotapie"/>
      </w:pPr>
      <w:r>
        <w:rPr>
          <w:rStyle w:val="Refdenotaalpie"/>
        </w:rPr>
        <w:footnoteRef/>
      </w:r>
      <w:r>
        <w:t xml:space="preserve"> </w:t>
      </w:r>
      <w:r w:rsidRPr="0036480D">
        <w:rPr>
          <w:rFonts w:asciiTheme="majorHAnsi" w:hAnsiTheme="majorHAnsi" w:cstheme="majorHAnsi"/>
          <w:sz w:val="16"/>
          <w:szCs w:val="16"/>
        </w:rPr>
        <w:t>El documento ha sido elaborado por el investigador Carlos Elguera, con apoyo de Yazmine Ruiz</w:t>
      </w:r>
      <w:r>
        <w:rPr>
          <w:rFonts w:asciiTheme="majorHAnsi" w:hAnsiTheme="majorHAnsi" w:cstheme="majorHAnsi"/>
          <w:sz w:val="16"/>
          <w:szCs w:val="16"/>
        </w:rPr>
        <w:t>. Esta línea de investigación en el IDEHPUCP está coordinada por Bruce Barnaby.</w:t>
      </w:r>
    </w:p>
  </w:footnote>
  <w:footnote w:id="2">
    <w:p w14:paraId="4895F26E" w14:textId="2752E5CC" w:rsidR="00312840" w:rsidRPr="009E2DE4" w:rsidRDefault="00312840"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Mayor información sobre las líneas de investigación en: </w:t>
      </w:r>
      <w:hyperlink r:id="rId1" w:history="1">
        <w:r w:rsidRPr="009E2DE4">
          <w:rPr>
            <w:rStyle w:val="Hipervnculo"/>
            <w:rFonts w:asciiTheme="majorHAnsi" w:hAnsiTheme="majorHAnsi" w:cstheme="majorHAnsi"/>
            <w:sz w:val="16"/>
            <w:szCs w:val="16"/>
          </w:rPr>
          <w:t>https://idehpucp.pucp.edu.pe/lineatrabajo/pueblos-indigenas/</w:t>
        </w:r>
      </w:hyperlink>
      <w:r w:rsidRPr="009E2DE4">
        <w:rPr>
          <w:rFonts w:asciiTheme="majorHAnsi" w:hAnsiTheme="majorHAnsi" w:cstheme="majorHAnsi"/>
          <w:sz w:val="16"/>
          <w:szCs w:val="16"/>
        </w:rPr>
        <w:t xml:space="preserve"> </w:t>
      </w:r>
    </w:p>
  </w:footnote>
  <w:footnote w:id="3">
    <w:p w14:paraId="1EA06086" w14:textId="482E0EF4" w:rsidR="00B21E8E" w:rsidRPr="009E2DE4" w:rsidRDefault="00B21E8E"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w:t>
      </w:r>
      <w:r w:rsidRPr="009E2DE4">
        <w:rPr>
          <w:rFonts w:asciiTheme="majorHAnsi" w:hAnsiTheme="majorHAnsi" w:cstheme="majorHAnsi"/>
          <w:sz w:val="16"/>
          <w:szCs w:val="16"/>
          <w:lang w:val="es-419"/>
        </w:rPr>
        <w:t xml:space="preserve">Disponible en: </w:t>
      </w:r>
      <w:hyperlink r:id="rId2" w:history="1">
        <w:r w:rsidRPr="009E2DE4">
          <w:rPr>
            <w:rStyle w:val="Hipervnculo"/>
            <w:rFonts w:asciiTheme="majorHAnsi" w:hAnsiTheme="majorHAnsi" w:cstheme="majorHAnsi"/>
            <w:sz w:val="16"/>
            <w:szCs w:val="16"/>
            <w:lang w:val="es-419"/>
          </w:rPr>
          <w:t>https://www.minjus.gob.pe/wp-content/uploads/2017/06/DICTAMEN-EXPEDIDO-CASO-POMA-POMA-VS-PERU.pdf</w:t>
        </w:r>
      </w:hyperlink>
      <w:r w:rsidRPr="009E2DE4">
        <w:rPr>
          <w:rFonts w:asciiTheme="majorHAnsi" w:hAnsiTheme="majorHAnsi" w:cstheme="majorHAnsi"/>
          <w:sz w:val="16"/>
          <w:szCs w:val="16"/>
          <w:lang w:val="es-419"/>
        </w:rPr>
        <w:t xml:space="preserve"> </w:t>
      </w:r>
    </w:p>
  </w:footnote>
  <w:footnote w:id="4">
    <w:p w14:paraId="68D045E2" w14:textId="390742E1" w:rsidR="00CC3F72" w:rsidRPr="009E2DE4" w:rsidRDefault="00CC3F72"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w:t>
      </w:r>
      <w:r w:rsidRPr="009E2DE4">
        <w:rPr>
          <w:rFonts w:asciiTheme="majorHAnsi" w:hAnsiTheme="majorHAnsi" w:cstheme="majorHAnsi"/>
          <w:sz w:val="16"/>
          <w:szCs w:val="16"/>
          <w:lang w:val="es-419"/>
        </w:rPr>
        <w:t xml:space="preserve">Disponible en: </w:t>
      </w:r>
      <w:hyperlink r:id="rId3" w:history="1">
        <w:r w:rsidRPr="009E2DE4">
          <w:rPr>
            <w:rStyle w:val="Hipervnculo"/>
            <w:rFonts w:asciiTheme="majorHAnsi" w:hAnsiTheme="majorHAnsi" w:cstheme="majorHAnsi"/>
            <w:sz w:val="16"/>
            <w:szCs w:val="16"/>
            <w:lang w:val="es-419"/>
          </w:rPr>
          <w:t>https://www.undocs.org/es/A/HRC/30/41</w:t>
        </w:r>
      </w:hyperlink>
      <w:r w:rsidRPr="009E2DE4">
        <w:rPr>
          <w:rFonts w:asciiTheme="majorHAnsi" w:hAnsiTheme="majorHAnsi" w:cstheme="majorHAnsi"/>
          <w:sz w:val="16"/>
          <w:szCs w:val="16"/>
          <w:lang w:val="es-419"/>
        </w:rPr>
        <w:t xml:space="preserve"> </w:t>
      </w:r>
    </w:p>
  </w:footnote>
  <w:footnote w:id="5">
    <w:p w14:paraId="1AA6BF1B" w14:textId="37423DDF" w:rsidR="00A02674" w:rsidRPr="009E2DE4" w:rsidRDefault="00A02674"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Disponible en: </w:t>
      </w:r>
      <w:hyperlink r:id="rId4" w:history="1">
        <w:r w:rsidRPr="009E2DE4">
          <w:rPr>
            <w:rStyle w:val="Hipervnculo"/>
            <w:rFonts w:asciiTheme="majorHAnsi" w:hAnsiTheme="majorHAnsi" w:cstheme="majorHAnsi"/>
            <w:sz w:val="16"/>
            <w:szCs w:val="16"/>
          </w:rPr>
          <w:t>http://www.oas.org/es/cidh/informes/pdfs/MujeresIndigenas.pdf</w:t>
        </w:r>
      </w:hyperlink>
      <w:r w:rsidRPr="009E2DE4">
        <w:rPr>
          <w:rFonts w:asciiTheme="majorHAnsi" w:hAnsiTheme="majorHAnsi" w:cstheme="majorHAnsi"/>
          <w:sz w:val="16"/>
          <w:szCs w:val="16"/>
        </w:rPr>
        <w:t xml:space="preserve"> </w:t>
      </w:r>
    </w:p>
  </w:footnote>
  <w:footnote w:id="6">
    <w:p w14:paraId="3074453A" w14:textId="0B8AD6A3" w:rsidR="00E800D0" w:rsidRPr="009E2DE4" w:rsidRDefault="00E800D0"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w:t>
      </w:r>
      <w:r w:rsidRPr="009E2DE4">
        <w:rPr>
          <w:rFonts w:asciiTheme="majorHAnsi" w:hAnsiTheme="majorHAnsi" w:cstheme="majorHAnsi"/>
          <w:sz w:val="16"/>
          <w:szCs w:val="16"/>
          <w:lang w:val="es-419"/>
        </w:rPr>
        <w:t xml:space="preserve">Disponible en: </w:t>
      </w:r>
      <w:hyperlink r:id="rId5" w:history="1">
        <w:r w:rsidRPr="009E2DE4">
          <w:rPr>
            <w:rStyle w:val="Hipervnculo"/>
            <w:rFonts w:asciiTheme="majorHAnsi" w:hAnsiTheme="majorHAnsi" w:cstheme="majorHAnsi"/>
            <w:sz w:val="16"/>
            <w:szCs w:val="16"/>
            <w:lang w:val="es-419"/>
          </w:rPr>
          <w:t>https://www.oas.org/es/cidh/informes/pdfs/Mujeres-indigenas-BC-Canada-es.pdf</w:t>
        </w:r>
      </w:hyperlink>
      <w:r w:rsidRPr="009E2DE4">
        <w:rPr>
          <w:rFonts w:asciiTheme="majorHAnsi" w:hAnsiTheme="majorHAnsi" w:cstheme="majorHAnsi"/>
          <w:sz w:val="16"/>
          <w:szCs w:val="16"/>
          <w:lang w:val="es-419"/>
        </w:rPr>
        <w:t xml:space="preserve"> </w:t>
      </w:r>
    </w:p>
  </w:footnote>
  <w:footnote w:id="7">
    <w:p w14:paraId="0D9FEE84" w14:textId="48F7496A" w:rsidR="00C07409" w:rsidRPr="009E2DE4" w:rsidRDefault="00C07409"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w:t>
      </w:r>
      <w:r w:rsidRPr="009E2DE4">
        <w:rPr>
          <w:rFonts w:asciiTheme="majorHAnsi" w:hAnsiTheme="majorHAnsi" w:cstheme="majorHAnsi"/>
          <w:sz w:val="16"/>
          <w:szCs w:val="16"/>
          <w:lang w:val="es-419"/>
        </w:rPr>
        <w:t xml:space="preserve">Disponible en: </w:t>
      </w:r>
      <w:hyperlink r:id="rId6" w:history="1">
        <w:r w:rsidRPr="009E2DE4">
          <w:rPr>
            <w:rStyle w:val="Hipervnculo"/>
            <w:rFonts w:asciiTheme="majorHAnsi" w:hAnsiTheme="majorHAnsi" w:cstheme="majorHAnsi"/>
            <w:sz w:val="16"/>
            <w:szCs w:val="16"/>
            <w:lang w:val="es-419"/>
          </w:rPr>
          <w:t>https://www.oas.org/es/cidh/informes/pdfs/IndustriasExtractivas2016.pdf</w:t>
        </w:r>
      </w:hyperlink>
      <w:r w:rsidRPr="009E2DE4">
        <w:rPr>
          <w:rFonts w:asciiTheme="majorHAnsi" w:hAnsiTheme="majorHAnsi" w:cstheme="majorHAnsi"/>
          <w:sz w:val="16"/>
          <w:szCs w:val="16"/>
          <w:lang w:val="es-419"/>
        </w:rPr>
        <w:t xml:space="preserve"> </w:t>
      </w:r>
    </w:p>
  </w:footnote>
  <w:footnote w:id="8">
    <w:p w14:paraId="5391EEB5" w14:textId="735C6401" w:rsidR="00BA57E2" w:rsidRPr="009E2DE4" w:rsidRDefault="00BA57E2" w:rsidP="005819D5">
      <w:pPr>
        <w:pStyle w:val="Textonotapie"/>
        <w:jc w:val="both"/>
        <w:rPr>
          <w:rFonts w:asciiTheme="majorHAnsi" w:hAnsiTheme="majorHAnsi" w:cstheme="majorHAnsi"/>
          <w:sz w:val="16"/>
          <w:szCs w:val="16"/>
          <w:lang w:val="es-419"/>
        </w:rPr>
      </w:pPr>
      <w:r w:rsidRPr="009E2DE4">
        <w:rPr>
          <w:rStyle w:val="Refdenotaalpie"/>
          <w:rFonts w:asciiTheme="majorHAnsi" w:hAnsiTheme="majorHAnsi" w:cstheme="majorHAnsi"/>
          <w:sz w:val="16"/>
          <w:szCs w:val="16"/>
        </w:rPr>
        <w:footnoteRef/>
      </w:r>
      <w:r w:rsidRPr="009E2DE4">
        <w:rPr>
          <w:rFonts w:asciiTheme="majorHAnsi" w:hAnsiTheme="majorHAnsi" w:cstheme="majorHAnsi"/>
          <w:sz w:val="16"/>
          <w:szCs w:val="16"/>
        </w:rPr>
        <w:t xml:space="preserve"> La sentencia del caso Fernández Ortega y otros Vs. México se encuentra disponible en: </w:t>
      </w:r>
      <w:hyperlink r:id="rId7" w:history="1">
        <w:r w:rsidRPr="009E2DE4">
          <w:rPr>
            <w:rStyle w:val="Hipervnculo"/>
            <w:rFonts w:asciiTheme="majorHAnsi" w:hAnsiTheme="majorHAnsi" w:cstheme="majorHAnsi"/>
            <w:sz w:val="16"/>
            <w:szCs w:val="16"/>
          </w:rPr>
          <w:t>https://www.corteidh.or.cr/docs/casos/articulos/seriec_215_esp.pdf</w:t>
        </w:r>
      </w:hyperlink>
      <w:r w:rsidRPr="009E2DE4">
        <w:rPr>
          <w:rFonts w:asciiTheme="majorHAnsi" w:hAnsiTheme="majorHAnsi" w:cstheme="majorHAnsi"/>
          <w:sz w:val="16"/>
          <w:szCs w:val="16"/>
        </w:rPr>
        <w:t xml:space="preserve">, y la sentencia del caso Rosendo Cantú y otra Vs. México se encuentra disponible en: </w:t>
      </w:r>
      <w:hyperlink r:id="rId8" w:history="1">
        <w:r w:rsidRPr="009E2DE4">
          <w:rPr>
            <w:rStyle w:val="Hipervnculo"/>
            <w:rFonts w:asciiTheme="majorHAnsi" w:hAnsiTheme="majorHAnsi" w:cstheme="majorHAnsi"/>
            <w:sz w:val="16"/>
            <w:szCs w:val="16"/>
          </w:rPr>
          <w:t>https://www.corteidh.or.cr/docs/casos/articulos/seriec_216_esp.pdf</w:t>
        </w:r>
      </w:hyperlink>
      <w:r w:rsidRPr="009E2DE4">
        <w:rPr>
          <w:rFonts w:asciiTheme="majorHAnsi" w:hAnsiTheme="majorHAnsi" w:cstheme="majorHAnsi"/>
          <w:sz w:val="16"/>
          <w:szCs w:val="16"/>
        </w:rPr>
        <w:t xml:space="preserve"> </w:t>
      </w:r>
    </w:p>
  </w:footnote>
  <w:footnote w:id="9">
    <w:p w14:paraId="04F98460" w14:textId="6208EC78" w:rsidR="009E2DE4" w:rsidRPr="009E2DE4" w:rsidRDefault="009E2DE4" w:rsidP="005819D5">
      <w:pPr>
        <w:spacing w:after="0" w:line="240" w:lineRule="auto"/>
        <w:jc w:val="both"/>
        <w:rPr>
          <w:rFonts w:asciiTheme="majorHAnsi" w:eastAsia="Arial"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Defensoría del Pueblo (2019), </w:t>
      </w:r>
      <w:r w:rsidRPr="009E2DE4">
        <w:rPr>
          <w:rFonts w:asciiTheme="majorHAnsi" w:hAnsiTheme="majorHAnsi" w:cstheme="majorHAnsi"/>
          <w:i/>
          <w:sz w:val="16"/>
          <w:szCs w:val="16"/>
          <w:lang w:val="es-ES"/>
        </w:rPr>
        <w:t>Situación de los derechos de las mujeres indígenas en el Perú</w:t>
      </w:r>
      <w:r w:rsidRPr="009E2DE4">
        <w:rPr>
          <w:rFonts w:asciiTheme="majorHAnsi" w:hAnsiTheme="majorHAnsi" w:cstheme="majorHAnsi"/>
          <w:sz w:val="16"/>
          <w:szCs w:val="16"/>
          <w:lang w:val="es-ES"/>
        </w:rPr>
        <w:t xml:space="preserve">, Informe de Adjuntía 002-2019-DP/AMASPPI/PPI, Lima: Defensoría del Pueblo, pp. 52-55. Disponible en: </w:t>
      </w:r>
      <w:hyperlink r:id="rId9" w:history="1">
        <w:r w:rsidRPr="009E2DE4">
          <w:rPr>
            <w:rStyle w:val="Hipervnculo"/>
            <w:rFonts w:asciiTheme="majorHAnsi" w:hAnsiTheme="majorHAnsi" w:cstheme="majorHAnsi"/>
            <w:color w:val="1155CC"/>
            <w:sz w:val="16"/>
            <w:szCs w:val="16"/>
            <w:lang w:val="es-ES"/>
          </w:rPr>
          <w:t>https://www.defensoria.gob.pe/wp-content/uploads/2019/12/Informe-de-adjuntia-002-2019-PPI-Digital.pdf</w:t>
        </w:r>
      </w:hyperlink>
      <w:r w:rsidRPr="009E2DE4">
        <w:rPr>
          <w:rFonts w:asciiTheme="majorHAnsi" w:hAnsiTheme="majorHAnsi" w:cstheme="majorHAnsi"/>
          <w:sz w:val="16"/>
          <w:szCs w:val="16"/>
          <w:lang w:val="es-ES"/>
        </w:rPr>
        <w:t xml:space="preserve"> </w:t>
      </w:r>
    </w:p>
  </w:footnote>
  <w:footnote w:id="10">
    <w:p w14:paraId="735817FC"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pp. 59-60.</w:t>
      </w:r>
    </w:p>
  </w:footnote>
  <w:footnote w:id="11">
    <w:p w14:paraId="159D18D5"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pp. 64-66.</w:t>
      </w:r>
    </w:p>
  </w:footnote>
  <w:footnote w:id="12">
    <w:p w14:paraId="46CE67A3"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 72.</w:t>
      </w:r>
    </w:p>
  </w:footnote>
  <w:footnote w:id="13">
    <w:p w14:paraId="776AC442"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pp. 98-99.</w:t>
      </w:r>
    </w:p>
  </w:footnote>
  <w:footnote w:id="14">
    <w:p w14:paraId="55F81555"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 106 y 141.</w:t>
      </w:r>
    </w:p>
  </w:footnote>
  <w:footnote w:id="15">
    <w:p w14:paraId="29573360"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Organización Internacional del Trabajo (2015), </w:t>
      </w:r>
      <w:r w:rsidRPr="009E2DE4">
        <w:rPr>
          <w:rFonts w:asciiTheme="majorHAnsi" w:hAnsiTheme="majorHAnsi" w:cstheme="majorHAnsi"/>
          <w:i/>
          <w:sz w:val="16"/>
          <w:szCs w:val="16"/>
          <w:lang w:val="es-ES"/>
        </w:rPr>
        <w:t>Estudio sobre la situación laboral de las mujeres indígenas en el Perú</w:t>
      </w:r>
      <w:r w:rsidRPr="009E2DE4">
        <w:rPr>
          <w:rFonts w:asciiTheme="majorHAnsi" w:hAnsiTheme="majorHAnsi" w:cstheme="majorHAnsi"/>
          <w:sz w:val="16"/>
          <w:szCs w:val="16"/>
          <w:lang w:val="es-ES"/>
        </w:rPr>
        <w:t xml:space="preserve">. Lima: Oficina de la OIT para los Países Andinos, pp. 34-35. Disponible en: </w:t>
      </w:r>
      <w:hyperlink r:id="rId10" w:history="1">
        <w:r w:rsidRPr="009E2DE4">
          <w:rPr>
            <w:rStyle w:val="Hipervnculo"/>
            <w:rFonts w:asciiTheme="majorHAnsi" w:hAnsiTheme="majorHAnsi" w:cstheme="majorHAnsi"/>
            <w:color w:val="1155CC"/>
            <w:sz w:val="16"/>
            <w:szCs w:val="16"/>
            <w:lang w:val="es-ES"/>
          </w:rPr>
          <w:t>https://www.ilo.org/wcmsp5/groups/public/---americas/---ro-lima/---sro-lima/documents/publication/wcms_431823.pdf</w:t>
        </w:r>
      </w:hyperlink>
      <w:r w:rsidRPr="009E2DE4">
        <w:rPr>
          <w:rFonts w:asciiTheme="majorHAnsi" w:hAnsiTheme="majorHAnsi" w:cstheme="majorHAnsi"/>
          <w:sz w:val="16"/>
          <w:szCs w:val="16"/>
          <w:lang w:val="es-ES"/>
        </w:rPr>
        <w:t xml:space="preserve"> </w:t>
      </w:r>
    </w:p>
  </w:footnote>
  <w:footnote w:id="16">
    <w:p w14:paraId="115AA705" w14:textId="77777777" w:rsidR="009E2DE4" w:rsidRPr="009E2DE4" w:rsidRDefault="009E2DE4" w:rsidP="005819D5">
      <w:pPr>
        <w:spacing w:after="0" w:line="240" w:lineRule="auto"/>
        <w:jc w:val="both"/>
        <w:rPr>
          <w:rFonts w:asciiTheme="majorHAnsi" w:hAnsiTheme="majorHAnsi" w:cstheme="majorHAnsi"/>
          <w:sz w:val="16"/>
          <w:szCs w:val="16"/>
          <w:lang w:val="es-ES"/>
        </w:rPr>
      </w:pPr>
      <w:r w:rsidRPr="009E2DE4">
        <w:rPr>
          <w:rFonts w:asciiTheme="majorHAnsi" w:hAnsiTheme="majorHAnsi" w:cstheme="majorHAnsi"/>
          <w:sz w:val="16"/>
          <w:szCs w:val="16"/>
          <w:vertAlign w:val="superscript"/>
          <w:lang w:val="es-ES"/>
        </w:rPr>
        <w:footnoteRef/>
      </w:r>
      <w:r w:rsidRPr="009E2DE4">
        <w:rPr>
          <w:rFonts w:asciiTheme="majorHAnsi" w:hAnsiTheme="majorHAnsi" w:cstheme="majorHAnsi"/>
          <w:sz w:val="16"/>
          <w:szCs w:val="16"/>
          <w:lang w:val="es-ES"/>
        </w:rPr>
        <w:t xml:space="preserve"> Ibidem, pp. 80-81.</w:t>
      </w:r>
    </w:p>
  </w:footnote>
  <w:footnote w:id="17">
    <w:p w14:paraId="6704ED2E" w14:textId="72833985" w:rsidR="004A16DC" w:rsidRPr="005819D5" w:rsidRDefault="004A16DC" w:rsidP="005819D5">
      <w:pPr>
        <w:pStyle w:val="Textonotapie"/>
        <w:jc w:val="both"/>
        <w:rPr>
          <w:rFonts w:asciiTheme="majorHAnsi" w:hAnsiTheme="majorHAnsi" w:cstheme="majorHAnsi"/>
          <w:sz w:val="16"/>
          <w:szCs w:val="16"/>
          <w:lang w:val="es-ES"/>
        </w:rPr>
      </w:pPr>
      <w:r w:rsidRPr="005819D5">
        <w:rPr>
          <w:rStyle w:val="Refdenotaalpie"/>
          <w:rFonts w:asciiTheme="majorHAnsi" w:hAnsiTheme="majorHAnsi" w:cstheme="majorHAnsi"/>
          <w:sz w:val="16"/>
          <w:szCs w:val="16"/>
        </w:rPr>
        <w:footnoteRef/>
      </w:r>
      <w:r w:rsidRPr="005819D5">
        <w:rPr>
          <w:rFonts w:asciiTheme="majorHAnsi" w:hAnsiTheme="majorHAnsi" w:cstheme="majorHAnsi"/>
          <w:sz w:val="16"/>
          <w:szCs w:val="16"/>
        </w:rPr>
        <w:t xml:space="preserve"> </w:t>
      </w:r>
      <w:r w:rsidR="005819D5" w:rsidRPr="005819D5">
        <w:rPr>
          <w:rFonts w:asciiTheme="majorHAnsi" w:hAnsiTheme="majorHAnsi" w:cstheme="majorHAnsi"/>
          <w:sz w:val="16"/>
          <w:szCs w:val="16"/>
        </w:rPr>
        <w:t>Véase</w:t>
      </w:r>
      <w:r w:rsidR="005819D5">
        <w:rPr>
          <w:rFonts w:asciiTheme="majorHAnsi" w:hAnsiTheme="majorHAnsi" w:cstheme="majorHAnsi"/>
          <w:sz w:val="16"/>
          <w:szCs w:val="16"/>
        </w:rPr>
        <w:t xml:space="preserve"> </w:t>
      </w:r>
      <w:r w:rsidR="005819D5" w:rsidRPr="005819D5">
        <w:rPr>
          <w:rFonts w:asciiTheme="majorHAnsi" w:hAnsiTheme="majorHAnsi" w:cstheme="majorHAnsi"/>
          <w:sz w:val="16"/>
          <w:szCs w:val="16"/>
        </w:rPr>
        <w:t>Enlace Continental de Mujeres Indígenas de las Américas (ECMIA)</w:t>
      </w:r>
      <w:r w:rsidR="005819D5">
        <w:rPr>
          <w:rFonts w:asciiTheme="majorHAnsi" w:hAnsiTheme="majorHAnsi" w:cstheme="majorHAnsi"/>
          <w:sz w:val="16"/>
          <w:szCs w:val="16"/>
        </w:rPr>
        <w:t xml:space="preserve"> y </w:t>
      </w:r>
      <w:r w:rsidR="005819D5" w:rsidRPr="005819D5">
        <w:rPr>
          <w:rFonts w:asciiTheme="majorHAnsi" w:hAnsiTheme="majorHAnsi" w:cstheme="majorHAnsi"/>
          <w:sz w:val="16"/>
          <w:szCs w:val="16"/>
        </w:rPr>
        <w:t>CHIRAPAQ Centro de Culturas Indígenas del Perú</w:t>
      </w:r>
      <w:r w:rsidR="005819D5">
        <w:rPr>
          <w:rFonts w:asciiTheme="majorHAnsi" w:hAnsiTheme="majorHAnsi" w:cstheme="majorHAnsi"/>
          <w:sz w:val="16"/>
          <w:szCs w:val="16"/>
        </w:rPr>
        <w:t xml:space="preserve"> (2020), Mujeres indígenas de las Américas frente a la pandemia del COVID-19, Disponible en: </w:t>
      </w:r>
      <w:hyperlink r:id="rId11" w:history="1">
        <w:r w:rsidR="005819D5" w:rsidRPr="00DB41AA">
          <w:rPr>
            <w:rStyle w:val="Hipervnculo"/>
            <w:rFonts w:asciiTheme="majorHAnsi" w:hAnsiTheme="majorHAnsi" w:cstheme="majorHAnsi"/>
            <w:sz w:val="16"/>
            <w:szCs w:val="16"/>
          </w:rPr>
          <w:t>https://www.fimi-iiwf.org/wp-content/uploads/2020/07/Informe-COVID19-ECMIA.pdf</w:t>
        </w:r>
      </w:hyperlink>
      <w:r w:rsidR="005819D5">
        <w:rPr>
          <w:rFonts w:asciiTheme="majorHAnsi" w:hAnsiTheme="majorHAnsi" w:cstheme="majorHAnsi"/>
          <w:sz w:val="16"/>
          <w:szCs w:val="16"/>
        </w:rPr>
        <w:t xml:space="preserve"> ; </w:t>
      </w:r>
      <w:r w:rsidR="00B05EB9" w:rsidRPr="00B05EB9">
        <w:rPr>
          <w:rFonts w:asciiTheme="majorHAnsi" w:hAnsiTheme="majorHAnsi" w:cstheme="majorHAnsi"/>
          <w:sz w:val="16"/>
          <w:szCs w:val="16"/>
        </w:rPr>
        <w:t>Comisión Económica para</w:t>
      </w:r>
      <w:r w:rsidR="00B05EB9">
        <w:rPr>
          <w:rFonts w:asciiTheme="majorHAnsi" w:hAnsiTheme="majorHAnsi" w:cstheme="majorHAnsi"/>
          <w:sz w:val="16"/>
          <w:szCs w:val="16"/>
        </w:rPr>
        <w:t xml:space="preserve"> </w:t>
      </w:r>
      <w:r w:rsidR="00B05EB9" w:rsidRPr="00B05EB9">
        <w:rPr>
          <w:rFonts w:asciiTheme="majorHAnsi" w:hAnsiTheme="majorHAnsi" w:cstheme="majorHAnsi"/>
          <w:sz w:val="16"/>
          <w:szCs w:val="16"/>
        </w:rPr>
        <w:t>América Latina y el Caribe (CEPAL</w:t>
      </w:r>
      <w:r w:rsidR="00B05EB9">
        <w:rPr>
          <w:rFonts w:asciiTheme="majorHAnsi" w:hAnsiTheme="majorHAnsi" w:cstheme="majorHAnsi"/>
          <w:sz w:val="16"/>
          <w:szCs w:val="16"/>
        </w:rPr>
        <w:t xml:space="preserve">) et al., </w:t>
      </w:r>
      <w:r w:rsidR="005819D5" w:rsidRPr="005819D5">
        <w:rPr>
          <w:rFonts w:asciiTheme="majorHAnsi" w:hAnsiTheme="majorHAnsi" w:cstheme="majorHAnsi"/>
          <w:sz w:val="16"/>
          <w:szCs w:val="16"/>
        </w:rPr>
        <w:t>El impacto del COVID-19 en los pueblos indígenas de América Latina-Abya Yala</w:t>
      </w:r>
      <w:r w:rsidR="00B05EB9">
        <w:rPr>
          <w:rFonts w:asciiTheme="majorHAnsi" w:hAnsiTheme="majorHAnsi" w:cstheme="majorHAnsi"/>
          <w:sz w:val="16"/>
          <w:szCs w:val="16"/>
        </w:rPr>
        <w:t>:</w:t>
      </w:r>
      <w:r w:rsidR="005819D5" w:rsidRPr="005819D5">
        <w:rPr>
          <w:rFonts w:asciiTheme="majorHAnsi" w:hAnsiTheme="majorHAnsi" w:cstheme="majorHAnsi"/>
          <w:sz w:val="16"/>
          <w:szCs w:val="16"/>
        </w:rPr>
        <w:t xml:space="preserve"> Entre la invisibilización y la resistencia colectiva</w:t>
      </w:r>
      <w:r w:rsidR="00B05EB9">
        <w:rPr>
          <w:rFonts w:asciiTheme="majorHAnsi" w:hAnsiTheme="majorHAnsi" w:cstheme="majorHAnsi"/>
          <w:sz w:val="16"/>
          <w:szCs w:val="16"/>
        </w:rPr>
        <w:t xml:space="preserve">, Disponible en: </w:t>
      </w:r>
      <w:hyperlink r:id="rId12" w:history="1">
        <w:r w:rsidR="00B05EB9" w:rsidRPr="00DB41AA">
          <w:rPr>
            <w:rStyle w:val="Hipervnculo"/>
            <w:rFonts w:asciiTheme="majorHAnsi" w:hAnsiTheme="majorHAnsi" w:cstheme="majorHAnsi"/>
            <w:sz w:val="16"/>
            <w:szCs w:val="16"/>
          </w:rPr>
          <w:t>https://www.cepal.org/sites/default/files/publication/files/46543/S2000817_es.pdf</w:t>
        </w:r>
      </w:hyperlink>
      <w:r w:rsidR="00B05EB9">
        <w:rPr>
          <w:rFonts w:asciiTheme="majorHAnsi" w:hAnsiTheme="majorHAnsi" w:cs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F109B"/>
    <w:multiLevelType w:val="hybridMultilevel"/>
    <w:tmpl w:val="5B60C7AE"/>
    <w:lvl w:ilvl="0" w:tplc="4D10BA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C3"/>
    <w:rsid w:val="00007102"/>
    <w:rsid w:val="00010BA3"/>
    <w:rsid w:val="0004333E"/>
    <w:rsid w:val="00066BC3"/>
    <w:rsid w:val="000846EE"/>
    <w:rsid w:val="0009052D"/>
    <w:rsid w:val="000F5325"/>
    <w:rsid w:val="0010426B"/>
    <w:rsid w:val="001A412F"/>
    <w:rsid w:val="0022472E"/>
    <w:rsid w:val="002B1A77"/>
    <w:rsid w:val="00300BB5"/>
    <w:rsid w:val="00312840"/>
    <w:rsid w:val="00334FAB"/>
    <w:rsid w:val="0036480D"/>
    <w:rsid w:val="00401EED"/>
    <w:rsid w:val="004055AC"/>
    <w:rsid w:val="00457108"/>
    <w:rsid w:val="004A16DC"/>
    <w:rsid w:val="004E35EB"/>
    <w:rsid w:val="00503768"/>
    <w:rsid w:val="00536E21"/>
    <w:rsid w:val="00564144"/>
    <w:rsid w:val="005819D5"/>
    <w:rsid w:val="005C1D49"/>
    <w:rsid w:val="007067C2"/>
    <w:rsid w:val="00764261"/>
    <w:rsid w:val="007914AC"/>
    <w:rsid w:val="00902FB3"/>
    <w:rsid w:val="00914E67"/>
    <w:rsid w:val="00921B09"/>
    <w:rsid w:val="009761F5"/>
    <w:rsid w:val="009E2DE4"/>
    <w:rsid w:val="00A02674"/>
    <w:rsid w:val="00A541ED"/>
    <w:rsid w:val="00AD387E"/>
    <w:rsid w:val="00B05EB9"/>
    <w:rsid w:val="00B21E8E"/>
    <w:rsid w:val="00B71350"/>
    <w:rsid w:val="00B8716A"/>
    <w:rsid w:val="00BA57E2"/>
    <w:rsid w:val="00C07409"/>
    <w:rsid w:val="00C57229"/>
    <w:rsid w:val="00CC3F72"/>
    <w:rsid w:val="00D359AF"/>
    <w:rsid w:val="00D4549C"/>
    <w:rsid w:val="00D66DE0"/>
    <w:rsid w:val="00E800D0"/>
    <w:rsid w:val="00E859B6"/>
    <w:rsid w:val="00F302F0"/>
    <w:rsid w:val="00FC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8224"/>
  <w15:chartTrackingRefBased/>
  <w15:docId w15:val="{C65EE6BF-9F8B-44DE-BA1D-A3D88B4E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536E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128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840"/>
    <w:rPr>
      <w:sz w:val="20"/>
      <w:szCs w:val="20"/>
      <w:lang w:val="es-PE"/>
    </w:rPr>
  </w:style>
  <w:style w:type="character" w:styleId="Refdenotaalpie">
    <w:name w:val="footnote reference"/>
    <w:basedOn w:val="Fuentedeprrafopredeter"/>
    <w:uiPriority w:val="99"/>
    <w:semiHidden/>
    <w:unhideWhenUsed/>
    <w:rsid w:val="00312840"/>
    <w:rPr>
      <w:vertAlign w:val="superscript"/>
    </w:rPr>
  </w:style>
  <w:style w:type="character" w:styleId="Hipervnculo">
    <w:name w:val="Hyperlink"/>
    <w:basedOn w:val="Fuentedeprrafopredeter"/>
    <w:uiPriority w:val="99"/>
    <w:unhideWhenUsed/>
    <w:rsid w:val="00312840"/>
    <w:rPr>
      <w:color w:val="0563C1" w:themeColor="hyperlink"/>
      <w:u w:val="single"/>
    </w:rPr>
  </w:style>
  <w:style w:type="character" w:customStyle="1" w:styleId="UnresolvedMention">
    <w:name w:val="Unresolved Mention"/>
    <w:basedOn w:val="Fuentedeprrafopredeter"/>
    <w:uiPriority w:val="99"/>
    <w:semiHidden/>
    <w:unhideWhenUsed/>
    <w:rsid w:val="00312840"/>
    <w:rPr>
      <w:color w:val="605E5C"/>
      <w:shd w:val="clear" w:color="auto" w:fill="E1DFDD"/>
    </w:rPr>
  </w:style>
  <w:style w:type="paragraph" w:styleId="Prrafodelista">
    <w:name w:val="List Paragraph"/>
    <w:basedOn w:val="Normal"/>
    <w:uiPriority w:val="34"/>
    <w:qFormat/>
    <w:rsid w:val="00312840"/>
    <w:pPr>
      <w:ind w:left="720"/>
      <w:contextualSpacing/>
    </w:pPr>
  </w:style>
  <w:style w:type="paragraph" w:styleId="Encabezado">
    <w:name w:val="header"/>
    <w:basedOn w:val="Normal"/>
    <w:link w:val="EncabezadoCar"/>
    <w:uiPriority w:val="99"/>
    <w:unhideWhenUsed/>
    <w:rsid w:val="00B21E8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21E8E"/>
    <w:rPr>
      <w:lang w:val="es-PE"/>
    </w:rPr>
  </w:style>
  <w:style w:type="paragraph" w:styleId="Piedepgina">
    <w:name w:val="footer"/>
    <w:basedOn w:val="Normal"/>
    <w:link w:val="PiedepginaCar"/>
    <w:uiPriority w:val="99"/>
    <w:unhideWhenUsed/>
    <w:rsid w:val="00B21E8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21E8E"/>
    <w:rPr>
      <w:lang w:val="es-PE"/>
    </w:rPr>
  </w:style>
  <w:style w:type="character" w:customStyle="1" w:styleId="Ttulo2Car">
    <w:name w:val="Título 2 Car"/>
    <w:basedOn w:val="Fuentedeprrafopredeter"/>
    <w:link w:val="Ttulo2"/>
    <w:uiPriority w:val="9"/>
    <w:rsid w:val="00536E21"/>
    <w:rPr>
      <w:rFonts w:asciiTheme="majorHAnsi" w:eastAsiaTheme="majorEastAsia" w:hAnsiTheme="majorHAnsi" w:cstheme="majorBidi"/>
      <w:color w:val="2F5496" w:themeColor="accent1" w:themeShade="BF"/>
      <w:sz w:val="26"/>
      <w:szCs w:val="26"/>
      <w:lang w:val="es-PE"/>
    </w:rPr>
  </w:style>
  <w:style w:type="paragraph" w:styleId="NormalWeb">
    <w:name w:val="Normal (Web)"/>
    <w:basedOn w:val="Normal"/>
    <w:uiPriority w:val="99"/>
    <w:semiHidden/>
    <w:unhideWhenUsed/>
    <w:rsid w:val="00BA57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549">
      <w:bodyDiv w:val="1"/>
      <w:marLeft w:val="0"/>
      <w:marRight w:val="0"/>
      <w:marTop w:val="0"/>
      <w:marBottom w:val="0"/>
      <w:divBdr>
        <w:top w:val="none" w:sz="0" w:space="0" w:color="auto"/>
        <w:left w:val="none" w:sz="0" w:space="0" w:color="auto"/>
        <w:bottom w:val="none" w:sz="0" w:space="0" w:color="auto"/>
        <w:right w:val="none" w:sz="0" w:space="0" w:color="auto"/>
      </w:divBdr>
    </w:div>
    <w:div w:id="1760910106">
      <w:bodyDiv w:val="1"/>
      <w:marLeft w:val="0"/>
      <w:marRight w:val="0"/>
      <w:marTop w:val="0"/>
      <w:marBottom w:val="0"/>
      <w:divBdr>
        <w:top w:val="none" w:sz="0" w:space="0" w:color="auto"/>
        <w:left w:val="none" w:sz="0" w:space="0" w:color="auto"/>
        <w:bottom w:val="none" w:sz="0" w:space="0" w:color="auto"/>
        <w:right w:val="none" w:sz="0" w:space="0" w:color="auto"/>
      </w:divBdr>
    </w:div>
    <w:div w:id="20618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cdn01.pucp.education/idehpucp/wp-content/uploads/2018/09/24211819/agenda-indigena_kas_idehpucp.pdf" TargetMode="External"/><Relationship Id="rId4" Type="http://schemas.openxmlformats.org/officeDocument/2006/relationships/settings" Target="settings.xml"/><Relationship Id="rId9" Type="http://schemas.openxmlformats.org/officeDocument/2006/relationships/hyperlink" Target="https://cdn01.pucp.education/idehpucp/wp-content/uploads/2018/10/11222606/guia-mujeres.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docs/casos/articulos/seriec_216_esp.pdf" TargetMode="External"/><Relationship Id="rId3" Type="http://schemas.openxmlformats.org/officeDocument/2006/relationships/hyperlink" Target="https://www.undocs.org/es/A/HRC/30/41" TargetMode="External"/><Relationship Id="rId7" Type="http://schemas.openxmlformats.org/officeDocument/2006/relationships/hyperlink" Target="https://www.corteidh.or.cr/docs/casos/articulos/seriec_215_esp.pdf" TargetMode="External"/><Relationship Id="rId12" Type="http://schemas.openxmlformats.org/officeDocument/2006/relationships/hyperlink" Target="https://www.cepal.org/sites/default/files/publication/files/46543/S2000817_es.pdf" TargetMode="External"/><Relationship Id="rId2" Type="http://schemas.openxmlformats.org/officeDocument/2006/relationships/hyperlink" Target="https://www.minjus.gob.pe/wp-content/uploads/2017/06/DICTAMEN-EXPEDIDO-CASO-POMA-POMA-VS-PERU.pdf" TargetMode="External"/><Relationship Id="rId1" Type="http://schemas.openxmlformats.org/officeDocument/2006/relationships/hyperlink" Target="https://idehpucp.pucp.edu.pe/lineatrabajo/pueblos-indigenas/" TargetMode="External"/><Relationship Id="rId6" Type="http://schemas.openxmlformats.org/officeDocument/2006/relationships/hyperlink" Target="https://www.oas.org/es/cidh/informes/pdfs/IndustriasExtractivas2016.pdf" TargetMode="External"/><Relationship Id="rId11" Type="http://schemas.openxmlformats.org/officeDocument/2006/relationships/hyperlink" Target="https://www.fimi-iiwf.org/wp-content/uploads/2020/07/Informe-COVID19-ECMIA.pdf" TargetMode="External"/><Relationship Id="rId5" Type="http://schemas.openxmlformats.org/officeDocument/2006/relationships/hyperlink" Target="https://www.oas.org/es/cidh/informes/pdfs/Mujeres-indigenas-BC-Canada-es.pdf" TargetMode="External"/><Relationship Id="rId10" Type="http://schemas.openxmlformats.org/officeDocument/2006/relationships/hyperlink" Target="https://www.ilo.org/wcmsp5/groups/public/---americas/---ro-lima/---sro-lima/documents/publication/wcms_431823.pdf" TargetMode="External"/><Relationship Id="rId4" Type="http://schemas.openxmlformats.org/officeDocument/2006/relationships/hyperlink" Target="http://www.oas.org/es/cidh/informes/pdfs/MujeresIndigenas.pdf" TargetMode="External"/><Relationship Id="rId9" Type="http://schemas.openxmlformats.org/officeDocument/2006/relationships/hyperlink" Target="https://www.defensoria.gob.pe/wp-content/uploads/2019/12/Informe-de-adjuntia-002-2019-PPI-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3B818-A695-495A-B6E2-CDBEBAE921DE}">
  <ds:schemaRefs>
    <ds:schemaRef ds:uri="http://schemas.openxmlformats.org/officeDocument/2006/bibliography"/>
  </ds:schemaRefs>
</ds:datastoreItem>
</file>

<file path=customXml/itemProps2.xml><?xml version="1.0" encoding="utf-8"?>
<ds:datastoreItem xmlns:ds="http://schemas.openxmlformats.org/officeDocument/2006/customXml" ds:itemID="{8F6450E8-9946-498D-A570-1C6CD31B7D13}"/>
</file>

<file path=customXml/itemProps3.xml><?xml version="1.0" encoding="utf-8"?>
<ds:datastoreItem xmlns:ds="http://schemas.openxmlformats.org/officeDocument/2006/customXml" ds:itemID="{7E72B2CB-C190-4827-8C3D-023ADF2A1044}"/>
</file>

<file path=customXml/itemProps4.xml><?xml version="1.0" encoding="utf-8"?>
<ds:datastoreItem xmlns:ds="http://schemas.openxmlformats.org/officeDocument/2006/customXml" ds:itemID="{2A313A5C-648E-469C-B930-38272F54106D}"/>
</file>

<file path=docProps/app.xml><?xml version="1.0" encoding="utf-8"?>
<Properties xmlns="http://schemas.openxmlformats.org/officeDocument/2006/extended-properties" xmlns:vt="http://schemas.openxmlformats.org/officeDocument/2006/docPropsVTypes">
  <Template>Normal</Template>
  <TotalTime>0</TotalTime>
  <Pages>7</Pages>
  <Words>3190</Words>
  <Characters>17548</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Jonathan Elguera Alvarez</dc:creator>
  <cp:keywords/>
  <dc:description/>
  <cp:lastModifiedBy>Bruce Barnaby Rubio</cp:lastModifiedBy>
  <cp:revision>2</cp:revision>
  <dcterms:created xsi:type="dcterms:W3CDTF">2021-06-18T16:30:00Z</dcterms:created>
  <dcterms:modified xsi:type="dcterms:W3CDTF">2021-06-18T16:30:00Z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