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F568" w14:textId="77777777" w:rsidR="001B2BE2" w:rsidRPr="00CE4027" w:rsidRDefault="001B2BE2" w:rsidP="00CE4027">
      <w:pPr>
        <w:pStyle w:val="Cuerpo"/>
        <w:jc w:val="center"/>
        <w:rPr>
          <w:rStyle w:val="Ninguno"/>
          <w:b/>
          <w:sz w:val="24"/>
        </w:rPr>
      </w:pPr>
    </w:p>
    <w:p w14:paraId="36DD435D" w14:textId="77777777" w:rsidR="001B2BE2" w:rsidRPr="00CE4027" w:rsidRDefault="00820EB3" w:rsidP="00CE4027">
      <w:pPr>
        <w:pStyle w:val="Cuerpo"/>
        <w:jc w:val="center"/>
        <w:rPr>
          <w:rStyle w:val="Ninguno"/>
          <w:b/>
          <w:sz w:val="32"/>
        </w:rPr>
      </w:pPr>
      <w:bookmarkStart w:id="0" w:name="_Hlk74838180"/>
      <w:r w:rsidRPr="00CE4027">
        <w:rPr>
          <w:rStyle w:val="Ninguno"/>
          <w:b/>
          <w:sz w:val="32"/>
          <w:lang w:val="pt-PT"/>
        </w:rPr>
        <w:t>Comit</w:t>
      </w:r>
      <w:r w:rsidRPr="00CE4027">
        <w:rPr>
          <w:rStyle w:val="Ninguno"/>
          <w:b/>
          <w:sz w:val="32"/>
          <w:lang w:val="fr-FR"/>
        </w:rPr>
        <w:t xml:space="preserve">é </w:t>
      </w:r>
      <w:r w:rsidRPr="00CE4027">
        <w:rPr>
          <w:rStyle w:val="Ninguno"/>
          <w:b/>
          <w:sz w:val="32"/>
          <w:lang w:val="es-ES_tradnl"/>
        </w:rPr>
        <w:t>para la Eliminación de la Discriminación contra la Mujer</w:t>
      </w:r>
    </w:p>
    <w:p w14:paraId="595686C0" w14:textId="29448855" w:rsidR="001B2BE2" w:rsidRDefault="001B2BE2" w:rsidP="00CE4027">
      <w:pPr>
        <w:pStyle w:val="Cuerpo"/>
        <w:jc w:val="center"/>
        <w:rPr>
          <w:rStyle w:val="Ninguno"/>
          <w:b/>
          <w:sz w:val="32"/>
        </w:rPr>
      </w:pPr>
    </w:p>
    <w:p w14:paraId="452EE0BF" w14:textId="77777777" w:rsidR="002F46AE" w:rsidRPr="00CE4027" w:rsidRDefault="002F46AE" w:rsidP="00CE4027">
      <w:pPr>
        <w:pStyle w:val="Cuerpo"/>
        <w:jc w:val="center"/>
        <w:rPr>
          <w:rStyle w:val="Ninguno"/>
          <w:b/>
          <w:sz w:val="32"/>
        </w:rPr>
      </w:pPr>
    </w:p>
    <w:p w14:paraId="677C6C3C" w14:textId="77777777" w:rsidR="001B2BE2" w:rsidRPr="00CE4027" w:rsidRDefault="00820EB3" w:rsidP="00CE4027">
      <w:pPr>
        <w:pStyle w:val="Cuerpo"/>
        <w:jc w:val="center"/>
        <w:rPr>
          <w:rStyle w:val="Ninguno"/>
          <w:b/>
          <w:sz w:val="32"/>
        </w:rPr>
      </w:pPr>
      <w:proofErr w:type="spellStart"/>
      <w:r w:rsidRPr="00CE4027">
        <w:rPr>
          <w:rStyle w:val="Ninguno"/>
          <w:b/>
          <w:sz w:val="32"/>
        </w:rPr>
        <w:t>Dí</w:t>
      </w:r>
      <w:proofErr w:type="spellEnd"/>
      <w:r w:rsidRPr="00CE4027">
        <w:rPr>
          <w:rStyle w:val="Ninguno"/>
          <w:b/>
          <w:sz w:val="32"/>
          <w:lang w:val="pt-PT"/>
        </w:rPr>
        <w:t>a de discusi</w:t>
      </w:r>
      <w:proofErr w:type="spellStart"/>
      <w:r w:rsidRPr="00CE4027">
        <w:rPr>
          <w:rStyle w:val="Ninguno"/>
          <w:b/>
          <w:sz w:val="32"/>
          <w:lang w:val="es-ES_tradnl"/>
        </w:rPr>
        <w:t>ón</w:t>
      </w:r>
      <w:proofErr w:type="spellEnd"/>
      <w:r w:rsidRPr="00CE4027">
        <w:rPr>
          <w:rStyle w:val="Ninguno"/>
          <w:b/>
          <w:sz w:val="32"/>
          <w:lang w:val="es-ES_tradnl"/>
        </w:rPr>
        <w:t xml:space="preserve"> general sobre los derechos de las mujeres y </w:t>
      </w:r>
      <w:proofErr w:type="spellStart"/>
      <w:r w:rsidRPr="00CE4027">
        <w:rPr>
          <w:rStyle w:val="Ninguno"/>
          <w:b/>
          <w:sz w:val="32"/>
          <w:lang w:val="es-ES_tradnl"/>
        </w:rPr>
        <w:t>niñ</w:t>
      </w:r>
      <w:proofErr w:type="spellEnd"/>
      <w:r w:rsidRPr="00CE4027">
        <w:rPr>
          <w:rStyle w:val="Ninguno"/>
          <w:b/>
          <w:sz w:val="32"/>
          <w:lang w:val="pt-PT"/>
        </w:rPr>
        <w:t>as ind</w:t>
      </w:r>
      <w:r w:rsidRPr="00CE4027">
        <w:rPr>
          <w:rStyle w:val="Ninguno"/>
          <w:b/>
          <w:sz w:val="32"/>
        </w:rPr>
        <w:t>í</w:t>
      </w:r>
      <w:r w:rsidRPr="00CE4027">
        <w:rPr>
          <w:rStyle w:val="Ninguno"/>
          <w:b/>
          <w:sz w:val="32"/>
          <w:lang w:val="pt-PT"/>
        </w:rPr>
        <w:t xml:space="preserve">genas </w:t>
      </w:r>
    </w:p>
    <w:p w14:paraId="2B5116A2" w14:textId="77777777" w:rsidR="001B2BE2" w:rsidRPr="00CE4027" w:rsidRDefault="001B2BE2" w:rsidP="00CE4027">
      <w:pPr>
        <w:pStyle w:val="Cuerpo"/>
        <w:jc w:val="center"/>
        <w:rPr>
          <w:rStyle w:val="Ninguno"/>
          <w:b/>
          <w:sz w:val="32"/>
        </w:rPr>
      </w:pPr>
    </w:p>
    <w:p w14:paraId="60DE20B6" w14:textId="77777777" w:rsidR="001B2BE2" w:rsidRPr="00CE4027" w:rsidRDefault="001B2BE2" w:rsidP="00CE4027">
      <w:pPr>
        <w:pStyle w:val="Cuerpo"/>
        <w:rPr>
          <w:rStyle w:val="Ninguno"/>
          <w:b/>
          <w:sz w:val="32"/>
        </w:rPr>
      </w:pPr>
    </w:p>
    <w:p w14:paraId="4499DA7B" w14:textId="77777777" w:rsidR="001B2BE2" w:rsidRPr="00CE4027" w:rsidRDefault="00820EB3" w:rsidP="00CE4027">
      <w:pPr>
        <w:pStyle w:val="Cuerpo"/>
        <w:jc w:val="center"/>
        <w:rPr>
          <w:rStyle w:val="Ninguno"/>
          <w:b/>
          <w:sz w:val="32"/>
        </w:rPr>
      </w:pPr>
      <w:r w:rsidRPr="00CE4027">
        <w:rPr>
          <w:rStyle w:val="Ninguno"/>
          <w:b/>
          <w:sz w:val="32"/>
          <w:lang w:val="es-ES_tradnl"/>
        </w:rPr>
        <w:t xml:space="preserve">Participación efectiva, consulta y consentimiento de mujeres y </w:t>
      </w:r>
      <w:proofErr w:type="spellStart"/>
      <w:r w:rsidRPr="00CE4027">
        <w:rPr>
          <w:rStyle w:val="Ninguno"/>
          <w:b/>
          <w:sz w:val="32"/>
          <w:lang w:val="es-ES_tradnl"/>
        </w:rPr>
        <w:t>niñ</w:t>
      </w:r>
      <w:proofErr w:type="spellEnd"/>
      <w:r w:rsidRPr="00CE4027">
        <w:rPr>
          <w:rStyle w:val="Ninguno"/>
          <w:b/>
          <w:sz w:val="32"/>
          <w:lang w:val="pt-PT"/>
        </w:rPr>
        <w:t>as ind</w:t>
      </w:r>
      <w:r w:rsidRPr="00CE4027">
        <w:rPr>
          <w:rStyle w:val="Ninguno"/>
          <w:b/>
          <w:sz w:val="32"/>
        </w:rPr>
        <w:t>í</w:t>
      </w:r>
      <w:r w:rsidRPr="00CE4027">
        <w:rPr>
          <w:rStyle w:val="Ninguno"/>
          <w:b/>
          <w:sz w:val="32"/>
          <w:lang w:val="es-ES_tradnl"/>
        </w:rPr>
        <w:t xml:space="preserve">genas en el contexto de la </w:t>
      </w:r>
      <w:proofErr w:type="spellStart"/>
      <w:r w:rsidRPr="00CE4027">
        <w:rPr>
          <w:rStyle w:val="Ninguno"/>
          <w:b/>
          <w:sz w:val="32"/>
          <w:lang w:val="es-ES_tradnl"/>
        </w:rPr>
        <w:t>transició</w:t>
      </w:r>
      <w:proofErr w:type="spellEnd"/>
      <w:r w:rsidRPr="00CE4027">
        <w:rPr>
          <w:rStyle w:val="Ninguno"/>
          <w:b/>
          <w:sz w:val="32"/>
          <w:lang w:val="da-DK"/>
        </w:rPr>
        <w:t>n energ</w:t>
      </w:r>
      <w:r w:rsidRPr="00CE4027">
        <w:rPr>
          <w:rStyle w:val="Ninguno"/>
          <w:b/>
          <w:sz w:val="32"/>
          <w:lang w:val="fr-FR"/>
        </w:rPr>
        <w:t>é</w:t>
      </w:r>
      <w:r w:rsidRPr="00CE4027">
        <w:rPr>
          <w:rStyle w:val="Ninguno"/>
          <w:b/>
          <w:sz w:val="32"/>
          <w:lang w:val="it-IT"/>
        </w:rPr>
        <w:t>tica</w:t>
      </w:r>
    </w:p>
    <w:bookmarkEnd w:id="0"/>
    <w:p w14:paraId="5D5F7DE5" w14:textId="77777777" w:rsidR="001B2BE2" w:rsidRPr="00CE4027" w:rsidRDefault="001B2BE2" w:rsidP="00CE4027">
      <w:pPr>
        <w:pStyle w:val="Cuerpo"/>
        <w:tabs>
          <w:tab w:val="left" w:pos="5080"/>
        </w:tabs>
        <w:jc w:val="center"/>
        <w:rPr>
          <w:rStyle w:val="Ninguno"/>
          <w:b/>
          <w:sz w:val="32"/>
        </w:rPr>
      </w:pPr>
    </w:p>
    <w:p w14:paraId="336D9288" w14:textId="77777777" w:rsidR="001B2BE2" w:rsidRPr="00CE4027" w:rsidRDefault="001B2BE2" w:rsidP="00CE4027">
      <w:pPr>
        <w:pStyle w:val="Cuerpo"/>
        <w:tabs>
          <w:tab w:val="left" w:pos="5080"/>
        </w:tabs>
        <w:jc w:val="center"/>
        <w:rPr>
          <w:rStyle w:val="Ninguno"/>
          <w:b/>
          <w:sz w:val="32"/>
        </w:rPr>
      </w:pPr>
    </w:p>
    <w:p w14:paraId="0D9B4B2B" w14:textId="77777777" w:rsidR="001B2BE2" w:rsidRPr="00CE4027" w:rsidRDefault="00820EB3" w:rsidP="00CE4027">
      <w:pPr>
        <w:pStyle w:val="Cuerpo"/>
        <w:tabs>
          <w:tab w:val="left" w:pos="5080"/>
        </w:tabs>
        <w:jc w:val="center"/>
        <w:rPr>
          <w:rStyle w:val="Ninguno"/>
          <w:b/>
          <w:sz w:val="28"/>
        </w:rPr>
      </w:pPr>
      <w:r w:rsidRPr="00CE4027">
        <w:rPr>
          <w:rStyle w:val="Ninguno"/>
          <w:b/>
          <w:sz w:val="28"/>
          <w:lang w:val="it-IT"/>
        </w:rPr>
        <w:t>Junio 2021</w:t>
      </w:r>
    </w:p>
    <w:p w14:paraId="199F6958" w14:textId="77777777" w:rsidR="001B2BE2" w:rsidRDefault="001B2BE2" w:rsidP="00CE4027">
      <w:pPr>
        <w:pStyle w:val="Cuerpo"/>
        <w:tabs>
          <w:tab w:val="left" w:pos="5080"/>
        </w:tabs>
        <w:jc w:val="center"/>
      </w:pPr>
    </w:p>
    <w:p w14:paraId="13991BB4" w14:textId="77777777" w:rsidR="001B2BE2" w:rsidRDefault="001B2BE2" w:rsidP="00CE4027">
      <w:pPr>
        <w:pStyle w:val="Cuerpo"/>
        <w:tabs>
          <w:tab w:val="left" w:pos="5080"/>
        </w:tabs>
      </w:pPr>
    </w:p>
    <w:p w14:paraId="73C88DD9" w14:textId="77777777" w:rsidR="001B2BE2" w:rsidRDefault="001B2BE2" w:rsidP="00CE4027">
      <w:pPr>
        <w:pStyle w:val="Cuerpo"/>
        <w:tabs>
          <w:tab w:val="left" w:pos="5080"/>
        </w:tabs>
        <w:jc w:val="center"/>
      </w:pPr>
    </w:p>
    <w:p w14:paraId="6FF6A648" w14:textId="77777777" w:rsidR="001B2BE2" w:rsidRDefault="00820EB3">
      <w:pPr>
        <w:pStyle w:val="Cuerpo"/>
        <w:tabs>
          <w:tab w:val="left" w:pos="5080"/>
        </w:tabs>
      </w:pPr>
      <w:r>
        <w:rPr>
          <w:rStyle w:val="Ninguno"/>
          <w:noProof/>
        </w:rPr>
        <w:drawing>
          <wp:anchor distT="57150" distB="57150" distL="57150" distR="57150" simplePos="0" relativeHeight="251659264" behindDoc="0" locked="0" layoutInCell="1" allowOverlap="1" wp14:anchorId="664195BE" wp14:editId="7D1A9461">
            <wp:simplePos x="0" y="0"/>
            <wp:positionH relativeFrom="page">
              <wp:posOffset>1238250</wp:posOffset>
            </wp:positionH>
            <wp:positionV relativeFrom="line">
              <wp:posOffset>150494</wp:posOffset>
            </wp:positionV>
            <wp:extent cx="847725" cy="1475106"/>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1"/>
                    <a:stretch>
                      <a:fillRect/>
                    </a:stretch>
                  </pic:blipFill>
                  <pic:spPr>
                    <a:xfrm>
                      <a:off x="0" y="0"/>
                      <a:ext cx="847725" cy="1475106"/>
                    </a:xfrm>
                    <a:prstGeom prst="rect">
                      <a:avLst/>
                    </a:prstGeom>
                    <a:ln w="12700" cap="flat">
                      <a:noFill/>
                      <a:miter lim="400000"/>
                    </a:ln>
                    <a:effectLst/>
                  </pic:spPr>
                </pic:pic>
              </a:graphicData>
            </a:graphic>
          </wp:anchor>
        </w:drawing>
      </w:r>
      <w:r>
        <w:rPr>
          <w:rStyle w:val="Ninguno"/>
          <w:noProof/>
        </w:rPr>
        <w:drawing>
          <wp:anchor distT="57150" distB="57150" distL="57150" distR="57150" simplePos="0" relativeHeight="251660288" behindDoc="0" locked="0" layoutInCell="1" allowOverlap="1" wp14:anchorId="7FBB3ED3" wp14:editId="4D6632F1">
            <wp:simplePos x="0" y="0"/>
            <wp:positionH relativeFrom="column">
              <wp:posOffset>3710304</wp:posOffset>
            </wp:positionH>
            <wp:positionV relativeFrom="line">
              <wp:posOffset>135890</wp:posOffset>
            </wp:positionV>
            <wp:extent cx="2524125" cy="163449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12"/>
                    <a:stretch>
                      <a:fillRect/>
                    </a:stretch>
                  </pic:blipFill>
                  <pic:spPr>
                    <a:xfrm>
                      <a:off x="0" y="0"/>
                      <a:ext cx="2524125" cy="1634490"/>
                    </a:xfrm>
                    <a:prstGeom prst="rect">
                      <a:avLst/>
                    </a:prstGeom>
                    <a:ln w="12700" cap="flat">
                      <a:noFill/>
                      <a:miter lim="400000"/>
                    </a:ln>
                    <a:effectLst/>
                  </pic:spPr>
                </pic:pic>
              </a:graphicData>
            </a:graphic>
          </wp:anchor>
        </w:drawing>
      </w:r>
    </w:p>
    <w:p w14:paraId="6455FA16" w14:textId="77777777" w:rsidR="001B2BE2" w:rsidRDefault="00820EB3">
      <w:pPr>
        <w:pStyle w:val="Cuerpo"/>
        <w:tabs>
          <w:tab w:val="left" w:pos="5080"/>
        </w:tabs>
      </w:pPr>
      <w:r>
        <w:rPr>
          <w:rStyle w:val="Ninguno"/>
          <w:noProof/>
        </w:rPr>
        <w:drawing>
          <wp:anchor distT="57150" distB="57150" distL="57150" distR="57150" simplePos="0" relativeHeight="251661312" behindDoc="0" locked="0" layoutInCell="1" allowOverlap="1" wp14:anchorId="64BD1EFD" wp14:editId="465ACF23">
            <wp:simplePos x="0" y="0"/>
            <wp:positionH relativeFrom="page">
              <wp:posOffset>2219325</wp:posOffset>
            </wp:positionH>
            <wp:positionV relativeFrom="line">
              <wp:posOffset>277495</wp:posOffset>
            </wp:positionV>
            <wp:extent cx="3000375" cy="994410"/>
            <wp:effectExtent l="0" t="0" r="0" b="0"/>
            <wp:wrapSquare wrapText="bothSides" distT="57150" distB="57150" distL="57150" distR="57150"/>
            <wp:docPr id="1073741827" name="officeArt object"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7" name="Imagen que contiene LogotipoDescripción generada automáticamente" descr="Imagen que contiene LogotipoDescripción generada automáticamente"/>
                    <pic:cNvPicPr>
                      <a:picLocks noChangeAspect="1"/>
                    </pic:cNvPicPr>
                  </pic:nvPicPr>
                  <pic:blipFill>
                    <a:blip r:embed="rId13"/>
                    <a:stretch>
                      <a:fillRect/>
                    </a:stretch>
                  </pic:blipFill>
                  <pic:spPr>
                    <a:xfrm>
                      <a:off x="0" y="0"/>
                      <a:ext cx="3000375" cy="994410"/>
                    </a:xfrm>
                    <a:prstGeom prst="rect">
                      <a:avLst/>
                    </a:prstGeom>
                    <a:ln w="12700" cap="flat">
                      <a:noFill/>
                      <a:miter lim="400000"/>
                    </a:ln>
                    <a:effectLst/>
                  </pic:spPr>
                </pic:pic>
              </a:graphicData>
            </a:graphic>
          </wp:anchor>
        </w:drawing>
      </w:r>
    </w:p>
    <w:p w14:paraId="5168076A" w14:textId="77777777" w:rsidR="001B2BE2" w:rsidRDefault="001B2BE2" w:rsidP="00CE4027">
      <w:pPr>
        <w:pStyle w:val="Cuerpo"/>
        <w:tabs>
          <w:tab w:val="left" w:pos="5080"/>
        </w:tabs>
      </w:pPr>
    </w:p>
    <w:p w14:paraId="1EF15D27" w14:textId="77777777" w:rsidR="001B2BE2" w:rsidRDefault="001B2BE2" w:rsidP="00CE4027">
      <w:pPr>
        <w:pStyle w:val="Cuerpo"/>
        <w:tabs>
          <w:tab w:val="left" w:pos="5080"/>
        </w:tabs>
      </w:pPr>
    </w:p>
    <w:p w14:paraId="2ABB5358" w14:textId="0D167DC7" w:rsidR="001B2BE2" w:rsidRDefault="001B2BE2" w:rsidP="00CE4027">
      <w:pPr>
        <w:pStyle w:val="Cuerpo"/>
        <w:tabs>
          <w:tab w:val="left" w:pos="5080"/>
        </w:tabs>
      </w:pPr>
    </w:p>
    <w:p w14:paraId="32E3FD75" w14:textId="77777777" w:rsidR="00CE4027" w:rsidRDefault="00CE4027" w:rsidP="00CE4027">
      <w:pPr>
        <w:pStyle w:val="Cuerpo"/>
        <w:tabs>
          <w:tab w:val="left" w:pos="5080"/>
        </w:tabs>
      </w:pPr>
    </w:p>
    <w:p w14:paraId="6F792DBC" w14:textId="77777777" w:rsidR="001B2BE2" w:rsidRDefault="00820EB3" w:rsidP="00CE4027">
      <w:pPr>
        <w:pStyle w:val="Prrafodelista"/>
        <w:numPr>
          <w:ilvl w:val="0"/>
          <w:numId w:val="2"/>
        </w:numPr>
        <w:rPr>
          <w:b/>
          <w:bCs/>
        </w:rPr>
      </w:pPr>
      <w:r w:rsidRPr="00CE4027">
        <w:rPr>
          <w:rStyle w:val="Ninguno"/>
          <w:b/>
        </w:rPr>
        <w:lastRenderedPageBreak/>
        <w:t>Introducción</w:t>
      </w:r>
    </w:p>
    <w:p w14:paraId="16DC6C2D" w14:textId="583156ED" w:rsidR="001B2BE2" w:rsidRPr="00CE4027" w:rsidRDefault="00820EB3" w:rsidP="00CE4027">
      <w:pPr>
        <w:pStyle w:val="Cuerpo"/>
        <w:tabs>
          <w:tab w:val="left" w:pos="5080"/>
        </w:tabs>
        <w:jc w:val="both"/>
        <w:rPr>
          <w:rStyle w:val="Ninguno"/>
        </w:rPr>
      </w:pPr>
      <w:bookmarkStart w:id="1" w:name="_Hlk74838846"/>
      <w:r w:rsidRPr="00CE4027">
        <w:rPr>
          <w:rStyle w:val="Ninguno"/>
          <w:lang w:val="es-ES_tradnl"/>
        </w:rPr>
        <w:t xml:space="preserve">Esta presentación conjunta busca contribuir a la discusión general y aportar insumos para la elaboración </w:t>
      </w:r>
      <w:r w:rsidR="00E86ED3" w:rsidRPr="00CE4027">
        <w:rPr>
          <w:rStyle w:val="Ninguno"/>
          <w:lang w:val="es-ES_tradnl"/>
        </w:rPr>
        <w:t xml:space="preserve">de una </w:t>
      </w:r>
      <w:r w:rsidR="00E86ED3" w:rsidRPr="00CE4027">
        <w:rPr>
          <w:rStyle w:val="Ninguno"/>
          <w:i/>
          <w:lang w:val="es-ES_tradnl"/>
        </w:rPr>
        <w:t xml:space="preserve">Recomendación General sobre los derechos de las mujeres y </w:t>
      </w:r>
      <w:proofErr w:type="spellStart"/>
      <w:r w:rsidR="00E86ED3" w:rsidRPr="00CE4027">
        <w:rPr>
          <w:rStyle w:val="Ninguno"/>
          <w:i/>
          <w:lang w:val="es-ES_tradnl"/>
        </w:rPr>
        <w:t>niñ</w:t>
      </w:r>
      <w:proofErr w:type="spellEnd"/>
      <w:r w:rsidR="00E86ED3" w:rsidRPr="00CE4027">
        <w:rPr>
          <w:rStyle w:val="Ninguno"/>
          <w:i/>
          <w:lang w:val="pt-PT"/>
        </w:rPr>
        <w:t>as ind</w:t>
      </w:r>
      <w:r w:rsidR="00E86ED3" w:rsidRPr="00CE4027">
        <w:rPr>
          <w:rStyle w:val="Ninguno"/>
          <w:i/>
        </w:rPr>
        <w:t>í</w:t>
      </w:r>
      <w:r w:rsidR="00E86ED3" w:rsidRPr="00CE4027">
        <w:rPr>
          <w:rStyle w:val="Ninguno"/>
          <w:i/>
          <w:lang w:val="pt-PT"/>
        </w:rPr>
        <w:t>genas</w:t>
      </w:r>
      <w:r w:rsidR="000C1B6D">
        <w:rPr>
          <w:rStyle w:val="Ninguno"/>
          <w:lang w:val="es-ES_tradnl"/>
        </w:rPr>
        <w:t xml:space="preserve"> </w:t>
      </w:r>
      <w:r w:rsidRPr="00CE4027">
        <w:rPr>
          <w:rStyle w:val="Ninguno"/>
          <w:lang w:val="es-ES_tradnl"/>
        </w:rPr>
        <w:t xml:space="preserve">por parte del </w:t>
      </w:r>
      <w:proofErr w:type="spellStart"/>
      <w:r w:rsidRPr="00CE4027">
        <w:rPr>
          <w:rStyle w:val="Ninguno"/>
          <w:lang w:val="es-ES_tradnl"/>
        </w:rPr>
        <w:t>Comit</w:t>
      </w:r>
      <w:proofErr w:type="spellEnd"/>
      <w:r w:rsidRPr="00CE4027">
        <w:rPr>
          <w:rStyle w:val="Ninguno"/>
          <w:lang w:val="fr-FR"/>
        </w:rPr>
        <w:t xml:space="preserve">é </w:t>
      </w:r>
      <w:r w:rsidRPr="00CE4027">
        <w:rPr>
          <w:rStyle w:val="Ninguno"/>
          <w:lang w:val="es-ES_tradnl"/>
        </w:rPr>
        <w:t>sobre la Eliminación de todas las formas de Discriminación Contra la Mujer (CEDAW)</w:t>
      </w:r>
      <w:r w:rsidR="00E86ED3">
        <w:rPr>
          <w:rStyle w:val="Ninguno"/>
          <w:lang w:val="it-IT"/>
        </w:rPr>
        <w:t xml:space="preserve">. </w:t>
      </w:r>
      <w:r w:rsidR="00C9701D">
        <w:rPr>
          <w:rStyle w:val="Ninguno"/>
          <w:lang w:val="it-IT"/>
        </w:rPr>
        <w:t xml:space="preserve">En particular, </w:t>
      </w:r>
      <w:r w:rsidR="000C1B6D">
        <w:rPr>
          <w:rStyle w:val="Ninguno"/>
          <w:lang w:val="it-IT"/>
        </w:rPr>
        <w:t xml:space="preserve">se </w:t>
      </w:r>
      <w:r w:rsidRPr="00CE4027">
        <w:rPr>
          <w:rStyle w:val="Ninguno"/>
          <w:lang w:val="es-ES_tradnl"/>
        </w:rPr>
        <w:t xml:space="preserve">enfatiza la necesidad de incorporar en una futura Recomendación General sobre el tema la </w:t>
      </w:r>
      <w:proofErr w:type="spellStart"/>
      <w:r w:rsidRPr="00CE4027">
        <w:rPr>
          <w:rStyle w:val="Ninguno"/>
          <w:lang w:val="es-ES_tradnl"/>
        </w:rPr>
        <w:t>problem</w:t>
      </w:r>
      <w:proofErr w:type="spellEnd"/>
      <w:r w:rsidRPr="00CE4027">
        <w:rPr>
          <w:rStyle w:val="Ninguno"/>
        </w:rPr>
        <w:t>á</w:t>
      </w:r>
      <w:r w:rsidRPr="00CE4027">
        <w:rPr>
          <w:rStyle w:val="Ninguno"/>
          <w:lang w:val="es-ES_tradnl"/>
        </w:rPr>
        <w:t xml:space="preserve">tica de la </w:t>
      </w:r>
      <w:r w:rsidRPr="00CE4027">
        <w:rPr>
          <w:rStyle w:val="Ninguno"/>
          <w:b/>
          <w:lang w:val="es-ES_tradnl"/>
        </w:rPr>
        <w:t xml:space="preserve">participación efectiva, consulta y consentimiento en el contexto de la </w:t>
      </w:r>
      <w:proofErr w:type="spellStart"/>
      <w:r w:rsidRPr="00CE4027">
        <w:rPr>
          <w:rStyle w:val="Ninguno"/>
          <w:b/>
          <w:lang w:val="es-ES_tradnl"/>
        </w:rPr>
        <w:t>transició</w:t>
      </w:r>
      <w:proofErr w:type="spellEnd"/>
      <w:r w:rsidRPr="00CE4027">
        <w:rPr>
          <w:rStyle w:val="Ninguno"/>
          <w:b/>
          <w:lang w:val="da-DK"/>
        </w:rPr>
        <w:t>n energ</w:t>
      </w:r>
      <w:r w:rsidRPr="00CE4027">
        <w:rPr>
          <w:rStyle w:val="Ninguno"/>
          <w:b/>
          <w:lang w:val="fr-FR"/>
        </w:rPr>
        <w:t>é</w:t>
      </w:r>
      <w:r w:rsidRPr="00CE4027">
        <w:rPr>
          <w:rStyle w:val="Ninguno"/>
          <w:b/>
          <w:lang w:val="it-IT"/>
        </w:rPr>
        <w:t>tica.</w:t>
      </w:r>
    </w:p>
    <w:p w14:paraId="212EBCF6" w14:textId="01B3965E" w:rsidR="001B2BE2" w:rsidRPr="00CE4027" w:rsidRDefault="00820EB3" w:rsidP="00CE4027">
      <w:pPr>
        <w:pStyle w:val="Cuerpo"/>
        <w:tabs>
          <w:tab w:val="left" w:pos="5080"/>
        </w:tabs>
        <w:jc w:val="both"/>
        <w:rPr>
          <w:rStyle w:val="Ninguno"/>
        </w:rPr>
      </w:pPr>
      <w:r w:rsidRPr="00CE4027">
        <w:rPr>
          <w:rStyle w:val="Ninguno"/>
          <w:lang w:val="es-ES_tradnl"/>
        </w:rPr>
        <w:t>Considerando que la CEDAW es un instrumento din</w:t>
      </w:r>
      <w:r w:rsidRPr="00CE4027">
        <w:rPr>
          <w:rStyle w:val="Ninguno"/>
        </w:rPr>
        <w:t>á</w:t>
      </w:r>
      <w:r w:rsidRPr="00CE4027">
        <w:rPr>
          <w:rStyle w:val="Ninguno"/>
          <w:lang w:val="es-ES_tradnl"/>
        </w:rPr>
        <w:t xml:space="preserve">mico que tiene como finalidad que los derechos de las mujeres se traduzcan en progresos sustantivos y en </w:t>
      </w:r>
      <w:proofErr w:type="spellStart"/>
      <w:r w:rsidRPr="00CE4027">
        <w:rPr>
          <w:rStyle w:val="Ninguno"/>
          <w:lang w:val="es-ES_tradnl"/>
        </w:rPr>
        <w:t>pol</w:t>
      </w:r>
      <w:proofErr w:type="spellEnd"/>
      <w:r w:rsidRPr="00CE4027">
        <w:rPr>
          <w:rStyle w:val="Ninguno"/>
        </w:rPr>
        <w:t>í</w:t>
      </w:r>
      <w:r w:rsidRPr="00CE4027">
        <w:rPr>
          <w:rStyle w:val="Ninguno"/>
          <w:lang w:val="es-ES_tradnl"/>
        </w:rPr>
        <w:t>ticas dirigidas a impulsar la igualdad de g</w:t>
      </w:r>
      <w:r w:rsidRPr="00CE4027">
        <w:rPr>
          <w:rStyle w:val="Ninguno"/>
          <w:lang w:val="fr-FR"/>
        </w:rPr>
        <w:t>é</w:t>
      </w:r>
      <w:proofErr w:type="spellStart"/>
      <w:r w:rsidRPr="00CE4027">
        <w:rPr>
          <w:rStyle w:val="Ninguno"/>
          <w:lang w:val="es-ES_tradnl"/>
        </w:rPr>
        <w:t>nero</w:t>
      </w:r>
      <w:proofErr w:type="spellEnd"/>
      <w:r w:rsidRPr="00CE4027">
        <w:rPr>
          <w:rStyle w:val="Ninguno"/>
          <w:lang w:val="es-ES_tradnl"/>
        </w:rPr>
        <w:t xml:space="preserve">, </w:t>
      </w:r>
      <w:r w:rsidR="000C1B6D">
        <w:rPr>
          <w:rStyle w:val="Ninguno"/>
          <w:lang w:val="es-ES_tradnl"/>
        </w:rPr>
        <w:t xml:space="preserve">consideramos esencial </w:t>
      </w:r>
      <w:r w:rsidRPr="00CE4027">
        <w:rPr>
          <w:rStyle w:val="Ninguno"/>
          <w:lang w:val="es-ES_tradnl"/>
        </w:rPr>
        <w:t xml:space="preserve">que en el marco de las obligaciones de los Estados bajo la CEDAW se garantice que las medidas que se tomen por los Estados para lograr un futuro bajo en carbono, cuenten no solo con la participación real y efectiva de las mujeres y </w:t>
      </w:r>
      <w:proofErr w:type="spellStart"/>
      <w:r w:rsidRPr="00CE4027">
        <w:rPr>
          <w:rStyle w:val="Ninguno"/>
          <w:lang w:val="es-ES_tradnl"/>
        </w:rPr>
        <w:t>niñ</w:t>
      </w:r>
      <w:proofErr w:type="spellEnd"/>
      <w:r w:rsidRPr="00CE4027">
        <w:rPr>
          <w:rStyle w:val="Ninguno"/>
          <w:lang w:val="pt-PT"/>
        </w:rPr>
        <w:t>as ind</w:t>
      </w:r>
      <w:r w:rsidRPr="00CE4027">
        <w:rPr>
          <w:rStyle w:val="Ninguno"/>
        </w:rPr>
        <w:t>í</w:t>
      </w:r>
      <w:r w:rsidRPr="00CE4027">
        <w:rPr>
          <w:rStyle w:val="Ninguno"/>
          <w:lang w:val="es-ES_tradnl"/>
        </w:rPr>
        <w:t xml:space="preserve">genas, sino que </w:t>
      </w:r>
      <w:proofErr w:type="spellStart"/>
      <w:r w:rsidRPr="00CE4027">
        <w:rPr>
          <w:rStyle w:val="Ninguno"/>
          <w:lang w:val="es-ES_tradnl"/>
        </w:rPr>
        <w:t>tambi</w:t>
      </w:r>
      <w:proofErr w:type="spellEnd"/>
      <w:r w:rsidRPr="00CE4027">
        <w:rPr>
          <w:rStyle w:val="Ninguno"/>
          <w:lang w:val="fr-FR"/>
        </w:rPr>
        <w:t>é</w:t>
      </w:r>
      <w:r w:rsidRPr="00CE4027">
        <w:rPr>
          <w:rStyle w:val="Ninguno"/>
          <w:lang w:val="es-ES_tradnl"/>
        </w:rPr>
        <w:t xml:space="preserve">n garanticen sus derechos. </w:t>
      </w:r>
      <w:bookmarkEnd w:id="1"/>
    </w:p>
    <w:p w14:paraId="2CCC5C75" w14:textId="015739E3" w:rsidR="001B2BE2" w:rsidRPr="00CE4027" w:rsidRDefault="00820EB3" w:rsidP="00CE4027">
      <w:pPr>
        <w:pStyle w:val="Prrafodelista"/>
        <w:numPr>
          <w:ilvl w:val="0"/>
          <w:numId w:val="2"/>
        </w:numPr>
        <w:rPr>
          <w:rStyle w:val="Ninguno"/>
          <w:b/>
          <w:bCs/>
        </w:rPr>
      </w:pPr>
      <w:r w:rsidRPr="00CE4027">
        <w:rPr>
          <w:rStyle w:val="Ninguno"/>
          <w:b/>
        </w:rPr>
        <w:t>Los derechos de las mujeres y niñas indígenas ante la crisis climática</w:t>
      </w:r>
    </w:p>
    <w:p w14:paraId="3703C1AE" w14:textId="1A1BB7EB" w:rsidR="001B2BE2" w:rsidRDefault="005337E3" w:rsidP="00CE4027">
      <w:pPr>
        <w:pStyle w:val="Prrafodelista"/>
        <w:numPr>
          <w:ilvl w:val="0"/>
          <w:numId w:val="4"/>
        </w:numPr>
        <w:jc w:val="both"/>
      </w:pPr>
      <w:r>
        <w:rPr>
          <w:rStyle w:val="Ninguno"/>
        </w:rPr>
        <w:t>L</w:t>
      </w:r>
      <w:r w:rsidR="005710F2" w:rsidRPr="00CE4027">
        <w:rPr>
          <w:rStyle w:val="Ninguno"/>
        </w:rPr>
        <w:t>as mujeres y niñas indígenas</w:t>
      </w:r>
      <w:r>
        <w:rPr>
          <w:rStyle w:val="Ninguno"/>
        </w:rPr>
        <w:t xml:space="preserve"> </w:t>
      </w:r>
      <w:r w:rsidR="00820EB3" w:rsidRPr="00CE4027">
        <w:rPr>
          <w:rStyle w:val="Ninguno"/>
        </w:rPr>
        <w:t>desarrolla</w:t>
      </w:r>
      <w:r w:rsidR="005710F2">
        <w:rPr>
          <w:rStyle w:val="Ninguno"/>
        </w:rPr>
        <w:t>n</w:t>
      </w:r>
      <w:r w:rsidR="00820EB3" w:rsidRPr="00CE4027">
        <w:rPr>
          <w:rStyle w:val="Ninguno"/>
        </w:rPr>
        <w:t xml:space="preserve"> un </w:t>
      </w:r>
      <w:r w:rsidR="00BF0FF3">
        <w:rPr>
          <w:rStyle w:val="Ninguno"/>
        </w:rPr>
        <w:t xml:space="preserve">papel </w:t>
      </w:r>
      <w:r w:rsidR="00820EB3" w:rsidRPr="00CE4027">
        <w:rPr>
          <w:rStyle w:val="Ninguno"/>
        </w:rPr>
        <w:t>clave en la conservación de ecosistemas—</w:t>
      </w:r>
      <w:r w:rsidR="00BB1471">
        <w:rPr>
          <w:rStyle w:val="Ninguno"/>
        </w:rPr>
        <w:t xml:space="preserve">de los </w:t>
      </w:r>
      <w:r w:rsidR="00820EB3" w:rsidRPr="00CE4027">
        <w:rPr>
          <w:rStyle w:val="Ninguno"/>
        </w:rPr>
        <w:t>bosques y fuentes de agua</w:t>
      </w:r>
      <w:r w:rsidR="00BB1471">
        <w:rPr>
          <w:rStyle w:val="Ninguno"/>
        </w:rPr>
        <w:t>,</w:t>
      </w:r>
      <w:r w:rsidR="00820EB3" w:rsidRPr="00CE4027">
        <w:rPr>
          <w:rStyle w:val="Ninguno"/>
        </w:rPr>
        <w:t xml:space="preserve"> que son cada vez más escasos— y s</w:t>
      </w:r>
      <w:r w:rsidR="00BB1471">
        <w:rPr>
          <w:rStyle w:val="Ninguno"/>
        </w:rPr>
        <w:t>on</w:t>
      </w:r>
      <w:r w:rsidR="00820EB3" w:rsidRPr="00CE4027">
        <w:rPr>
          <w:rStyle w:val="Ninguno"/>
        </w:rPr>
        <w:t xml:space="preserve"> quienes menos contribuyen al cambio climático</w:t>
      </w:r>
      <w:r>
        <w:rPr>
          <w:rStyle w:val="Ninguno"/>
        </w:rPr>
        <w:t xml:space="preserve">. No obstante, </w:t>
      </w:r>
      <w:r w:rsidR="00125F8C">
        <w:rPr>
          <w:rStyle w:val="Ninguno"/>
        </w:rPr>
        <w:t xml:space="preserve">es uno de los grupos que se encuentra </w:t>
      </w:r>
      <w:r w:rsidR="00820EB3" w:rsidRPr="00CE4027">
        <w:rPr>
          <w:rStyle w:val="Ninguno"/>
        </w:rPr>
        <w:t xml:space="preserve">en mayor estado de riesgo y vulnerabilidad frente a la emergencia climática. </w:t>
      </w:r>
    </w:p>
    <w:p w14:paraId="262A0D80" w14:textId="57025FA8" w:rsidR="001B2BE2" w:rsidRDefault="00125F8C" w:rsidP="00CE4027">
      <w:pPr>
        <w:pStyle w:val="Prrafodelista"/>
        <w:numPr>
          <w:ilvl w:val="0"/>
          <w:numId w:val="4"/>
        </w:numPr>
        <w:jc w:val="both"/>
      </w:pPr>
      <w:r>
        <w:rPr>
          <w:rStyle w:val="Ninguno"/>
        </w:rPr>
        <w:t>D</w:t>
      </w:r>
      <w:r w:rsidR="00820EB3" w:rsidRPr="00CE4027">
        <w:rPr>
          <w:rStyle w:val="Ninguno"/>
        </w:rPr>
        <w:t>istintos mecanismos internacionales de derechos humanos han reconocido que la falta de medidas para prevenir las afectaciones a los derechos humanos causadas por el cambio climático pueden resultar en violaciones a las obligaciones internacionales de derechos humanos de los Estados.</w:t>
      </w:r>
      <w:r w:rsidR="00820EB3">
        <w:rPr>
          <w:rStyle w:val="Refdenotaalpie"/>
        </w:rPr>
        <w:footnoteReference w:id="2"/>
      </w:r>
      <w:r w:rsidR="00820EB3" w:rsidRPr="00CE4027">
        <w:rPr>
          <w:rStyle w:val="Ninguno"/>
        </w:rPr>
        <w:t xml:space="preserve"> El Comité CEDAW aprobó la Recomendación General n.º 37 en 2018 sobre las dimensiones de la reducción del riesgo de catástrofes relacionadas con el género en el contexto del cambio climático</w:t>
      </w:r>
      <w:r w:rsidR="00820EB3" w:rsidRPr="00CE4027">
        <w:rPr>
          <w:rStyle w:val="Ninguno"/>
          <w:color w:val="00AEEF"/>
          <w:u w:color="00AEEF"/>
        </w:rPr>
        <w:t xml:space="preserve"> </w:t>
      </w:r>
      <w:r w:rsidR="00820EB3" w:rsidRPr="00CE4027">
        <w:rPr>
          <w:rStyle w:val="Ninguno"/>
        </w:rPr>
        <w:t>y ha incrementado gradualmente su atención al cambio climático en sus evaluaciones a los Estados parte.</w:t>
      </w:r>
      <w:r w:rsidR="00820EB3">
        <w:rPr>
          <w:rStyle w:val="Refdenotaalpie"/>
        </w:rPr>
        <w:footnoteReference w:id="3"/>
      </w:r>
      <w:r w:rsidR="00820EB3" w:rsidRPr="00CE4027">
        <w:rPr>
          <w:rStyle w:val="Ninguno"/>
        </w:rPr>
        <w:t xml:space="preserve"> Por lo tanto, se reconoce que adoptar medidas inmediatas para limitar la proliferación de combustibles fósiles y reducir los gases de efecto invernadero es crucial para proteger, respetar y realizar los derechos humanos de las mujeres, especialmente de aquellas en condiciones estructurales de marginación, como son las mujeres y niñas indígenas. </w:t>
      </w:r>
    </w:p>
    <w:p w14:paraId="3654A072" w14:textId="77777777" w:rsidR="001B2BE2" w:rsidRDefault="00820EB3" w:rsidP="00CE4027">
      <w:pPr>
        <w:pStyle w:val="Prrafodelista"/>
        <w:numPr>
          <w:ilvl w:val="0"/>
          <w:numId w:val="4"/>
        </w:numPr>
        <w:jc w:val="both"/>
      </w:pPr>
      <w:r w:rsidRPr="00CE4027">
        <w:rPr>
          <w:rStyle w:val="Ninguno"/>
        </w:rPr>
        <w:t xml:space="preserve">No obstante, si dichas medidas de mitigación y adaptación climática no se llevan a cabo con incorporando una perspectiva de género interseccional, con la participación y en consulta con los pueblos y comunidades indígenas, la transición a economías bajas en carbono también corre el riesgo de exacerbar las desigualdades y contribuir a la vulneración de los </w:t>
      </w:r>
      <w:r w:rsidRPr="00CE4027">
        <w:rPr>
          <w:rStyle w:val="Ninguno"/>
        </w:rPr>
        <w:lastRenderedPageBreak/>
        <w:t xml:space="preserve">derechos a libre determinación, tierra y territorio y participación de las comunidades indígenas, con un efecto desproporcionado en mujeres y niñas. </w:t>
      </w:r>
    </w:p>
    <w:p w14:paraId="679C110D" w14:textId="22B00147" w:rsidR="001B2BE2" w:rsidRDefault="00820EB3" w:rsidP="00CE4027">
      <w:pPr>
        <w:pStyle w:val="Prrafodelista"/>
        <w:numPr>
          <w:ilvl w:val="0"/>
          <w:numId w:val="4"/>
        </w:numPr>
        <w:jc w:val="both"/>
      </w:pPr>
      <w:r w:rsidRPr="00CE4027">
        <w:rPr>
          <w:rStyle w:val="Ninguno"/>
        </w:rPr>
        <w:t>En ese marco el Foro Permanente de las Naciones Unidas para las Cuestiones Indígenas expresó su preocupación por los crecientes efectos negativos de la emergencia climática y por las medidas de mitigación y adaptación implementados, como la construcción de infraestructura de energía renovable (presas hidroeléctricas, centrales nucleares, biocombustible, plantas geotérmicas y eólicas)</w:t>
      </w:r>
      <w:r w:rsidR="00B170F1">
        <w:rPr>
          <w:rStyle w:val="Ninguno"/>
        </w:rPr>
        <w:t xml:space="preserve">, </w:t>
      </w:r>
      <w:r w:rsidRPr="00CE4027">
        <w:rPr>
          <w:rStyle w:val="Ninguno"/>
        </w:rPr>
        <w:t>que se están construyendo a gran escala en los territorios indígenas sin su participación o consentimiento.</w:t>
      </w:r>
      <w:r w:rsidRPr="00CE4027">
        <w:rPr>
          <w:rStyle w:val="Ninguno"/>
          <w:vertAlign w:val="superscript"/>
        </w:rPr>
        <w:footnoteReference w:id="4"/>
      </w:r>
      <w:r w:rsidRPr="00CE4027">
        <w:rPr>
          <w:rStyle w:val="Ninguno"/>
        </w:rPr>
        <w:t xml:space="preserve"> </w:t>
      </w:r>
    </w:p>
    <w:p w14:paraId="6946FF2E" w14:textId="619C4E11" w:rsidR="001B2BE2" w:rsidRDefault="00820EB3" w:rsidP="00CE4027">
      <w:pPr>
        <w:pStyle w:val="Prrafodelista"/>
        <w:numPr>
          <w:ilvl w:val="0"/>
          <w:numId w:val="4"/>
        </w:numPr>
        <w:jc w:val="both"/>
      </w:pPr>
      <w:r w:rsidRPr="00CE4027">
        <w:rPr>
          <w:rStyle w:val="Ninguno"/>
        </w:rPr>
        <w:t xml:space="preserve">Por ello, </w:t>
      </w:r>
      <w:r w:rsidR="00B170F1">
        <w:rPr>
          <w:rStyle w:val="Ninguno"/>
        </w:rPr>
        <w:t xml:space="preserve">es fundamental que los </w:t>
      </w:r>
      <w:r w:rsidRPr="00CE4027">
        <w:rPr>
          <w:rStyle w:val="Ninguno"/>
        </w:rPr>
        <w:t xml:space="preserve">Estados </w:t>
      </w:r>
      <w:r w:rsidR="000C1B6D">
        <w:rPr>
          <w:rStyle w:val="Ninguno"/>
        </w:rPr>
        <w:t xml:space="preserve">establezcan </w:t>
      </w:r>
      <w:r w:rsidRPr="00CE4027">
        <w:rPr>
          <w:rStyle w:val="Ninguno"/>
        </w:rPr>
        <w:t>mecanismos efectivos de participación y consulta para garantizar los derechos las mujeres y niñas indígenas en los esfuerzos por combatir la emergencia climática.</w:t>
      </w:r>
      <w:r w:rsidRPr="00CE4027">
        <w:rPr>
          <w:rStyle w:val="Ninguno"/>
          <w:vertAlign w:val="superscript"/>
        </w:rPr>
        <w:footnoteReference w:id="5"/>
      </w:r>
    </w:p>
    <w:p w14:paraId="63B87148" w14:textId="77777777" w:rsidR="001B2BE2" w:rsidRPr="00B170F1" w:rsidRDefault="001B2BE2" w:rsidP="00A1571C">
      <w:pPr>
        <w:tabs>
          <w:tab w:val="left" w:pos="5080"/>
        </w:tabs>
        <w:ind w:left="360"/>
        <w:jc w:val="both"/>
        <w:rPr>
          <w:lang w:val="es-MX"/>
        </w:rPr>
      </w:pPr>
    </w:p>
    <w:p w14:paraId="40941A9F" w14:textId="575DBE39" w:rsidR="001B2BE2" w:rsidRPr="00A1571C" w:rsidRDefault="00820EB3" w:rsidP="00A1571C">
      <w:pPr>
        <w:pStyle w:val="Prrafodelista"/>
        <w:numPr>
          <w:ilvl w:val="0"/>
          <w:numId w:val="5"/>
        </w:numPr>
        <w:rPr>
          <w:rStyle w:val="Ninguno"/>
          <w:b/>
          <w:bCs/>
        </w:rPr>
      </w:pPr>
      <w:r w:rsidRPr="00CE4027">
        <w:rPr>
          <w:rStyle w:val="Ninguno"/>
          <w:b/>
        </w:rPr>
        <w:t xml:space="preserve">Transición energética justa y con perspectiva de género </w:t>
      </w:r>
    </w:p>
    <w:p w14:paraId="0CCE15F0" w14:textId="1505DF8B" w:rsidR="001B2BE2" w:rsidRDefault="00820EB3" w:rsidP="00CE4027">
      <w:pPr>
        <w:pStyle w:val="Prrafodelista"/>
        <w:numPr>
          <w:ilvl w:val="0"/>
          <w:numId w:val="7"/>
        </w:numPr>
        <w:jc w:val="both"/>
      </w:pPr>
      <w:r w:rsidRPr="00CE4027">
        <w:rPr>
          <w:rStyle w:val="Ninguno"/>
        </w:rPr>
        <w:t xml:space="preserve">La transición de energías fósiles a energía renovable es central en cualquier estrategia efectiva para responder a la emergencia climática. </w:t>
      </w:r>
      <w:r w:rsidR="00BC43D6">
        <w:rPr>
          <w:rStyle w:val="Ninguno"/>
        </w:rPr>
        <w:t xml:space="preserve">De acuerdo con </w:t>
      </w:r>
      <w:r w:rsidRPr="00CE4027">
        <w:rPr>
          <w:rStyle w:val="Ninguno"/>
        </w:rPr>
        <w:t>estimaciones científicas, aproximadamente</w:t>
      </w:r>
      <w:r w:rsidR="00BC43D6">
        <w:rPr>
          <w:rStyle w:val="Ninguno"/>
        </w:rPr>
        <w:t xml:space="preserve"> </w:t>
      </w:r>
      <w:r w:rsidRPr="00CE4027">
        <w:rPr>
          <w:rStyle w:val="Ninguno"/>
        </w:rPr>
        <w:t>72% de las emisiones de gases de efecto invernadero causantes del cambio climático provienen de la quema de combustibles fósiles.</w:t>
      </w:r>
      <w:r>
        <w:rPr>
          <w:rStyle w:val="Refdenotaalpie"/>
        </w:rPr>
        <w:footnoteReference w:id="6"/>
      </w:r>
      <w:r w:rsidRPr="00CE4027">
        <w:rPr>
          <w:rStyle w:val="Ninguno"/>
        </w:rPr>
        <w:t xml:space="preserve"> Por ello, la diversificación de la matriz energética </w:t>
      </w:r>
      <w:r w:rsidR="00BC43D6">
        <w:rPr>
          <w:rStyle w:val="Ninguno"/>
        </w:rPr>
        <w:t xml:space="preserve">mediante </w:t>
      </w:r>
      <w:r w:rsidRPr="00CE4027">
        <w:rPr>
          <w:rStyle w:val="Ninguno"/>
        </w:rPr>
        <w:t xml:space="preserve">energías renovables se reconoce como la medida de mitigación más importante para frenar el cambio climático. </w:t>
      </w:r>
    </w:p>
    <w:p w14:paraId="592C594D" w14:textId="259B41F1" w:rsidR="001B2BE2" w:rsidRDefault="00820EB3" w:rsidP="00CE4027">
      <w:pPr>
        <w:pStyle w:val="Prrafodelista"/>
        <w:numPr>
          <w:ilvl w:val="0"/>
          <w:numId w:val="7"/>
        </w:numPr>
        <w:jc w:val="both"/>
      </w:pPr>
      <w:r w:rsidRPr="00CE4027">
        <w:rPr>
          <w:rStyle w:val="Ninguno"/>
        </w:rPr>
        <w:t xml:space="preserve">Sin embargo, la transición a energía renovables no puede </w:t>
      </w:r>
      <w:r w:rsidR="00764F96">
        <w:rPr>
          <w:rStyle w:val="Ninguno"/>
        </w:rPr>
        <w:t xml:space="preserve">considerarse </w:t>
      </w:r>
      <w:r w:rsidRPr="00CE4027">
        <w:rPr>
          <w:rStyle w:val="Ninguno"/>
        </w:rPr>
        <w:t>como una simple transformación para pasar de una forma de energía a otra, sino que debe</w:t>
      </w:r>
      <w:r w:rsidR="00764F96">
        <w:rPr>
          <w:rStyle w:val="Ninguno"/>
        </w:rPr>
        <w:t xml:space="preserve"> tomarse</w:t>
      </w:r>
      <w:r w:rsidR="00E70554">
        <w:rPr>
          <w:rStyle w:val="Ninguno"/>
        </w:rPr>
        <w:t xml:space="preserve"> como una gran oportunidad para</w:t>
      </w:r>
      <w:r w:rsidRPr="00CE4027">
        <w:rPr>
          <w:rStyle w:val="Ninguno"/>
        </w:rPr>
        <w:t xml:space="preserve"> </w:t>
      </w:r>
      <w:r w:rsidR="00E70554">
        <w:rPr>
          <w:rStyle w:val="Ninguno"/>
        </w:rPr>
        <w:t xml:space="preserve">disminuir </w:t>
      </w:r>
      <w:r w:rsidRPr="00CE4027">
        <w:rPr>
          <w:rStyle w:val="Ninguno"/>
        </w:rPr>
        <w:t>la reproducción de prácticas extractivistas y tra</w:t>
      </w:r>
      <w:r w:rsidR="00E70554">
        <w:rPr>
          <w:rStyle w:val="Ninguno"/>
        </w:rPr>
        <w:t>n</w:t>
      </w:r>
      <w:r w:rsidRPr="00CE4027">
        <w:rPr>
          <w:rStyle w:val="Ninguno"/>
        </w:rPr>
        <w:t xml:space="preserve">sformar al sector energético que históricamente ha ignorado las habilidades y necesidades de las comunidades indígenas, especialmente de las mujeres y niñas, </w:t>
      </w:r>
      <w:r w:rsidR="007447F3">
        <w:rPr>
          <w:rStyle w:val="Ninguno"/>
        </w:rPr>
        <w:t xml:space="preserve">y </w:t>
      </w:r>
      <w:r w:rsidR="001A7668">
        <w:rPr>
          <w:rStyle w:val="Ninguno"/>
        </w:rPr>
        <w:t xml:space="preserve">que </w:t>
      </w:r>
      <w:r w:rsidR="007447F3">
        <w:rPr>
          <w:rStyle w:val="Ninguno"/>
        </w:rPr>
        <w:t xml:space="preserve">ha </w:t>
      </w:r>
      <w:r w:rsidRPr="00CE4027">
        <w:rPr>
          <w:rStyle w:val="Ninguno"/>
        </w:rPr>
        <w:t>resultado</w:t>
      </w:r>
      <w:r w:rsidR="00147073">
        <w:rPr>
          <w:rStyle w:val="Ninguno"/>
        </w:rPr>
        <w:t xml:space="preserve"> en</w:t>
      </w:r>
      <w:r w:rsidRPr="00CE4027">
        <w:rPr>
          <w:rStyle w:val="Ninguno"/>
        </w:rPr>
        <w:t xml:space="preserve"> la desigualdad en el acceso y control de la energía, </w:t>
      </w:r>
      <w:r w:rsidR="00147073">
        <w:rPr>
          <w:rStyle w:val="Ninguno"/>
        </w:rPr>
        <w:t>con</w:t>
      </w:r>
      <w:r w:rsidRPr="00CE4027">
        <w:rPr>
          <w:rStyle w:val="Ninguno"/>
        </w:rPr>
        <w:t xml:space="preserve"> una imagen feminizada de la pobreza energética y una visión dominante de los hombres en la política energética.</w:t>
      </w:r>
      <w:r>
        <w:rPr>
          <w:rStyle w:val="Refdenotaalpie"/>
        </w:rPr>
        <w:footnoteReference w:id="7"/>
      </w:r>
      <w:r w:rsidRPr="00CE4027">
        <w:rPr>
          <w:rStyle w:val="Ninguno"/>
        </w:rPr>
        <w:t xml:space="preserve"> </w:t>
      </w:r>
    </w:p>
    <w:p w14:paraId="156AB2E5" w14:textId="2622954F" w:rsidR="001B2BE2" w:rsidRDefault="00820EB3" w:rsidP="00CE4027">
      <w:pPr>
        <w:pStyle w:val="Prrafodelista"/>
        <w:numPr>
          <w:ilvl w:val="0"/>
          <w:numId w:val="7"/>
        </w:numPr>
        <w:jc w:val="both"/>
      </w:pPr>
      <w:r w:rsidRPr="00CE4027">
        <w:rPr>
          <w:rStyle w:val="Ninguno"/>
        </w:rPr>
        <w:t xml:space="preserve">El modelo extractivista de energía ha fallado </w:t>
      </w:r>
      <w:r w:rsidR="00147073">
        <w:rPr>
          <w:rStyle w:val="Ninguno"/>
        </w:rPr>
        <w:t xml:space="preserve">sobre todo </w:t>
      </w:r>
      <w:r w:rsidRPr="00CE4027">
        <w:rPr>
          <w:rStyle w:val="Ninguno"/>
        </w:rPr>
        <w:t>en incluir a las mujeres indígenas en los procesos de consulta y participación sobre el uso de las tierras y territorios de la comunidad y sus recursos, ignorando su perspectiva y necesidades en los acuerdos, planes de reasentamiento y beneficios para la comunidad local.</w:t>
      </w:r>
    </w:p>
    <w:p w14:paraId="5C868AD3" w14:textId="299847AF" w:rsidR="001B2BE2" w:rsidRDefault="00820EB3" w:rsidP="00CE4027">
      <w:pPr>
        <w:pStyle w:val="Prrafodelista"/>
        <w:numPr>
          <w:ilvl w:val="0"/>
          <w:numId w:val="8"/>
        </w:numPr>
        <w:jc w:val="both"/>
      </w:pPr>
      <w:r w:rsidRPr="00CE4027">
        <w:rPr>
          <w:rStyle w:val="Ninguno"/>
        </w:rPr>
        <w:lastRenderedPageBreak/>
        <w:t>La transición ofrece la oportunidad de</w:t>
      </w:r>
      <w:r w:rsidR="00C9518A">
        <w:rPr>
          <w:rStyle w:val="Ninguno"/>
        </w:rPr>
        <w:t xml:space="preserve"> tratar</w:t>
      </w:r>
      <w:r w:rsidRPr="00CE4027">
        <w:rPr>
          <w:rStyle w:val="Ninguno"/>
        </w:rPr>
        <w:t xml:space="preserve"> el problema de desigualdad del actual modelo energético e incorporar los principios de igualdad y justicia en el diseño de los nuevos sistemas, garantizando el fomento de la igualdad de género desde una perspectiva interseccional. Como explicó el Relator especial sobre la extrema pobreza y los derechos humanos, las acciones para la transición a la energía renovable ofrecen un "triple dividendo" al reducir las emisiones, promover sociedades más biodiversas y abordar la pobreza y la desigualdad.</w:t>
      </w:r>
      <w:r>
        <w:rPr>
          <w:rStyle w:val="Refdenotaalpie"/>
        </w:rPr>
        <w:footnoteReference w:id="8"/>
      </w:r>
      <w:r w:rsidRPr="00CE4027">
        <w:rPr>
          <w:rStyle w:val="Ninguno"/>
        </w:rPr>
        <w:t xml:space="preserve"> Este es el caso de las mujeres indígenas que están subrepresentadas en el sector energético y en los procesos de toma de decisión y que están sobrerrepresentadas en los índices de pobreza energética.</w:t>
      </w:r>
    </w:p>
    <w:p w14:paraId="032E6A5D" w14:textId="5AC9FD66" w:rsidR="001B2BE2" w:rsidRPr="00C9518A" w:rsidRDefault="005E7416" w:rsidP="00A1571C">
      <w:pPr>
        <w:tabs>
          <w:tab w:val="left" w:pos="5080"/>
        </w:tabs>
        <w:ind w:left="360"/>
        <w:jc w:val="both"/>
        <w:rPr>
          <w:rStyle w:val="Ninguno"/>
          <w:lang w:val="es-MX"/>
        </w:rPr>
      </w:pPr>
      <w:bookmarkStart w:id="2" w:name="_Hlk74839855"/>
      <w:r>
        <w:rPr>
          <w:rStyle w:val="Ninguno"/>
          <w:i/>
          <w:lang w:val="es-MX"/>
        </w:rPr>
        <w:t>En ese sentido</w:t>
      </w:r>
      <w:r w:rsidR="00C9518A">
        <w:rPr>
          <w:rStyle w:val="Ninguno"/>
          <w:i/>
          <w:lang w:val="es-MX"/>
        </w:rPr>
        <w:t>,</w:t>
      </w:r>
      <w:r w:rsidR="00820EB3" w:rsidRPr="00C9518A">
        <w:rPr>
          <w:rStyle w:val="Ninguno"/>
          <w:i/>
          <w:lang w:val="es-MX"/>
        </w:rPr>
        <w:t xml:space="preserve"> consideramos que la futura Recomendación General deb</w:t>
      </w:r>
      <w:r w:rsidR="00087C41">
        <w:rPr>
          <w:rStyle w:val="Ninguno"/>
          <w:i/>
          <w:lang w:val="es-MX"/>
        </w:rPr>
        <w:t>e</w:t>
      </w:r>
      <w:r w:rsidR="00820EB3" w:rsidRPr="00C9518A">
        <w:rPr>
          <w:rStyle w:val="Ninguno"/>
          <w:i/>
          <w:lang w:val="es-MX"/>
        </w:rPr>
        <w:t xml:space="preserve"> orientar a los Estados parte de la Convención sobre l</w:t>
      </w:r>
      <w:r w:rsidR="00A1571C" w:rsidRPr="00C9518A">
        <w:rPr>
          <w:rStyle w:val="Ninguno"/>
          <w:i/>
          <w:lang w:val="es-MX"/>
        </w:rPr>
        <w:t>a</w:t>
      </w:r>
      <w:r w:rsidR="00820EB3" w:rsidRPr="00C9518A">
        <w:rPr>
          <w:rStyle w:val="Ninguno"/>
          <w:i/>
          <w:lang w:val="es-MX"/>
        </w:rPr>
        <w:t>s siguientes obligaciones relativas a los derechos de las mujeres y niñas indígenas</w:t>
      </w:r>
      <w:r w:rsidR="00820EB3" w:rsidRPr="00C9518A">
        <w:rPr>
          <w:rStyle w:val="Ninguno"/>
          <w:lang w:val="es-MX"/>
        </w:rPr>
        <w:t>:</w:t>
      </w:r>
      <w:bookmarkEnd w:id="2"/>
    </w:p>
    <w:p w14:paraId="7A096F68" w14:textId="77777777" w:rsidR="00A1571C" w:rsidRPr="00C9518A" w:rsidRDefault="00A1571C" w:rsidP="00A1571C">
      <w:pPr>
        <w:tabs>
          <w:tab w:val="left" w:pos="5080"/>
        </w:tabs>
        <w:ind w:left="360"/>
        <w:jc w:val="both"/>
        <w:rPr>
          <w:lang w:val="es-MX"/>
        </w:rPr>
      </w:pPr>
    </w:p>
    <w:p w14:paraId="4210C85C" w14:textId="3AE2BF2C" w:rsidR="001B2BE2" w:rsidRPr="00CE4027" w:rsidRDefault="00820EB3" w:rsidP="00CE4027">
      <w:pPr>
        <w:pStyle w:val="Prrafodelista"/>
        <w:numPr>
          <w:ilvl w:val="1"/>
          <w:numId w:val="10"/>
        </w:numPr>
        <w:rPr>
          <w:rStyle w:val="Ninguno"/>
          <w:b/>
          <w:bCs/>
        </w:rPr>
      </w:pPr>
      <w:r w:rsidRPr="00CE4027">
        <w:rPr>
          <w:rStyle w:val="Ninguno"/>
          <w:b/>
        </w:rPr>
        <w:t xml:space="preserve">Consulta previa, libre e informada </w:t>
      </w:r>
    </w:p>
    <w:p w14:paraId="18E3408D" w14:textId="7673C100" w:rsidR="001B2BE2" w:rsidRDefault="00820EB3" w:rsidP="00CE4027">
      <w:pPr>
        <w:pStyle w:val="Prrafodelista"/>
        <w:numPr>
          <w:ilvl w:val="0"/>
          <w:numId w:val="12"/>
        </w:numPr>
        <w:jc w:val="both"/>
      </w:pPr>
      <w:r w:rsidRPr="00CE4027">
        <w:rPr>
          <w:rStyle w:val="Ninguno"/>
        </w:rPr>
        <w:t xml:space="preserve">El Convenio 169 de la OIT y la Declaración de los Derechos de los Pueblos Indígenas consagran el derecho a la consulta previa, libre e informada de los pueblos y comunidades indígenas. </w:t>
      </w:r>
      <w:r w:rsidR="005E7416">
        <w:rPr>
          <w:rStyle w:val="Ninguno"/>
        </w:rPr>
        <w:t xml:space="preserve"> </w:t>
      </w:r>
      <w:r w:rsidRPr="00CE4027">
        <w:rPr>
          <w:rStyle w:val="Ninguno"/>
        </w:rPr>
        <w:t>El Convenio</w:t>
      </w:r>
      <w:r w:rsidR="00C6082F">
        <w:rPr>
          <w:rStyle w:val="Ninguno"/>
        </w:rPr>
        <w:t xml:space="preserve"> 169,</w:t>
      </w:r>
      <w:r w:rsidRPr="00CE4027">
        <w:rPr>
          <w:rStyle w:val="Ninguno"/>
        </w:rPr>
        <w:t xml:space="preserve"> además</w:t>
      </w:r>
      <w:r w:rsidR="00C6082F">
        <w:rPr>
          <w:rStyle w:val="Ninguno"/>
        </w:rPr>
        <w:t>,</w:t>
      </w:r>
      <w:r w:rsidRPr="00CE4027">
        <w:rPr>
          <w:rStyle w:val="Ninguno"/>
        </w:rPr>
        <w:t xml:space="preserve"> establece que dichos procesos deben llevarse a cabo sin obstáculos ni discriminación y prestando atención a los derechos y necesidades especiales de las mujeres e indígenas.</w:t>
      </w:r>
      <w:r>
        <w:rPr>
          <w:rStyle w:val="Refdenotaalpie"/>
        </w:rPr>
        <w:footnoteReference w:id="9"/>
      </w:r>
      <w:r w:rsidRPr="00CE4027">
        <w:rPr>
          <w:rStyle w:val="Ninguno"/>
        </w:rPr>
        <w:t xml:space="preserve"> </w:t>
      </w:r>
    </w:p>
    <w:p w14:paraId="61300D81" w14:textId="24E5D7FA" w:rsidR="001B2BE2" w:rsidRDefault="00820EB3" w:rsidP="00CE4027">
      <w:pPr>
        <w:pStyle w:val="Prrafodelista"/>
        <w:numPr>
          <w:ilvl w:val="0"/>
          <w:numId w:val="12"/>
        </w:numPr>
        <w:jc w:val="both"/>
      </w:pPr>
      <w:r w:rsidRPr="00CE4027">
        <w:rPr>
          <w:rStyle w:val="Ninguno"/>
        </w:rPr>
        <w:t xml:space="preserve">Pese al reconocimiento de este derecho a nivel internacional, en el marco de la transición energética, frecuentemente se busca la rápida implementación de proyectos de energía renovable a gran escala sin el consentimiento de los pueblos indígenas. </w:t>
      </w:r>
      <w:r w:rsidR="00C6082F">
        <w:rPr>
          <w:rStyle w:val="Ninguno"/>
        </w:rPr>
        <w:t xml:space="preserve">Estos </w:t>
      </w:r>
      <w:r w:rsidRPr="00CE4027">
        <w:rPr>
          <w:rStyle w:val="Ninguno"/>
        </w:rPr>
        <w:t>proyectos han resultado en el desplazamiento de comunidades, el cercamiento de tierras y territorios, así como de sitios de significación cultural y espiritual, limitación de acceso a recursos naturales esenciales y ha fomentado los conflictos sociales, así como la erosión de sus derechos económicos, sociales y culturales.</w:t>
      </w:r>
      <w:r>
        <w:rPr>
          <w:rStyle w:val="Refdenotaalpie"/>
        </w:rPr>
        <w:footnoteReference w:id="10"/>
      </w:r>
      <w:r w:rsidRPr="00CE4027">
        <w:rPr>
          <w:rStyle w:val="Ninguno"/>
        </w:rPr>
        <w:t xml:space="preserve"> </w:t>
      </w:r>
    </w:p>
    <w:p w14:paraId="0B82F51E" w14:textId="5A244E88" w:rsidR="001B2BE2" w:rsidRDefault="00820EB3" w:rsidP="00CE4027">
      <w:pPr>
        <w:pStyle w:val="Prrafodelista"/>
        <w:numPr>
          <w:ilvl w:val="0"/>
          <w:numId w:val="12"/>
        </w:numPr>
        <w:jc w:val="both"/>
      </w:pPr>
      <w:r w:rsidRPr="00CE4027">
        <w:rPr>
          <w:rStyle w:val="Ninguno"/>
        </w:rPr>
        <w:t xml:space="preserve">En las ocasiones en las que se busca consultar a los pueblos indígenas, las mujeres indígenas </w:t>
      </w:r>
      <w:r w:rsidR="0047212A">
        <w:rPr>
          <w:rStyle w:val="Ninguno"/>
        </w:rPr>
        <w:t xml:space="preserve">suelen </w:t>
      </w:r>
      <w:r w:rsidRPr="00CE4027">
        <w:rPr>
          <w:rStyle w:val="Ninguno"/>
        </w:rPr>
        <w:t>enfrenta</w:t>
      </w:r>
      <w:r w:rsidR="0047212A">
        <w:rPr>
          <w:rStyle w:val="Ninguno"/>
        </w:rPr>
        <w:t>r</w:t>
      </w:r>
      <w:r w:rsidRPr="00CE4027">
        <w:rPr>
          <w:rStyle w:val="Ninguno"/>
        </w:rPr>
        <w:t xml:space="preserve"> barreras estructurales que limitan su participación en los procesos de consulta. La falta de políticas de género que brind</w:t>
      </w:r>
      <w:r w:rsidR="002A38C1">
        <w:rPr>
          <w:rStyle w:val="Ninguno"/>
        </w:rPr>
        <w:t>e</w:t>
      </w:r>
      <w:r w:rsidRPr="00CE4027">
        <w:rPr>
          <w:rStyle w:val="Ninguno"/>
        </w:rPr>
        <w:t xml:space="preserve">n información adecuada e impulsen la participación de las mujeres en los procesos de consulta </w:t>
      </w:r>
      <w:r w:rsidR="002A38C1">
        <w:rPr>
          <w:rStyle w:val="Ninguno"/>
        </w:rPr>
        <w:t>lleva</w:t>
      </w:r>
      <w:r w:rsidRPr="00CE4027">
        <w:rPr>
          <w:rStyle w:val="Ninguno"/>
        </w:rPr>
        <w:t xml:space="preserve"> a la exclusión sistemática y la falta de representación de las mujeres indígenas en espacios vitales de toma de decisión.</w:t>
      </w:r>
      <w:r>
        <w:rPr>
          <w:rStyle w:val="Refdenotaalpie"/>
        </w:rPr>
        <w:footnoteReference w:id="11"/>
      </w:r>
    </w:p>
    <w:p w14:paraId="3A023EEA" w14:textId="44B818D5" w:rsidR="001B2BE2" w:rsidRDefault="00820EB3" w:rsidP="00CE4027">
      <w:pPr>
        <w:pStyle w:val="Prrafodelista"/>
        <w:numPr>
          <w:ilvl w:val="0"/>
          <w:numId w:val="12"/>
        </w:numPr>
        <w:jc w:val="both"/>
      </w:pPr>
      <w:r w:rsidRPr="00CE4027">
        <w:rPr>
          <w:rStyle w:val="Ninguno"/>
        </w:rPr>
        <w:t>Debido a los impactos de los roles tradicionales de género, se espera que las mujeres se queden en casa a realizar las labores de cuidado</w:t>
      </w:r>
      <w:r w:rsidR="00F8259A">
        <w:rPr>
          <w:rStyle w:val="Ninguno"/>
        </w:rPr>
        <w:t>. Esto limita</w:t>
      </w:r>
      <w:r w:rsidRPr="00CE4027">
        <w:rPr>
          <w:rStyle w:val="Ninguno"/>
        </w:rPr>
        <w:t xml:space="preserve"> sus posibilidades de ser agentes </w:t>
      </w:r>
      <w:r w:rsidRPr="00CE4027">
        <w:rPr>
          <w:rStyle w:val="Ninguno"/>
        </w:rPr>
        <w:lastRenderedPageBreak/>
        <w:t xml:space="preserve">activas en los procesos de consulta. </w:t>
      </w:r>
      <w:r w:rsidR="00F8259A">
        <w:rPr>
          <w:rStyle w:val="Ninguno"/>
        </w:rPr>
        <w:t xml:space="preserve">Asimismo, </w:t>
      </w:r>
      <w:r w:rsidR="008E5137">
        <w:rPr>
          <w:rStyle w:val="Ninguno"/>
        </w:rPr>
        <w:t>pocas veces</w:t>
      </w:r>
      <w:r w:rsidRPr="00CE4027">
        <w:rPr>
          <w:rStyle w:val="Ninguno"/>
        </w:rPr>
        <w:t xml:space="preserve"> </w:t>
      </w:r>
      <w:r w:rsidR="008E5137">
        <w:rPr>
          <w:rStyle w:val="Ninguno"/>
        </w:rPr>
        <w:t>se les c</w:t>
      </w:r>
      <w:r w:rsidRPr="00CE4027">
        <w:rPr>
          <w:rStyle w:val="Ninguno"/>
        </w:rPr>
        <w:t>onsulta</w:t>
      </w:r>
      <w:r w:rsidR="008E5137">
        <w:rPr>
          <w:rStyle w:val="Ninguno"/>
        </w:rPr>
        <w:t xml:space="preserve"> sobre</w:t>
      </w:r>
      <w:r w:rsidRPr="00CE4027">
        <w:rPr>
          <w:rStyle w:val="Ninguno"/>
        </w:rPr>
        <w:t xml:space="preserve"> impactos específicos a sus derechos, como la afectación a los recursos que </w:t>
      </w:r>
      <w:r w:rsidR="000F680A">
        <w:rPr>
          <w:rStyle w:val="Ninguno"/>
        </w:rPr>
        <w:t xml:space="preserve">ellas mayormente utilizan </w:t>
      </w:r>
      <w:r w:rsidRPr="00CE4027">
        <w:rPr>
          <w:rStyle w:val="Ninguno"/>
        </w:rPr>
        <w:t xml:space="preserve">o </w:t>
      </w:r>
      <w:r w:rsidR="00B10017">
        <w:rPr>
          <w:rStyle w:val="Ninguno"/>
        </w:rPr>
        <w:t>a los</w:t>
      </w:r>
      <w:r w:rsidR="000F680A">
        <w:rPr>
          <w:rStyle w:val="Ninguno"/>
        </w:rPr>
        <w:t xml:space="preserve"> </w:t>
      </w:r>
      <w:r w:rsidRPr="00CE4027">
        <w:rPr>
          <w:rStyle w:val="Ninguno"/>
        </w:rPr>
        <w:t xml:space="preserve">espacios a los que </w:t>
      </w:r>
      <w:r w:rsidR="00B10017">
        <w:rPr>
          <w:rStyle w:val="Ninguno"/>
        </w:rPr>
        <w:t xml:space="preserve">frecuentemente </w:t>
      </w:r>
      <w:r w:rsidRPr="00CE4027">
        <w:rPr>
          <w:rStyle w:val="Ninguno"/>
        </w:rPr>
        <w:t xml:space="preserve">acuden. </w:t>
      </w:r>
      <w:r w:rsidR="00D76D9D">
        <w:rPr>
          <w:rStyle w:val="Ninguno"/>
        </w:rPr>
        <w:t>Más aún, t</w:t>
      </w:r>
      <w:r w:rsidR="009D6DE5">
        <w:rPr>
          <w:rStyle w:val="Ninguno"/>
        </w:rPr>
        <w:t xml:space="preserve">ampoco </w:t>
      </w:r>
      <w:r w:rsidR="00D76D9D">
        <w:rPr>
          <w:rStyle w:val="Ninguno"/>
        </w:rPr>
        <w:t xml:space="preserve">se les consulta </w:t>
      </w:r>
      <w:r w:rsidR="009D6DE5">
        <w:rPr>
          <w:rStyle w:val="Ninguno"/>
        </w:rPr>
        <w:t xml:space="preserve">sobre </w:t>
      </w:r>
      <w:r w:rsidRPr="00CE4027">
        <w:rPr>
          <w:rStyle w:val="Ninguno"/>
        </w:rPr>
        <w:t xml:space="preserve">propuestas específicas frente a la vulneración de </w:t>
      </w:r>
      <w:r w:rsidR="00534479">
        <w:rPr>
          <w:rStyle w:val="Ninguno"/>
        </w:rPr>
        <w:t xml:space="preserve">sus </w:t>
      </w:r>
      <w:r w:rsidRPr="00CE4027">
        <w:rPr>
          <w:rStyle w:val="Ninguno"/>
        </w:rPr>
        <w:t>derechos colectivos.</w:t>
      </w:r>
    </w:p>
    <w:p w14:paraId="0C78766A" w14:textId="46C73E80" w:rsidR="001B2BE2" w:rsidRPr="00CE4027" w:rsidRDefault="00820EB3" w:rsidP="0091135A">
      <w:pPr>
        <w:pStyle w:val="Prrafodelista"/>
        <w:numPr>
          <w:ilvl w:val="0"/>
          <w:numId w:val="12"/>
        </w:numPr>
        <w:jc w:val="both"/>
        <w:rPr>
          <w:rStyle w:val="Ninguno"/>
        </w:rPr>
      </w:pPr>
      <w:r w:rsidRPr="00CE4027">
        <w:rPr>
          <w:rStyle w:val="Ninguno"/>
        </w:rPr>
        <w:t xml:space="preserve">Por ejemplo, en el caso de la comunidad de Unión Hidalgo en Oaxaca, México, la comunidad no ha sido debidamente consultada acerca del proyecto promovido por la empresa </w:t>
      </w:r>
      <w:proofErr w:type="spellStart"/>
      <w:r w:rsidRPr="00CE4027">
        <w:rPr>
          <w:rStyle w:val="Ninguno"/>
          <w:i/>
        </w:rPr>
        <w:t>Electricité</w:t>
      </w:r>
      <w:proofErr w:type="spellEnd"/>
      <w:r w:rsidRPr="00CE4027">
        <w:rPr>
          <w:rStyle w:val="Ninguno"/>
          <w:i/>
        </w:rPr>
        <w:t xml:space="preserve"> de France</w:t>
      </w:r>
      <w:r w:rsidRPr="00CE4027">
        <w:rPr>
          <w:rStyle w:val="Ninguno"/>
        </w:rPr>
        <w:t xml:space="preserve">, </w:t>
      </w:r>
      <w:r w:rsidR="00DD2E8A">
        <w:rPr>
          <w:rStyle w:val="Ninguno"/>
        </w:rPr>
        <w:t>que</w:t>
      </w:r>
      <w:r w:rsidRPr="00CE4027">
        <w:rPr>
          <w:rStyle w:val="Ninguno"/>
        </w:rPr>
        <w:t xml:space="preserve"> consiste en la construcción del Parque Eólico “</w:t>
      </w:r>
      <w:proofErr w:type="spellStart"/>
      <w:r w:rsidRPr="00CE4027">
        <w:rPr>
          <w:rStyle w:val="Ninguno"/>
        </w:rPr>
        <w:t>Gunná</w:t>
      </w:r>
      <w:proofErr w:type="spellEnd"/>
      <w:r w:rsidRPr="00CE4027">
        <w:rPr>
          <w:rStyle w:val="Ninguno"/>
        </w:rPr>
        <w:t xml:space="preserve"> </w:t>
      </w:r>
      <w:proofErr w:type="spellStart"/>
      <w:r w:rsidRPr="00CE4027">
        <w:rPr>
          <w:rStyle w:val="Ninguno"/>
        </w:rPr>
        <w:t>Sicarú</w:t>
      </w:r>
      <w:proofErr w:type="spellEnd"/>
      <w:r w:rsidRPr="00CE4027">
        <w:rPr>
          <w:rStyle w:val="Ninguno"/>
        </w:rPr>
        <w:t xml:space="preserve">”. </w:t>
      </w:r>
      <w:r w:rsidR="00970513">
        <w:rPr>
          <w:rStyle w:val="Ninguno"/>
        </w:rPr>
        <w:t>Particularmente</w:t>
      </w:r>
      <w:r w:rsidR="00CC5C23">
        <w:rPr>
          <w:rStyle w:val="Ninguno"/>
        </w:rPr>
        <w:t>,</w:t>
      </w:r>
      <w:r w:rsidR="00951AAA">
        <w:rPr>
          <w:rStyle w:val="Ninguno"/>
        </w:rPr>
        <w:t xml:space="preserve"> </w:t>
      </w:r>
      <w:r w:rsidRPr="00CE4027">
        <w:rPr>
          <w:rStyle w:val="Ninguno"/>
        </w:rPr>
        <w:t xml:space="preserve">las mujeres indígenas </w:t>
      </w:r>
      <w:r w:rsidR="00CC5C23">
        <w:rPr>
          <w:rStyle w:val="Ninguno"/>
        </w:rPr>
        <w:t xml:space="preserve">han </w:t>
      </w:r>
      <w:r w:rsidR="00B05190">
        <w:rPr>
          <w:rStyle w:val="Ninguno"/>
        </w:rPr>
        <w:t xml:space="preserve">sido </w:t>
      </w:r>
      <w:r w:rsidR="00CC5C23">
        <w:rPr>
          <w:rStyle w:val="Ninguno"/>
        </w:rPr>
        <w:t xml:space="preserve">ampliamente </w:t>
      </w:r>
      <w:r w:rsidR="00B05190">
        <w:rPr>
          <w:rStyle w:val="Ninguno"/>
        </w:rPr>
        <w:t xml:space="preserve">rezagadas representando </w:t>
      </w:r>
      <w:r w:rsidRPr="00CE4027">
        <w:rPr>
          <w:rStyle w:val="Ninguno"/>
        </w:rPr>
        <w:t>solo 5% del total de participación.</w:t>
      </w:r>
    </w:p>
    <w:p w14:paraId="778D85E4" w14:textId="072ED15F" w:rsidR="001B2BE2" w:rsidRPr="00CE4027" w:rsidRDefault="00820EB3" w:rsidP="00CE4027">
      <w:pPr>
        <w:pStyle w:val="Prrafodelista"/>
        <w:numPr>
          <w:ilvl w:val="1"/>
          <w:numId w:val="13"/>
        </w:numPr>
        <w:rPr>
          <w:rStyle w:val="Ninguno"/>
          <w:b/>
          <w:bCs/>
        </w:rPr>
      </w:pPr>
      <w:r w:rsidRPr="00CE4027">
        <w:rPr>
          <w:rStyle w:val="Ninguno"/>
          <w:b/>
        </w:rPr>
        <w:t xml:space="preserve">Participación y representación en los proyectos y en los procesos de toma de decisión de la transición energética </w:t>
      </w:r>
    </w:p>
    <w:p w14:paraId="0B5660CA" w14:textId="446BCBAD" w:rsidR="001B2BE2" w:rsidRDefault="00820EB3" w:rsidP="00CE4027">
      <w:pPr>
        <w:pStyle w:val="Prrafodelista"/>
        <w:numPr>
          <w:ilvl w:val="0"/>
          <w:numId w:val="15"/>
        </w:numPr>
        <w:jc w:val="both"/>
      </w:pPr>
      <w:r w:rsidRPr="00CE4027">
        <w:rPr>
          <w:rStyle w:val="Ninguno"/>
        </w:rPr>
        <w:t>El derecho de las mujeres a participar plenamente en la vida pública y política a nivel local e internacional está consagrado en diversos instrumentos jurídicos</w:t>
      </w:r>
      <w:r w:rsidR="0091135A">
        <w:rPr>
          <w:rStyle w:val="Ninguno"/>
        </w:rPr>
        <w:t xml:space="preserve"> internacionales</w:t>
      </w:r>
      <w:r w:rsidRPr="00CE4027">
        <w:rPr>
          <w:rStyle w:val="Ninguno"/>
        </w:rPr>
        <w:t xml:space="preserve">, como los </w:t>
      </w:r>
      <w:r w:rsidR="000C1B6D">
        <w:rPr>
          <w:rStyle w:val="Ninguno"/>
        </w:rPr>
        <w:t>a</w:t>
      </w:r>
      <w:r w:rsidRPr="00CE4027">
        <w:rPr>
          <w:rStyle w:val="Ninguno"/>
        </w:rPr>
        <w:t>rtículos</w:t>
      </w:r>
      <w:r w:rsidR="0091135A">
        <w:rPr>
          <w:rStyle w:val="Ninguno"/>
        </w:rPr>
        <w:t xml:space="preserve"> </w:t>
      </w:r>
      <w:r w:rsidRPr="00CE4027">
        <w:rPr>
          <w:rStyle w:val="Ninguno"/>
        </w:rPr>
        <w:t xml:space="preserve">7, 8 y 14 de la CEDAW. Asegurar </w:t>
      </w:r>
      <w:r w:rsidR="00667FCF">
        <w:rPr>
          <w:rStyle w:val="Ninguno"/>
        </w:rPr>
        <w:t xml:space="preserve">el acceso a </w:t>
      </w:r>
      <w:r w:rsidRPr="00CE4027">
        <w:rPr>
          <w:rStyle w:val="Ninguno"/>
        </w:rPr>
        <w:t>información necesaria, atender las barreras que limitan la representación de las mujeres en procesos de toma de decisión y crea</w:t>
      </w:r>
      <w:r w:rsidR="00E65773">
        <w:rPr>
          <w:rStyle w:val="Ninguno"/>
        </w:rPr>
        <w:t>r</w:t>
      </w:r>
      <w:r w:rsidRPr="00CE4027">
        <w:rPr>
          <w:rStyle w:val="Ninguno"/>
        </w:rPr>
        <w:t xml:space="preserve"> mecanismos de participación, vinculación y diálogo efectivos son medidas fundamentales para asegurar que los derechos de las mujeres indígenas se</w:t>
      </w:r>
      <w:r w:rsidR="00545461">
        <w:rPr>
          <w:rStyle w:val="Ninguno"/>
        </w:rPr>
        <w:t xml:space="preserve"> </w:t>
      </w:r>
      <w:r w:rsidRPr="00CE4027">
        <w:rPr>
          <w:rStyle w:val="Ninguno"/>
        </w:rPr>
        <w:t>garanti</w:t>
      </w:r>
      <w:r w:rsidR="00545461">
        <w:rPr>
          <w:rStyle w:val="Ninguno"/>
        </w:rPr>
        <w:t>cen</w:t>
      </w:r>
      <w:r w:rsidRPr="00CE4027">
        <w:rPr>
          <w:rStyle w:val="Ninguno"/>
        </w:rPr>
        <w:t xml:space="preserve"> en todos los contextos, </w:t>
      </w:r>
      <w:r w:rsidR="00545461">
        <w:rPr>
          <w:rStyle w:val="Ninguno"/>
        </w:rPr>
        <w:t xml:space="preserve">incluido el de </w:t>
      </w:r>
      <w:r w:rsidRPr="00CE4027">
        <w:rPr>
          <w:rStyle w:val="Ninguno"/>
        </w:rPr>
        <w:t xml:space="preserve">la transición energética. </w:t>
      </w:r>
    </w:p>
    <w:p w14:paraId="0BCBD39E" w14:textId="389305E3" w:rsidR="001B2BE2" w:rsidRDefault="00820EB3" w:rsidP="00CE4027">
      <w:pPr>
        <w:pStyle w:val="Prrafodelista"/>
        <w:numPr>
          <w:ilvl w:val="0"/>
          <w:numId w:val="15"/>
        </w:numPr>
        <w:jc w:val="both"/>
      </w:pPr>
      <w:r w:rsidRPr="00CE4027">
        <w:rPr>
          <w:rStyle w:val="Ninguno"/>
        </w:rPr>
        <w:t>Más allá de la consulta sobre proyectos energéticos, los Estados deben proponer escenarios de participación culturalmente adecuados que permitan a las mujeres indígenas ser parte integral de la definición de políticas públicas, marcos jurídicos y desarrollo de proyectos de energía</w:t>
      </w:r>
      <w:r w:rsidR="008C1DE7">
        <w:rPr>
          <w:rStyle w:val="Ninguno"/>
        </w:rPr>
        <w:t xml:space="preserve">, </w:t>
      </w:r>
      <w:r w:rsidRPr="00CE4027">
        <w:rPr>
          <w:rStyle w:val="Ninguno"/>
        </w:rPr>
        <w:t xml:space="preserve">desde las fases de diseño hasta su implementación y monitoreo. </w:t>
      </w:r>
    </w:p>
    <w:p w14:paraId="08DF4944" w14:textId="3C384D25" w:rsidR="001B2BE2" w:rsidRDefault="00A26D46" w:rsidP="00CE4027">
      <w:pPr>
        <w:pStyle w:val="Prrafodelista"/>
        <w:numPr>
          <w:ilvl w:val="0"/>
          <w:numId w:val="15"/>
        </w:numPr>
        <w:jc w:val="both"/>
      </w:pPr>
      <w:r>
        <w:rPr>
          <w:rStyle w:val="Ninguno"/>
        </w:rPr>
        <w:t>L</w:t>
      </w:r>
      <w:r w:rsidR="00820EB3" w:rsidRPr="00CE4027">
        <w:rPr>
          <w:rStyle w:val="Ninguno"/>
        </w:rPr>
        <w:t xml:space="preserve">as mujeres y niñas indígenas juegan un </w:t>
      </w:r>
      <w:r>
        <w:rPr>
          <w:rStyle w:val="Ninguno"/>
        </w:rPr>
        <w:t>papel</w:t>
      </w:r>
      <w:r w:rsidR="00820EB3" w:rsidRPr="00CE4027">
        <w:rPr>
          <w:rStyle w:val="Ninguno"/>
        </w:rPr>
        <w:t xml:space="preserve"> fundamental en el manejo y provisión de recursos energéticos y conocimientos tradicionales, por lo que su voz y activa participación en la transición a energías limpias es vital para lograr frenar el cambio climático y redefinir los modelos de provisión y distribución energética.   </w:t>
      </w:r>
    </w:p>
    <w:p w14:paraId="1F85FA7B" w14:textId="0229000A" w:rsidR="001B2BE2" w:rsidRPr="00CE4027" w:rsidRDefault="00820EB3" w:rsidP="00CE4027">
      <w:pPr>
        <w:pStyle w:val="Prrafodelista"/>
        <w:numPr>
          <w:ilvl w:val="1"/>
          <w:numId w:val="16"/>
        </w:numPr>
        <w:rPr>
          <w:rStyle w:val="Ninguno"/>
          <w:b/>
          <w:bCs/>
        </w:rPr>
      </w:pPr>
      <w:r w:rsidRPr="00CE4027">
        <w:rPr>
          <w:rStyle w:val="Ninguno"/>
          <w:b/>
        </w:rPr>
        <w:t xml:space="preserve">Derechos a la tierra, territorio y recursos naturales </w:t>
      </w:r>
    </w:p>
    <w:p w14:paraId="71E6FD4C" w14:textId="77777777" w:rsidR="001B2BE2" w:rsidRDefault="00820EB3" w:rsidP="00CE4027">
      <w:pPr>
        <w:pStyle w:val="Prrafodelista"/>
        <w:numPr>
          <w:ilvl w:val="0"/>
          <w:numId w:val="18"/>
        </w:numPr>
        <w:jc w:val="both"/>
      </w:pPr>
      <w:r w:rsidRPr="00CE4027">
        <w:rPr>
          <w:rStyle w:val="Ninguno"/>
        </w:rPr>
        <w:t>En los escenarios rurales, las mujeres representan entre el 70% y el 80% de los pequeños agricultores del mundo y son las principales responsables de proporcionar cuidados, alimentos y agua a sus familias.</w:t>
      </w:r>
      <w:r>
        <w:rPr>
          <w:rStyle w:val="Refdenotaalpie"/>
        </w:rPr>
        <w:footnoteReference w:id="12"/>
      </w:r>
      <w:r w:rsidRPr="00CE4027">
        <w:rPr>
          <w:rStyle w:val="Ninguno"/>
        </w:rPr>
        <w:t xml:space="preserve"> Por ello, la pérdida de acceso y control sobre la tierra por megaproyectos de energía renovable es frecuentemente causa de la vulneración a los derechos de las mujeres indígenas a la alimentación, su autonomía económica, y realización de sus actividades tradicionales. Asimismo, resultan en una pérdida de la biodiversidad, la calidad de vida y de sus medios de subsistencia.</w:t>
      </w:r>
    </w:p>
    <w:p w14:paraId="45904ACA" w14:textId="77777777" w:rsidR="001B2BE2" w:rsidRDefault="00820EB3" w:rsidP="00CE4027">
      <w:pPr>
        <w:pStyle w:val="Prrafodelista"/>
        <w:numPr>
          <w:ilvl w:val="0"/>
          <w:numId w:val="18"/>
        </w:numPr>
        <w:jc w:val="both"/>
      </w:pPr>
      <w:r w:rsidRPr="00CE4027">
        <w:rPr>
          <w:rStyle w:val="Ninguno"/>
        </w:rPr>
        <w:t xml:space="preserve">Frecuentemente los medios de compensación por la utilización o compra de sus tierras suele ser insuficientes y benefician únicamente a los hombres indígenas de la comunidad, ya que las mujeres, en general, no ostentan títulos de propiedad. Como resultado, la exclusión de </w:t>
      </w:r>
      <w:r w:rsidRPr="00CE4027">
        <w:rPr>
          <w:rStyle w:val="Ninguno"/>
        </w:rPr>
        <w:lastRenderedPageBreak/>
        <w:t>las mujeres y la pérdida de territorio agrava las condiciones de pobreza y las hace más proclives a ser sujetas de violencia de género.</w:t>
      </w:r>
      <w:r>
        <w:rPr>
          <w:rStyle w:val="Refdenotaalpie"/>
        </w:rPr>
        <w:footnoteReference w:id="13"/>
      </w:r>
      <w:r w:rsidRPr="00CE4027">
        <w:rPr>
          <w:rStyle w:val="Ninguno"/>
        </w:rPr>
        <w:t xml:space="preserve"> </w:t>
      </w:r>
    </w:p>
    <w:p w14:paraId="4B91FCBA" w14:textId="0D02B31D" w:rsidR="001B2BE2" w:rsidRDefault="00820EB3" w:rsidP="00CE4027">
      <w:pPr>
        <w:pStyle w:val="Prrafodelista"/>
        <w:numPr>
          <w:ilvl w:val="0"/>
          <w:numId w:val="18"/>
        </w:numPr>
        <w:jc w:val="both"/>
      </w:pPr>
      <w:r w:rsidRPr="00CE4027">
        <w:rPr>
          <w:rStyle w:val="Ninguno"/>
        </w:rPr>
        <w:t>La pérdida de territorio y recursos naturales afecta el rol indispensable que las mujeres indígenas tienen en el cuidado del medio ambiente y en la lucha por la preservación de los ecosistemas.</w:t>
      </w:r>
      <w:r>
        <w:rPr>
          <w:rStyle w:val="Refdenotaalpie"/>
        </w:rPr>
        <w:footnoteReference w:id="14"/>
      </w:r>
      <w:r w:rsidRPr="00CE4027">
        <w:rPr>
          <w:rStyle w:val="Ninguno"/>
        </w:rPr>
        <w:t xml:space="preserve"> Es crucial reconocer el rol de las mujeres indígenas como defensoras de los territorios y medio ambiente, la activa participación que vienen ejerciendo en sus territorios, comunidades y organizaciones por la defensa del territorio, el agua, los bosques, así como el potencial y la fuerza de las mujeres indígenas como actoras de transformación local para lograr que la transición energética y a economía bajas en carbono sea sostenible, inclusiva y justa.</w:t>
      </w:r>
    </w:p>
    <w:p w14:paraId="3A994124" w14:textId="3B9E2418" w:rsidR="001B2BE2" w:rsidRDefault="00820EB3" w:rsidP="00CE4027">
      <w:pPr>
        <w:pStyle w:val="Prrafodelista"/>
        <w:numPr>
          <w:ilvl w:val="0"/>
          <w:numId w:val="18"/>
        </w:numPr>
        <w:jc w:val="both"/>
      </w:pPr>
      <w:r w:rsidRPr="00CE4027">
        <w:rPr>
          <w:rStyle w:val="Ninguno"/>
        </w:rPr>
        <w:t xml:space="preserve">Las mujeres indígenas exigen ser consideradas en la gestión y conservación de sus territorios y recursos, y señalan que, si el territorio es colectivo, debe ser administrado por toda la colectividad, tanto hombres como mujeres. </w:t>
      </w:r>
    </w:p>
    <w:p w14:paraId="2464C631" w14:textId="77777777" w:rsidR="001B2BE2" w:rsidRPr="00A1571C" w:rsidRDefault="001B2BE2" w:rsidP="00A1571C">
      <w:pPr>
        <w:ind w:left="349"/>
        <w:jc w:val="both"/>
        <w:rPr>
          <w:lang w:val="es-MX"/>
        </w:rPr>
      </w:pPr>
    </w:p>
    <w:p w14:paraId="4913FD8C" w14:textId="77777777" w:rsidR="001B2BE2" w:rsidRDefault="00820EB3" w:rsidP="00CE4027">
      <w:pPr>
        <w:pStyle w:val="Prrafodelista"/>
        <w:numPr>
          <w:ilvl w:val="1"/>
          <w:numId w:val="19"/>
        </w:numPr>
        <w:rPr>
          <w:b/>
          <w:bCs/>
        </w:rPr>
      </w:pPr>
      <w:r w:rsidRPr="00CE4027">
        <w:rPr>
          <w:rStyle w:val="Ninguno"/>
          <w:b/>
        </w:rPr>
        <w:t xml:space="preserve">Acceso a energía sostenible y los derechos económicos, sociales y culturales de las mujeres indígenas </w:t>
      </w:r>
    </w:p>
    <w:p w14:paraId="1EF2C318" w14:textId="77777777" w:rsidR="001B2BE2" w:rsidRPr="000C1B6D" w:rsidRDefault="001B2BE2" w:rsidP="00CE4027">
      <w:pPr>
        <w:tabs>
          <w:tab w:val="left" w:pos="5080"/>
        </w:tabs>
        <w:ind w:left="1080"/>
        <w:rPr>
          <w:rStyle w:val="Ninguno"/>
          <w:b/>
          <w:lang w:val="es-419"/>
        </w:rPr>
      </w:pPr>
    </w:p>
    <w:p w14:paraId="62334463" w14:textId="77777777" w:rsidR="001B2BE2" w:rsidRDefault="00820EB3" w:rsidP="00CE4027">
      <w:pPr>
        <w:pStyle w:val="Prrafodelista"/>
        <w:numPr>
          <w:ilvl w:val="0"/>
          <w:numId w:val="21"/>
        </w:numPr>
        <w:jc w:val="both"/>
      </w:pPr>
      <w:r w:rsidRPr="00CE4027">
        <w:rPr>
          <w:rStyle w:val="Ninguno"/>
        </w:rPr>
        <w:t xml:space="preserve">A la fecha no se reconoce que la energía limpia es un derecho humano. Sin embargo, los derechos económicos, sociales y culturales de las mujeres indígenas no pueden realizarse sin acceso a energía sostenible. El artículo 14 de la CEDAW reconoce que los Estados tienen la obligación de implementar medidas para eliminar la discriminación contra la mujer en zonas rurales y asegurar su derecho a gozar de condiciones adecuadas de vida, particularmente en las esferas, entre otras, de la electricidad. </w:t>
      </w:r>
    </w:p>
    <w:p w14:paraId="63D36D8B" w14:textId="77777777" w:rsidR="001B2BE2" w:rsidRDefault="00820EB3" w:rsidP="00CE4027">
      <w:pPr>
        <w:pStyle w:val="Prrafodelista"/>
        <w:numPr>
          <w:ilvl w:val="0"/>
          <w:numId w:val="21"/>
        </w:numPr>
        <w:jc w:val="both"/>
      </w:pPr>
      <w:r w:rsidRPr="00CE4027">
        <w:rPr>
          <w:rStyle w:val="Ninguno"/>
        </w:rPr>
        <w:t>El artículo 12 del Pacto Internacional de Derechos Económicos, Sociales y Culturales (PIDESC) reconoce el derecho al disfrute del más alto nivel posible de salud física y mental y el artículo 12 de la CEDAW reconoce el derecho de las mujeres de recibir servicios apropiados en relación con el embarazo, el parto y el período posterior al parto. Sin acceso a energía sostenible, moderna y segura, la realización del derecho a la salud de las mujeres indígenas es imposible de garantizar, ya que la energía es indispensable para la provisión de servicios de salud de calidad y el uso de equipo médico profesional.</w:t>
      </w:r>
    </w:p>
    <w:p w14:paraId="411E56B2" w14:textId="77777777" w:rsidR="001B2BE2" w:rsidRDefault="00820EB3" w:rsidP="00CE4027">
      <w:pPr>
        <w:pStyle w:val="Prrafodelista"/>
        <w:numPr>
          <w:ilvl w:val="0"/>
          <w:numId w:val="21"/>
        </w:numPr>
        <w:jc w:val="both"/>
      </w:pPr>
      <w:r w:rsidRPr="00CE4027">
        <w:rPr>
          <w:rStyle w:val="Ninguno"/>
        </w:rPr>
        <w:t xml:space="preserve">El artículo 13 del PIDESC establece el derecho de todas las personas a la educación y el artículo 10 de la CEDAW prohíbe la discriminación de las mujeres en el sector. Pese a que es posible brindar educación sin electricidad, solo centros educativos con acceso a este servicio fundamental tienen la capacidad de brindar educación académica adecuada y de alto nivel. </w:t>
      </w:r>
    </w:p>
    <w:p w14:paraId="43F0C567" w14:textId="633E8CA4" w:rsidR="001B2BE2" w:rsidRDefault="00820EB3" w:rsidP="00CE4027">
      <w:pPr>
        <w:pStyle w:val="Prrafodelista"/>
        <w:numPr>
          <w:ilvl w:val="0"/>
          <w:numId w:val="21"/>
        </w:numPr>
        <w:jc w:val="both"/>
      </w:pPr>
      <w:r w:rsidRPr="00CE4027">
        <w:rPr>
          <w:rStyle w:val="Ninguno"/>
        </w:rPr>
        <w:t xml:space="preserve">No obstante, comúnmente los procesos de transición energética están diseñados para proveer de energía a la población urbana con base en esquemas que priorizan las ganancias </w:t>
      </w:r>
      <w:r w:rsidRPr="00CE4027">
        <w:rPr>
          <w:rStyle w:val="Ninguno"/>
        </w:rPr>
        <w:lastRenderedPageBreak/>
        <w:t>económicas sin considerar la necesidad de brindar energía a poblaciones marginadas y de bajos recursos, como son las mujeres y niñas indígenas. Muestra de lo anterior es el caso de la construcción de parques eólicos en la región del Istmo de Tehuantepec, en México; dónde la instalación de estos parques beneficia directamente a empresas transnacionales</w:t>
      </w:r>
      <w:r w:rsidRPr="00CE4027">
        <w:rPr>
          <w:rStyle w:val="Ninguno"/>
          <w:vertAlign w:val="superscript"/>
        </w:rPr>
        <w:footnoteReference w:id="15"/>
      </w:r>
      <w:r w:rsidRPr="00CE4027">
        <w:rPr>
          <w:rStyle w:val="Ninguno"/>
        </w:rPr>
        <w:t xml:space="preserve"> y no garantiza que la comunidad tenga acceso a energía eléctrica a precios más económicos, algunos hogares de la región ni siquiera tienen acceso a ella.</w:t>
      </w:r>
    </w:p>
    <w:p w14:paraId="3B7E09D9" w14:textId="7DD555BA" w:rsidR="001B2BE2" w:rsidRDefault="00820EB3" w:rsidP="0073474C">
      <w:pPr>
        <w:pStyle w:val="Prrafodelista"/>
        <w:numPr>
          <w:ilvl w:val="0"/>
          <w:numId w:val="21"/>
        </w:numPr>
        <w:jc w:val="both"/>
      </w:pPr>
      <w:r w:rsidRPr="00CE4027">
        <w:rPr>
          <w:rStyle w:val="Ninguno"/>
        </w:rPr>
        <w:t xml:space="preserve">Es indispensable reconocer el derecho a al acceso a energía sostenible, accesible, moderna y segura como una condición fundamental para ejercer los derechos económicos, sociales y culturales de las mujeres y niñas indígenas. </w:t>
      </w:r>
    </w:p>
    <w:p w14:paraId="2F1EBB72" w14:textId="1B130809" w:rsidR="001B2BE2" w:rsidRPr="00CE4027" w:rsidRDefault="00820EB3" w:rsidP="00CE4027">
      <w:pPr>
        <w:pStyle w:val="Prrafodelista"/>
        <w:numPr>
          <w:ilvl w:val="1"/>
          <w:numId w:val="22"/>
        </w:numPr>
        <w:rPr>
          <w:rStyle w:val="Ninguno"/>
          <w:b/>
          <w:bCs/>
        </w:rPr>
      </w:pPr>
      <w:r w:rsidRPr="00CE4027">
        <w:rPr>
          <w:rStyle w:val="Ninguno"/>
          <w:b/>
        </w:rPr>
        <w:t xml:space="preserve">Defensoras de derechos humanos </w:t>
      </w:r>
    </w:p>
    <w:p w14:paraId="4909BF62" w14:textId="4D3CBB29" w:rsidR="001B2BE2" w:rsidRPr="00CE4027" w:rsidRDefault="00820EB3" w:rsidP="00CE4027">
      <w:pPr>
        <w:pStyle w:val="Prrafodelista"/>
        <w:numPr>
          <w:ilvl w:val="0"/>
          <w:numId w:val="23"/>
        </w:numPr>
        <w:jc w:val="both"/>
      </w:pPr>
      <w:r w:rsidRPr="00CE4027">
        <w:rPr>
          <w:rStyle w:val="Ninguno"/>
        </w:rPr>
        <w:t>Muchas de las defensoras de la tierra, el territorio y el medio ambiente son mujeres indígenas y trabajan desde la primera línea de defensa en contra de las causas e impactos de la crisis climática y a favor de una transición justa y sostenible. Sin embargo, las personas defensoras son atacadas debido al trabajo que realizan y tanto los Estados cómo las empresas transnacionales fallan protegerlas.</w:t>
      </w:r>
    </w:p>
    <w:p w14:paraId="65C34754" w14:textId="4B219DDA" w:rsidR="001B2BE2" w:rsidRPr="00CE4027" w:rsidRDefault="00820EB3" w:rsidP="00CE4027">
      <w:pPr>
        <w:pStyle w:val="Prrafodelista"/>
        <w:numPr>
          <w:ilvl w:val="0"/>
          <w:numId w:val="25"/>
        </w:numPr>
        <w:shd w:val="clear" w:color="auto" w:fill="FFFFFF" w:themeFill="background1"/>
        <w:jc w:val="both"/>
      </w:pPr>
      <w:r w:rsidRPr="00CE4027">
        <w:rPr>
          <w:rStyle w:val="Ninguno"/>
          <w:color w:val="191919"/>
          <w:u w:color="191919"/>
        </w:rPr>
        <w:t>América Latina es una de las regiones más peligrosas para defender los derechos a la tierra, el territorio y el medioambiente. El continente reporta los índices más altos de líderes y lideresas asesinadas. Muestra de lo anterior es que tan sólo en 2019, en la región amazónica se registraron 33 asesinatos, el 90% de los ocurridos en Brasil</w:t>
      </w:r>
      <w:r w:rsidRPr="00CE4027">
        <w:rPr>
          <w:rStyle w:val="Ninguno"/>
          <w:color w:val="191919"/>
          <w:u w:color="191919"/>
          <w:vertAlign w:val="superscript"/>
        </w:rPr>
        <w:footnoteReference w:id="16"/>
      </w:r>
      <w:r w:rsidRPr="00CE4027">
        <w:rPr>
          <w:rStyle w:val="Ninguno"/>
          <w:color w:val="191919"/>
          <w:u w:color="191919"/>
        </w:rPr>
        <w:t xml:space="preserve"> y en México se registraron 39 ataques a personas defensoras de los derechos ambientales, 15 de ellos fueron asesinatos</w:t>
      </w:r>
      <w:r w:rsidR="00CE4027">
        <w:rPr>
          <w:rStyle w:val="Ninguno"/>
          <w:color w:val="191919"/>
          <w:u w:color="191919"/>
        </w:rPr>
        <w:t>.</w:t>
      </w:r>
      <w:r w:rsidRPr="00CE4027">
        <w:rPr>
          <w:rStyle w:val="Ninguno"/>
          <w:color w:val="191919"/>
          <w:u w:color="191919"/>
          <w:vertAlign w:val="superscript"/>
        </w:rPr>
        <w:footnoteReference w:id="17"/>
      </w:r>
    </w:p>
    <w:p w14:paraId="0F944CBE" w14:textId="77777777" w:rsidR="001B2BE2" w:rsidRDefault="00820EB3">
      <w:pPr>
        <w:pStyle w:val="Prrafodelista"/>
        <w:numPr>
          <w:ilvl w:val="0"/>
          <w:numId w:val="23"/>
        </w:numPr>
        <w:jc w:val="both"/>
      </w:pPr>
      <w:r w:rsidRPr="00CE4027">
        <w:rPr>
          <w:rStyle w:val="Ninguno"/>
        </w:rPr>
        <w:t>Las mujeres indígenas defensoras de los derechos humanos enfrentan con mayor severidad discriminación, criminalización y enfrentan amenazas específicas, incluida la violencia sexual. Además de una marginación dentro de sus movimientos y organizaciones e incluso en sus familias por no acoplarse a los roles tradicionales de género.</w:t>
      </w:r>
    </w:p>
    <w:p w14:paraId="4750C5BA" w14:textId="77777777" w:rsidR="001B2BE2" w:rsidRDefault="00820EB3" w:rsidP="00CE4027">
      <w:pPr>
        <w:pStyle w:val="Prrafodelista"/>
        <w:numPr>
          <w:ilvl w:val="0"/>
          <w:numId w:val="25"/>
        </w:numPr>
        <w:jc w:val="both"/>
      </w:pPr>
      <w:r w:rsidRPr="00CE4027">
        <w:rPr>
          <w:rStyle w:val="Ninguno"/>
        </w:rPr>
        <w:t xml:space="preserve">La situación de indefensión de algunas defensoras está llevando en varios casos a la migración y desplazamientos de sus territorios de origen. Asimismo, las mujeres indígenas cuyas parejas son asesinadas por defender sus derechos, deben asumir diversas cargas solas, quedándose como responsables únicas de sus familias. </w:t>
      </w:r>
    </w:p>
    <w:p w14:paraId="00BE4CF6" w14:textId="77777777" w:rsidR="001B2BE2" w:rsidRDefault="00820EB3" w:rsidP="00CE4027">
      <w:pPr>
        <w:pStyle w:val="Prrafodelista"/>
        <w:numPr>
          <w:ilvl w:val="0"/>
          <w:numId w:val="25"/>
        </w:numPr>
        <w:jc w:val="both"/>
      </w:pPr>
      <w:r w:rsidRPr="00CE4027">
        <w:rPr>
          <w:rStyle w:val="Ninguno"/>
        </w:rPr>
        <w:t>En ese sentido, las acciones de protección a las defensoras indígenas que defienden y protegen sus derechos territoriales, recursos naturales y formas de vida, deben apuntar a reducir los niveles de criminalización y persecución que enfrentan, y a aumentar y hacer efectivos los espacios de diálogo político y social entre comunidades y Estados.</w:t>
      </w:r>
    </w:p>
    <w:p w14:paraId="1F9B2B6C" w14:textId="77777777" w:rsidR="001B2BE2" w:rsidRPr="003B428B" w:rsidRDefault="001B2BE2" w:rsidP="00CE4027">
      <w:pPr>
        <w:tabs>
          <w:tab w:val="left" w:pos="5080"/>
        </w:tabs>
        <w:ind w:left="360"/>
        <w:jc w:val="both"/>
        <w:rPr>
          <w:rStyle w:val="Ninguno"/>
          <w:lang w:val="es-419"/>
        </w:rPr>
      </w:pPr>
    </w:p>
    <w:p w14:paraId="1EDD8E9A" w14:textId="77777777" w:rsidR="001B2BE2" w:rsidRDefault="00820EB3" w:rsidP="00CE4027">
      <w:pPr>
        <w:pStyle w:val="Prrafodelista"/>
        <w:numPr>
          <w:ilvl w:val="0"/>
          <w:numId w:val="26"/>
        </w:numPr>
        <w:rPr>
          <w:b/>
          <w:bCs/>
        </w:rPr>
      </w:pPr>
      <w:r w:rsidRPr="00CE4027">
        <w:rPr>
          <w:rStyle w:val="Ninguno"/>
          <w:b/>
        </w:rPr>
        <w:lastRenderedPageBreak/>
        <w:t>Recomendaciones de texto</w:t>
      </w:r>
    </w:p>
    <w:p w14:paraId="34B46A0C" w14:textId="1FE7544B" w:rsidR="001B2BE2" w:rsidRDefault="00820EB3" w:rsidP="00CE4027">
      <w:pPr>
        <w:pStyle w:val="Prrafodelista"/>
        <w:numPr>
          <w:ilvl w:val="0"/>
          <w:numId w:val="28"/>
        </w:numPr>
        <w:jc w:val="both"/>
      </w:pPr>
      <w:bookmarkStart w:id="3" w:name="_Hlk74839007"/>
      <w:r w:rsidRPr="00CE4027">
        <w:rPr>
          <w:rStyle w:val="Ninguno"/>
        </w:rPr>
        <w:t>Los Estados deben asegurar que la transición a energías renovable incluya una perspectiva interseccional de género que reconozca y valore las fortalezas, capacidades y riesgos diferenciados de las mujeres y niñas indígenas.</w:t>
      </w:r>
    </w:p>
    <w:p w14:paraId="0855241E" w14:textId="77777777" w:rsidR="001B2BE2" w:rsidRDefault="00820EB3" w:rsidP="00CE4027">
      <w:pPr>
        <w:pStyle w:val="Prrafodelista"/>
        <w:numPr>
          <w:ilvl w:val="0"/>
          <w:numId w:val="28"/>
        </w:numPr>
        <w:jc w:val="both"/>
      </w:pPr>
      <w:r w:rsidRPr="00CE4027">
        <w:rPr>
          <w:rStyle w:val="Ninguno"/>
        </w:rPr>
        <w:t xml:space="preserve">Los Estados partes deben adoptar todas las medidas de política pública, legal y administrativa para brindar la información necesaria y asegurar la participación de las mujeres y niñas indígenas en la transición energética reconocido sus derechos a la consulta, su derechos a participar en la vida pública y política, así como sus derechos sobre la tierra, territorios y recursos naturales tal como se prevé en los instrumentos internacionales de derechos humanos, el Acuerdo de París y los Objetivos de Desarrollo Sostenible. </w:t>
      </w:r>
    </w:p>
    <w:p w14:paraId="4557553F" w14:textId="26B2917A" w:rsidR="001B2BE2" w:rsidRDefault="00820EB3" w:rsidP="00CE4027">
      <w:pPr>
        <w:pStyle w:val="Prrafodelista"/>
        <w:numPr>
          <w:ilvl w:val="0"/>
          <w:numId w:val="28"/>
        </w:numPr>
        <w:jc w:val="both"/>
      </w:pPr>
      <w:r w:rsidRPr="00CE4027">
        <w:rPr>
          <w:rStyle w:val="Ninguno"/>
        </w:rPr>
        <w:t>Los Estados deben prevenir y reducir los impactos de los proyectos de energía renovable, incluyendo en los derechos de las mujeres indígenas defensoras y en los esquemas de compensación y distribución de beneficios, planes de reasentamiento y de desarrollo comunitario.</w:t>
      </w:r>
    </w:p>
    <w:p w14:paraId="426E38E0" w14:textId="77777777" w:rsidR="001B2BE2" w:rsidRDefault="00820EB3" w:rsidP="00CE4027">
      <w:pPr>
        <w:pStyle w:val="Prrafodelista"/>
        <w:numPr>
          <w:ilvl w:val="0"/>
          <w:numId w:val="28"/>
        </w:numPr>
        <w:jc w:val="both"/>
      </w:pPr>
      <w:r w:rsidRPr="00CE4027">
        <w:rPr>
          <w:rStyle w:val="Ninguno"/>
        </w:rPr>
        <w:t>Se debe reconocer que todo el espectro de derechos económicos, sociales y culturales de las mujeres y niñas indígenas sería imposible de realizar sin acceso a energía sostenible, accesible, segura y moderna. Por lo tanto, es indispensable que la Recomendación General enfatice que bajo la Convención de la CEDAW existiría un deber de los Estados de brindar acceso a energía sostenible a las mujeres y niñas indígenas.</w:t>
      </w:r>
    </w:p>
    <w:p w14:paraId="2FAA3BA9" w14:textId="6CF5BEE4" w:rsidR="001B2BE2" w:rsidRDefault="00820EB3" w:rsidP="00CE4027">
      <w:pPr>
        <w:pStyle w:val="Prrafodelista"/>
        <w:numPr>
          <w:ilvl w:val="0"/>
          <w:numId w:val="28"/>
        </w:numPr>
        <w:jc w:val="both"/>
        <w:rPr>
          <w:rStyle w:val="Ninguno"/>
        </w:rPr>
      </w:pPr>
      <w:r w:rsidRPr="00CE4027">
        <w:rPr>
          <w:rStyle w:val="Ninguno"/>
        </w:rPr>
        <w:t xml:space="preserve">La transición a economías bajas en carbono representa una oportunidad única de transformación para realizar los derechos de las mujeres y niñas indígenas, valorar sus conocimientos tradicionales y el rol que juegan como agentes de cambio social y en la preservación de los recursos y los ecosistemas. </w:t>
      </w:r>
      <w:bookmarkEnd w:id="3"/>
    </w:p>
    <w:p w14:paraId="5462D9D8" w14:textId="6F4C27D4" w:rsidR="00A1571C" w:rsidRDefault="00A1571C" w:rsidP="00A1571C">
      <w:pPr>
        <w:jc w:val="both"/>
        <w:rPr>
          <w:rStyle w:val="Ninguno"/>
          <w:lang w:val="es-ES_tradnl"/>
        </w:rPr>
      </w:pPr>
    </w:p>
    <w:p w14:paraId="57A0F397" w14:textId="77777777" w:rsidR="00A1571C" w:rsidRPr="00A1571C" w:rsidRDefault="00A1571C" w:rsidP="00A1571C">
      <w:pPr>
        <w:jc w:val="both"/>
        <w:rPr>
          <w:rStyle w:val="Ninguno"/>
          <w:lang w:val="es-ES_tradnl"/>
        </w:rPr>
      </w:pPr>
    </w:p>
    <w:p w14:paraId="30BF96C4" w14:textId="454D5099" w:rsidR="001B2BE2" w:rsidRPr="00CE4027" w:rsidRDefault="00820EB3" w:rsidP="00CE4027">
      <w:pPr>
        <w:pStyle w:val="Cuerpo"/>
        <w:pBdr>
          <w:top w:val="single" w:sz="4" w:space="0" w:color="000000"/>
          <w:left w:val="single" w:sz="4" w:space="0" w:color="000000"/>
          <w:bottom w:val="single" w:sz="4" w:space="0" w:color="000000"/>
          <w:right w:val="single" w:sz="4" w:space="0" w:color="000000"/>
        </w:pBdr>
        <w:tabs>
          <w:tab w:val="left" w:pos="5080"/>
        </w:tabs>
        <w:jc w:val="both"/>
        <w:rPr>
          <w:rStyle w:val="Ninguno"/>
          <w:b/>
          <w:bCs/>
          <w:lang w:val="es-ES_tradnl"/>
        </w:rPr>
      </w:pPr>
      <w:r w:rsidRPr="00CE4027">
        <w:rPr>
          <w:rStyle w:val="Ninguno"/>
          <w:b/>
          <w:bCs/>
          <w:lang w:val="es-ES_tradnl"/>
        </w:rPr>
        <w:t xml:space="preserve">Para </w:t>
      </w:r>
      <w:proofErr w:type="gramStart"/>
      <w:r w:rsidRPr="00CE4027">
        <w:rPr>
          <w:rStyle w:val="Ninguno"/>
          <w:b/>
          <w:bCs/>
          <w:lang w:val="es-ES_tradnl"/>
        </w:rPr>
        <w:t>mayor información</w:t>
      </w:r>
      <w:proofErr w:type="gramEnd"/>
      <w:r w:rsidRPr="00CE4027">
        <w:rPr>
          <w:rStyle w:val="Ninguno"/>
          <w:b/>
          <w:bCs/>
          <w:lang w:val="es-ES_tradnl"/>
        </w:rPr>
        <w:t xml:space="preserve">: </w:t>
      </w:r>
    </w:p>
    <w:p w14:paraId="5E989948" w14:textId="51806251" w:rsidR="00CE4027" w:rsidRDefault="00820EB3" w:rsidP="003B428B">
      <w:pPr>
        <w:pStyle w:val="Cuerpo"/>
        <w:numPr>
          <w:ilvl w:val="0"/>
          <w:numId w:val="44"/>
        </w:numPr>
        <w:pBdr>
          <w:top w:val="single" w:sz="4" w:space="0" w:color="000000"/>
          <w:left w:val="single" w:sz="4" w:space="0" w:color="000000"/>
          <w:bottom w:val="single" w:sz="4" w:space="0" w:color="000000"/>
          <w:right w:val="single" w:sz="4" w:space="0" w:color="000000"/>
        </w:pBdr>
        <w:tabs>
          <w:tab w:val="left" w:pos="5080"/>
        </w:tabs>
        <w:rPr>
          <w:rStyle w:val="Ninguno"/>
          <w:lang w:val="es-ES_tradnl"/>
        </w:rPr>
      </w:pPr>
      <w:r w:rsidRPr="00CE4027">
        <w:rPr>
          <w:rStyle w:val="Ninguno"/>
          <w:b/>
          <w:bCs/>
          <w:lang w:val="es-ES_tradnl"/>
        </w:rPr>
        <w:t>GI-ESCR</w:t>
      </w:r>
      <w:r w:rsidR="00CE4027">
        <w:rPr>
          <w:rStyle w:val="Ninguno"/>
          <w:b/>
          <w:bCs/>
          <w:lang w:val="es-ES_tradnl"/>
        </w:rPr>
        <w:t>:</w:t>
      </w:r>
      <w:r w:rsidRPr="00CE4027">
        <w:rPr>
          <w:rStyle w:val="Ninguno"/>
          <w:lang w:val="es-ES_tradnl"/>
        </w:rPr>
        <w:t xml:space="preserve"> </w:t>
      </w:r>
      <w:hyperlink r:id="rId14" w:history="1">
        <w:r w:rsidR="00363EDA" w:rsidRPr="00893743">
          <w:rPr>
            <w:rStyle w:val="Hipervnculo"/>
            <w:lang w:val="es-ES_tradnl"/>
          </w:rPr>
          <w:t>www.gi-escr.org</w:t>
        </w:r>
      </w:hyperlink>
      <w:r w:rsidR="00363EDA">
        <w:rPr>
          <w:rStyle w:val="Ninguno"/>
          <w:lang w:val="es-ES_tradnl"/>
        </w:rPr>
        <w:t xml:space="preserve"> </w:t>
      </w:r>
      <w:r w:rsidR="00363EDA" w:rsidRPr="00CE4027">
        <w:rPr>
          <w:rStyle w:val="Ninguno"/>
          <w:lang w:val="es-ES_tradnl"/>
        </w:rPr>
        <w:t>, Alejandra</w:t>
      </w:r>
      <w:r w:rsidRPr="00CE4027">
        <w:rPr>
          <w:rStyle w:val="Ninguno"/>
          <w:lang w:val="es-ES_tradnl"/>
        </w:rPr>
        <w:t xml:space="preserve"> Lozano</w:t>
      </w:r>
      <w:r w:rsidR="002E6833">
        <w:rPr>
          <w:rStyle w:val="Ninguno"/>
          <w:lang w:val="es-ES_tradnl"/>
        </w:rPr>
        <w:t>:</w:t>
      </w:r>
      <w:r w:rsidRPr="00CE4027">
        <w:rPr>
          <w:rStyle w:val="Ninguno"/>
          <w:lang w:val="es-ES_tradnl"/>
        </w:rPr>
        <w:t xml:space="preserve"> </w:t>
      </w:r>
      <w:hyperlink r:id="rId15" w:history="1">
        <w:r w:rsidRPr="00CE4027">
          <w:rPr>
            <w:rStyle w:val="Ninguno"/>
          </w:rPr>
          <w:t>Alejandra@gi-escr.org</w:t>
        </w:r>
      </w:hyperlink>
      <w:r w:rsidRPr="00CE4027">
        <w:rPr>
          <w:rStyle w:val="Ninguno"/>
          <w:lang w:val="es-ES_tradnl"/>
        </w:rPr>
        <w:t xml:space="preserve"> </w:t>
      </w:r>
    </w:p>
    <w:p w14:paraId="5D4E51F7" w14:textId="533F6BBE" w:rsidR="001B2BE2" w:rsidRPr="00CE4027" w:rsidRDefault="00820EB3" w:rsidP="003B428B">
      <w:pPr>
        <w:pStyle w:val="Cuerpo"/>
        <w:numPr>
          <w:ilvl w:val="0"/>
          <w:numId w:val="44"/>
        </w:numPr>
        <w:pBdr>
          <w:top w:val="single" w:sz="4" w:space="0" w:color="000000"/>
          <w:left w:val="single" w:sz="4" w:space="0" w:color="000000"/>
          <w:bottom w:val="single" w:sz="4" w:space="0" w:color="000000"/>
          <w:right w:val="single" w:sz="4" w:space="0" w:color="000000"/>
        </w:pBdr>
        <w:tabs>
          <w:tab w:val="left" w:pos="5080"/>
        </w:tabs>
        <w:rPr>
          <w:rStyle w:val="Ninguno"/>
          <w:lang w:val="es-ES_tradnl"/>
        </w:rPr>
      </w:pPr>
      <w:r w:rsidRPr="00CE4027">
        <w:rPr>
          <w:rStyle w:val="Ninguno"/>
          <w:b/>
          <w:bCs/>
          <w:lang w:val="es-ES_tradnl"/>
        </w:rPr>
        <w:t>Observatorio</w:t>
      </w:r>
      <w:r w:rsidR="00CE4027" w:rsidRPr="00CE4027">
        <w:rPr>
          <w:rStyle w:val="Ninguno"/>
          <w:b/>
          <w:bCs/>
          <w:lang w:val="es-ES_tradnl"/>
        </w:rPr>
        <w:t xml:space="preserve"> </w:t>
      </w:r>
      <w:r w:rsidRPr="00CE4027">
        <w:rPr>
          <w:rStyle w:val="Ninguno"/>
          <w:b/>
          <w:bCs/>
          <w:lang w:val="es-ES_tradnl"/>
        </w:rPr>
        <w:t>Ciudadano</w:t>
      </w:r>
      <w:r w:rsidR="00CE4027" w:rsidRPr="00CE4027">
        <w:rPr>
          <w:rStyle w:val="Ninguno"/>
          <w:b/>
          <w:bCs/>
          <w:lang w:val="es-ES_tradnl"/>
        </w:rPr>
        <w:t>:</w:t>
      </w:r>
      <w:r w:rsidR="00CE4027" w:rsidRPr="00CE4027">
        <w:rPr>
          <w:rStyle w:val="Ninguno"/>
          <w:lang w:val="es-ES_tradnl"/>
        </w:rPr>
        <w:t xml:space="preserve"> </w:t>
      </w:r>
      <w:hyperlink r:id="rId16" w:history="1">
        <w:r w:rsidR="00CE4027" w:rsidRPr="00893743">
          <w:rPr>
            <w:rStyle w:val="Hipervnculo"/>
            <w:lang w:val="es-ES_tradnl"/>
          </w:rPr>
          <w:t>www.observatorio.cl</w:t>
        </w:r>
      </w:hyperlink>
      <w:r w:rsidR="00CE4027">
        <w:rPr>
          <w:rStyle w:val="Ninguno"/>
          <w:lang w:val="es-ES_tradnl"/>
        </w:rPr>
        <w:t>,</w:t>
      </w:r>
      <w:r w:rsidR="00CE4027" w:rsidRPr="00CE4027">
        <w:rPr>
          <w:rStyle w:val="Ninguno"/>
          <w:lang w:val="es-ES_tradnl"/>
        </w:rPr>
        <w:t xml:space="preserve"> Karina Vargas: </w:t>
      </w:r>
      <w:hyperlink r:id="rId17" w:history="1">
        <w:r w:rsidR="00CE4027" w:rsidRPr="00CE4027">
          <w:rPr>
            <w:rStyle w:val="Ninguno"/>
            <w:lang w:val="es-ES_tradnl"/>
          </w:rPr>
          <w:t>Karina.vahe@gmail.com</w:t>
        </w:r>
      </w:hyperlink>
    </w:p>
    <w:p w14:paraId="20AB49F9" w14:textId="6E357E90" w:rsidR="001B2BE2" w:rsidRDefault="00820EB3" w:rsidP="003B428B">
      <w:pPr>
        <w:pStyle w:val="Cuerpo"/>
        <w:numPr>
          <w:ilvl w:val="0"/>
          <w:numId w:val="44"/>
        </w:numPr>
        <w:pBdr>
          <w:top w:val="single" w:sz="4" w:space="0" w:color="000000"/>
          <w:left w:val="single" w:sz="4" w:space="0" w:color="000000"/>
          <w:bottom w:val="single" w:sz="4" w:space="0" w:color="000000"/>
          <w:right w:val="single" w:sz="4" w:space="0" w:color="000000"/>
        </w:pBdr>
        <w:tabs>
          <w:tab w:val="left" w:pos="5080"/>
        </w:tabs>
        <w:jc w:val="both"/>
      </w:pPr>
      <w:proofErr w:type="spellStart"/>
      <w:r w:rsidRPr="00757FEB">
        <w:rPr>
          <w:rStyle w:val="Ninguno"/>
          <w:b/>
          <w:bCs/>
          <w:lang w:val="es-ES_tradnl"/>
        </w:rPr>
        <w:t>ProDE</w:t>
      </w:r>
      <w:r w:rsidR="00CE4027" w:rsidRPr="00757FEB">
        <w:rPr>
          <w:rStyle w:val="Ninguno"/>
          <w:b/>
          <w:bCs/>
          <w:lang w:val="es-ES_tradnl"/>
        </w:rPr>
        <w:t>C</w:t>
      </w:r>
      <w:proofErr w:type="spellEnd"/>
      <w:r w:rsidR="00CE4027" w:rsidRPr="00757FEB">
        <w:rPr>
          <w:rStyle w:val="Ninguno"/>
          <w:b/>
          <w:bCs/>
          <w:lang w:val="es-ES_tradnl"/>
        </w:rPr>
        <w:t xml:space="preserve">: </w:t>
      </w:r>
      <w:hyperlink r:id="rId18" w:history="1">
        <w:r w:rsidR="00CE4027" w:rsidRPr="00757FEB">
          <w:rPr>
            <w:rStyle w:val="Hipervnculo"/>
            <w:lang w:val="es-ES_tradnl"/>
          </w:rPr>
          <w:t>www.prodesc.org.mx</w:t>
        </w:r>
      </w:hyperlink>
      <w:r w:rsidR="00CE4027" w:rsidRPr="00757FEB">
        <w:rPr>
          <w:rStyle w:val="Ninguno"/>
          <w:lang w:val="es-ES_tradnl"/>
        </w:rPr>
        <w:t xml:space="preserve"> </w:t>
      </w:r>
      <w:r w:rsidR="002D7151" w:rsidRPr="00757FEB">
        <w:rPr>
          <w:rStyle w:val="Ninguno"/>
          <w:lang w:val="es-ES_tradnl"/>
        </w:rPr>
        <w:t>, Verónica Vidal:</w:t>
      </w:r>
      <w:r w:rsidRPr="00757FEB">
        <w:rPr>
          <w:rStyle w:val="Ninguno"/>
          <w:lang w:val="es-ES_tradnl"/>
        </w:rPr>
        <w:t xml:space="preserve"> </w:t>
      </w:r>
      <w:hyperlink r:id="rId19" w:history="1">
        <w:r w:rsidR="002D7151" w:rsidRPr="00CE4027">
          <w:rPr>
            <w:rStyle w:val="Ninguno"/>
          </w:rPr>
          <w:t>veronica.vidal@prodesc.org.mx</w:t>
        </w:r>
      </w:hyperlink>
    </w:p>
    <w:sectPr w:rsidR="001B2BE2" w:rsidSect="00CE4027">
      <w:headerReference w:type="default" r:id="rId20"/>
      <w:footerReference w:type="default" r:id="rId21"/>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DEBA" w14:textId="77777777" w:rsidR="00F3324C" w:rsidRDefault="00F3324C" w:rsidP="00CE4027">
      <w:r>
        <w:separator/>
      </w:r>
    </w:p>
  </w:endnote>
  <w:endnote w:type="continuationSeparator" w:id="0">
    <w:p w14:paraId="0FA59AA6" w14:textId="77777777" w:rsidR="00F3324C" w:rsidRDefault="00F3324C" w:rsidP="00CE4027">
      <w:r>
        <w:continuationSeparator/>
      </w:r>
    </w:p>
  </w:endnote>
  <w:endnote w:type="continuationNotice" w:id="1">
    <w:p w14:paraId="7E3B513D" w14:textId="77777777" w:rsidR="00F3324C" w:rsidRDefault="00F3324C" w:rsidP="00CE4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CA3A" w14:textId="2320EF14" w:rsidR="001B2BE2" w:rsidRDefault="00820EB3" w:rsidP="00CE4027">
    <w:pPr>
      <w:pStyle w:val="Piedepgina"/>
      <w:tabs>
        <w:tab w:val="clear" w:pos="9360"/>
        <w:tab w:val="right" w:pos="8818"/>
      </w:tabs>
      <w:jc w:val="center"/>
    </w:pPr>
    <w:r>
      <w:rPr>
        <w:rStyle w:val="Ninguno"/>
      </w:rPr>
      <w:fldChar w:fldCharType="begin"/>
    </w:r>
    <w:r>
      <w:rPr>
        <w:rStyle w:val="Ninguno"/>
      </w:rPr>
      <w:instrText xml:space="preserve"> PAGE </w:instrText>
    </w:r>
    <w:r>
      <w:rPr>
        <w:rStyle w:val="Ninguno"/>
      </w:rPr>
      <w:fldChar w:fldCharType="separate"/>
    </w:r>
    <w:r w:rsidR="002D7151">
      <w:rPr>
        <w:rStyle w:val="Ninguno"/>
        <w:noProof/>
      </w:rPr>
      <w:t>1</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D948" w14:textId="77777777" w:rsidR="00F3324C" w:rsidRDefault="00F3324C" w:rsidP="00CE4027">
      <w:r>
        <w:separator/>
      </w:r>
    </w:p>
  </w:footnote>
  <w:footnote w:type="continuationSeparator" w:id="0">
    <w:p w14:paraId="707357D4" w14:textId="77777777" w:rsidR="00F3324C" w:rsidRDefault="00F3324C" w:rsidP="00CE4027">
      <w:r>
        <w:continuationSeparator/>
      </w:r>
    </w:p>
  </w:footnote>
  <w:footnote w:type="continuationNotice" w:id="1">
    <w:p w14:paraId="76BAE031" w14:textId="77777777" w:rsidR="00F3324C" w:rsidRDefault="00F3324C" w:rsidP="00CE4027"/>
  </w:footnote>
  <w:footnote w:id="2">
    <w:p w14:paraId="2C7A2AED" w14:textId="77777777" w:rsidR="001B2BE2" w:rsidRPr="00CE4027" w:rsidRDefault="00820EB3" w:rsidP="00A1571C">
      <w:pPr>
        <w:pStyle w:val="Textonotapie"/>
        <w:jc w:val="both"/>
        <w:rPr>
          <w:rStyle w:val="Ninguno"/>
          <w:sz w:val="16"/>
        </w:rPr>
      </w:pPr>
      <w:r w:rsidRPr="00CE4027">
        <w:rPr>
          <w:rStyle w:val="Refdenotaalpie"/>
        </w:rPr>
        <w:footnoteRef/>
      </w:r>
      <w:r w:rsidRPr="00CE4027">
        <w:rPr>
          <w:rStyle w:val="Ninguno"/>
          <w:sz w:val="16"/>
          <w:lang w:val="en-US"/>
        </w:rPr>
        <w:t xml:space="preserve"> Joint Statement on "Human Rights and Climate Change", Five UN human rights treaty bodies issue a joint statement on human rights and climate change. </w:t>
      </w:r>
      <w:r w:rsidRPr="00CE4027">
        <w:rPr>
          <w:rStyle w:val="Ninguno"/>
          <w:sz w:val="16"/>
        </w:rPr>
        <w:t xml:space="preserve">(16 </w:t>
      </w:r>
      <w:proofErr w:type="spellStart"/>
      <w:r w:rsidRPr="00CE4027">
        <w:rPr>
          <w:rStyle w:val="Ninguno"/>
          <w:sz w:val="16"/>
        </w:rPr>
        <w:t>September</w:t>
      </w:r>
      <w:proofErr w:type="spellEnd"/>
      <w:r w:rsidRPr="00CE4027">
        <w:rPr>
          <w:rStyle w:val="Ninguno"/>
          <w:sz w:val="16"/>
        </w:rPr>
        <w:t xml:space="preserve"> 2019), disponible en: </w:t>
      </w:r>
    </w:p>
    <w:p w14:paraId="65CD93F2" w14:textId="77777777" w:rsidR="001B2BE2" w:rsidRPr="00CE4027" w:rsidRDefault="00F3324C" w:rsidP="00A1571C">
      <w:pPr>
        <w:pStyle w:val="Textonotapie"/>
        <w:jc w:val="both"/>
      </w:pPr>
      <w:hyperlink r:id="rId1" w:history="1">
        <w:r w:rsidR="00820EB3" w:rsidRPr="00CE4027">
          <w:rPr>
            <w:rStyle w:val="Hyperlink0"/>
          </w:rPr>
          <w:t>https://www.ohchr.org/EN/NewsEvents/Pages/DisplayNews.aspx?NewsID=24998</w:t>
        </w:r>
      </w:hyperlink>
      <w:r w:rsidR="00820EB3" w:rsidRPr="00CE4027">
        <w:rPr>
          <w:rStyle w:val="Ninguno"/>
          <w:sz w:val="16"/>
        </w:rPr>
        <w:t xml:space="preserve"> </w:t>
      </w:r>
    </w:p>
  </w:footnote>
  <w:footnote w:id="3">
    <w:p w14:paraId="1AB1A08E" w14:textId="77777777" w:rsidR="001B2BE2" w:rsidRPr="00CE4027" w:rsidRDefault="00820EB3" w:rsidP="00A1571C">
      <w:pPr>
        <w:pStyle w:val="Textonotapie"/>
        <w:jc w:val="both"/>
        <w:rPr>
          <w:rStyle w:val="Ninguno"/>
          <w:sz w:val="16"/>
          <w:lang w:val="en-US"/>
        </w:rPr>
      </w:pPr>
      <w:r w:rsidRPr="00CE4027">
        <w:rPr>
          <w:rStyle w:val="Refdenotaalpie"/>
          <w:lang w:val="en-US"/>
        </w:rPr>
        <w:footnoteRef/>
      </w:r>
      <w:r w:rsidRPr="00CE4027">
        <w:rPr>
          <w:rStyle w:val="Ninguno"/>
          <w:sz w:val="16"/>
          <w:lang w:val="en-US"/>
        </w:rPr>
        <w:t xml:space="preserve"> Women’s Rights Obligations of States in the Context of Climate Change: Synthesis of Statements on Climate Change by the Committee on the Elimination of Discrimination Against Women (2020 Update), Global Initiative for Economic, Social and Cultural Rights and CIEL, (2020), </w:t>
      </w:r>
      <w:proofErr w:type="spellStart"/>
      <w:r w:rsidRPr="00CE4027">
        <w:rPr>
          <w:rStyle w:val="Ninguno"/>
          <w:sz w:val="16"/>
          <w:lang w:val="en-US"/>
        </w:rPr>
        <w:t>pag</w:t>
      </w:r>
      <w:proofErr w:type="spellEnd"/>
      <w:r w:rsidRPr="00CE4027">
        <w:rPr>
          <w:rStyle w:val="Ninguno"/>
          <w:sz w:val="16"/>
          <w:lang w:val="en-US"/>
        </w:rPr>
        <w:t xml:space="preserve">. 3 disponible </w:t>
      </w:r>
      <w:proofErr w:type="spellStart"/>
      <w:r w:rsidRPr="00CE4027">
        <w:rPr>
          <w:rStyle w:val="Ninguno"/>
          <w:sz w:val="16"/>
          <w:lang w:val="en-US"/>
        </w:rPr>
        <w:t>en</w:t>
      </w:r>
      <w:proofErr w:type="spellEnd"/>
      <w:r w:rsidRPr="00CE4027">
        <w:rPr>
          <w:rStyle w:val="Ninguno"/>
          <w:sz w:val="16"/>
          <w:lang w:val="en-US"/>
        </w:rPr>
        <w:t>:</w:t>
      </w:r>
    </w:p>
    <w:p w14:paraId="2B6921CF" w14:textId="77777777" w:rsidR="001B2BE2" w:rsidRPr="00CE4027" w:rsidRDefault="00820EB3" w:rsidP="00A1571C">
      <w:pPr>
        <w:pStyle w:val="Textonotapie"/>
        <w:jc w:val="both"/>
        <w:rPr>
          <w:lang w:val="en-US"/>
        </w:rPr>
      </w:pPr>
      <w:r w:rsidRPr="00CE4027">
        <w:rPr>
          <w:rStyle w:val="Ninguno"/>
          <w:sz w:val="16"/>
          <w:lang w:val="en-US"/>
        </w:rPr>
        <w:t xml:space="preserve"> </w:t>
      </w:r>
      <w:r w:rsidR="00F3324C">
        <w:fldChar w:fldCharType="begin"/>
      </w:r>
      <w:r w:rsidR="00F3324C" w:rsidRPr="00363EDA">
        <w:rPr>
          <w:lang w:val="en-US"/>
        </w:rPr>
        <w:instrText xml:space="preserve"> HYPERLINK "https://static1.squarespace.com/static/5a</w:instrText>
      </w:r>
      <w:r w:rsidR="00F3324C" w:rsidRPr="00363EDA">
        <w:rPr>
          <w:lang w:val="en-US"/>
        </w:rPr>
        <w:instrText xml:space="preserve">6e0958f6576ebde0e78c18/t/5e839a444722c249d28b9dde/1585683013609/CEDAW.pdf" </w:instrText>
      </w:r>
      <w:r w:rsidR="00F3324C">
        <w:fldChar w:fldCharType="separate"/>
      </w:r>
      <w:r w:rsidRPr="00CE4027">
        <w:rPr>
          <w:rStyle w:val="Hyperlink1"/>
        </w:rPr>
        <w:t>https://static1.squarespace.com/static/5a6e0958f6576ebde0e78c18/t/5e839a444722c249d28b9dde/1585683013609/CEDAW.pdf</w:t>
      </w:r>
      <w:r w:rsidR="00F3324C">
        <w:rPr>
          <w:rStyle w:val="Hyperlink1"/>
        </w:rPr>
        <w:fldChar w:fldCharType="end"/>
      </w:r>
      <w:r w:rsidRPr="00CE4027">
        <w:rPr>
          <w:rStyle w:val="Ninguno"/>
          <w:sz w:val="16"/>
          <w:lang w:val="en-US"/>
        </w:rPr>
        <w:t xml:space="preserve"> </w:t>
      </w:r>
    </w:p>
  </w:footnote>
  <w:footnote w:id="4">
    <w:p w14:paraId="7B42BAD7" w14:textId="77777777" w:rsidR="001B2BE2" w:rsidRPr="00CE4027" w:rsidRDefault="00820EB3" w:rsidP="00A1571C">
      <w:pPr>
        <w:pStyle w:val="Textonotapie"/>
        <w:jc w:val="both"/>
      </w:pPr>
      <w:r w:rsidRPr="00CE4027">
        <w:rPr>
          <w:rStyle w:val="Ninguno"/>
          <w:vertAlign w:val="superscript"/>
        </w:rPr>
        <w:footnoteRef/>
      </w:r>
      <w:r w:rsidRPr="00CE4027">
        <w:rPr>
          <w:rStyle w:val="Ninguno"/>
          <w:sz w:val="16"/>
        </w:rPr>
        <w:t xml:space="preserve">Foro Permanente para las Cuestiones Indígenas, Informe sobre el 13° periodo de sesiones (13 al 23 de mayo de 2014), Consejo Económico y Social, Documentos Oficiales, Suplemento núm.23, /2014/43-E/C.19/2014/11, para. 20, disponible en: </w:t>
      </w:r>
      <w:hyperlink r:id="rId2" w:history="1">
        <w:r w:rsidRPr="00CE4027">
          <w:rPr>
            <w:rStyle w:val="Hyperlink0"/>
          </w:rPr>
          <w:t>https://undocs.org/es/E/C.19/2014/11</w:t>
        </w:r>
      </w:hyperlink>
    </w:p>
  </w:footnote>
  <w:footnote w:id="5">
    <w:p w14:paraId="4A06D699" w14:textId="2B936A1C" w:rsidR="001B2BE2" w:rsidRPr="00CE4027" w:rsidRDefault="00820EB3" w:rsidP="00A1571C">
      <w:pPr>
        <w:pStyle w:val="Cuerpo"/>
        <w:spacing w:after="0" w:line="240" w:lineRule="auto"/>
        <w:jc w:val="both"/>
      </w:pPr>
      <w:r w:rsidRPr="00CE4027">
        <w:rPr>
          <w:rStyle w:val="Ninguno"/>
          <w:vertAlign w:val="superscript"/>
        </w:rPr>
        <w:footnoteRef/>
      </w:r>
      <w:r w:rsidRPr="00CE4027">
        <w:rPr>
          <w:rStyle w:val="Ninguno"/>
          <w:sz w:val="16"/>
          <w:lang w:val="es-ES_tradnl"/>
        </w:rPr>
        <w:t xml:space="preserve">Mujeres </w:t>
      </w:r>
      <w:proofErr w:type="spellStart"/>
      <w:r w:rsidRPr="00CE4027">
        <w:rPr>
          <w:rStyle w:val="Ninguno"/>
          <w:sz w:val="16"/>
          <w:lang w:val="es-ES_tradnl"/>
        </w:rPr>
        <w:t>Ind</w:t>
      </w:r>
      <w:proofErr w:type="spellEnd"/>
      <w:r w:rsidRPr="00CE4027">
        <w:rPr>
          <w:rStyle w:val="Ninguno"/>
          <w:sz w:val="16"/>
        </w:rPr>
        <w:t>í</w:t>
      </w:r>
      <w:r w:rsidRPr="00CE4027">
        <w:rPr>
          <w:rStyle w:val="Ninguno"/>
          <w:sz w:val="16"/>
          <w:lang w:val="es-ES_tradnl"/>
        </w:rPr>
        <w:t xml:space="preserve">genas, Derechos Humanos y Acceso a la Justicia (2015), </w:t>
      </w:r>
      <w:hyperlink r:id="rId3" w:history="1">
        <w:r>
          <w:rPr>
            <w:rStyle w:val="Hyperlink0"/>
            <w:lang w:val="es-ES_tradnl"/>
          </w:rPr>
          <w:t>https://www2.unwomen.org/-/media/field%20office%20mexico/documentos/publicaciones/2016/relator%C3%ADa%20mujeres_ind%C3%ADgenas.pdf?la=es&amp;vs=4753</w:t>
        </w:r>
      </w:hyperlink>
      <w:r w:rsidRPr="00CE4027">
        <w:rPr>
          <w:rStyle w:val="Ninguno"/>
          <w:sz w:val="16"/>
        </w:rPr>
        <w:t xml:space="preserve"> </w:t>
      </w:r>
    </w:p>
  </w:footnote>
  <w:footnote w:id="6">
    <w:p w14:paraId="0363753E" w14:textId="13CB90CB" w:rsidR="001B2BE2" w:rsidRPr="00CE4027" w:rsidRDefault="00820EB3" w:rsidP="00A1571C">
      <w:pPr>
        <w:pStyle w:val="Textonotapie"/>
        <w:jc w:val="both"/>
        <w:rPr>
          <w:lang w:val="en-GB"/>
        </w:rPr>
      </w:pPr>
      <w:r w:rsidRPr="00CE4027">
        <w:rPr>
          <w:rStyle w:val="Refdenotaalpie"/>
          <w:lang w:val="en-US"/>
        </w:rPr>
        <w:footnoteRef/>
      </w:r>
      <w:r w:rsidRPr="00CE4027">
        <w:rPr>
          <w:rStyle w:val="Ninguno"/>
          <w:sz w:val="16"/>
          <w:lang w:val="en-US"/>
        </w:rPr>
        <w:t xml:space="preserve">Centre for Climate and Energy Solutions, Global Emissions (2019), disponible </w:t>
      </w:r>
      <w:proofErr w:type="spellStart"/>
      <w:r w:rsidRPr="00CE4027">
        <w:rPr>
          <w:rStyle w:val="Ninguno"/>
          <w:sz w:val="16"/>
          <w:lang w:val="en-US"/>
        </w:rPr>
        <w:t>en</w:t>
      </w:r>
      <w:proofErr w:type="spellEnd"/>
      <w:r w:rsidRPr="00CE4027">
        <w:rPr>
          <w:rStyle w:val="Ninguno"/>
          <w:sz w:val="16"/>
          <w:lang w:val="en-US"/>
        </w:rPr>
        <w:t xml:space="preserve">: </w:t>
      </w:r>
      <w:r w:rsidR="00F3324C">
        <w:fldChar w:fldCharType="begin"/>
      </w:r>
      <w:r w:rsidR="00F3324C" w:rsidRPr="00363EDA">
        <w:rPr>
          <w:lang w:val="en-GB"/>
        </w:rPr>
        <w:instrText xml:space="preserve"> HYPERLINK "https://www.c2es.org/</w:instrText>
      </w:r>
      <w:r w:rsidR="00F3324C" w:rsidRPr="00363EDA">
        <w:rPr>
          <w:lang w:val="en-GB"/>
        </w:rPr>
        <w:instrText xml:space="preserve">content/international-emissions/" </w:instrText>
      </w:r>
      <w:r w:rsidR="00F3324C">
        <w:fldChar w:fldCharType="separate"/>
      </w:r>
      <w:r w:rsidR="000C1B6D" w:rsidRPr="00D425A9">
        <w:rPr>
          <w:rStyle w:val="Hipervnculo"/>
          <w:sz w:val="16"/>
          <w:szCs w:val="16"/>
          <w:lang w:val="en-US"/>
        </w:rPr>
        <w:t>https://www.c2es.org/content/international-emissions/</w:t>
      </w:r>
      <w:r w:rsidR="00F3324C">
        <w:rPr>
          <w:rStyle w:val="Hipervnculo"/>
          <w:sz w:val="16"/>
          <w:szCs w:val="16"/>
          <w:lang w:val="en-US"/>
        </w:rPr>
        <w:fldChar w:fldCharType="end"/>
      </w:r>
      <w:r w:rsidR="000C1B6D">
        <w:rPr>
          <w:rStyle w:val="Hyperlink2"/>
        </w:rPr>
        <w:t xml:space="preserve">  </w:t>
      </w:r>
      <w:r w:rsidRPr="00CE4027">
        <w:rPr>
          <w:rStyle w:val="Hyperlink2"/>
        </w:rPr>
        <w:t xml:space="preserve">   </w:t>
      </w:r>
    </w:p>
  </w:footnote>
  <w:footnote w:id="7">
    <w:p w14:paraId="19956DD8" w14:textId="4DE27437" w:rsidR="001B2BE2" w:rsidRPr="00CE4027" w:rsidRDefault="00820EB3" w:rsidP="00A1571C">
      <w:pPr>
        <w:pStyle w:val="Textonotapie"/>
        <w:jc w:val="both"/>
        <w:rPr>
          <w:rStyle w:val="Hyperlink2"/>
        </w:rPr>
      </w:pPr>
      <w:r w:rsidRPr="00CE4027">
        <w:rPr>
          <w:rStyle w:val="Refdenotaalpie"/>
          <w:lang w:val="en-US"/>
        </w:rPr>
        <w:footnoteRef/>
      </w:r>
      <w:r w:rsidRPr="00CE4027">
        <w:rPr>
          <w:rStyle w:val="Hyperlink2"/>
        </w:rPr>
        <w:t xml:space="preserve"> Global Initiative for Economic, Social and Cultural Rights and FES-Geneva, Renewable Energy and Gender Justice: Briefing Paper, (2020), </w:t>
      </w:r>
      <w:proofErr w:type="spellStart"/>
      <w:r w:rsidRPr="00CE4027">
        <w:rPr>
          <w:rStyle w:val="Hyperlink2"/>
        </w:rPr>
        <w:t>pag</w:t>
      </w:r>
      <w:proofErr w:type="spellEnd"/>
      <w:r w:rsidRPr="00CE4027">
        <w:rPr>
          <w:rStyle w:val="Hyperlink2"/>
        </w:rPr>
        <w:t>. 2, dis</w:t>
      </w:r>
      <w:r w:rsidR="000C1B6D">
        <w:rPr>
          <w:rStyle w:val="Hyperlink2"/>
        </w:rPr>
        <w:t>p</w:t>
      </w:r>
      <w:r w:rsidRPr="00CE4027">
        <w:rPr>
          <w:rStyle w:val="Hyperlink2"/>
        </w:rPr>
        <w:t xml:space="preserve">onible </w:t>
      </w:r>
      <w:proofErr w:type="spellStart"/>
      <w:r w:rsidRPr="00CE4027">
        <w:rPr>
          <w:rStyle w:val="Hyperlink2"/>
        </w:rPr>
        <w:t>en</w:t>
      </w:r>
      <w:proofErr w:type="spellEnd"/>
      <w:r w:rsidRPr="00CE4027">
        <w:rPr>
          <w:rStyle w:val="Hyperlink2"/>
        </w:rPr>
        <w:t xml:space="preserve">: </w:t>
      </w:r>
    </w:p>
    <w:p w14:paraId="14A3B24A" w14:textId="77777777" w:rsidR="001B2BE2" w:rsidRPr="00CE4027" w:rsidRDefault="00F3324C" w:rsidP="00A1571C">
      <w:pPr>
        <w:pStyle w:val="Textonotapie"/>
        <w:jc w:val="both"/>
        <w:rPr>
          <w:lang w:val="en-US"/>
        </w:rPr>
      </w:pPr>
      <w:r>
        <w:fldChar w:fldCharType="begin"/>
      </w:r>
      <w:r w:rsidRPr="00363EDA">
        <w:rPr>
          <w:lang w:val="en-US"/>
        </w:rPr>
        <w:instrText xml:space="preserve"> HYPERLINK "https://static1.squarespace.com/static/5a6e0958f6576ebde0e78c18/t/5fdc89224ef20e4</w:instrText>
      </w:r>
      <w:r w:rsidRPr="00363EDA">
        <w:rPr>
          <w:lang w:val="en-US"/>
        </w:rPr>
        <w:instrText xml:space="preserve">1a29d3390/1608288572840/2020-Briefing-paper-renewable-energy-and-gender-justice.pdf" </w:instrText>
      </w:r>
      <w:r>
        <w:fldChar w:fldCharType="separate"/>
      </w:r>
      <w:r w:rsidR="00820EB3" w:rsidRPr="00CE4027">
        <w:rPr>
          <w:rStyle w:val="Hyperlink1"/>
        </w:rPr>
        <w:t>https://static1.squarespace.com/static/5a6e0958f6576ebde0e78c18/t/5fdc89224ef20e41a29d3390/1608288572840/2020-Briefing-paper-renewable-energy-and-gender-justice.pdf</w:t>
      </w:r>
      <w:r>
        <w:rPr>
          <w:rStyle w:val="Hyperlink1"/>
        </w:rPr>
        <w:fldChar w:fldCharType="end"/>
      </w:r>
      <w:r w:rsidR="00820EB3" w:rsidRPr="00CE4027">
        <w:rPr>
          <w:rStyle w:val="Hyperlink2"/>
        </w:rPr>
        <w:t xml:space="preserve"> </w:t>
      </w:r>
    </w:p>
  </w:footnote>
  <w:footnote w:id="8">
    <w:p w14:paraId="66FB8AE9" w14:textId="77777777" w:rsidR="001B2BE2" w:rsidRDefault="00820EB3" w:rsidP="00A1571C">
      <w:pPr>
        <w:pStyle w:val="Textonotapie"/>
        <w:jc w:val="both"/>
      </w:pPr>
      <w:r>
        <w:rPr>
          <w:rStyle w:val="Refdenotaalpie"/>
        </w:rPr>
        <w:footnoteRef/>
      </w:r>
      <w:r w:rsidRPr="00CE4027">
        <w:rPr>
          <w:rStyle w:val="Ninguno"/>
        </w:rPr>
        <w:t xml:space="preserve"> </w:t>
      </w:r>
      <w:r w:rsidRPr="00CE4027">
        <w:rPr>
          <w:rStyle w:val="Ninguno"/>
          <w:sz w:val="16"/>
        </w:rPr>
        <w:t xml:space="preserve">De </w:t>
      </w:r>
      <w:proofErr w:type="spellStart"/>
      <w:r w:rsidRPr="00CE4027">
        <w:rPr>
          <w:rStyle w:val="Ninguno"/>
          <w:sz w:val="16"/>
        </w:rPr>
        <w:t>Schutter</w:t>
      </w:r>
      <w:proofErr w:type="spellEnd"/>
      <w:r w:rsidRPr="00CE4027">
        <w:rPr>
          <w:rStyle w:val="Ninguno"/>
          <w:sz w:val="16"/>
        </w:rPr>
        <w:t>, Informe del Relator Especial sobre Pobreza Extrema y Derechos Humanos, La “transición justa” en la recuperación económica: la erradicación de la pobreza dentro de los límites planetarios, Asamblea General de las Naciones Unidas, A/75/181/Rev.1, (2020), para.20, disponible en:</w:t>
      </w:r>
      <w:r w:rsidRPr="00CE4027">
        <w:rPr>
          <w:rStyle w:val="Ninguno"/>
        </w:rPr>
        <w:t xml:space="preserve"> </w:t>
      </w:r>
      <w:hyperlink r:id="rId4" w:history="1">
        <w:r w:rsidRPr="00CE4027">
          <w:rPr>
            <w:rStyle w:val="Hyperlink0"/>
          </w:rPr>
          <w:t>https://www.undocs.org/es/A/75/181/REV.1</w:t>
        </w:r>
      </w:hyperlink>
      <w:r w:rsidRPr="00CE4027">
        <w:rPr>
          <w:rStyle w:val="Ninguno"/>
          <w:sz w:val="16"/>
        </w:rPr>
        <w:t xml:space="preserve"> </w:t>
      </w:r>
    </w:p>
  </w:footnote>
  <w:footnote w:id="9">
    <w:p w14:paraId="5B0CF82A" w14:textId="77777777" w:rsidR="001B2BE2" w:rsidRDefault="00820EB3" w:rsidP="00A1571C">
      <w:pPr>
        <w:pStyle w:val="Textonotapie"/>
        <w:jc w:val="both"/>
      </w:pPr>
      <w:r>
        <w:rPr>
          <w:rStyle w:val="Refdenotaalpie"/>
        </w:rPr>
        <w:footnoteRef/>
      </w:r>
      <w:r w:rsidRPr="00CE4027">
        <w:rPr>
          <w:rStyle w:val="Ninguno"/>
        </w:rPr>
        <w:t xml:space="preserve"> </w:t>
      </w:r>
      <w:r w:rsidRPr="00CE4027">
        <w:rPr>
          <w:rStyle w:val="Ninguno"/>
          <w:sz w:val="16"/>
        </w:rPr>
        <w:t xml:space="preserve">Organización Internacional del Trabajo (OIT), Convenio (N. 169) sobre pueblos indígenas y tribales en países independientes, 27 </w:t>
      </w:r>
      <w:proofErr w:type="gramStart"/>
      <w:r w:rsidRPr="00CE4027">
        <w:rPr>
          <w:rStyle w:val="Ninguno"/>
          <w:sz w:val="16"/>
        </w:rPr>
        <w:t>Junio</w:t>
      </w:r>
      <w:proofErr w:type="gramEnd"/>
      <w:r w:rsidRPr="00CE4027">
        <w:rPr>
          <w:rStyle w:val="Ninguno"/>
          <w:sz w:val="16"/>
        </w:rPr>
        <w:t xml:space="preserve"> 1989, C169, artículos 3 y 21 (2), disponible en:</w:t>
      </w:r>
      <w:r w:rsidRPr="00CE4027">
        <w:rPr>
          <w:rStyle w:val="Ninguno"/>
        </w:rPr>
        <w:t xml:space="preserve"> </w:t>
      </w:r>
      <w:hyperlink r:id="rId5" w:history="1">
        <w:r w:rsidRPr="00CE4027">
          <w:rPr>
            <w:rStyle w:val="Hyperlink0"/>
          </w:rPr>
          <w:t>https://www.ilo.org/wcmsp5/groups/public/---</w:t>
        </w:r>
        <w:proofErr w:type="spellStart"/>
        <w:r w:rsidRPr="00CE4027">
          <w:rPr>
            <w:rStyle w:val="Hyperlink0"/>
          </w:rPr>
          <w:t>americas</w:t>
        </w:r>
        <w:proofErr w:type="spellEnd"/>
        <w:r w:rsidRPr="00CE4027">
          <w:rPr>
            <w:rStyle w:val="Hyperlink0"/>
          </w:rPr>
          <w:t>/---ro-lima/</w:t>
        </w:r>
        <w:proofErr w:type="spellStart"/>
        <w:r w:rsidRPr="00CE4027">
          <w:rPr>
            <w:rStyle w:val="Hyperlink0"/>
          </w:rPr>
          <w:t>documents</w:t>
        </w:r>
        <w:proofErr w:type="spellEnd"/>
        <w:r w:rsidRPr="00CE4027">
          <w:rPr>
            <w:rStyle w:val="Hyperlink0"/>
          </w:rPr>
          <w:t>/</w:t>
        </w:r>
        <w:proofErr w:type="spellStart"/>
        <w:r w:rsidRPr="00CE4027">
          <w:rPr>
            <w:rStyle w:val="Hyperlink0"/>
          </w:rPr>
          <w:t>publication</w:t>
        </w:r>
        <w:proofErr w:type="spellEnd"/>
        <w:r w:rsidRPr="00CE4027">
          <w:rPr>
            <w:rStyle w:val="Hyperlink0"/>
          </w:rPr>
          <w:t>/wcms_345065.pdf</w:t>
        </w:r>
      </w:hyperlink>
      <w:r w:rsidRPr="00CE4027">
        <w:rPr>
          <w:rStyle w:val="Ninguno"/>
          <w:sz w:val="16"/>
        </w:rPr>
        <w:t xml:space="preserve"> </w:t>
      </w:r>
    </w:p>
  </w:footnote>
  <w:footnote w:id="10">
    <w:p w14:paraId="1B995633" w14:textId="15454C48" w:rsidR="001B2BE2" w:rsidRPr="00CE4027" w:rsidRDefault="00820EB3" w:rsidP="00A1571C">
      <w:pPr>
        <w:pStyle w:val="Cuerpo"/>
        <w:spacing w:after="0" w:line="240" w:lineRule="auto"/>
        <w:jc w:val="both"/>
        <w:rPr>
          <w:lang w:val="en-GB"/>
        </w:rPr>
      </w:pPr>
      <w:r w:rsidRPr="00CE4027">
        <w:rPr>
          <w:rStyle w:val="Refdenotaalpie"/>
        </w:rPr>
        <w:footnoteRef/>
      </w:r>
      <w:r w:rsidRPr="00CE4027">
        <w:rPr>
          <w:rStyle w:val="Hyperlink2"/>
        </w:rPr>
        <w:t xml:space="preserve"> May </w:t>
      </w:r>
      <w:proofErr w:type="spellStart"/>
      <w:r w:rsidRPr="00CE4027">
        <w:rPr>
          <w:rStyle w:val="Hyperlink2"/>
        </w:rPr>
        <w:t>Thazin</w:t>
      </w:r>
      <w:proofErr w:type="spellEnd"/>
      <w:r w:rsidRPr="00CE4027">
        <w:rPr>
          <w:rStyle w:val="Hyperlink2"/>
        </w:rPr>
        <w:t xml:space="preserve"> Aung, A just transition to renewables must recognize the rights of Indigenous Peoples, Stockholm </w:t>
      </w:r>
      <w:proofErr w:type="spellStart"/>
      <w:r w:rsidRPr="00CE4027">
        <w:rPr>
          <w:rStyle w:val="Hyperlink2"/>
        </w:rPr>
        <w:t>Envionment</w:t>
      </w:r>
      <w:proofErr w:type="spellEnd"/>
      <w:r w:rsidRPr="00CE4027">
        <w:rPr>
          <w:rStyle w:val="Hyperlink2"/>
        </w:rPr>
        <w:t xml:space="preserve"> </w:t>
      </w:r>
      <w:proofErr w:type="spellStart"/>
      <w:r w:rsidRPr="00CE4027">
        <w:rPr>
          <w:rStyle w:val="Hyperlink2"/>
        </w:rPr>
        <w:t>Insititute</w:t>
      </w:r>
      <w:proofErr w:type="spellEnd"/>
      <w:r w:rsidRPr="00CE4027">
        <w:rPr>
          <w:rStyle w:val="Hyperlink2"/>
        </w:rPr>
        <w:t xml:space="preserve">, disponible </w:t>
      </w:r>
      <w:proofErr w:type="spellStart"/>
      <w:r w:rsidRPr="00CE4027">
        <w:rPr>
          <w:rStyle w:val="Hyperlink2"/>
        </w:rPr>
        <w:t>en</w:t>
      </w:r>
      <w:proofErr w:type="spellEnd"/>
      <w:r w:rsidRPr="00CE4027">
        <w:rPr>
          <w:rStyle w:val="Hyperlink2"/>
        </w:rPr>
        <w:t xml:space="preserve">: </w:t>
      </w:r>
      <w:r w:rsidR="00F3324C">
        <w:fldChar w:fldCharType="begin"/>
      </w:r>
      <w:r w:rsidR="00F3324C" w:rsidRPr="00363EDA">
        <w:rPr>
          <w:lang w:val="en-GB"/>
        </w:rPr>
        <w:instrText xml:space="preserve"> HYPERLINK "https://www.sei.org/perspectives/a-just-transition-to-renewables-must</w:instrText>
      </w:r>
      <w:r w:rsidR="00F3324C" w:rsidRPr="00363EDA">
        <w:rPr>
          <w:lang w:val="en-GB"/>
        </w:rPr>
        <w:instrText xml:space="preserve">-recognize-the-rights-of-indigenous-peoples/" </w:instrText>
      </w:r>
      <w:r w:rsidR="00F3324C">
        <w:fldChar w:fldCharType="separate"/>
      </w:r>
      <w:r w:rsidRPr="00CE4027">
        <w:rPr>
          <w:rStyle w:val="Hyperlink1"/>
        </w:rPr>
        <w:t>https://www.sei.org/perspectives/a-just-transition-to-renewables-must-recognize-the-rights-of-indigenous-peoples/</w:t>
      </w:r>
      <w:r w:rsidR="00F3324C">
        <w:rPr>
          <w:rStyle w:val="Hyperlink1"/>
        </w:rPr>
        <w:fldChar w:fldCharType="end"/>
      </w:r>
      <w:r w:rsidRPr="00CE4027">
        <w:rPr>
          <w:rStyle w:val="Hyperlink2"/>
        </w:rPr>
        <w:t xml:space="preserve"> </w:t>
      </w:r>
    </w:p>
  </w:footnote>
  <w:footnote w:id="11">
    <w:p w14:paraId="648CAE6E" w14:textId="77777777" w:rsidR="001B2BE2" w:rsidRPr="00CE4027" w:rsidRDefault="00820EB3" w:rsidP="00A1571C">
      <w:pPr>
        <w:pStyle w:val="Textonotapie"/>
        <w:jc w:val="both"/>
      </w:pPr>
      <w:r w:rsidRPr="00CE4027">
        <w:rPr>
          <w:rStyle w:val="Refdenotaalpie"/>
        </w:rPr>
        <w:footnoteRef/>
      </w:r>
      <w:r w:rsidRPr="00CE4027">
        <w:rPr>
          <w:rStyle w:val="Ninguno"/>
          <w:sz w:val="16"/>
        </w:rPr>
        <w:t xml:space="preserve"> AIDA, Mujeres mayas por la defensa de sus ríos: enfrentando a las represas y al financiamiento del Grupo BID (2019), disponible en: </w:t>
      </w:r>
      <w:hyperlink r:id="rId6" w:history="1">
        <w:r w:rsidRPr="00CE4027">
          <w:rPr>
            <w:rStyle w:val="Hyperlink0"/>
          </w:rPr>
          <w:t>https://app.box.com/s/zk2yeea9yhl7osr6cb0up41wlvm1v5t1</w:t>
        </w:r>
      </w:hyperlink>
      <w:r w:rsidRPr="00CE4027">
        <w:rPr>
          <w:rStyle w:val="Ninguno"/>
          <w:sz w:val="16"/>
        </w:rPr>
        <w:t xml:space="preserve"> </w:t>
      </w:r>
    </w:p>
  </w:footnote>
  <w:footnote w:id="12">
    <w:p w14:paraId="2CF1CB32" w14:textId="77777777" w:rsidR="00A1571C" w:rsidRDefault="00820EB3" w:rsidP="00A1571C">
      <w:pPr>
        <w:pStyle w:val="Textonotapie"/>
        <w:jc w:val="both"/>
        <w:rPr>
          <w:rStyle w:val="Hyperlink2"/>
          <w:lang w:val="es-MX"/>
        </w:rPr>
      </w:pPr>
      <w:r w:rsidRPr="00CE4027">
        <w:rPr>
          <w:rStyle w:val="Refdenotaalpie"/>
        </w:rPr>
        <w:footnoteRef/>
      </w:r>
      <w:r w:rsidRPr="00CE4027">
        <w:rPr>
          <w:rStyle w:val="Hyperlink2"/>
        </w:rPr>
        <w:t xml:space="preserve"> </w:t>
      </w:r>
      <w:r w:rsidRPr="00CE4027">
        <w:rPr>
          <w:rStyle w:val="Ninguno"/>
          <w:sz w:val="16"/>
          <w:lang w:val="en-US"/>
        </w:rPr>
        <w:t xml:space="preserve">University of Essex Human Rights Centre </w:t>
      </w:r>
      <w:r w:rsidRPr="00CE4027">
        <w:rPr>
          <w:rStyle w:val="Ninguno"/>
          <w:i/>
          <w:sz w:val="16"/>
          <w:lang w:val="en-US"/>
        </w:rPr>
        <w:t xml:space="preserve">Business and Human Rights: ‘Engendering’ Human Rights Due Diligence – A Legal Analysis. </w:t>
      </w:r>
      <w:r w:rsidRPr="00A1571C">
        <w:rPr>
          <w:rStyle w:val="Hyperlink2"/>
          <w:lang w:val="es-MX"/>
        </w:rPr>
        <w:t xml:space="preserve">(2016), </w:t>
      </w:r>
      <w:r w:rsidR="00A1571C" w:rsidRPr="00A1571C">
        <w:rPr>
          <w:rStyle w:val="Hyperlink2"/>
          <w:lang w:val="es-MX"/>
        </w:rPr>
        <w:t>dispo</w:t>
      </w:r>
      <w:r w:rsidR="00A1571C">
        <w:rPr>
          <w:rStyle w:val="Hyperlink2"/>
          <w:lang w:val="es-MX"/>
        </w:rPr>
        <w:t>nible en</w:t>
      </w:r>
      <w:r w:rsidRPr="00A1571C">
        <w:rPr>
          <w:rStyle w:val="Hyperlink2"/>
          <w:lang w:val="es-MX"/>
        </w:rPr>
        <w:t xml:space="preserve">: </w:t>
      </w:r>
    </w:p>
    <w:p w14:paraId="705EE903" w14:textId="1C6A7225" w:rsidR="001B2BE2" w:rsidRPr="00A1571C" w:rsidRDefault="00F3324C" w:rsidP="00A1571C">
      <w:pPr>
        <w:pStyle w:val="Textonotapie"/>
        <w:jc w:val="both"/>
        <w:rPr>
          <w:sz w:val="16"/>
          <w:lang w:val="es-MX"/>
        </w:rPr>
      </w:pPr>
      <w:hyperlink r:id="rId7" w:history="1">
        <w:r w:rsidR="00A1571C" w:rsidRPr="00893743">
          <w:rPr>
            <w:rStyle w:val="Hipervnculo"/>
            <w:sz w:val="16"/>
            <w:szCs w:val="16"/>
            <w:lang w:val="es-MX"/>
          </w:rPr>
          <w:t>https://www1.essex.ac.uk/hrc/careers/clinic/documents/Engendering%20Human%20Rights%20Due%20Diligence.pdf</w:t>
        </w:r>
      </w:hyperlink>
      <w:r w:rsidR="00A1571C">
        <w:rPr>
          <w:rStyle w:val="Hyperlink2"/>
          <w:lang w:val="es-MX"/>
        </w:rPr>
        <w:t xml:space="preserve"> </w:t>
      </w:r>
    </w:p>
  </w:footnote>
  <w:footnote w:id="13">
    <w:p w14:paraId="041E13BA" w14:textId="77777777" w:rsidR="001B2BE2" w:rsidRPr="00CE4027" w:rsidRDefault="00820EB3" w:rsidP="00A1571C">
      <w:pPr>
        <w:pStyle w:val="Textonotapie"/>
        <w:jc w:val="both"/>
        <w:rPr>
          <w:lang w:val="en-GB"/>
        </w:rPr>
      </w:pPr>
      <w:r w:rsidRPr="00CE4027">
        <w:rPr>
          <w:rStyle w:val="Refdenotaalpie"/>
          <w:lang w:val="en-US"/>
        </w:rPr>
        <w:footnoteRef/>
      </w:r>
      <w:r w:rsidRPr="00CE4027">
        <w:rPr>
          <w:rStyle w:val="Hyperlink2"/>
        </w:rPr>
        <w:t xml:space="preserve"> </w:t>
      </w:r>
      <w:proofErr w:type="spellStart"/>
      <w:r w:rsidRPr="00CE4027">
        <w:rPr>
          <w:rStyle w:val="Hyperlink2"/>
        </w:rPr>
        <w:t>Tauli</w:t>
      </w:r>
      <w:proofErr w:type="spellEnd"/>
      <w:r w:rsidRPr="00CE4027">
        <w:rPr>
          <w:rStyle w:val="Hyperlink2"/>
        </w:rPr>
        <w:t xml:space="preserve"> </w:t>
      </w:r>
      <w:proofErr w:type="spellStart"/>
      <w:r w:rsidRPr="00CE4027">
        <w:rPr>
          <w:rStyle w:val="Hyperlink2"/>
        </w:rPr>
        <w:t>Corpuz</w:t>
      </w:r>
      <w:proofErr w:type="spellEnd"/>
      <w:r w:rsidRPr="00CE4027">
        <w:rPr>
          <w:rStyle w:val="Hyperlink2"/>
        </w:rPr>
        <w:t xml:space="preserve">, Victoria, </w:t>
      </w:r>
      <w:r w:rsidRPr="00CE4027">
        <w:rPr>
          <w:rStyle w:val="Ninguno"/>
          <w:i/>
          <w:sz w:val="16"/>
          <w:lang w:val="en-US"/>
        </w:rPr>
        <w:t>Report of the Special Rapporteur on the rights of indigenous peoples</w:t>
      </w:r>
      <w:r w:rsidRPr="00CE4027">
        <w:rPr>
          <w:rStyle w:val="Hyperlink2"/>
        </w:rPr>
        <w:t xml:space="preserve">, Human Rights Council, A/HRC/30/41, (6 August 2015), para. 16 and 17, available at: </w:t>
      </w:r>
      <w:r w:rsidR="00F3324C">
        <w:fldChar w:fldCharType="begin"/>
      </w:r>
      <w:r w:rsidR="00F3324C" w:rsidRPr="00363EDA">
        <w:rPr>
          <w:lang w:val="en-GB"/>
        </w:rPr>
        <w:instrText xml:space="preserve"> HYPERLINK "https://undocs.org/A/HRC/30/41" </w:instrText>
      </w:r>
      <w:r w:rsidR="00F3324C">
        <w:fldChar w:fldCharType="separate"/>
      </w:r>
      <w:r w:rsidRPr="00CE4027">
        <w:rPr>
          <w:rStyle w:val="Hyperlink1"/>
        </w:rPr>
        <w:t>https://undocs.org/A/HRC/30/41</w:t>
      </w:r>
      <w:r w:rsidR="00F3324C">
        <w:rPr>
          <w:rStyle w:val="Hyperlink1"/>
        </w:rPr>
        <w:fldChar w:fldCharType="end"/>
      </w:r>
    </w:p>
  </w:footnote>
  <w:footnote w:id="14">
    <w:p w14:paraId="10E76EF6" w14:textId="77777777" w:rsidR="001B2BE2" w:rsidRPr="00CE4027" w:rsidRDefault="00820EB3" w:rsidP="00A1571C">
      <w:pPr>
        <w:pStyle w:val="Textonotapie"/>
        <w:jc w:val="both"/>
        <w:rPr>
          <w:lang w:val="en-GB"/>
        </w:rPr>
      </w:pPr>
      <w:r w:rsidRPr="00CE4027">
        <w:rPr>
          <w:rStyle w:val="Refdenotaalpie"/>
          <w:lang w:val="en-US"/>
        </w:rPr>
        <w:footnoteRef/>
      </w:r>
      <w:r w:rsidRPr="00CE4027">
        <w:rPr>
          <w:rStyle w:val="Hyperlink2"/>
        </w:rPr>
        <w:t xml:space="preserve"> Ibid. </w:t>
      </w:r>
    </w:p>
  </w:footnote>
  <w:footnote w:id="15">
    <w:p w14:paraId="1998832D" w14:textId="77777777" w:rsidR="001B2BE2" w:rsidRPr="00CE4027" w:rsidRDefault="00820EB3" w:rsidP="00A1571C">
      <w:pPr>
        <w:pStyle w:val="Cuerpo"/>
        <w:spacing w:after="0" w:line="240" w:lineRule="auto"/>
        <w:jc w:val="both"/>
      </w:pPr>
      <w:r w:rsidRPr="00CE4027">
        <w:rPr>
          <w:rStyle w:val="Ninguno"/>
          <w:vertAlign w:val="superscript"/>
        </w:rPr>
        <w:footnoteRef/>
      </w:r>
      <w:r w:rsidRPr="00CE4027">
        <w:rPr>
          <w:rStyle w:val="Ninguno"/>
          <w:sz w:val="16"/>
          <w:lang w:val="en-US"/>
        </w:rPr>
        <w:t xml:space="preserve"> </w:t>
      </w:r>
      <w:proofErr w:type="spellStart"/>
      <w:r w:rsidRPr="00CE4027">
        <w:rPr>
          <w:rStyle w:val="Ninguno"/>
          <w:sz w:val="16"/>
          <w:lang w:val="en-US"/>
        </w:rPr>
        <w:t>Vázquez</w:t>
      </w:r>
      <w:proofErr w:type="spellEnd"/>
      <w:r w:rsidRPr="00CE4027">
        <w:rPr>
          <w:rStyle w:val="Ninguno"/>
          <w:sz w:val="16"/>
          <w:lang w:val="en-US"/>
        </w:rPr>
        <w:t xml:space="preserve">, V. Et al. </w:t>
      </w:r>
      <w:r w:rsidRPr="00CE4027">
        <w:rPr>
          <w:rStyle w:val="Ninguno"/>
          <w:i/>
          <w:sz w:val="16"/>
          <w:lang w:val="de-DE"/>
        </w:rPr>
        <w:t>Ge</w:t>
      </w:r>
      <w:r w:rsidRPr="00CE4027">
        <w:rPr>
          <w:rStyle w:val="Ninguno"/>
          <w:i/>
          <w:sz w:val="16"/>
        </w:rPr>
        <w:t>́</w:t>
      </w:r>
      <w:proofErr w:type="spellStart"/>
      <w:r w:rsidRPr="00CE4027">
        <w:rPr>
          <w:rStyle w:val="Ninguno"/>
          <w:i/>
          <w:sz w:val="16"/>
          <w:lang w:val="es-ES_tradnl"/>
        </w:rPr>
        <w:t>nero</w:t>
      </w:r>
      <w:proofErr w:type="spellEnd"/>
      <w:r w:rsidRPr="00CE4027">
        <w:rPr>
          <w:rStyle w:val="Ninguno"/>
          <w:i/>
          <w:sz w:val="16"/>
          <w:lang w:val="es-ES_tradnl"/>
        </w:rPr>
        <w:t xml:space="preserve"> y justicia </w:t>
      </w:r>
      <w:proofErr w:type="spellStart"/>
      <w:r w:rsidRPr="00CE4027">
        <w:rPr>
          <w:rStyle w:val="Ninguno"/>
          <w:i/>
          <w:sz w:val="16"/>
          <w:lang w:val="es-ES_tradnl"/>
        </w:rPr>
        <w:t>energe</w:t>
      </w:r>
      <w:proofErr w:type="spellEnd"/>
      <w:r w:rsidRPr="00CE4027">
        <w:rPr>
          <w:rStyle w:val="Ninguno"/>
          <w:i/>
          <w:sz w:val="16"/>
        </w:rPr>
        <w:t>́</w:t>
      </w:r>
      <w:r w:rsidRPr="00CE4027">
        <w:rPr>
          <w:rStyle w:val="Ninguno"/>
          <w:i/>
          <w:sz w:val="16"/>
          <w:lang w:val="es-ES_tradnl"/>
        </w:rPr>
        <w:t xml:space="preserve">tica. El caso de los parques </w:t>
      </w:r>
      <w:proofErr w:type="spellStart"/>
      <w:r w:rsidRPr="00CE4027">
        <w:rPr>
          <w:rStyle w:val="Ninguno"/>
          <w:i/>
          <w:sz w:val="16"/>
          <w:lang w:val="es-ES_tradnl"/>
        </w:rPr>
        <w:t>eo</w:t>
      </w:r>
      <w:proofErr w:type="spellEnd"/>
      <w:r w:rsidRPr="00CE4027">
        <w:rPr>
          <w:rStyle w:val="Ninguno"/>
          <w:i/>
          <w:sz w:val="16"/>
        </w:rPr>
        <w:t>́</w:t>
      </w:r>
      <w:r w:rsidRPr="00CE4027">
        <w:rPr>
          <w:rStyle w:val="Ninguno"/>
          <w:i/>
          <w:sz w:val="16"/>
          <w:lang w:val="es-ES_tradnl"/>
        </w:rPr>
        <w:t>licos de Oaxaca y Zacatecas, Me</w:t>
      </w:r>
      <w:r w:rsidRPr="00CE4027">
        <w:rPr>
          <w:rStyle w:val="Ninguno"/>
          <w:i/>
          <w:sz w:val="16"/>
        </w:rPr>
        <w:t>́</w:t>
      </w:r>
      <w:proofErr w:type="spellStart"/>
      <w:r w:rsidRPr="00CE4027">
        <w:rPr>
          <w:rStyle w:val="Ninguno"/>
          <w:i/>
          <w:sz w:val="16"/>
          <w:lang w:val="es-ES_tradnl"/>
        </w:rPr>
        <w:t>xico</w:t>
      </w:r>
      <w:proofErr w:type="spellEnd"/>
      <w:r w:rsidRPr="00CE4027">
        <w:rPr>
          <w:rStyle w:val="Ninguno"/>
          <w:sz w:val="16"/>
          <w:lang w:val="es-ES_tradnl"/>
        </w:rPr>
        <w:t>. En V. Va</w:t>
      </w:r>
      <w:r w:rsidRPr="00CE4027">
        <w:rPr>
          <w:rStyle w:val="Ninguno"/>
          <w:sz w:val="16"/>
        </w:rPr>
        <w:t>́</w:t>
      </w:r>
      <w:proofErr w:type="spellStart"/>
      <w:r w:rsidRPr="00CE4027">
        <w:rPr>
          <w:rStyle w:val="Ninguno"/>
          <w:sz w:val="16"/>
          <w:lang w:val="es-ES_tradnl"/>
        </w:rPr>
        <w:t>zquez</w:t>
      </w:r>
      <w:proofErr w:type="spellEnd"/>
      <w:r w:rsidRPr="00CE4027">
        <w:rPr>
          <w:rStyle w:val="Ninguno"/>
          <w:sz w:val="16"/>
          <w:lang w:val="es-ES_tradnl"/>
        </w:rPr>
        <w:t>, M. Vela</w:t>
      </w:r>
      <w:r w:rsidRPr="00CE4027">
        <w:rPr>
          <w:rStyle w:val="Ninguno"/>
          <w:sz w:val="16"/>
        </w:rPr>
        <w:t>́</w:t>
      </w:r>
      <w:r w:rsidRPr="00CE4027">
        <w:rPr>
          <w:rStyle w:val="Ninguno"/>
          <w:sz w:val="16"/>
          <w:lang w:val="it-IT"/>
        </w:rPr>
        <w:t>zquez, P. P. Bose, A. A. De Luca (Coords.), Ge</w:t>
      </w:r>
      <w:r w:rsidRPr="00CE4027">
        <w:rPr>
          <w:rStyle w:val="Ninguno"/>
          <w:sz w:val="16"/>
        </w:rPr>
        <w:t>́</w:t>
      </w:r>
      <w:proofErr w:type="spellStart"/>
      <w:r w:rsidRPr="00CE4027">
        <w:rPr>
          <w:rStyle w:val="Ninguno"/>
          <w:sz w:val="16"/>
          <w:lang w:val="es-ES_tradnl"/>
        </w:rPr>
        <w:t>nero</w:t>
      </w:r>
      <w:proofErr w:type="spellEnd"/>
      <w:r w:rsidRPr="00CE4027">
        <w:rPr>
          <w:rStyle w:val="Ninguno"/>
          <w:sz w:val="16"/>
          <w:lang w:val="es-ES_tradnl"/>
        </w:rPr>
        <w:t xml:space="preserve">, </w:t>
      </w:r>
      <w:proofErr w:type="spellStart"/>
      <w:r w:rsidRPr="00CE4027">
        <w:rPr>
          <w:rStyle w:val="Ninguno"/>
          <w:sz w:val="16"/>
          <w:lang w:val="es-ES_tradnl"/>
        </w:rPr>
        <w:t>energi</w:t>
      </w:r>
      <w:proofErr w:type="spellEnd"/>
      <w:r w:rsidRPr="00CE4027">
        <w:rPr>
          <w:rStyle w:val="Ninguno"/>
          <w:sz w:val="16"/>
        </w:rPr>
        <w:t>́</w:t>
      </w:r>
      <w:r w:rsidRPr="00CE4027">
        <w:rPr>
          <w:rStyle w:val="Ninguno"/>
          <w:sz w:val="16"/>
          <w:lang w:val="es-ES_tradnl"/>
        </w:rPr>
        <w:t>a y sustentabilidad en Me</w:t>
      </w:r>
      <w:r w:rsidRPr="00CE4027">
        <w:rPr>
          <w:rStyle w:val="Ninguno"/>
          <w:sz w:val="16"/>
        </w:rPr>
        <w:t>́</w:t>
      </w:r>
      <w:proofErr w:type="spellStart"/>
      <w:r w:rsidRPr="00CE4027">
        <w:rPr>
          <w:rStyle w:val="Ninguno"/>
          <w:sz w:val="16"/>
          <w:lang w:val="es-ES_tradnl"/>
        </w:rPr>
        <w:t>xico</w:t>
      </w:r>
      <w:proofErr w:type="spellEnd"/>
      <w:r w:rsidRPr="00CE4027">
        <w:rPr>
          <w:rStyle w:val="Ninguno"/>
          <w:sz w:val="16"/>
          <w:lang w:val="es-ES_tradnl"/>
        </w:rPr>
        <w:t>: Primeros acercamientos desde la academia. Cuernavaca: CRIM/UNAM, Red GESMA.</w:t>
      </w:r>
    </w:p>
  </w:footnote>
  <w:footnote w:id="16">
    <w:p w14:paraId="0AED047B" w14:textId="77777777" w:rsidR="001B2BE2" w:rsidRPr="00CE4027" w:rsidRDefault="00820EB3" w:rsidP="00A1571C">
      <w:pPr>
        <w:pStyle w:val="Cuerpo"/>
        <w:shd w:val="clear" w:color="auto" w:fill="FFFFFF" w:themeFill="background1"/>
        <w:spacing w:after="0" w:line="240" w:lineRule="auto"/>
        <w:jc w:val="both"/>
      </w:pPr>
      <w:r>
        <w:rPr>
          <w:rStyle w:val="Ninguno"/>
          <w:color w:val="191919"/>
          <w:u w:color="191919"/>
          <w:vertAlign w:val="superscript"/>
        </w:rPr>
        <w:footnoteRef/>
      </w:r>
      <w:r>
        <w:rPr>
          <w:rStyle w:val="Ninguno"/>
          <w:sz w:val="16"/>
          <w:szCs w:val="16"/>
          <w:lang w:val="es-ES_tradnl"/>
        </w:rPr>
        <w:t xml:space="preserve"> </w:t>
      </w:r>
      <w:r w:rsidRPr="00CE4027">
        <w:rPr>
          <w:rStyle w:val="Ninguno"/>
          <w:sz w:val="16"/>
          <w:szCs w:val="16"/>
          <w:lang w:val="es-ES_tradnl"/>
        </w:rPr>
        <w:t xml:space="preserve">Informe Global </w:t>
      </w:r>
      <w:proofErr w:type="spellStart"/>
      <w:r w:rsidRPr="00CE4027">
        <w:rPr>
          <w:rStyle w:val="Ninguno"/>
          <w:sz w:val="16"/>
          <w:szCs w:val="16"/>
          <w:lang w:val="es-ES_tradnl"/>
        </w:rPr>
        <w:t>Witness</w:t>
      </w:r>
      <w:proofErr w:type="spellEnd"/>
      <w:r w:rsidRPr="00CE4027">
        <w:rPr>
          <w:rStyle w:val="Ninguno"/>
          <w:sz w:val="16"/>
          <w:szCs w:val="16"/>
          <w:lang w:val="es-ES_tradnl"/>
        </w:rPr>
        <w:t xml:space="preserve"> 2020, Defendiendo el Mañana: La crisis </w:t>
      </w:r>
      <w:proofErr w:type="spellStart"/>
      <w:r w:rsidRPr="00CE4027">
        <w:rPr>
          <w:rStyle w:val="Ninguno"/>
          <w:sz w:val="16"/>
          <w:szCs w:val="16"/>
          <w:lang w:val="es-ES_tradnl"/>
        </w:rPr>
        <w:t>clim</w:t>
      </w:r>
      <w:proofErr w:type="spellEnd"/>
      <w:r w:rsidRPr="00CE4027">
        <w:rPr>
          <w:rStyle w:val="Ninguno"/>
          <w:sz w:val="16"/>
          <w:szCs w:val="16"/>
        </w:rPr>
        <w:t>á</w:t>
      </w:r>
      <w:r w:rsidRPr="00CE4027">
        <w:rPr>
          <w:rStyle w:val="Ninguno"/>
          <w:sz w:val="16"/>
          <w:szCs w:val="16"/>
          <w:lang w:val="es-ES_tradnl"/>
        </w:rPr>
        <w:t>tica y amenazas contra defensores de la tierra y el medio ambiente</w:t>
      </w:r>
      <w:r w:rsidRPr="00CE4027">
        <w:rPr>
          <w:rStyle w:val="Ninguno"/>
          <w:sz w:val="16"/>
          <w:szCs w:val="16"/>
        </w:rPr>
        <w:t xml:space="preserve">” </w:t>
      </w:r>
      <w:r w:rsidRPr="00CE4027">
        <w:rPr>
          <w:rStyle w:val="Ninguno"/>
          <w:sz w:val="16"/>
          <w:szCs w:val="16"/>
          <w:lang w:val="es-ES_tradnl"/>
        </w:rPr>
        <w:t xml:space="preserve">(2020), disponible en: </w:t>
      </w:r>
      <w:hyperlink r:id="rId8" w:history="1">
        <w:r w:rsidRPr="00CE4027">
          <w:rPr>
            <w:rStyle w:val="Hyperlink0"/>
          </w:rPr>
          <w:t>https://www.globalwitness.org/es/defending-tomorrow-es/</w:t>
        </w:r>
      </w:hyperlink>
      <w:r w:rsidRPr="00CE4027">
        <w:rPr>
          <w:rStyle w:val="Ninguno"/>
          <w:sz w:val="16"/>
          <w:szCs w:val="16"/>
        </w:rPr>
        <w:t xml:space="preserve"> </w:t>
      </w:r>
    </w:p>
  </w:footnote>
  <w:footnote w:id="17">
    <w:p w14:paraId="41D19FD3" w14:textId="77777777" w:rsidR="001B2BE2" w:rsidRDefault="00820EB3" w:rsidP="00A1571C">
      <w:pPr>
        <w:pStyle w:val="Textonotapie"/>
        <w:shd w:val="clear" w:color="auto" w:fill="FFFFFF" w:themeFill="background1"/>
        <w:jc w:val="both"/>
      </w:pPr>
      <w:r w:rsidRPr="00CE4027">
        <w:rPr>
          <w:rStyle w:val="Ninguno"/>
          <w:sz w:val="16"/>
          <w:szCs w:val="16"/>
          <w:shd w:val="clear" w:color="auto" w:fill="FFFFFF" w:themeFill="background1"/>
          <w:vertAlign w:val="superscript"/>
        </w:rPr>
        <w:footnoteRef/>
      </w:r>
      <w:r w:rsidRPr="00CE4027">
        <w:rPr>
          <w:sz w:val="16"/>
          <w:szCs w:val="16"/>
          <w:shd w:val="clear" w:color="auto" w:fill="FFFFFF" w:themeFill="background1"/>
        </w:rPr>
        <w:t xml:space="preserve"> Informe CEMDA 2019, informe sobre la situación de las personas defensoras de los derechos humanos ambientales (2020), disponible en: </w:t>
      </w:r>
      <w:hyperlink r:id="rId9" w:history="1">
        <w:r w:rsidRPr="00CE4027">
          <w:rPr>
            <w:rStyle w:val="Enlace"/>
            <w:sz w:val="16"/>
            <w:szCs w:val="16"/>
            <w:shd w:val="clear" w:color="auto" w:fill="FFFFFF" w:themeFill="background1"/>
            <w:lang w:val="es-MX"/>
          </w:rPr>
          <w:t>https://www.cemda.org.mx/wp-content/uploads/2020/03/informe-personas-defensoras-2019.pdf</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2ECB" w14:textId="77777777" w:rsidR="001B2BE2" w:rsidRDefault="00820EB3" w:rsidP="00CE4027">
    <w:pPr>
      <w:pStyle w:val="Encabezado"/>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DF"/>
    <w:multiLevelType w:val="hybridMultilevel"/>
    <w:tmpl w:val="B7E45D4A"/>
    <w:numStyleLink w:val="Estiloimportado6"/>
  </w:abstractNum>
  <w:abstractNum w:abstractNumId="1" w15:restartNumberingAfterBreak="0">
    <w:nsid w:val="01D44A6F"/>
    <w:multiLevelType w:val="hybridMultilevel"/>
    <w:tmpl w:val="BE6C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F7754C"/>
    <w:multiLevelType w:val="hybridMultilevel"/>
    <w:tmpl w:val="AF4A57B4"/>
    <w:numStyleLink w:val="Estiloimportado1"/>
  </w:abstractNum>
  <w:abstractNum w:abstractNumId="3" w15:restartNumberingAfterBreak="0">
    <w:nsid w:val="03933E9A"/>
    <w:multiLevelType w:val="hybridMultilevel"/>
    <w:tmpl w:val="DB5AB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BC7819"/>
    <w:multiLevelType w:val="hybridMultilevel"/>
    <w:tmpl w:val="3D94A724"/>
    <w:styleLink w:val="Estiloimportado10"/>
    <w:lvl w:ilvl="0" w:tplc="BE88079E">
      <w:start w:val="1"/>
      <w:numFmt w:val="bullet"/>
      <w:lvlText w:val="·"/>
      <w:lvlJc w:val="left"/>
      <w:pPr>
        <w:tabs>
          <w:tab w:val="left" w:pos="5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00A4EE">
      <w:start w:val="1"/>
      <w:numFmt w:val="bullet"/>
      <w:lvlText w:val="o"/>
      <w:lvlJc w:val="left"/>
      <w:pPr>
        <w:tabs>
          <w:tab w:val="left" w:pos="5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E0AB62">
      <w:start w:val="1"/>
      <w:numFmt w:val="bullet"/>
      <w:lvlText w:val="▪"/>
      <w:lvlJc w:val="left"/>
      <w:pPr>
        <w:tabs>
          <w:tab w:val="left" w:pos="5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E48B1E">
      <w:start w:val="1"/>
      <w:numFmt w:val="bullet"/>
      <w:lvlText w:val="·"/>
      <w:lvlJc w:val="left"/>
      <w:pPr>
        <w:tabs>
          <w:tab w:val="left" w:pos="5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2EF8E0">
      <w:start w:val="1"/>
      <w:numFmt w:val="bullet"/>
      <w:lvlText w:val="o"/>
      <w:lvlJc w:val="left"/>
      <w:pPr>
        <w:tabs>
          <w:tab w:val="left" w:pos="5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3C5FDA">
      <w:start w:val="1"/>
      <w:numFmt w:val="bullet"/>
      <w:lvlText w:val="▪"/>
      <w:lvlJc w:val="left"/>
      <w:pPr>
        <w:tabs>
          <w:tab w:val="left" w:pos="5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18157A">
      <w:start w:val="1"/>
      <w:numFmt w:val="bullet"/>
      <w:lvlText w:val="·"/>
      <w:lvlJc w:val="left"/>
      <w:pPr>
        <w:tabs>
          <w:tab w:val="left" w:pos="5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E1E86">
      <w:start w:val="1"/>
      <w:numFmt w:val="bullet"/>
      <w:lvlText w:val="o"/>
      <w:lvlJc w:val="left"/>
      <w:pPr>
        <w:tabs>
          <w:tab w:val="left" w:pos="5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9A05A0">
      <w:start w:val="1"/>
      <w:numFmt w:val="bullet"/>
      <w:lvlText w:val="▪"/>
      <w:lvlJc w:val="left"/>
      <w:pPr>
        <w:tabs>
          <w:tab w:val="left" w:pos="5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917094"/>
    <w:multiLevelType w:val="hybridMultilevel"/>
    <w:tmpl w:val="70A4D550"/>
    <w:styleLink w:val="Estiloimportado4"/>
    <w:lvl w:ilvl="0" w:tplc="F7926602">
      <w:start w:val="1"/>
      <w:numFmt w:val="upperRoman"/>
      <w:lvlText w:val="%1."/>
      <w:lvlJc w:val="left"/>
      <w:pPr>
        <w:tabs>
          <w:tab w:val="left" w:pos="5080"/>
        </w:tabs>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 w:ilvl="1" w:tplc="E4FC31E2">
      <w:start w:val="1"/>
      <w:numFmt w:val="lowerLetter"/>
      <w:lvlText w:val="%2."/>
      <w:lvlJc w:val="left"/>
      <w:pPr>
        <w:tabs>
          <w:tab w:val="left" w:pos="5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0AEF4E">
      <w:start w:val="1"/>
      <w:numFmt w:val="lowerRoman"/>
      <w:lvlText w:val="%3."/>
      <w:lvlJc w:val="left"/>
      <w:pPr>
        <w:tabs>
          <w:tab w:val="left" w:pos="5080"/>
        </w:tabs>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A94BD78">
      <w:start w:val="1"/>
      <w:numFmt w:val="decimal"/>
      <w:lvlText w:val="%4."/>
      <w:lvlJc w:val="left"/>
      <w:pPr>
        <w:tabs>
          <w:tab w:val="left" w:pos="5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19665CC">
      <w:start w:val="1"/>
      <w:numFmt w:val="lowerLetter"/>
      <w:lvlText w:val="%5."/>
      <w:lvlJc w:val="left"/>
      <w:pPr>
        <w:tabs>
          <w:tab w:val="left" w:pos="5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2B88238">
      <w:start w:val="1"/>
      <w:numFmt w:val="lowerRoman"/>
      <w:lvlText w:val="%6."/>
      <w:lvlJc w:val="left"/>
      <w:pPr>
        <w:tabs>
          <w:tab w:val="left" w:pos="5080"/>
        </w:tabs>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4800A412">
      <w:start w:val="1"/>
      <w:numFmt w:val="decimal"/>
      <w:lvlText w:val="%7."/>
      <w:lvlJc w:val="left"/>
      <w:pPr>
        <w:tabs>
          <w:tab w:val="left" w:pos="50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3A685D6">
      <w:start w:val="1"/>
      <w:numFmt w:val="lowerLetter"/>
      <w:lvlText w:val="%8."/>
      <w:lvlJc w:val="left"/>
      <w:pPr>
        <w:tabs>
          <w:tab w:val="left" w:pos="50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17EF0C2">
      <w:start w:val="1"/>
      <w:numFmt w:val="lowerRoman"/>
      <w:lvlText w:val="%9."/>
      <w:lvlJc w:val="left"/>
      <w:pPr>
        <w:tabs>
          <w:tab w:val="left" w:pos="5080"/>
        </w:tabs>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7B74BF"/>
    <w:multiLevelType w:val="hybridMultilevel"/>
    <w:tmpl w:val="9AA4212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DE2A26"/>
    <w:multiLevelType w:val="hybridMultilevel"/>
    <w:tmpl w:val="46D6D944"/>
    <w:numStyleLink w:val="Estiloimportado7"/>
  </w:abstractNum>
  <w:abstractNum w:abstractNumId="8" w15:restartNumberingAfterBreak="0">
    <w:nsid w:val="18F65C3A"/>
    <w:multiLevelType w:val="hybridMultilevel"/>
    <w:tmpl w:val="A582F86C"/>
    <w:lvl w:ilvl="0" w:tplc="D5F6CCBE">
      <w:start w:val="1"/>
      <w:numFmt w:val="upperRoman"/>
      <w:lvlText w:val="%1."/>
      <w:lvlJc w:val="left"/>
      <w:pPr>
        <w:ind w:left="1080" w:hanging="720"/>
      </w:pPr>
      <w:rPr>
        <w:rFonts w:cstheme="minorBidi"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1145E1"/>
    <w:multiLevelType w:val="hybridMultilevel"/>
    <w:tmpl w:val="18CEF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8E4E58"/>
    <w:multiLevelType w:val="hybridMultilevel"/>
    <w:tmpl w:val="7DC2D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67871"/>
    <w:multiLevelType w:val="hybridMultilevel"/>
    <w:tmpl w:val="B7E45D4A"/>
    <w:styleLink w:val="Estiloimportado6"/>
    <w:lvl w:ilvl="0" w:tplc="6F50D878">
      <w:start w:val="1"/>
      <w:numFmt w:val="bullet"/>
      <w:lvlText w:val="·"/>
      <w:lvlJc w:val="left"/>
      <w:pPr>
        <w:tabs>
          <w:tab w:val="left" w:pos="5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5A6072">
      <w:start w:val="1"/>
      <w:numFmt w:val="bullet"/>
      <w:lvlText w:val="o"/>
      <w:lvlJc w:val="left"/>
      <w:pPr>
        <w:tabs>
          <w:tab w:val="left" w:pos="5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56CE14">
      <w:start w:val="1"/>
      <w:numFmt w:val="bullet"/>
      <w:lvlText w:val="▪"/>
      <w:lvlJc w:val="left"/>
      <w:pPr>
        <w:tabs>
          <w:tab w:val="left" w:pos="5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00B818">
      <w:start w:val="1"/>
      <w:numFmt w:val="bullet"/>
      <w:lvlText w:val="·"/>
      <w:lvlJc w:val="left"/>
      <w:pPr>
        <w:tabs>
          <w:tab w:val="left" w:pos="5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8A7324">
      <w:start w:val="1"/>
      <w:numFmt w:val="bullet"/>
      <w:lvlText w:val="o"/>
      <w:lvlJc w:val="left"/>
      <w:pPr>
        <w:tabs>
          <w:tab w:val="left" w:pos="5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56DC88">
      <w:start w:val="1"/>
      <w:numFmt w:val="bullet"/>
      <w:lvlText w:val="▪"/>
      <w:lvlJc w:val="left"/>
      <w:pPr>
        <w:tabs>
          <w:tab w:val="left" w:pos="5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94A660">
      <w:start w:val="1"/>
      <w:numFmt w:val="bullet"/>
      <w:lvlText w:val="·"/>
      <w:lvlJc w:val="left"/>
      <w:pPr>
        <w:tabs>
          <w:tab w:val="left" w:pos="5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20A6AA">
      <w:start w:val="1"/>
      <w:numFmt w:val="bullet"/>
      <w:lvlText w:val="o"/>
      <w:lvlJc w:val="left"/>
      <w:pPr>
        <w:tabs>
          <w:tab w:val="left" w:pos="5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423308">
      <w:start w:val="1"/>
      <w:numFmt w:val="bullet"/>
      <w:lvlText w:val="▪"/>
      <w:lvlJc w:val="left"/>
      <w:pPr>
        <w:tabs>
          <w:tab w:val="left" w:pos="5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88640A"/>
    <w:multiLevelType w:val="hybridMultilevel"/>
    <w:tmpl w:val="30DCF0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E733DA1"/>
    <w:multiLevelType w:val="hybridMultilevel"/>
    <w:tmpl w:val="268E57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3C84E60"/>
    <w:multiLevelType w:val="hybridMultilevel"/>
    <w:tmpl w:val="B3684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330D5F"/>
    <w:multiLevelType w:val="hybridMultilevel"/>
    <w:tmpl w:val="46D6D944"/>
    <w:styleLink w:val="Estiloimportado7"/>
    <w:lvl w:ilvl="0" w:tplc="A06CBA02">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764808">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DA782E">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E29B20">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303DD6">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603918">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041D70">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72DC48">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D657B2">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155AEA"/>
    <w:multiLevelType w:val="hybridMultilevel"/>
    <w:tmpl w:val="31FE6234"/>
    <w:styleLink w:val="Estiloimportado8"/>
    <w:lvl w:ilvl="0" w:tplc="FC968948">
      <w:start w:val="1"/>
      <w:numFmt w:val="bullet"/>
      <w:lvlText w:val="·"/>
      <w:lvlJc w:val="left"/>
      <w:pPr>
        <w:tabs>
          <w:tab w:val="left" w:pos="5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1C837A">
      <w:start w:val="1"/>
      <w:numFmt w:val="bullet"/>
      <w:lvlText w:val="o"/>
      <w:lvlJc w:val="left"/>
      <w:pPr>
        <w:tabs>
          <w:tab w:val="left" w:pos="5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DA1564">
      <w:start w:val="1"/>
      <w:numFmt w:val="bullet"/>
      <w:lvlText w:val="▪"/>
      <w:lvlJc w:val="left"/>
      <w:pPr>
        <w:tabs>
          <w:tab w:val="left" w:pos="5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BC37B0">
      <w:start w:val="1"/>
      <w:numFmt w:val="bullet"/>
      <w:lvlText w:val="·"/>
      <w:lvlJc w:val="left"/>
      <w:pPr>
        <w:tabs>
          <w:tab w:val="left" w:pos="5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B8E0E4">
      <w:start w:val="1"/>
      <w:numFmt w:val="bullet"/>
      <w:lvlText w:val="o"/>
      <w:lvlJc w:val="left"/>
      <w:pPr>
        <w:tabs>
          <w:tab w:val="left" w:pos="5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3AC16C">
      <w:start w:val="1"/>
      <w:numFmt w:val="bullet"/>
      <w:lvlText w:val="▪"/>
      <w:lvlJc w:val="left"/>
      <w:pPr>
        <w:tabs>
          <w:tab w:val="left" w:pos="5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747BAC">
      <w:start w:val="1"/>
      <w:numFmt w:val="bullet"/>
      <w:lvlText w:val="·"/>
      <w:lvlJc w:val="left"/>
      <w:pPr>
        <w:tabs>
          <w:tab w:val="left" w:pos="5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D81EDC">
      <w:start w:val="1"/>
      <w:numFmt w:val="bullet"/>
      <w:lvlText w:val="o"/>
      <w:lvlJc w:val="left"/>
      <w:pPr>
        <w:tabs>
          <w:tab w:val="left" w:pos="5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9C7256">
      <w:start w:val="1"/>
      <w:numFmt w:val="bullet"/>
      <w:lvlText w:val="▪"/>
      <w:lvlJc w:val="left"/>
      <w:pPr>
        <w:tabs>
          <w:tab w:val="left" w:pos="5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7B7CAD"/>
    <w:multiLevelType w:val="hybridMultilevel"/>
    <w:tmpl w:val="9178554A"/>
    <w:styleLink w:val="Estiloimportado3"/>
    <w:lvl w:ilvl="0" w:tplc="8E7CA10E">
      <w:start w:val="1"/>
      <w:numFmt w:val="bullet"/>
      <w:lvlText w:val="·"/>
      <w:lvlJc w:val="left"/>
      <w:pPr>
        <w:tabs>
          <w:tab w:val="left" w:pos="5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62798A">
      <w:start w:val="1"/>
      <w:numFmt w:val="bullet"/>
      <w:lvlText w:val="o"/>
      <w:lvlJc w:val="left"/>
      <w:pPr>
        <w:tabs>
          <w:tab w:val="left" w:pos="5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54D1A0">
      <w:start w:val="1"/>
      <w:numFmt w:val="bullet"/>
      <w:lvlText w:val="▪"/>
      <w:lvlJc w:val="left"/>
      <w:pPr>
        <w:tabs>
          <w:tab w:val="left" w:pos="5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A20440">
      <w:start w:val="1"/>
      <w:numFmt w:val="bullet"/>
      <w:lvlText w:val="·"/>
      <w:lvlJc w:val="left"/>
      <w:pPr>
        <w:tabs>
          <w:tab w:val="left" w:pos="5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DC92C0">
      <w:start w:val="1"/>
      <w:numFmt w:val="bullet"/>
      <w:lvlText w:val="o"/>
      <w:lvlJc w:val="left"/>
      <w:pPr>
        <w:tabs>
          <w:tab w:val="left" w:pos="5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E8CAD8">
      <w:start w:val="1"/>
      <w:numFmt w:val="bullet"/>
      <w:lvlText w:val="▪"/>
      <w:lvlJc w:val="left"/>
      <w:pPr>
        <w:tabs>
          <w:tab w:val="left" w:pos="5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00E84A">
      <w:start w:val="1"/>
      <w:numFmt w:val="bullet"/>
      <w:lvlText w:val="·"/>
      <w:lvlJc w:val="left"/>
      <w:pPr>
        <w:tabs>
          <w:tab w:val="left" w:pos="5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E21742">
      <w:start w:val="1"/>
      <w:numFmt w:val="bullet"/>
      <w:lvlText w:val="o"/>
      <w:lvlJc w:val="left"/>
      <w:pPr>
        <w:tabs>
          <w:tab w:val="left" w:pos="5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44ADEE">
      <w:start w:val="1"/>
      <w:numFmt w:val="bullet"/>
      <w:lvlText w:val="▪"/>
      <w:lvlJc w:val="left"/>
      <w:pPr>
        <w:tabs>
          <w:tab w:val="left" w:pos="5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F1B377C"/>
    <w:multiLevelType w:val="hybridMultilevel"/>
    <w:tmpl w:val="F514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A879B2"/>
    <w:multiLevelType w:val="hybridMultilevel"/>
    <w:tmpl w:val="E8DCBC56"/>
    <w:numStyleLink w:val="Estiloimportado2"/>
  </w:abstractNum>
  <w:abstractNum w:abstractNumId="20" w15:restartNumberingAfterBreak="0">
    <w:nsid w:val="455B726A"/>
    <w:multiLevelType w:val="hybridMultilevel"/>
    <w:tmpl w:val="465A5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1737F6E"/>
    <w:multiLevelType w:val="hybridMultilevel"/>
    <w:tmpl w:val="9178554A"/>
    <w:numStyleLink w:val="Estiloimportado3"/>
  </w:abstractNum>
  <w:abstractNum w:abstractNumId="22" w15:restartNumberingAfterBreak="0">
    <w:nsid w:val="54FF72EF"/>
    <w:multiLevelType w:val="hybridMultilevel"/>
    <w:tmpl w:val="05C0F7E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87A0409"/>
    <w:multiLevelType w:val="hybridMultilevel"/>
    <w:tmpl w:val="E0827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655A8E"/>
    <w:multiLevelType w:val="hybridMultilevel"/>
    <w:tmpl w:val="493E324C"/>
    <w:numStyleLink w:val="Estiloimportado9"/>
  </w:abstractNum>
  <w:abstractNum w:abstractNumId="25" w15:restartNumberingAfterBreak="0">
    <w:nsid w:val="5F7442B3"/>
    <w:multiLevelType w:val="hybridMultilevel"/>
    <w:tmpl w:val="3B3AA56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B34E47"/>
    <w:multiLevelType w:val="hybridMultilevel"/>
    <w:tmpl w:val="5532D566"/>
    <w:lvl w:ilvl="0" w:tplc="1F206E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D1684E"/>
    <w:multiLevelType w:val="hybridMultilevel"/>
    <w:tmpl w:val="AF4A57B4"/>
    <w:styleLink w:val="Estiloimportado1"/>
    <w:lvl w:ilvl="0" w:tplc="F10AA9CA">
      <w:start w:val="1"/>
      <w:numFmt w:val="upperRoman"/>
      <w:lvlText w:val="%1."/>
      <w:lvlJc w:val="left"/>
      <w:pPr>
        <w:tabs>
          <w:tab w:val="left" w:pos="50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E4A824">
      <w:start w:val="1"/>
      <w:numFmt w:val="lowerLetter"/>
      <w:lvlText w:val="%2."/>
      <w:lvlJc w:val="left"/>
      <w:pPr>
        <w:tabs>
          <w:tab w:val="left" w:pos="5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84470B4">
      <w:start w:val="1"/>
      <w:numFmt w:val="lowerRoman"/>
      <w:lvlText w:val="%3."/>
      <w:lvlJc w:val="left"/>
      <w:pPr>
        <w:tabs>
          <w:tab w:val="left" w:pos="5080"/>
        </w:tabs>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2E68B032">
      <w:start w:val="1"/>
      <w:numFmt w:val="decimal"/>
      <w:lvlText w:val="%4."/>
      <w:lvlJc w:val="left"/>
      <w:pPr>
        <w:tabs>
          <w:tab w:val="left" w:pos="5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0AF2E0">
      <w:start w:val="1"/>
      <w:numFmt w:val="lowerLetter"/>
      <w:lvlText w:val="%5."/>
      <w:lvlJc w:val="left"/>
      <w:pPr>
        <w:tabs>
          <w:tab w:val="left" w:pos="5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1B0A17E">
      <w:start w:val="1"/>
      <w:numFmt w:val="lowerRoman"/>
      <w:lvlText w:val="%6."/>
      <w:lvlJc w:val="left"/>
      <w:pPr>
        <w:tabs>
          <w:tab w:val="left" w:pos="5080"/>
        </w:tabs>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D390ED04">
      <w:start w:val="1"/>
      <w:numFmt w:val="decimal"/>
      <w:lvlText w:val="%7."/>
      <w:lvlJc w:val="left"/>
      <w:pPr>
        <w:tabs>
          <w:tab w:val="left" w:pos="50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1103370">
      <w:start w:val="1"/>
      <w:numFmt w:val="lowerLetter"/>
      <w:lvlText w:val="%8."/>
      <w:lvlJc w:val="left"/>
      <w:pPr>
        <w:tabs>
          <w:tab w:val="left" w:pos="50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07C9A6A">
      <w:start w:val="1"/>
      <w:numFmt w:val="lowerRoman"/>
      <w:lvlText w:val="%9."/>
      <w:lvlJc w:val="left"/>
      <w:pPr>
        <w:tabs>
          <w:tab w:val="left" w:pos="5080"/>
        </w:tabs>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6C85B92"/>
    <w:multiLevelType w:val="hybridMultilevel"/>
    <w:tmpl w:val="31FE6234"/>
    <w:numStyleLink w:val="Estiloimportado8"/>
  </w:abstractNum>
  <w:abstractNum w:abstractNumId="29" w15:restartNumberingAfterBreak="0">
    <w:nsid w:val="67422765"/>
    <w:multiLevelType w:val="hybridMultilevel"/>
    <w:tmpl w:val="3D94A724"/>
    <w:numStyleLink w:val="Estiloimportado10"/>
  </w:abstractNum>
  <w:abstractNum w:abstractNumId="30" w15:restartNumberingAfterBreak="0">
    <w:nsid w:val="6C7B76CF"/>
    <w:multiLevelType w:val="hybridMultilevel"/>
    <w:tmpl w:val="493E324C"/>
    <w:styleLink w:val="Estiloimportado9"/>
    <w:lvl w:ilvl="0" w:tplc="F60CBF86">
      <w:start w:val="1"/>
      <w:numFmt w:val="bullet"/>
      <w:lvlText w:val="·"/>
      <w:lvlJc w:val="left"/>
      <w:pPr>
        <w:tabs>
          <w:tab w:val="left" w:pos="5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BCA01E">
      <w:start w:val="1"/>
      <w:numFmt w:val="bullet"/>
      <w:lvlText w:val="·"/>
      <w:lvlJc w:val="left"/>
      <w:pPr>
        <w:tabs>
          <w:tab w:val="left" w:pos="508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FDEA4A6">
      <w:start w:val="1"/>
      <w:numFmt w:val="bullet"/>
      <w:lvlText w:val="·"/>
      <w:lvlJc w:val="left"/>
      <w:pPr>
        <w:tabs>
          <w:tab w:val="left" w:pos="508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AA8AB4A">
      <w:start w:val="1"/>
      <w:numFmt w:val="bullet"/>
      <w:lvlText w:val="·"/>
      <w:lvlJc w:val="left"/>
      <w:pPr>
        <w:tabs>
          <w:tab w:val="left" w:pos="5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40E292">
      <w:start w:val="1"/>
      <w:numFmt w:val="bullet"/>
      <w:lvlText w:val="·"/>
      <w:lvlJc w:val="left"/>
      <w:pPr>
        <w:tabs>
          <w:tab w:val="left" w:pos="5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72E763A">
      <w:start w:val="1"/>
      <w:numFmt w:val="bullet"/>
      <w:lvlText w:val="·"/>
      <w:lvlJc w:val="left"/>
      <w:pPr>
        <w:tabs>
          <w:tab w:val="left" w:pos="508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864C0A0">
      <w:start w:val="1"/>
      <w:numFmt w:val="bullet"/>
      <w:lvlText w:val="·"/>
      <w:lvlJc w:val="left"/>
      <w:pPr>
        <w:tabs>
          <w:tab w:val="left" w:pos="5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EC2B18">
      <w:start w:val="1"/>
      <w:numFmt w:val="bullet"/>
      <w:lvlText w:val="·"/>
      <w:lvlJc w:val="left"/>
      <w:pPr>
        <w:tabs>
          <w:tab w:val="left" w:pos="5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DF8D862">
      <w:start w:val="1"/>
      <w:numFmt w:val="bullet"/>
      <w:lvlText w:val="·"/>
      <w:lvlJc w:val="left"/>
      <w:pPr>
        <w:tabs>
          <w:tab w:val="left" w:pos="508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8B2D74"/>
    <w:multiLevelType w:val="hybridMultilevel"/>
    <w:tmpl w:val="E8DCBC56"/>
    <w:styleLink w:val="Estiloimportado2"/>
    <w:lvl w:ilvl="0" w:tplc="B9D499FC">
      <w:start w:val="1"/>
      <w:numFmt w:val="bullet"/>
      <w:lvlText w:val="·"/>
      <w:lvlJc w:val="left"/>
      <w:pPr>
        <w:tabs>
          <w:tab w:val="left" w:pos="5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64140E">
      <w:start w:val="1"/>
      <w:numFmt w:val="bullet"/>
      <w:lvlText w:val="o"/>
      <w:lvlJc w:val="left"/>
      <w:pPr>
        <w:tabs>
          <w:tab w:val="left" w:pos="5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08392E">
      <w:start w:val="1"/>
      <w:numFmt w:val="bullet"/>
      <w:lvlText w:val="▪"/>
      <w:lvlJc w:val="left"/>
      <w:pPr>
        <w:tabs>
          <w:tab w:val="left" w:pos="5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86AE94">
      <w:start w:val="1"/>
      <w:numFmt w:val="bullet"/>
      <w:lvlText w:val="·"/>
      <w:lvlJc w:val="left"/>
      <w:pPr>
        <w:tabs>
          <w:tab w:val="left" w:pos="5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0CB36">
      <w:start w:val="1"/>
      <w:numFmt w:val="bullet"/>
      <w:lvlText w:val="o"/>
      <w:lvlJc w:val="left"/>
      <w:pPr>
        <w:tabs>
          <w:tab w:val="left" w:pos="5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745E8A">
      <w:start w:val="1"/>
      <w:numFmt w:val="bullet"/>
      <w:lvlText w:val="▪"/>
      <w:lvlJc w:val="left"/>
      <w:pPr>
        <w:tabs>
          <w:tab w:val="left" w:pos="5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4297EA">
      <w:start w:val="1"/>
      <w:numFmt w:val="bullet"/>
      <w:lvlText w:val="·"/>
      <w:lvlJc w:val="left"/>
      <w:pPr>
        <w:tabs>
          <w:tab w:val="left" w:pos="5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082F18">
      <w:start w:val="1"/>
      <w:numFmt w:val="bullet"/>
      <w:lvlText w:val="o"/>
      <w:lvlJc w:val="left"/>
      <w:pPr>
        <w:tabs>
          <w:tab w:val="left" w:pos="5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8EF294">
      <w:start w:val="1"/>
      <w:numFmt w:val="bullet"/>
      <w:lvlText w:val="▪"/>
      <w:lvlJc w:val="left"/>
      <w:pPr>
        <w:tabs>
          <w:tab w:val="left" w:pos="5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72440C"/>
    <w:multiLevelType w:val="hybridMultilevel"/>
    <w:tmpl w:val="91EEE27A"/>
    <w:numStyleLink w:val="Estiloimportado5"/>
  </w:abstractNum>
  <w:abstractNum w:abstractNumId="33" w15:restartNumberingAfterBreak="0">
    <w:nsid w:val="745530A2"/>
    <w:multiLevelType w:val="hybridMultilevel"/>
    <w:tmpl w:val="4DFC3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EE2D9E"/>
    <w:multiLevelType w:val="hybridMultilevel"/>
    <w:tmpl w:val="91EEE27A"/>
    <w:styleLink w:val="Estiloimportado5"/>
    <w:lvl w:ilvl="0" w:tplc="E7BEEF4C">
      <w:start w:val="1"/>
      <w:numFmt w:val="bullet"/>
      <w:lvlText w:val="·"/>
      <w:lvlJc w:val="left"/>
      <w:pPr>
        <w:tabs>
          <w:tab w:val="left" w:pos="508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BEB25E">
      <w:start w:val="1"/>
      <w:numFmt w:val="bullet"/>
      <w:lvlText w:val="o"/>
      <w:lvlJc w:val="left"/>
      <w:pPr>
        <w:tabs>
          <w:tab w:val="left" w:pos="5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BA8722">
      <w:start w:val="1"/>
      <w:numFmt w:val="bullet"/>
      <w:lvlText w:val="▪"/>
      <w:lvlJc w:val="left"/>
      <w:pPr>
        <w:tabs>
          <w:tab w:val="left" w:pos="5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48C63C">
      <w:start w:val="1"/>
      <w:numFmt w:val="bullet"/>
      <w:lvlText w:val="·"/>
      <w:lvlJc w:val="left"/>
      <w:pPr>
        <w:tabs>
          <w:tab w:val="left" w:pos="508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FE6F90">
      <w:start w:val="1"/>
      <w:numFmt w:val="bullet"/>
      <w:lvlText w:val="o"/>
      <w:lvlJc w:val="left"/>
      <w:pPr>
        <w:tabs>
          <w:tab w:val="left" w:pos="5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9CF822">
      <w:start w:val="1"/>
      <w:numFmt w:val="bullet"/>
      <w:lvlText w:val="▪"/>
      <w:lvlJc w:val="left"/>
      <w:pPr>
        <w:tabs>
          <w:tab w:val="left" w:pos="508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F652CE">
      <w:start w:val="1"/>
      <w:numFmt w:val="bullet"/>
      <w:lvlText w:val="·"/>
      <w:lvlJc w:val="left"/>
      <w:pPr>
        <w:tabs>
          <w:tab w:val="left" w:pos="508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406E2A">
      <w:start w:val="1"/>
      <w:numFmt w:val="bullet"/>
      <w:lvlText w:val="o"/>
      <w:lvlJc w:val="left"/>
      <w:pPr>
        <w:tabs>
          <w:tab w:val="left" w:pos="508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1C8768">
      <w:start w:val="1"/>
      <w:numFmt w:val="bullet"/>
      <w:lvlText w:val="▪"/>
      <w:lvlJc w:val="left"/>
      <w:pPr>
        <w:tabs>
          <w:tab w:val="left" w:pos="508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7053DC0"/>
    <w:multiLevelType w:val="hybridMultilevel"/>
    <w:tmpl w:val="70A4D550"/>
    <w:numStyleLink w:val="Estiloimportado4"/>
  </w:abstractNum>
  <w:num w:numId="1">
    <w:abstractNumId w:val="27"/>
  </w:num>
  <w:num w:numId="2">
    <w:abstractNumId w:val="2"/>
  </w:num>
  <w:num w:numId="3">
    <w:abstractNumId w:val="31"/>
  </w:num>
  <w:num w:numId="4">
    <w:abstractNumId w:val="19"/>
  </w:num>
  <w:num w:numId="5">
    <w:abstractNumId w:val="2"/>
    <w:lvlOverride w:ilvl="0">
      <w:startOverride w:val="3"/>
    </w:lvlOverride>
  </w:num>
  <w:num w:numId="6">
    <w:abstractNumId w:val="17"/>
  </w:num>
  <w:num w:numId="7">
    <w:abstractNumId w:val="21"/>
  </w:num>
  <w:num w:numId="8">
    <w:abstractNumId w:val="21"/>
    <w:lvlOverride w:ilvl="0">
      <w:lvl w:ilvl="0" w:tplc="F7B445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0E3C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3E39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84801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2E1F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00E71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4600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AE18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98CA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35"/>
  </w:num>
  <w:num w:numId="11">
    <w:abstractNumId w:val="34"/>
  </w:num>
  <w:num w:numId="12">
    <w:abstractNumId w:val="32"/>
  </w:num>
  <w:num w:numId="13">
    <w:abstractNumId w:val="35"/>
  </w:num>
  <w:num w:numId="14">
    <w:abstractNumId w:val="11"/>
  </w:num>
  <w:num w:numId="15">
    <w:abstractNumId w:val="0"/>
  </w:num>
  <w:num w:numId="16">
    <w:abstractNumId w:val="35"/>
  </w:num>
  <w:num w:numId="17">
    <w:abstractNumId w:val="15"/>
  </w:num>
  <w:num w:numId="18">
    <w:abstractNumId w:val="7"/>
  </w:num>
  <w:num w:numId="19">
    <w:abstractNumId w:val="35"/>
  </w:num>
  <w:num w:numId="20">
    <w:abstractNumId w:val="16"/>
  </w:num>
  <w:num w:numId="21">
    <w:abstractNumId w:val="28"/>
  </w:num>
  <w:num w:numId="22">
    <w:abstractNumId w:val="35"/>
  </w:num>
  <w:num w:numId="23">
    <w:abstractNumId w:val="19"/>
    <w:lvlOverride w:ilvl="0">
      <w:lvl w:ilvl="0" w:tplc="E2D0D4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DE5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64F9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F285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E02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F4E4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9E3B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1414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061D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30"/>
  </w:num>
  <w:num w:numId="25">
    <w:abstractNumId w:val="24"/>
  </w:num>
  <w:num w:numId="26">
    <w:abstractNumId w:val="35"/>
    <w:lvlOverride w:ilvl="0">
      <w:startOverride w:val="2"/>
      <w:lvl w:ilvl="0" w:tplc="8C80B100">
        <w:start w:val="2"/>
        <w:numFmt w:val="upperRoman"/>
        <w:lvlText w:val="%1."/>
        <w:lvlJc w:val="left"/>
        <w:pPr>
          <w:tabs>
            <w:tab w:val="left" w:pos="5080"/>
          </w:tabs>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CE8015E">
        <w:start w:val="1"/>
        <w:numFmt w:val="lowerLetter"/>
        <w:lvlText w:val="%2."/>
        <w:lvlJc w:val="left"/>
        <w:pPr>
          <w:tabs>
            <w:tab w:val="left" w:pos="5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86CBB2">
        <w:start w:val="1"/>
        <w:numFmt w:val="lowerRoman"/>
        <w:lvlText w:val="%3."/>
        <w:lvlJc w:val="left"/>
        <w:pPr>
          <w:tabs>
            <w:tab w:val="left" w:pos="5080"/>
          </w:tabs>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802635E">
        <w:start w:val="1"/>
        <w:numFmt w:val="decimal"/>
        <w:lvlText w:val="%4."/>
        <w:lvlJc w:val="left"/>
        <w:pPr>
          <w:tabs>
            <w:tab w:val="left" w:pos="5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3F6FD1A">
        <w:start w:val="1"/>
        <w:numFmt w:val="lowerLetter"/>
        <w:lvlText w:val="%5."/>
        <w:lvlJc w:val="left"/>
        <w:pPr>
          <w:tabs>
            <w:tab w:val="left" w:pos="5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C24482">
        <w:start w:val="1"/>
        <w:numFmt w:val="lowerRoman"/>
        <w:lvlText w:val="%6."/>
        <w:lvlJc w:val="left"/>
        <w:pPr>
          <w:tabs>
            <w:tab w:val="left" w:pos="5080"/>
          </w:tabs>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0AEF550">
        <w:start w:val="1"/>
        <w:numFmt w:val="decimal"/>
        <w:lvlText w:val="%7."/>
        <w:lvlJc w:val="left"/>
        <w:pPr>
          <w:tabs>
            <w:tab w:val="left" w:pos="508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A2E220A">
        <w:start w:val="1"/>
        <w:numFmt w:val="lowerLetter"/>
        <w:lvlText w:val="%8."/>
        <w:lvlJc w:val="left"/>
        <w:pPr>
          <w:tabs>
            <w:tab w:val="left" w:pos="508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990D5E4">
        <w:start w:val="1"/>
        <w:numFmt w:val="lowerRoman"/>
        <w:lvlText w:val="%9."/>
        <w:lvlJc w:val="left"/>
        <w:pPr>
          <w:tabs>
            <w:tab w:val="left" w:pos="5080"/>
          </w:tabs>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abstractNumId w:val="4"/>
  </w:num>
  <w:num w:numId="28">
    <w:abstractNumId w:val="29"/>
  </w:num>
  <w:num w:numId="29">
    <w:abstractNumId w:val="6"/>
  </w:num>
  <w:num w:numId="30">
    <w:abstractNumId w:val="9"/>
  </w:num>
  <w:num w:numId="31">
    <w:abstractNumId w:val="23"/>
  </w:num>
  <w:num w:numId="32">
    <w:abstractNumId w:val="14"/>
  </w:num>
  <w:num w:numId="33">
    <w:abstractNumId w:val="33"/>
  </w:num>
  <w:num w:numId="34">
    <w:abstractNumId w:val="20"/>
  </w:num>
  <w:num w:numId="35">
    <w:abstractNumId w:val="1"/>
  </w:num>
  <w:num w:numId="36">
    <w:abstractNumId w:val="3"/>
  </w:num>
  <w:num w:numId="37">
    <w:abstractNumId w:val="25"/>
  </w:num>
  <w:num w:numId="38">
    <w:abstractNumId w:val="22"/>
  </w:num>
  <w:num w:numId="39">
    <w:abstractNumId w:val="13"/>
  </w:num>
  <w:num w:numId="40">
    <w:abstractNumId w:val="12"/>
  </w:num>
  <w:num w:numId="41">
    <w:abstractNumId w:val="18"/>
  </w:num>
  <w:num w:numId="42">
    <w:abstractNumId w:val="26"/>
  </w:num>
  <w:num w:numId="43">
    <w:abstractNumId w:val="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E2"/>
    <w:rsid w:val="00001250"/>
    <w:rsid w:val="0000456C"/>
    <w:rsid w:val="0001171E"/>
    <w:rsid w:val="00012A0C"/>
    <w:rsid w:val="000332A9"/>
    <w:rsid w:val="00035975"/>
    <w:rsid w:val="000369B1"/>
    <w:rsid w:val="00043285"/>
    <w:rsid w:val="00055680"/>
    <w:rsid w:val="00075090"/>
    <w:rsid w:val="00082583"/>
    <w:rsid w:val="000875C3"/>
    <w:rsid w:val="00087C41"/>
    <w:rsid w:val="0009725C"/>
    <w:rsid w:val="000A17FF"/>
    <w:rsid w:val="000A1E26"/>
    <w:rsid w:val="000A3AD1"/>
    <w:rsid w:val="000A5A36"/>
    <w:rsid w:val="000B0183"/>
    <w:rsid w:val="000C0A0D"/>
    <w:rsid w:val="000C1B6D"/>
    <w:rsid w:val="000C5516"/>
    <w:rsid w:val="000D4AE3"/>
    <w:rsid w:val="000D4D35"/>
    <w:rsid w:val="000D690F"/>
    <w:rsid w:val="000E0BFD"/>
    <w:rsid w:val="000E3075"/>
    <w:rsid w:val="000E6209"/>
    <w:rsid w:val="000F0919"/>
    <w:rsid w:val="000F680A"/>
    <w:rsid w:val="000F7118"/>
    <w:rsid w:val="000F7AD9"/>
    <w:rsid w:val="001047EC"/>
    <w:rsid w:val="001051A7"/>
    <w:rsid w:val="001129B4"/>
    <w:rsid w:val="0011467D"/>
    <w:rsid w:val="00114C8B"/>
    <w:rsid w:val="00115191"/>
    <w:rsid w:val="00124E8D"/>
    <w:rsid w:val="00125A2C"/>
    <w:rsid w:val="00125DB3"/>
    <w:rsid w:val="00125F8C"/>
    <w:rsid w:val="00131527"/>
    <w:rsid w:val="00132192"/>
    <w:rsid w:val="00136448"/>
    <w:rsid w:val="00147073"/>
    <w:rsid w:val="0015053C"/>
    <w:rsid w:val="00151506"/>
    <w:rsid w:val="00153D1C"/>
    <w:rsid w:val="00157E4C"/>
    <w:rsid w:val="001634FE"/>
    <w:rsid w:val="00165B8E"/>
    <w:rsid w:val="00165DCC"/>
    <w:rsid w:val="00167638"/>
    <w:rsid w:val="001775DC"/>
    <w:rsid w:val="001811A2"/>
    <w:rsid w:val="001855BE"/>
    <w:rsid w:val="001942F7"/>
    <w:rsid w:val="00194DAE"/>
    <w:rsid w:val="001A59F2"/>
    <w:rsid w:val="001A7668"/>
    <w:rsid w:val="001B2BE2"/>
    <w:rsid w:val="001B76B0"/>
    <w:rsid w:val="001B79E7"/>
    <w:rsid w:val="001C2EFA"/>
    <w:rsid w:val="001C345A"/>
    <w:rsid w:val="001C5DED"/>
    <w:rsid w:val="001D0AE1"/>
    <w:rsid w:val="001D5F76"/>
    <w:rsid w:val="001E5C6A"/>
    <w:rsid w:val="001F191D"/>
    <w:rsid w:val="002002B2"/>
    <w:rsid w:val="002029A1"/>
    <w:rsid w:val="00204247"/>
    <w:rsid w:val="00212DFD"/>
    <w:rsid w:val="0022599A"/>
    <w:rsid w:val="00226F8B"/>
    <w:rsid w:val="0022737E"/>
    <w:rsid w:val="00232DB8"/>
    <w:rsid w:val="00233FAE"/>
    <w:rsid w:val="00234C84"/>
    <w:rsid w:val="00235F25"/>
    <w:rsid w:val="00235FEA"/>
    <w:rsid w:val="002375AB"/>
    <w:rsid w:val="002414C1"/>
    <w:rsid w:val="00243B5E"/>
    <w:rsid w:val="00251B50"/>
    <w:rsid w:val="00255799"/>
    <w:rsid w:val="0025645D"/>
    <w:rsid w:val="00261410"/>
    <w:rsid w:val="00262FE5"/>
    <w:rsid w:val="00273C2D"/>
    <w:rsid w:val="00275553"/>
    <w:rsid w:val="0028242D"/>
    <w:rsid w:val="002875A6"/>
    <w:rsid w:val="00290E03"/>
    <w:rsid w:val="00291F92"/>
    <w:rsid w:val="0029409F"/>
    <w:rsid w:val="002A005C"/>
    <w:rsid w:val="002A2A9B"/>
    <w:rsid w:val="002A38C1"/>
    <w:rsid w:val="002A3F10"/>
    <w:rsid w:val="002A56CE"/>
    <w:rsid w:val="002B13AE"/>
    <w:rsid w:val="002B1A47"/>
    <w:rsid w:val="002B2753"/>
    <w:rsid w:val="002B37FD"/>
    <w:rsid w:val="002B5E29"/>
    <w:rsid w:val="002C4EA3"/>
    <w:rsid w:val="002D3205"/>
    <w:rsid w:val="002D7151"/>
    <w:rsid w:val="002D7196"/>
    <w:rsid w:val="002E139C"/>
    <w:rsid w:val="002E3153"/>
    <w:rsid w:val="002E5A0D"/>
    <w:rsid w:val="002E6833"/>
    <w:rsid w:val="002E7FF5"/>
    <w:rsid w:val="002F226C"/>
    <w:rsid w:val="002F414C"/>
    <w:rsid w:val="002F46AE"/>
    <w:rsid w:val="00301E38"/>
    <w:rsid w:val="0030215C"/>
    <w:rsid w:val="0031039F"/>
    <w:rsid w:val="0031070D"/>
    <w:rsid w:val="003109FE"/>
    <w:rsid w:val="00312766"/>
    <w:rsid w:val="003154BD"/>
    <w:rsid w:val="003241F5"/>
    <w:rsid w:val="003305A9"/>
    <w:rsid w:val="00333C81"/>
    <w:rsid w:val="0034074F"/>
    <w:rsid w:val="00344249"/>
    <w:rsid w:val="00352E61"/>
    <w:rsid w:val="00355B96"/>
    <w:rsid w:val="00357122"/>
    <w:rsid w:val="00363EDA"/>
    <w:rsid w:val="003643E3"/>
    <w:rsid w:val="003654AC"/>
    <w:rsid w:val="00380585"/>
    <w:rsid w:val="0038186B"/>
    <w:rsid w:val="00391015"/>
    <w:rsid w:val="003914FC"/>
    <w:rsid w:val="003916D4"/>
    <w:rsid w:val="00393B9E"/>
    <w:rsid w:val="003A1AC0"/>
    <w:rsid w:val="003A7661"/>
    <w:rsid w:val="003B09B1"/>
    <w:rsid w:val="003B428B"/>
    <w:rsid w:val="003C122F"/>
    <w:rsid w:val="003C1E59"/>
    <w:rsid w:val="003C2609"/>
    <w:rsid w:val="003C3501"/>
    <w:rsid w:val="003C37D9"/>
    <w:rsid w:val="003C6B7B"/>
    <w:rsid w:val="003C76B4"/>
    <w:rsid w:val="003D07B4"/>
    <w:rsid w:val="003D199E"/>
    <w:rsid w:val="003D2EC6"/>
    <w:rsid w:val="003E1511"/>
    <w:rsid w:val="003F4141"/>
    <w:rsid w:val="003F474D"/>
    <w:rsid w:val="00404621"/>
    <w:rsid w:val="00405693"/>
    <w:rsid w:val="00406B9D"/>
    <w:rsid w:val="00407BA5"/>
    <w:rsid w:val="00413D1C"/>
    <w:rsid w:val="004158D3"/>
    <w:rsid w:val="00415C0A"/>
    <w:rsid w:val="0041747E"/>
    <w:rsid w:val="00424BEB"/>
    <w:rsid w:val="00430866"/>
    <w:rsid w:val="00430952"/>
    <w:rsid w:val="00432488"/>
    <w:rsid w:val="004400DB"/>
    <w:rsid w:val="00452329"/>
    <w:rsid w:val="00453796"/>
    <w:rsid w:val="00457B26"/>
    <w:rsid w:val="00465AAF"/>
    <w:rsid w:val="0047212A"/>
    <w:rsid w:val="00480C63"/>
    <w:rsid w:val="004A33FA"/>
    <w:rsid w:val="004A4DA0"/>
    <w:rsid w:val="004B6C43"/>
    <w:rsid w:val="004C425F"/>
    <w:rsid w:val="004C5352"/>
    <w:rsid w:val="004C63E1"/>
    <w:rsid w:val="004D0848"/>
    <w:rsid w:val="004D40FD"/>
    <w:rsid w:val="004D7AEC"/>
    <w:rsid w:val="004E04B1"/>
    <w:rsid w:val="004F4363"/>
    <w:rsid w:val="004F4499"/>
    <w:rsid w:val="004F6691"/>
    <w:rsid w:val="004F7197"/>
    <w:rsid w:val="004F7812"/>
    <w:rsid w:val="00500243"/>
    <w:rsid w:val="00500459"/>
    <w:rsid w:val="00503C70"/>
    <w:rsid w:val="0050474C"/>
    <w:rsid w:val="00511C15"/>
    <w:rsid w:val="0051426F"/>
    <w:rsid w:val="005151A2"/>
    <w:rsid w:val="005267E9"/>
    <w:rsid w:val="00527E14"/>
    <w:rsid w:val="005337E3"/>
    <w:rsid w:val="00534479"/>
    <w:rsid w:val="00534B2E"/>
    <w:rsid w:val="00536343"/>
    <w:rsid w:val="00537927"/>
    <w:rsid w:val="005431BB"/>
    <w:rsid w:val="00545461"/>
    <w:rsid w:val="00545770"/>
    <w:rsid w:val="005460BC"/>
    <w:rsid w:val="00546A31"/>
    <w:rsid w:val="00547D08"/>
    <w:rsid w:val="005552D8"/>
    <w:rsid w:val="00556395"/>
    <w:rsid w:val="00557635"/>
    <w:rsid w:val="00560C1B"/>
    <w:rsid w:val="00563927"/>
    <w:rsid w:val="00565BA8"/>
    <w:rsid w:val="00570E99"/>
    <w:rsid w:val="005710F2"/>
    <w:rsid w:val="00574D8F"/>
    <w:rsid w:val="00583A80"/>
    <w:rsid w:val="0058673A"/>
    <w:rsid w:val="00586D8F"/>
    <w:rsid w:val="00587051"/>
    <w:rsid w:val="00592AAE"/>
    <w:rsid w:val="00594AB7"/>
    <w:rsid w:val="0059665E"/>
    <w:rsid w:val="005A1640"/>
    <w:rsid w:val="005B7DDE"/>
    <w:rsid w:val="005C15A3"/>
    <w:rsid w:val="005D0448"/>
    <w:rsid w:val="005D269C"/>
    <w:rsid w:val="005E07E2"/>
    <w:rsid w:val="005E17D1"/>
    <w:rsid w:val="005E7416"/>
    <w:rsid w:val="005F11BF"/>
    <w:rsid w:val="005F35B0"/>
    <w:rsid w:val="006005A1"/>
    <w:rsid w:val="00602D7D"/>
    <w:rsid w:val="00604A14"/>
    <w:rsid w:val="00613D76"/>
    <w:rsid w:val="0061412C"/>
    <w:rsid w:val="00617E43"/>
    <w:rsid w:val="00627D9F"/>
    <w:rsid w:val="00636096"/>
    <w:rsid w:val="00640A0A"/>
    <w:rsid w:val="006435F4"/>
    <w:rsid w:val="006473FD"/>
    <w:rsid w:val="00651DA3"/>
    <w:rsid w:val="00653F23"/>
    <w:rsid w:val="00663321"/>
    <w:rsid w:val="0066464D"/>
    <w:rsid w:val="0066588C"/>
    <w:rsid w:val="00667FCF"/>
    <w:rsid w:val="006708DE"/>
    <w:rsid w:val="00681C1B"/>
    <w:rsid w:val="0068516D"/>
    <w:rsid w:val="00687DB3"/>
    <w:rsid w:val="00690D93"/>
    <w:rsid w:val="00694B23"/>
    <w:rsid w:val="006A40F5"/>
    <w:rsid w:val="006A5C6C"/>
    <w:rsid w:val="006A7CD6"/>
    <w:rsid w:val="006B204B"/>
    <w:rsid w:val="006B2286"/>
    <w:rsid w:val="006D6DDB"/>
    <w:rsid w:val="006E00A2"/>
    <w:rsid w:val="006E1ABD"/>
    <w:rsid w:val="006E24D0"/>
    <w:rsid w:val="006F3A2F"/>
    <w:rsid w:val="006F653E"/>
    <w:rsid w:val="007014BF"/>
    <w:rsid w:val="00710A3B"/>
    <w:rsid w:val="007125C9"/>
    <w:rsid w:val="00722D4A"/>
    <w:rsid w:val="007231AE"/>
    <w:rsid w:val="007324B8"/>
    <w:rsid w:val="007331B3"/>
    <w:rsid w:val="00733292"/>
    <w:rsid w:val="00733793"/>
    <w:rsid w:val="0073474C"/>
    <w:rsid w:val="00734D7F"/>
    <w:rsid w:val="00736354"/>
    <w:rsid w:val="00740101"/>
    <w:rsid w:val="007447F3"/>
    <w:rsid w:val="00745690"/>
    <w:rsid w:val="0075129F"/>
    <w:rsid w:val="0075481B"/>
    <w:rsid w:val="00755DB1"/>
    <w:rsid w:val="00757676"/>
    <w:rsid w:val="00757E6B"/>
    <w:rsid w:val="00757FEB"/>
    <w:rsid w:val="00764F96"/>
    <w:rsid w:val="00765404"/>
    <w:rsid w:val="00771F14"/>
    <w:rsid w:val="00773D98"/>
    <w:rsid w:val="0078432A"/>
    <w:rsid w:val="00795F16"/>
    <w:rsid w:val="0079695E"/>
    <w:rsid w:val="00797B6D"/>
    <w:rsid w:val="007B1132"/>
    <w:rsid w:val="007B30DB"/>
    <w:rsid w:val="007B3858"/>
    <w:rsid w:val="007B38C6"/>
    <w:rsid w:val="007B502E"/>
    <w:rsid w:val="007C220F"/>
    <w:rsid w:val="007C77A7"/>
    <w:rsid w:val="007D3DFF"/>
    <w:rsid w:val="007D66CE"/>
    <w:rsid w:val="007D7D32"/>
    <w:rsid w:val="007E2531"/>
    <w:rsid w:val="007E4145"/>
    <w:rsid w:val="007F2E09"/>
    <w:rsid w:val="007F30C2"/>
    <w:rsid w:val="007F75DC"/>
    <w:rsid w:val="008007E4"/>
    <w:rsid w:val="00803860"/>
    <w:rsid w:val="00804918"/>
    <w:rsid w:val="008147C1"/>
    <w:rsid w:val="008161C2"/>
    <w:rsid w:val="0082034E"/>
    <w:rsid w:val="00820EB3"/>
    <w:rsid w:val="00821B8D"/>
    <w:rsid w:val="00822AFD"/>
    <w:rsid w:val="0082365F"/>
    <w:rsid w:val="00825CB7"/>
    <w:rsid w:val="008350BC"/>
    <w:rsid w:val="00836227"/>
    <w:rsid w:val="00845570"/>
    <w:rsid w:val="00845EE6"/>
    <w:rsid w:val="00852FF0"/>
    <w:rsid w:val="008576A3"/>
    <w:rsid w:val="008610A4"/>
    <w:rsid w:val="00863F5D"/>
    <w:rsid w:val="00866655"/>
    <w:rsid w:val="00866AA7"/>
    <w:rsid w:val="008727EA"/>
    <w:rsid w:val="00875AF5"/>
    <w:rsid w:val="00877896"/>
    <w:rsid w:val="008827FA"/>
    <w:rsid w:val="0088569E"/>
    <w:rsid w:val="00885FEB"/>
    <w:rsid w:val="0088688F"/>
    <w:rsid w:val="008918AF"/>
    <w:rsid w:val="00891A5C"/>
    <w:rsid w:val="008A4078"/>
    <w:rsid w:val="008A59AA"/>
    <w:rsid w:val="008A65DF"/>
    <w:rsid w:val="008B6E0B"/>
    <w:rsid w:val="008B7168"/>
    <w:rsid w:val="008C1109"/>
    <w:rsid w:val="008C1DE7"/>
    <w:rsid w:val="008C4C29"/>
    <w:rsid w:val="008D2681"/>
    <w:rsid w:val="008E5137"/>
    <w:rsid w:val="008F4779"/>
    <w:rsid w:val="008F4C33"/>
    <w:rsid w:val="008F518D"/>
    <w:rsid w:val="008F586A"/>
    <w:rsid w:val="00900616"/>
    <w:rsid w:val="00902803"/>
    <w:rsid w:val="009110AF"/>
    <w:rsid w:val="0091135A"/>
    <w:rsid w:val="00915DD6"/>
    <w:rsid w:val="009223F7"/>
    <w:rsid w:val="00923A6D"/>
    <w:rsid w:val="00925D93"/>
    <w:rsid w:val="00926492"/>
    <w:rsid w:val="0092670C"/>
    <w:rsid w:val="009348D1"/>
    <w:rsid w:val="00935BB9"/>
    <w:rsid w:val="00944502"/>
    <w:rsid w:val="009472E5"/>
    <w:rsid w:val="00951AAA"/>
    <w:rsid w:val="00952975"/>
    <w:rsid w:val="00955391"/>
    <w:rsid w:val="009624F9"/>
    <w:rsid w:val="00965F65"/>
    <w:rsid w:val="00970513"/>
    <w:rsid w:val="00970859"/>
    <w:rsid w:val="00971086"/>
    <w:rsid w:val="0097130D"/>
    <w:rsid w:val="00974172"/>
    <w:rsid w:val="00980B76"/>
    <w:rsid w:val="00982DE1"/>
    <w:rsid w:val="00983A66"/>
    <w:rsid w:val="0098602F"/>
    <w:rsid w:val="00993785"/>
    <w:rsid w:val="009A2259"/>
    <w:rsid w:val="009A34E4"/>
    <w:rsid w:val="009A7EC3"/>
    <w:rsid w:val="009B7994"/>
    <w:rsid w:val="009B7A5D"/>
    <w:rsid w:val="009D6DE5"/>
    <w:rsid w:val="009E747C"/>
    <w:rsid w:val="009F1703"/>
    <w:rsid w:val="009F605B"/>
    <w:rsid w:val="00A04FF8"/>
    <w:rsid w:val="00A10C9F"/>
    <w:rsid w:val="00A11572"/>
    <w:rsid w:val="00A1571C"/>
    <w:rsid w:val="00A2291A"/>
    <w:rsid w:val="00A22D56"/>
    <w:rsid w:val="00A26D46"/>
    <w:rsid w:val="00A41C6F"/>
    <w:rsid w:val="00A44530"/>
    <w:rsid w:val="00A47593"/>
    <w:rsid w:val="00A50F5B"/>
    <w:rsid w:val="00A57A90"/>
    <w:rsid w:val="00A65EC3"/>
    <w:rsid w:val="00A72E77"/>
    <w:rsid w:val="00A76819"/>
    <w:rsid w:val="00A76E56"/>
    <w:rsid w:val="00A77FF3"/>
    <w:rsid w:val="00A80B31"/>
    <w:rsid w:val="00A80E09"/>
    <w:rsid w:val="00A81759"/>
    <w:rsid w:val="00A8282D"/>
    <w:rsid w:val="00A952BA"/>
    <w:rsid w:val="00AA2818"/>
    <w:rsid w:val="00AB36B7"/>
    <w:rsid w:val="00AB3D87"/>
    <w:rsid w:val="00AB4144"/>
    <w:rsid w:val="00AB7DE7"/>
    <w:rsid w:val="00AB7EB6"/>
    <w:rsid w:val="00AC0822"/>
    <w:rsid w:val="00AC0D0A"/>
    <w:rsid w:val="00AC38F8"/>
    <w:rsid w:val="00AC6380"/>
    <w:rsid w:val="00AD1EA0"/>
    <w:rsid w:val="00AD2598"/>
    <w:rsid w:val="00AD3264"/>
    <w:rsid w:val="00AE6946"/>
    <w:rsid w:val="00AF3656"/>
    <w:rsid w:val="00AF40DD"/>
    <w:rsid w:val="00AF4851"/>
    <w:rsid w:val="00AF74F4"/>
    <w:rsid w:val="00B00F48"/>
    <w:rsid w:val="00B05190"/>
    <w:rsid w:val="00B06650"/>
    <w:rsid w:val="00B10017"/>
    <w:rsid w:val="00B13FCE"/>
    <w:rsid w:val="00B170F1"/>
    <w:rsid w:val="00B26C69"/>
    <w:rsid w:val="00B26F0F"/>
    <w:rsid w:val="00B34A1B"/>
    <w:rsid w:val="00B35DC8"/>
    <w:rsid w:val="00B42FA5"/>
    <w:rsid w:val="00B527CA"/>
    <w:rsid w:val="00B52EE2"/>
    <w:rsid w:val="00B555D3"/>
    <w:rsid w:val="00B62AF3"/>
    <w:rsid w:val="00B633E3"/>
    <w:rsid w:val="00B67E3C"/>
    <w:rsid w:val="00B70EAB"/>
    <w:rsid w:val="00B72312"/>
    <w:rsid w:val="00B745FA"/>
    <w:rsid w:val="00B74874"/>
    <w:rsid w:val="00B7555F"/>
    <w:rsid w:val="00B76FE3"/>
    <w:rsid w:val="00B770E2"/>
    <w:rsid w:val="00B81C5E"/>
    <w:rsid w:val="00B82317"/>
    <w:rsid w:val="00B83D8D"/>
    <w:rsid w:val="00B86053"/>
    <w:rsid w:val="00B87085"/>
    <w:rsid w:val="00B904AC"/>
    <w:rsid w:val="00B92234"/>
    <w:rsid w:val="00BA1904"/>
    <w:rsid w:val="00BA763A"/>
    <w:rsid w:val="00BB1471"/>
    <w:rsid w:val="00BB2059"/>
    <w:rsid w:val="00BB4988"/>
    <w:rsid w:val="00BB6E2B"/>
    <w:rsid w:val="00BB6F03"/>
    <w:rsid w:val="00BB788A"/>
    <w:rsid w:val="00BC0C3F"/>
    <w:rsid w:val="00BC43D6"/>
    <w:rsid w:val="00BC595D"/>
    <w:rsid w:val="00BC60FC"/>
    <w:rsid w:val="00BD4F7B"/>
    <w:rsid w:val="00BD6CC8"/>
    <w:rsid w:val="00BE3439"/>
    <w:rsid w:val="00BE55AA"/>
    <w:rsid w:val="00BE7198"/>
    <w:rsid w:val="00BF0FF3"/>
    <w:rsid w:val="00BF4625"/>
    <w:rsid w:val="00C023D4"/>
    <w:rsid w:val="00C02756"/>
    <w:rsid w:val="00C060FA"/>
    <w:rsid w:val="00C07C2D"/>
    <w:rsid w:val="00C10928"/>
    <w:rsid w:val="00C1596C"/>
    <w:rsid w:val="00C305C1"/>
    <w:rsid w:val="00C335C7"/>
    <w:rsid w:val="00C353AD"/>
    <w:rsid w:val="00C4115D"/>
    <w:rsid w:val="00C47753"/>
    <w:rsid w:val="00C562D3"/>
    <w:rsid w:val="00C6082F"/>
    <w:rsid w:val="00C61812"/>
    <w:rsid w:val="00C61EDB"/>
    <w:rsid w:val="00C657AA"/>
    <w:rsid w:val="00C71748"/>
    <w:rsid w:val="00C745A8"/>
    <w:rsid w:val="00C75966"/>
    <w:rsid w:val="00C84858"/>
    <w:rsid w:val="00C86F8F"/>
    <w:rsid w:val="00C910A4"/>
    <w:rsid w:val="00C92BCC"/>
    <w:rsid w:val="00C9518A"/>
    <w:rsid w:val="00C954AB"/>
    <w:rsid w:val="00C95D5E"/>
    <w:rsid w:val="00C9701D"/>
    <w:rsid w:val="00C97532"/>
    <w:rsid w:val="00CA4684"/>
    <w:rsid w:val="00CB1135"/>
    <w:rsid w:val="00CB12F1"/>
    <w:rsid w:val="00CB1BAB"/>
    <w:rsid w:val="00CB328F"/>
    <w:rsid w:val="00CB42A4"/>
    <w:rsid w:val="00CB6C02"/>
    <w:rsid w:val="00CB6F9D"/>
    <w:rsid w:val="00CC07D6"/>
    <w:rsid w:val="00CC0B9C"/>
    <w:rsid w:val="00CC1126"/>
    <w:rsid w:val="00CC1778"/>
    <w:rsid w:val="00CC1FC6"/>
    <w:rsid w:val="00CC5C23"/>
    <w:rsid w:val="00CD338A"/>
    <w:rsid w:val="00CD5C25"/>
    <w:rsid w:val="00CD75F1"/>
    <w:rsid w:val="00CD780C"/>
    <w:rsid w:val="00CE0673"/>
    <w:rsid w:val="00CE2257"/>
    <w:rsid w:val="00CE4027"/>
    <w:rsid w:val="00CE50DF"/>
    <w:rsid w:val="00CE603F"/>
    <w:rsid w:val="00CF117A"/>
    <w:rsid w:val="00CF3147"/>
    <w:rsid w:val="00CF334D"/>
    <w:rsid w:val="00CF3DAD"/>
    <w:rsid w:val="00CF4B8F"/>
    <w:rsid w:val="00D1013A"/>
    <w:rsid w:val="00D12736"/>
    <w:rsid w:val="00D140F7"/>
    <w:rsid w:val="00D1595B"/>
    <w:rsid w:val="00D17976"/>
    <w:rsid w:val="00D17B8B"/>
    <w:rsid w:val="00D23B51"/>
    <w:rsid w:val="00D27097"/>
    <w:rsid w:val="00D32046"/>
    <w:rsid w:val="00D370CF"/>
    <w:rsid w:val="00D44B07"/>
    <w:rsid w:val="00D461C9"/>
    <w:rsid w:val="00D50D9B"/>
    <w:rsid w:val="00D50F61"/>
    <w:rsid w:val="00D5124E"/>
    <w:rsid w:val="00D7085F"/>
    <w:rsid w:val="00D73ED4"/>
    <w:rsid w:val="00D76D9D"/>
    <w:rsid w:val="00D85416"/>
    <w:rsid w:val="00D869F1"/>
    <w:rsid w:val="00D87F65"/>
    <w:rsid w:val="00D90950"/>
    <w:rsid w:val="00D97069"/>
    <w:rsid w:val="00DA481A"/>
    <w:rsid w:val="00DB1FC4"/>
    <w:rsid w:val="00DB56E1"/>
    <w:rsid w:val="00DB660E"/>
    <w:rsid w:val="00DD0B2A"/>
    <w:rsid w:val="00DD2DF6"/>
    <w:rsid w:val="00DD2E8A"/>
    <w:rsid w:val="00DE2875"/>
    <w:rsid w:val="00DF159C"/>
    <w:rsid w:val="00DF2095"/>
    <w:rsid w:val="00E07049"/>
    <w:rsid w:val="00E0774C"/>
    <w:rsid w:val="00E1129C"/>
    <w:rsid w:val="00E2248F"/>
    <w:rsid w:val="00E32A78"/>
    <w:rsid w:val="00E35726"/>
    <w:rsid w:val="00E401EE"/>
    <w:rsid w:val="00E53923"/>
    <w:rsid w:val="00E54B4E"/>
    <w:rsid w:val="00E607EB"/>
    <w:rsid w:val="00E620F4"/>
    <w:rsid w:val="00E621C0"/>
    <w:rsid w:val="00E64511"/>
    <w:rsid w:val="00E65773"/>
    <w:rsid w:val="00E67143"/>
    <w:rsid w:val="00E701B8"/>
    <w:rsid w:val="00E70554"/>
    <w:rsid w:val="00E70A02"/>
    <w:rsid w:val="00E70F76"/>
    <w:rsid w:val="00E77A6A"/>
    <w:rsid w:val="00E8297C"/>
    <w:rsid w:val="00E8370B"/>
    <w:rsid w:val="00E84985"/>
    <w:rsid w:val="00E853C5"/>
    <w:rsid w:val="00E8545C"/>
    <w:rsid w:val="00E85732"/>
    <w:rsid w:val="00E85754"/>
    <w:rsid w:val="00E86ED3"/>
    <w:rsid w:val="00E87259"/>
    <w:rsid w:val="00E93C24"/>
    <w:rsid w:val="00EA0264"/>
    <w:rsid w:val="00EB13E0"/>
    <w:rsid w:val="00EB5771"/>
    <w:rsid w:val="00EC302E"/>
    <w:rsid w:val="00EC348F"/>
    <w:rsid w:val="00EC60F2"/>
    <w:rsid w:val="00EC671D"/>
    <w:rsid w:val="00EC68E8"/>
    <w:rsid w:val="00EC77BE"/>
    <w:rsid w:val="00ED2140"/>
    <w:rsid w:val="00ED2A73"/>
    <w:rsid w:val="00EE01CB"/>
    <w:rsid w:val="00EE316A"/>
    <w:rsid w:val="00EE4695"/>
    <w:rsid w:val="00EF10C2"/>
    <w:rsid w:val="00EF3969"/>
    <w:rsid w:val="00EF3F02"/>
    <w:rsid w:val="00F01B98"/>
    <w:rsid w:val="00F055BC"/>
    <w:rsid w:val="00F0624C"/>
    <w:rsid w:val="00F1427A"/>
    <w:rsid w:val="00F21945"/>
    <w:rsid w:val="00F27B05"/>
    <w:rsid w:val="00F3324C"/>
    <w:rsid w:val="00F35F32"/>
    <w:rsid w:val="00F41352"/>
    <w:rsid w:val="00F515CF"/>
    <w:rsid w:val="00F5629F"/>
    <w:rsid w:val="00F60C4E"/>
    <w:rsid w:val="00F61DBC"/>
    <w:rsid w:val="00F6669E"/>
    <w:rsid w:val="00F669FA"/>
    <w:rsid w:val="00F70E81"/>
    <w:rsid w:val="00F727CA"/>
    <w:rsid w:val="00F7305B"/>
    <w:rsid w:val="00F73A82"/>
    <w:rsid w:val="00F73FA0"/>
    <w:rsid w:val="00F74E7E"/>
    <w:rsid w:val="00F8259A"/>
    <w:rsid w:val="00F83624"/>
    <w:rsid w:val="00F86671"/>
    <w:rsid w:val="00F87E2C"/>
    <w:rsid w:val="00F90865"/>
    <w:rsid w:val="00F9271C"/>
    <w:rsid w:val="00FA036F"/>
    <w:rsid w:val="00FA1014"/>
    <w:rsid w:val="00FA7A6F"/>
    <w:rsid w:val="00FB12E1"/>
    <w:rsid w:val="00FC011E"/>
    <w:rsid w:val="00FC1C9A"/>
    <w:rsid w:val="00FC506B"/>
    <w:rsid w:val="00FC5683"/>
    <w:rsid w:val="00FC5A79"/>
    <w:rsid w:val="00FD1306"/>
    <w:rsid w:val="00FD2240"/>
    <w:rsid w:val="00FD2821"/>
    <w:rsid w:val="00FE2DEB"/>
    <w:rsid w:val="00FF409E"/>
    <w:rsid w:val="00FF5F91"/>
    <w:rsid w:val="00FF76EF"/>
    <w:rsid w:val="2033E6DA"/>
    <w:rsid w:val="2A6FCD28"/>
    <w:rsid w:val="2FC2432C"/>
    <w:rsid w:val="38472A6C"/>
    <w:rsid w:val="5929F2B2"/>
    <w:rsid w:val="6AF75CA8"/>
    <w:rsid w:val="6B348B3F"/>
    <w:rsid w:val="78767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9C8F"/>
  <w15:docId w15:val="{AD1AC5C1-542B-364A-96C7-87FE0AC3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27"/>
    <w:rPr>
      <w:sz w:val="24"/>
      <w:szCs w:val="24"/>
      <w:lang w:val="en-US" w:eastAsia="en-US"/>
    </w:rPr>
  </w:style>
  <w:style w:type="paragraph" w:styleId="Ttulo1">
    <w:name w:val="heading 1"/>
    <w:basedOn w:val="Normal"/>
    <w:next w:val="Normal"/>
    <w:link w:val="Ttulo1Car"/>
    <w:uiPriority w:val="9"/>
    <w:qFormat/>
    <w:rsid w:val="00CE402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2F5496" w:themeColor="accent1" w:themeShade="BF"/>
      <w:sz w:val="32"/>
      <w:szCs w:val="32"/>
      <w:bdr w:val="none" w:sz="0" w:space="0" w:color="auto"/>
      <w:lang w:val="es-MX"/>
    </w:rPr>
  </w:style>
  <w:style w:type="paragraph" w:styleId="Ttulo5">
    <w:name w:val="heading 5"/>
    <w:basedOn w:val="Normal"/>
    <w:link w:val="Ttulo5Car"/>
    <w:uiPriority w:val="9"/>
    <w:qFormat/>
    <w:rsid w:val="00CE40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E4027"/>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link w:val="EncabezadoCar"/>
    <w:uiPriority w:val="99"/>
    <w:rsid w:val="00CE4027"/>
    <w:pPr>
      <w:tabs>
        <w:tab w:val="center" w:pos="4680"/>
        <w:tab w:val="right" w:pos="9360"/>
      </w:tabs>
    </w:pPr>
    <w:rPr>
      <w:rFonts w:ascii="Calibri" w:hAnsi="Calibri" w:cs="Arial Unicode MS"/>
      <w:color w:val="000000"/>
      <w:sz w:val="22"/>
      <w:szCs w:val="22"/>
      <w:u w:color="000000"/>
      <w:lang w:val="es-ES_tradnl"/>
    </w:rPr>
  </w:style>
  <w:style w:type="paragraph" w:styleId="Piedepgina">
    <w:name w:val="footer"/>
    <w:link w:val="PiedepginaCar"/>
    <w:uiPriority w:val="99"/>
    <w:rsid w:val="00CE4027"/>
    <w:pPr>
      <w:tabs>
        <w:tab w:val="center" w:pos="4680"/>
        <w:tab w:val="right" w:pos="9360"/>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Prrafodelista">
    <w:name w:val="List Paragraph"/>
    <w:uiPriority w:val="34"/>
    <w:qFormat/>
    <w:rsid w:val="00CE4027"/>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character" w:styleId="Refdenotaalpie">
    <w:name w:val="footnote reference"/>
    <w:basedOn w:val="Ninguno"/>
    <w:uiPriority w:val="99"/>
    <w:rsid w:val="00CE4027"/>
    <w:rPr>
      <w:vertAlign w:val="superscript"/>
    </w:rPr>
  </w:style>
  <w:style w:type="paragraph" w:styleId="Textonotapie">
    <w:name w:val="footnote text"/>
    <w:aliases w:val="5_G"/>
    <w:link w:val="TextonotapieCar"/>
    <w:rsid w:val="00CE4027"/>
    <w:rPr>
      <w:rFonts w:ascii="Calibri" w:eastAsia="Calibri" w:hAnsi="Calibri" w:cs="Calibri"/>
      <w:color w:val="000000"/>
      <w:u w:color="000000"/>
      <w:lang w:val="es-ES_tradnl"/>
    </w:rPr>
  </w:style>
  <w:style w:type="character" w:customStyle="1" w:styleId="Enlace">
    <w:name w:val="Enlace"/>
    <w:rPr>
      <w:outline w:val="0"/>
      <w:color w:val="0563C1"/>
      <w:u w:val="single" w:color="0563C1"/>
    </w:rPr>
  </w:style>
  <w:style w:type="character" w:customStyle="1" w:styleId="Hyperlink0">
    <w:name w:val="Hyperlink.0"/>
    <w:basedOn w:val="Enlace"/>
    <w:rPr>
      <w:outline w:val="0"/>
      <w:color w:val="0563C1"/>
      <w:sz w:val="16"/>
      <w:szCs w:val="16"/>
      <w:u w:val="single" w:color="0563C1"/>
    </w:rPr>
  </w:style>
  <w:style w:type="character" w:customStyle="1" w:styleId="Hyperlink1">
    <w:name w:val="Hyperlink.1"/>
    <w:basedOn w:val="Enlace"/>
    <w:rPr>
      <w:outline w:val="0"/>
      <w:color w:val="0563C1"/>
      <w:sz w:val="16"/>
      <w:szCs w:val="16"/>
      <w:u w:val="single" w:color="0563C1"/>
      <w:lang w:val="en-US"/>
    </w:rPr>
  </w:style>
  <w:style w:type="numbering" w:customStyle="1" w:styleId="Estiloimportado3">
    <w:name w:val="Estilo importado 3"/>
    <w:pPr>
      <w:numPr>
        <w:numId w:val="6"/>
      </w:numPr>
    </w:pPr>
  </w:style>
  <w:style w:type="character" w:customStyle="1" w:styleId="Hyperlink2">
    <w:name w:val="Hyperlink.2"/>
    <w:basedOn w:val="Ninguno"/>
    <w:rPr>
      <w:sz w:val="16"/>
      <w:szCs w:val="16"/>
      <w:lang w:val="en-US"/>
    </w:rPr>
  </w:style>
  <w:style w:type="numbering" w:customStyle="1" w:styleId="Estiloimportado4">
    <w:name w:val="Estilo importado 4"/>
    <w:pPr>
      <w:numPr>
        <w:numId w:val="9"/>
      </w:numPr>
    </w:pPr>
  </w:style>
  <w:style w:type="numbering" w:customStyle="1" w:styleId="Estiloimportado5">
    <w:name w:val="Estilo importado 5"/>
    <w:pPr>
      <w:numPr>
        <w:numId w:val="11"/>
      </w:numPr>
    </w:pPr>
  </w:style>
  <w:style w:type="numbering" w:customStyle="1" w:styleId="Estiloimportado6">
    <w:name w:val="Estilo importado 6"/>
    <w:pPr>
      <w:numPr>
        <w:numId w:val="14"/>
      </w:numPr>
    </w:pPr>
  </w:style>
  <w:style w:type="numbering" w:customStyle="1" w:styleId="Estiloimportado7">
    <w:name w:val="Estilo importado 7"/>
    <w:pPr>
      <w:numPr>
        <w:numId w:val="17"/>
      </w:numPr>
    </w:pPr>
  </w:style>
  <w:style w:type="numbering" w:customStyle="1" w:styleId="Estiloimportado8">
    <w:name w:val="Estilo importado 8"/>
    <w:pPr>
      <w:numPr>
        <w:numId w:val="20"/>
      </w:numPr>
    </w:p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9">
    <w:name w:val="Estilo importado 9"/>
    <w:pPr>
      <w:numPr>
        <w:numId w:val="24"/>
      </w:numPr>
    </w:pPr>
  </w:style>
  <w:style w:type="numbering" w:customStyle="1" w:styleId="Estiloimportado10">
    <w:name w:val="Estilo importado 10"/>
    <w:pPr>
      <w:numPr>
        <w:numId w:val="27"/>
      </w:numPr>
    </w:pPr>
  </w:style>
  <w:style w:type="paragraph" w:styleId="Textocomentario">
    <w:name w:val="annotation text"/>
    <w:basedOn w:val="Normal"/>
    <w:link w:val="TextocomentarioCar"/>
    <w:uiPriority w:val="99"/>
    <w:unhideWhenUsed/>
    <w:rsid w:val="00CE4027"/>
    <w:rPr>
      <w:sz w:val="20"/>
      <w:szCs w:val="20"/>
    </w:rPr>
  </w:style>
  <w:style w:type="character" w:customStyle="1" w:styleId="TextocomentarioCar">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2D7151"/>
    <w:rPr>
      <w:color w:val="605E5C"/>
      <w:shd w:val="clear" w:color="auto" w:fill="E1DFDD"/>
    </w:rPr>
  </w:style>
  <w:style w:type="character" w:customStyle="1" w:styleId="Ttulo1Car">
    <w:name w:val="Título 1 Car"/>
    <w:basedOn w:val="Fuentedeprrafopredeter"/>
    <w:link w:val="Ttulo1"/>
    <w:uiPriority w:val="9"/>
    <w:rsid w:val="00CE4027"/>
    <w:rPr>
      <w:rFonts w:asciiTheme="majorHAnsi" w:eastAsiaTheme="majorEastAsia" w:hAnsiTheme="majorHAnsi" w:cstheme="majorBidi"/>
      <w:color w:val="2F5496" w:themeColor="accent1" w:themeShade="BF"/>
      <w:sz w:val="32"/>
      <w:szCs w:val="32"/>
      <w:bdr w:val="none" w:sz="0" w:space="0" w:color="auto"/>
      <w:lang w:eastAsia="en-US"/>
    </w:rPr>
  </w:style>
  <w:style w:type="character" w:customStyle="1" w:styleId="Ttulo5Car">
    <w:name w:val="Título 5 Car"/>
    <w:basedOn w:val="Fuentedeprrafopredeter"/>
    <w:link w:val="Ttulo5"/>
    <w:uiPriority w:val="9"/>
    <w:rsid w:val="00CE4027"/>
    <w:rPr>
      <w:rFonts w:eastAsia="Times New Roman"/>
      <w:b/>
      <w:bCs/>
      <w:bdr w:val="none" w:sz="0" w:space="0" w:color="auto"/>
    </w:rPr>
  </w:style>
  <w:style w:type="character" w:customStyle="1" w:styleId="TextonotapieCar">
    <w:name w:val="Texto nota pie Car"/>
    <w:aliases w:val="5_G Car"/>
    <w:basedOn w:val="Fuentedeprrafopredeter"/>
    <w:link w:val="Textonotapie"/>
    <w:qFormat/>
    <w:rsid w:val="00CE4027"/>
    <w:rPr>
      <w:rFonts w:ascii="Calibri" w:eastAsia="Calibri" w:hAnsi="Calibri" w:cs="Calibri"/>
      <w:color w:val="000000"/>
      <w:u w:color="000000"/>
      <w:lang w:val="es-ES_tradnl"/>
    </w:rPr>
  </w:style>
  <w:style w:type="character" w:styleId="Textoennegrita">
    <w:name w:val="Strong"/>
    <w:basedOn w:val="Fuentedeprrafopredeter"/>
    <w:uiPriority w:val="22"/>
    <w:qFormat/>
    <w:rsid w:val="00CE4027"/>
    <w:rPr>
      <w:b/>
      <w:bCs/>
    </w:rPr>
  </w:style>
  <w:style w:type="character" w:styleId="Hipervnculovisitado">
    <w:name w:val="FollowedHyperlink"/>
    <w:basedOn w:val="Fuentedeprrafopredeter"/>
    <w:uiPriority w:val="99"/>
    <w:semiHidden/>
    <w:unhideWhenUsed/>
    <w:rsid w:val="00CE4027"/>
    <w:rPr>
      <w:color w:val="FF00FF" w:themeColor="followedHyperlink"/>
      <w:u w:val="single"/>
    </w:rPr>
  </w:style>
  <w:style w:type="table" w:styleId="Tablaconcuadrcula">
    <w:name w:val="Table Grid"/>
    <w:basedOn w:val="Tablanormal"/>
    <w:uiPriority w:val="59"/>
    <w:rsid w:val="00CE40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rsid w:val="00CE4027"/>
    <w:rPr>
      <w:rFonts w:ascii="Calibri" w:hAnsi="Calibri" w:cs="Arial Unicode MS"/>
      <w:color w:val="000000"/>
      <w:sz w:val="22"/>
      <w:szCs w:val="22"/>
      <w:u w:color="000000"/>
      <w:lang w:val="es-ES_tradnl"/>
    </w:rPr>
  </w:style>
  <w:style w:type="character" w:customStyle="1" w:styleId="PiedepginaCar">
    <w:name w:val="Pie de página Car"/>
    <w:basedOn w:val="Fuentedeprrafopredeter"/>
    <w:link w:val="Piedepgina"/>
    <w:uiPriority w:val="99"/>
    <w:rsid w:val="00CE4027"/>
    <w:rPr>
      <w:rFonts w:ascii="Calibri" w:hAnsi="Calibri" w:cs="Arial Unicode MS"/>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CE402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MX"/>
    </w:rPr>
  </w:style>
  <w:style w:type="character" w:customStyle="1" w:styleId="AsuntodelcomentarioCar">
    <w:name w:val="Asunto del comentario Car"/>
    <w:basedOn w:val="TextocomentarioCar"/>
    <w:link w:val="Asuntodelcomentario"/>
    <w:uiPriority w:val="99"/>
    <w:semiHidden/>
    <w:rsid w:val="00CE4027"/>
    <w:rPr>
      <w:rFonts w:asciiTheme="minorHAnsi" w:eastAsiaTheme="minorHAnsi" w:hAnsiTheme="minorHAnsi" w:cstheme="minorBidi"/>
      <w:b/>
      <w:bCs/>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9923">
      <w:bodyDiv w:val="1"/>
      <w:marLeft w:val="0"/>
      <w:marRight w:val="0"/>
      <w:marTop w:val="0"/>
      <w:marBottom w:val="0"/>
      <w:divBdr>
        <w:top w:val="none" w:sz="0" w:space="0" w:color="auto"/>
        <w:left w:val="none" w:sz="0" w:space="0" w:color="auto"/>
        <w:bottom w:val="none" w:sz="0" w:space="0" w:color="auto"/>
        <w:right w:val="none" w:sz="0" w:space="0" w:color="auto"/>
      </w:divBdr>
    </w:div>
    <w:div w:id="1616910936">
      <w:bodyDiv w:val="1"/>
      <w:marLeft w:val="0"/>
      <w:marRight w:val="0"/>
      <w:marTop w:val="0"/>
      <w:marBottom w:val="0"/>
      <w:divBdr>
        <w:top w:val="none" w:sz="0" w:space="0" w:color="auto"/>
        <w:left w:val="none" w:sz="0" w:space="0" w:color="auto"/>
        <w:bottom w:val="none" w:sz="0" w:space="0" w:color="auto"/>
        <w:right w:val="none" w:sz="0" w:space="0" w:color="auto"/>
      </w:divBdr>
    </w:div>
    <w:div w:id="1618754151">
      <w:bodyDiv w:val="1"/>
      <w:marLeft w:val="0"/>
      <w:marRight w:val="0"/>
      <w:marTop w:val="0"/>
      <w:marBottom w:val="0"/>
      <w:divBdr>
        <w:top w:val="none" w:sz="0" w:space="0" w:color="auto"/>
        <w:left w:val="none" w:sz="0" w:space="0" w:color="auto"/>
        <w:bottom w:val="none" w:sz="0" w:space="0" w:color="auto"/>
        <w:right w:val="none" w:sz="0" w:space="0" w:color="auto"/>
      </w:divBdr>
    </w:div>
    <w:div w:id="163028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prodesc.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arina.vahe@gmail.com" TargetMode="External"/><Relationship Id="rId2" Type="http://schemas.openxmlformats.org/officeDocument/2006/relationships/customXml" Target="../customXml/item2.xml"/><Relationship Id="rId16" Type="http://schemas.openxmlformats.org/officeDocument/2006/relationships/hyperlink" Target="http://www.observatorio.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ejandra@gi-escr.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eronica.vidal@prodesc.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i-escr.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lobalwitness.org/es/defending-tomorrow-es/" TargetMode="External"/><Relationship Id="rId3" Type="http://schemas.openxmlformats.org/officeDocument/2006/relationships/hyperlink" Target="https://www2.unwomen.org/-/media/field%2520office%2520mexico/documentos/publicaciones/2016/relator%25C3%25ADa%2520mujeres_ind%25C3%25ADgenas.pdf?la=es&amp;vs=4753" TargetMode="External"/><Relationship Id="rId7" Type="http://schemas.openxmlformats.org/officeDocument/2006/relationships/hyperlink" Target="https://www1.essex.ac.uk/hrc/careers/clinic/documents/Engendering%20Human%20Rights%20Due%20Diligence.pdf" TargetMode="External"/><Relationship Id="rId2" Type="http://schemas.openxmlformats.org/officeDocument/2006/relationships/hyperlink" Target="https://undocs.org/es/E/C.19/2014/11" TargetMode="External"/><Relationship Id="rId1" Type="http://schemas.openxmlformats.org/officeDocument/2006/relationships/hyperlink" Target="https://www.ohchr.org/EN/NewsEvents/Pages/DisplayNews.aspx?NewsID=24998" TargetMode="External"/><Relationship Id="rId6" Type="http://schemas.openxmlformats.org/officeDocument/2006/relationships/hyperlink" Target="https://app.box.com/s/zk2yeea9yhl7osr6cb0up41wlvm1v5t1" TargetMode="External"/><Relationship Id="rId5" Type="http://schemas.openxmlformats.org/officeDocument/2006/relationships/hyperlink" Target="https://www.ilo.org/wcmsp5/groups/public/---americas/---ro-lima/documents/publication/wcms_345065.pdf" TargetMode="External"/><Relationship Id="rId4" Type="http://schemas.openxmlformats.org/officeDocument/2006/relationships/hyperlink" Target="https://www.undocs.org/es/A/75/181/REV.1" TargetMode="External"/><Relationship Id="rId9" Type="http://schemas.openxmlformats.org/officeDocument/2006/relationships/hyperlink" Target="https://www.cemda.org.mx/wp-content/uploads/2020/03/informe-personas-defensoras-2019.pdf"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AF63E-F92C-4C1F-87EC-75532D885D1A}">
  <ds:schemaRefs>
    <ds:schemaRef ds:uri="http://schemas.microsoft.com/sharepoint/v3/contenttype/forms"/>
  </ds:schemaRefs>
</ds:datastoreItem>
</file>

<file path=customXml/itemProps2.xml><?xml version="1.0" encoding="utf-8"?>
<ds:datastoreItem xmlns:ds="http://schemas.openxmlformats.org/officeDocument/2006/customXml" ds:itemID="{C7B95210-48BF-4217-8958-D14097EFFF7C}">
  <ds:schemaRefs>
    <ds:schemaRef ds:uri="http://schemas.openxmlformats.org/officeDocument/2006/bibliography"/>
  </ds:schemaRefs>
</ds:datastoreItem>
</file>

<file path=customXml/itemProps3.xml><?xml version="1.0" encoding="utf-8"?>
<ds:datastoreItem xmlns:ds="http://schemas.openxmlformats.org/officeDocument/2006/customXml" ds:itemID="{17BE323A-EAC8-4E63-A231-EE0FBFCCB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81876-2126-416C-9884-47C2621F5DF8}"/>
</file>

<file path=docProps/app.xml><?xml version="1.0" encoding="utf-8"?>
<Properties xmlns="http://schemas.openxmlformats.org/officeDocument/2006/extended-properties" xmlns:vt="http://schemas.openxmlformats.org/officeDocument/2006/docPropsVTypes">
  <Template>Normal</Template>
  <TotalTime>5</TotalTime>
  <Pages>8</Pages>
  <Words>2877</Words>
  <Characters>15827</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Lozano</dc:creator>
  <cp:lastModifiedBy>Alejandra Lozano</cp:lastModifiedBy>
  <cp:revision>3</cp:revision>
  <dcterms:created xsi:type="dcterms:W3CDTF">2021-06-18T22:36:00Z</dcterms:created>
  <dcterms:modified xsi:type="dcterms:W3CDTF">2021-06-18T22:49:00Z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