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9610" w14:textId="77777777" w:rsidR="00DC23D6" w:rsidRDefault="00DC23D6">
      <w:pPr>
        <w:rPr>
          <w:b/>
          <w:bCs/>
          <w:sz w:val="24"/>
          <w:szCs w:val="24"/>
        </w:rPr>
      </w:pPr>
      <w:bookmarkStart w:id="0" w:name="_GoBack"/>
      <w:bookmarkEnd w:id="0"/>
    </w:p>
    <w:p w14:paraId="0FBB6F32" w14:textId="3B133453" w:rsidR="001A726D" w:rsidRPr="005E3091" w:rsidRDefault="00D7133E">
      <w:pPr>
        <w:rPr>
          <w:rFonts w:ascii="Arial" w:hAnsi="Arial" w:cs="Arial"/>
          <w:b/>
          <w:bCs/>
        </w:rPr>
      </w:pPr>
      <w:r>
        <w:rPr>
          <w:rFonts w:ascii="Arial" w:hAnsi="Arial" w:cs="Arial"/>
          <w:b/>
          <w:bCs/>
        </w:rPr>
        <w:t xml:space="preserve">New Zealand Government: </w:t>
      </w:r>
      <w:r w:rsidR="00885DFD" w:rsidRPr="005E3091">
        <w:rPr>
          <w:rFonts w:ascii="Arial" w:hAnsi="Arial" w:cs="Arial"/>
          <w:b/>
          <w:bCs/>
        </w:rPr>
        <w:t xml:space="preserve">Reclaiming the </w:t>
      </w:r>
      <w:r w:rsidR="005977F5" w:rsidRPr="005E3091">
        <w:rPr>
          <w:rFonts w:ascii="Arial" w:hAnsi="Arial" w:cs="Arial"/>
          <w:b/>
          <w:bCs/>
        </w:rPr>
        <w:t xml:space="preserve">status, </w:t>
      </w:r>
      <w:r w:rsidR="00885DFD" w:rsidRPr="005E3091">
        <w:rPr>
          <w:rFonts w:ascii="Arial" w:hAnsi="Arial" w:cs="Arial"/>
          <w:b/>
          <w:bCs/>
        </w:rPr>
        <w:t xml:space="preserve">rights, </w:t>
      </w:r>
      <w:r w:rsidR="005977F5" w:rsidRPr="005E3091">
        <w:rPr>
          <w:rFonts w:ascii="Arial" w:hAnsi="Arial" w:cs="Arial"/>
          <w:b/>
          <w:bCs/>
        </w:rPr>
        <w:t xml:space="preserve">and </w:t>
      </w:r>
      <w:r w:rsidR="00885DFD" w:rsidRPr="005E3091">
        <w:rPr>
          <w:rFonts w:ascii="Arial" w:hAnsi="Arial" w:cs="Arial"/>
          <w:b/>
          <w:bCs/>
        </w:rPr>
        <w:t xml:space="preserve">interests </w:t>
      </w:r>
      <w:r w:rsidR="001A726D" w:rsidRPr="005E3091">
        <w:rPr>
          <w:rFonts w:ascii="Arial" w:hAnsi="Arial" w:cs="Arial"/>
          <w:b/>
          <w:bCs/>
        </w:rPr>
        <w:t xml:space="preserve">of </w:t>
      </w:r>
      <w:r w:rsidR="00885DFD" w:rsidRPr="005E3091">
        <w:rPr>
          <w:rFonts w:ascii="Arial" w:hAnsi="Arial" w:cs="Arial"/>
          <w:b/>
          <w:bCs/>
        </w:rPr>
        <w:t xml:space="preserve">wāhine Māori (Māori women) in decisions affecting land, resources and people </w:t>
      </w:r>
    </w:p>
    <w:p w14:paraId="4E7AE275" w14:textId="5B4E8290" w:rsidR="00885DFD" w:rsidRPr="005E3091" w:rsidRDefault="00885DFD">
      <w:pPr>
        <w:rPr>
          <w:rFonts w:ascii="Arial" w:hAnsi="Arial" w:cs="Arial"/>
        </w:rPr>
      </w:pPr>
    </w:p>
    <w:p w14:paraId="6DF3A2E7" w14:textId="612F4732" w:rsidR="00885DFD" w:rsidRPr="005E3091" w:rsidRDefault="00885DFD" w:rsidP="00885DFD">
      <w:pPr>
        <w:jc w:val="center"/>
        <w:rPr>
          <w:rFonts w:ascii="Arial" w:hAnsi="Arial" w:cs="Arial"/>
        </w:rPr>
      </w:pPr>
      <w:r w:rsidRPr="005E3091">
        <w:rPr>
          <w:rFonts w:ascii="Arial" w:hAnsi="Arial" w:cs="Arial"/>
        </w:rPr>
        <w:t>Mauri hikitia – Māori hāpaingia</w:t>
      </w:r>
    </w:p>
    <w:p w14:paraId="6DCB2E17" w14:textId="65F19D92" w:rsidR="00885DFD" w:rsidRPr="005E3091" w:rsidRDefault="00885DFD" w:rsidP="00885DFD">
      <w:pPr>
        <w:jc w:val="center"/>
        <w:rPr>
          <w:rFonts w:ascii="Arial" w:hAnsi="Arial" w:cs="Arial"/>
        </w:rPr>
      </w:pPr>
      <w:r w:rsidRPr="005E3091">
        <w:rPr>
          <w:rFonts w:ascii="Arial" w:hAnsi="Arial" w:cs="Arial"/>
        </w:rPr>
        <w:t>Mauri ora ki te whei ao ki te ao mārama</w:t>
      </w:r>
    </w:p>
    <w:p w14:paraId="0136E800" w14:textId="266FC655" w:rsidR="00885DFD" w:rsidRPr="005E3091" w:rsidRDefault="00770049" w:rsidP="00885DFD">
      <w:pPr>
        <w:jc w:val="center"/>
        <w:rPr>
          <w:rFonts w:ascii="Arial" w:hAnsi="Arial" w:cs="Arial"/>
        </w:rPr>
      </w:pPr>
      <w:r w:rsidRPr="005E3091">
        <w:rPr>
          <w:rFonts w:ascii="Arial" w:hAnsi="Arial" w:cs="Arial"/>
        </w:rPr>
        <w:t>Tīhei Mauriora.</w:t>
      </w:r>
    </w:p>
    <w:p w14:paraId="29186DF1" w14:textId="293E7FD5" w:rsidR="00770049" w:rsidRPr="005E3091" w:rsidRDefault="00770049" w:rsidP="00885DFD">
      <w:pPr>
        <w:jc w:val="center"/>
        <w:rPr>
          <w:rFonts w:ascii="Arial" w:hAnsi="Arial" w:cs="Arial"/>
        </w:rPr>
      </w:pPr>
    </w:p>
    <w:p w14:paraId="5DBADA94" w14:textId="0848DF15" w:rsidR="00770049" w:rsidRPr="005E3091" w:rsidRDefault="00770049" w:rsidP="00885DFD">
      <w:pPr>
        <w:jc w:val="center"/>
        <w:rPr>
          <w:rFonts w:ascii="Arial" w:hAnsi="Arial" w:cs="Arial"/>
        </w:rPr>
      </w:pPr>
      <w:r w:rsidRPr="005E3091">
        <w:rPr>
          <w:rFonts w:ascii="Arial" w:hAnsi="Arial" w:cs="Arial"/>
        </w:rPr>
        <w:t>Hikitia rā te hā, wairua, te mana o Hine-Ahu-One anō hoki</w:t>
      </w:r>
    </w:p>
    <w:p w14:paraId="6EA2E0BF" w14:textId="294C3F95" w:rsidR="00770049" w:rsidRPr="005E3091" w:rsidRDefault="00770049" w:rsidP="00885DFD">
      <w:pPr>
        <w:jc w:val="center"/>
        <w:rPr>
          <w:rFonts w:ascii="Arial" w:hAnsi="Arial" w:cs="Arial"/>
        </w:rPr>
      </w:pPr>
      <w:r w:rsidRPr="005E3091">
        <w:rPr>
          <w:rFonts w:ascii="Arial" w:hAnsi="Arial" w:cs="Arial"/>
        </w:rPr>
        <w:t>Mō te wāhine me te whenua, kā mate ai te tāngata ara</w:t>
      </w:r>
    </w:p>
    <w:p w14:paraId="6D300FC4" w14:textId="14DA26BA" w:rsidR="00770049" w:rsidRPr="005E3091" w:rsidRDefault="00770049" w:rsidP="00885DFD">
      <w:pPr>
        <w:jc w:val="center"/>
        <w:rPr>
          <w:rFonts w:ascii="Arial" w:hAnsi="Arial" w:cs="Arial"/>
        </w:rPr>
      </w:pPr>
      <w:r w:rsidRPr="005E3091">
        <w:rPr>
          <w:rFonts w:ascii="Arial" w:hAnsi="Arial" w:cs="Arial"/>
        </w:rPr>
        <w:t xml:space="preserve">Mai i te wāhine, te whare tapu o te tangata </w:t>
      </w:r>
    </w:p>
    <w:p w14:paraId="100C702F" w14:textId="39C49764" w:rsidR="00770049" w:rsidRPr="005E3091" w:rsidRDefault="00770049" w:rsidP="00885DFD">
      <w:pPr>
        <w:jc w:val="center"/>
        <w:rPr>
          <w:rFonts w:ascii="Arial" w:hAnsi="Arial" w:cs="Arial"/>
        </w:rPr>
      </w:pPr>
      <w:r w:rsidRPr="005E3091">
        <w:rPr>
          <w:rFonts w:ascii="Arial" w:hAnsi="Arial" w:cs="Arial"/>
        </w:rPr>
        <w:t>Kā puta te tangata, te whānau, te hapū, te iwi, ngā iwi katoa.</w:t>
      </w:r>
    </w:p>
    <w:p w14:paraId="45F0B79C" w14:textId="3EC0C52C" w:rsidR="00770049" w:rsidRPr="005E3091" w:rsidRDefault="00770049" w:rsidP="00885DFD">
      <w:pPr>
        <w:jc w:val="center"/>
        <w:rPr>
          <w:rFonts w:ascii="Arial" w:hAnsi="Arial" w:cs="Arial"/>
          <w:i/>
          <w:iCs/>
        </w:rPr>
      </w:pPr>
    </w:p>
    <w:p w14:paraId="0458F93D" w14:textId="0272538F" w:rsidR="00770049" w:rsidRPr="005E3091" w:rsidRDefault="00770049" w:rsidP="00885DFD">
      <w:pPr>
        <w:jc w:val="center"/>
        <w:rPr>
          <w:rFonts w:ascii="Arial" w:hAnsi="Arial" w:cs="Arial"/>
        </w:rPr>
      </w:pPr>
      <w:r w:rsidRPr="005E3091">
        <w:rPr>
          <w:rFonts w:ascii="Arial" w:hAnsi="Arial" w:cs="Arial"/>
        </w:rPr>
        <w:t>Let our life force be raised and held high</w:t>
      </w:r>
    </w:p>
    <w:p w14:paraId="76FC4F8A" w14:textId="3880E79B" w:rsidR="00770049" w:rsidRPr="005E3091" w:rsidRDefault="00770049" w:rsidP="00885DFD">
      <w:pPr>
        <w:jc w:val="center"/>
        <w:rPr>
          <w:rFonts w:ascii="Arial" w:hAnsi="Arial" w:cs="Arial"/>
        </w:rPr>
      </w:pPr>
      <w:r w:rsidRPr="005E3091">
        <w:rPr>
          <w:rFonts w:ascii="Arial" w:hAnsi="Arial" w:cs="Arial"/>
        </w:rPr>
        <w:t>Let our living force emerge into the light of day, into life itself (so that)</w:t>
      </w:r>
    </w:p>
    <w:p w14:paraId="4441ED17" w14:textId="5CAA8866" w:rsidR="00770049" w:rsidRPr="005E3091" w:rsidRDefault="00770049" w:rsidP="00885DFD">
      <w:pPr>
        <w:jc w:val="center"/>
        <w:rPr>
          <w:rFonts w:ascii="Arial" w:hAnsi="Arial" w:cs="Arial"/>
        </w:rPr>
      </w:pPr>
      <w:r w:rsidRPr="005E3091">
        <w:rPr>
          <w:rFonts w:ascii="Arial" w:hAnsi="Arial" w:cs="Arial"/>
        </w:rPr>
        <w:t>It is life, it is life.</w:t>
      </w:r>
    </w:p>
    <w:p w14:paraId="153F90AB" w14:textId="429D9AE8" w:rsidR="00770049" w:rsidRPr="005E3091" w:rsidRDefault="00770049" w:rsidP="00885DFD">
      <w:pPr>
        <w:jc w:val="center"/>
        <w:rPr>
          <w:rFonts w:ascii="Arial" w:hAnsi="Arial" w:cs="Arial"/>
        </w:rPr>
      </w:pPr>
    </w:p>
    <w:p w14:paraId="334C8542" w14:textId="4A242C81" w:rsidR="00770049" w:rsidRPr="005E3091" w:rsidRDefault="00770049" w:rsidP="00885DFD">
      <w:pPr>
        <w:jc w:val="center"/>
        <w:rPr>
          <w:rFonts w:ascii="Arial" w:hAnsi="Arial" w:cs="Arial"/>
        </w:rPr>
      </w:pPr>
      <w:r w:rsidRPr="005E3091">
        <w:rPr>
          <w:rFonts w:ascii="Arial" w:hAnsi="Arial" w:cs="Arial"/>
        </w:rPr>
        <w:t>Pay heed and uplift the dignity, the spirit, and the power of woman</w:t>
      </w:r>
    </w:p>
    <w:p w14:paraId="68CC31F8" w14:textId="5E71BAB1" w:rsidR="00770049" w:rsidRPr="005E3091" w:rsidRDefault="00770049" w:rsidP="00885DFD">
      <w:pPr>
        <w:jc w:val="center"/>
        <w:rPr>
          <w:rFonts w:ascii="Arial" w:hAnsi="Arial" w:cs="Arial"/>
        </w:rPr>
      </w:pPr>
      <w:r w:rsidRPr="005E3091">
        <w:rPr>
          <w:rFonts w:ascii="Arial" w:hAnsi="Arial" w:cs="Arial"/>
        </w:rPr>
        <w:t xml:space="preserve"> For men have died for land and women</w:t>
      </w:r>
    </w:p>
    <w:p w14:paraId="4C140DB7" w14:textId="115A5E38" w:rsidR="00770049" w:rsidRPr="005E3091" w:rsidRDefault="00770049" w:rsidP="00885DFD">
      <w:pPr>
        <w:jc w:val="center"/>
        <w:rPr>
          <w:rFonts w:ascii="Arial" w:hAnsi="Arial" w:cs="Arial"/>
        </w:rPr>
      </w:pPr>
      <w:r w:rsidRPr="005E3091">
        <w:rPr>
          <w:rFonts w:ascii="Arial" w:hAnsi="Arial" w:cs="Arial"/>
        </w:rPr>
        <w:t>And from woman the sacred house of man</w:t>
      </w:r>
    </w:p>
    <w:p w14:paraId="52DD5532" w14:textId="5EA8ECEA" w:rsidR="00770049" w:rsidRPr="005E3091" w:rsidRDefault="00770049" w:rsidP="00885DFD">
      <w:pPr>
        <w:jc w:val="center"/>
        <w:rPr>
          <w:rFonts w:ascii="Arial" w:hAnsi="Arial" w:cs="Arial"/>
        </w:rPr>
      </w:pPr>
      <w:r w:rsidRPr="005E3091">
        <w:rPr>
          <w:rFonts w:ascii="Arial" w:hAnsi="Arial" w:cs="Arial"/>
        </w:rPr>
        <w:t xml:space="preserve">Have emerged the individual, the </w:t>
      </w:r>
      <w:r w:rsidR="00B40F51" w:rsidRPr="005E3091">
        <w:rPr>
          <w:rFonts w:ascii="Arial" w:hAnsi="Arial" w:cs="Arial"/>
        </w:rPr>
        <w:t>family,</w:t>
      </w:r>
      <w:r w:rsidRPr="005E3091">
        <w:rPr>
          <w:rFonts w:ascii="Arial" w:hAnsi="Arial" w:cs="Arial"/>
        </w:rPr>
        <w:t xml:space="preserve"> the sub-tribe, the tribe, the people. </w:t>
      </w:r>
    </w:p>
    <w:p w14:paraId="5541962F" w14:textId="799850F9" w:rsidR="00435017" w:rsidRPr="005E3091" w:rsidRDefault="00435017" w:rsidP="00B40F51">
      <w:pPr>
        <w:jc w:val="both"/>
        <w:rPr>
          <w:rFonts w:ascii="Arial" w:hAnsi="Arial" w:cs="Arial"/>
        </w:rPr>
      </w:pPr>
    </w:p>
    <w:p w14:paraId="63674F93" w14:textId="7D4FD743" w:rsidR="00FC71C8" w:rsidRPr="005E3091" w:rsidRDefault="00FC71C8" w:rsidP="00B40F51">
      <w:pPr>
        <w:jc w:val="both"/>
        <w:rPr>
          <w:rFonts w:ascii="Arial" w:hAnsi="Arial" w:cs="Arial"/>
          <w:b/>
          <w:bCs/>
        </w:rPr>
      </w:pPr>
      <w:r w:rsidRPr="005E3091">
        <w:rPr>
          <w:rFonts w:ascii="Arial" w:hAnsi="Arial" w:cs="Arial"/>
          <w:b/>
          <w:bCs/>
        </w:rPr>
        <w:t>Introduction</w:t>
      </w:r>
    </w:p>
    <w:p w14:paraId="7B022457" w14:textId="77777777" w:rsidR="00FC71C8" w:rsidRPr="005E3091" w:rsidRDefault="00FC71C8" w:rsidP="00B40F51">
      <w:pPr>
        <w:jc w:val="both"/>
        <w:rPr>
          <w:rFonts w:ascii="Arial" w:hAnsi="Arial" w:cs="Arial"/>
          <w:b/>
          <w:bCs/>
        </w:rPr>
      </w:pPr>
    </w:p>
    <w:p w14:paraId="706FF0FF" w14:textId="041B2A79" w:rsidR="00D42F08" w:rsidRPr="005E3091" w:rsidRDefault="00435017" w:rsidP="00B40F51">
      <w:pPr>
        <w:jc w:val="both"/>
        <w:rPr>
          <w:rFonts w:ascii="Arial" w:hAnsi="Arial" w:cs="Arial"/>
        </w:rPr>
      </w:pPr>
      <w:r w:rsidRPr="005E3091">
        <w:rPr>
          <w:rFonts w:ascii="Arial" w:hAnsi="Arial" w:cs="Arial"/>
        </w:rPr>
        <w:t xml:space="preserve">This submission begins with a whakataukī or proverb used in the claim </w:t>
      </w:r>
      <w:r w:rsidR="005C5A47">
        <w:rPr>
          <w:rFonts w:ascii="Arial" w:hAnsi="Arial" w:cs="Arial"/>
        </w:rPr>
        <w:t xml:space="preserve">by the Māori Women’s Welfare League </w:t>
      </w:r>
      <w:r w:rsidRPr="005E3091">
        <w:rPr>
          <w:rFonts w:ascii="Arial" w:hAnsi="Arial" w:cs="Arial"/>
        </w:rPr>
        <w:t>to the Waitangi Tribunal for the Mana Wāhine Kaupapa Inquiry in 1993</w:t>
      </w:r>
      <w:r w:rsidR="009E5D6C" w:rsidRPr="005E3091">
        <w:rPr>
          <w:rStyle w:val="FootnoteReference"/>
          <w:rFonts w:ascii="Arial" w:hAnsi="Arial" w:cs="Arial"/>
        </w:rPr>
        <w:footnoteReference w:id="1"/>
      </w:r>
      <w:r w:rsidRPr="005E3091">
        <w:rPr>
          <w:rFonts w:ascii="Arial" w:hAnsi="Arial" w:cs="Arial"/>
        </w:rPr>
        <w:t xml:space="preserve">.  This whakataukī illustrates the high regard given to </w:t>
      </w:r>
      <w:r w:rsidR="00055301">
        <w:rPr>
          <w:rFonts w:ascii="Arial" w:hAnsi="Arial" w:cs="Arial"/>
        </w:rPr>
        <w:t>wāhine Māori (</w:t>
      </w:r>
      <w:r w:rsidRPr="005E3091">
        <w:rPr>
          <w:rFonts w:ascii="Arial" w:hAnsi="Arial" w:cs="Arial"/>
        </w:rPr>
        <w:t>Māori women</w:t>
      </w:r>
      <w:r w:rsidR="00055301">
        <w:rPr>
          <w:rFonts w:ascii="Arial" w:hAnsi="Arial" w:cs="Arial"/>
        </w:rPr>
        <w:t>)</w:t>
      </w:r>
      <w:r w:rsidRPr="005E3091">
        <w:rPr>
          <w:rFonts w:ascii="Arial" w:hAnsi="Arial" w:cs="Arial"/>
        </w:rPr>
        <w:t xml:space="preserve"> of Aotearoa New Zealand in te ao Māori (the Māori world)</w:t>
      </w:r>
      <w:r w:rsidR="00BC45AB" w:rsidRPr="005E3091">
        <w:rPr>
          <w:rFonts w:ascii="Arial" w:hAnsi="Arial" w:cs="Arial"/>
        </w:rPr>
        <w:t xml:space="preserve"> and is a fitting way to set the scene for a judicial inquiry currently underway. </w:t>
      </w:r>
    </w:p>
    <w:p w14:paraId="7DE4F094" w14:textId="5EC5D30A" w:rsidR="00DE363E" w:rsidRPr="005E3091" w:rsidRDefault="00DE363E" w:rsidP="00B40F51">
      <w:pPr>
        <w:jc w:val="both"/>
        <w:rPr>
          <w:rFonts w:ascii="Arial" w:hAnsi="Arial" w:cs="Arial"/>
        </w:rPr>
      </w:pPr>
    </w:p>
    <w:p w14:paraId="507BBAA0" w14:textId="12FA96FD" w:rsidR="00FC71C8" w:rsidRPr="005E3091" w:rsidRDefault="009E5D6C" w:rsidP="00B40F51">
      <w:pPr>
        <w:jc w:val="both"/>
        <w:rPr>
          <w:rFonts w:ascii="Arial" w:hAnsi="Arial" w:cs="Arial"/>
        </w:rPr>
      </w:pPr>
      <w:r w:rsidRPr="005E3091">
        <w:rPr>
          <w:rFonts w:ascii="Arial" w:hAnsi="Arial" w:cs="Arial"/>
        </w:rPr>
        <w:t xml:space="preserve">Under the Inquiry, </w:t>
      </w:r>
      <w:r w:rsidR="00055301">
        <w:rPr>
          <w:rFonts w:ascii="Arial" w:hAnsi="Arial" w:cs="Arial"/>
        </w:rPr>
        <w:t xml:space="preserve">wāhine </w:t>
      </w:r>
      <w:r w:rsidRPr="005E3091">
        <w:rPr>
          <w:rFonts w:ascii="Arial" w:hAnsi="Arial" w:cs="Arial"/>
        </w:rPr>
        <w:t>Māori</w:t>
      </w:r>
      <w:r w:rsidR="00D42F08" w:rsidRPr="005E3091">
        <w:rPr>
          <w:rFonts w:ascii="Arial" w:hAnsi="Arial" w:cs="Arial"/>
        </w:rPr>
        <w:t xml:space="preserve"> have lodged claims against the Crown for alleged breaches to the Treaty of Waitangi</w:t>
      </w:r>
      <w:r w:rsidR="00EE5322" w:rsidRPr="005E3091">
        <w:rPr>
          <w:rFonts w:ascii="Arial" w:hAnsi="Arial" w:cs="Arial"/>
        </w:rPr>
        <w:t xml:space="preserve"> </w:t>
      </w:r>
      <w:r w:rsidR="00D42F08" w:rsidRPr="005E3091">
        <w:rPr>
          <w:rFonts w:ascii="Arial" w:hAnsi="Arial" w:cs="Arial"/>
        </w:rPr>
        <w:t>signed in 1840 between the Crown and hapū (sub-tribes) of iwi Māori (Māori tribes).</w:t>
      </w:r>
      <w:r w:rsidR="00EE5322" w:rsidRPr="005E3091">
        <w:rPr>
          <w:rFonts w:ascii="Arial" w:hAnsi="Arial" w:cs="Arial"/>
        </w:rPr>
        <w:t xml:space="preserve"> The Treaty of Waitangi (the Treaty) is a significant point of difference with other countries in the international context regarding issues that impact on indigenous </w:t>
      </w:r>
      <w:r w:rsidR="00286C07" w:rsidRPr="005E3091">
        <w:rPr>
          <w:rFonts w:ascii="Arial" w:hAnsi="Arial" w:cs="Arial"/>
        </w:rPr>
        <w:t>peoples.</w:t>
      </w:r>
      <w:r w:rsidR="00EE5322" w:rsidRPr="005E3091">
        <w:rPr>
          <w:rFonts w:ascii="Arial" w:hAnsi="Arial" w:cs="Arial"/>
        </w:rPr>
        <w:t xml:space="preserve"> </w:t>
      </w:r>
    </w:p>
    <w:p w14:paraId="19A7D6EB" w14:textId="56ECC28C" w:rsidR="00D42F08" w:rsidRPr="005E3091" w:rsidRDefault="00D42F08" w:rsidP="00B40F51">
      <w:pPr>
        <w:jc w:val="both"/>
        <w:rPr>
          <w:rFonts w:ascii="Arial" w:hAnsi="Arial" w:cs="Arial"/>
        </w:rPr>
      </w:pPr>
    </w:p>
    <w:p w14:paraId="458C34C0" w14:textId="495FCDC1" w:rsidR="00D42F08" w:rsidRPr="005E3091" w:rsidRDefault="00D42F08" w:rsidP="00D42F08">
      <w:pPr>
        <w:jc w:val="both"/>
        <w:rPr>
          <w:rFonts w:ascii="Arial" w:hAnsi="Arial" w:cs="Arial"/>
        </w:rPr>
      </w:pPr>
      <w:r w:rsidRPr="005E3091">
        <w:rPr>
          <w:rFonts w:ascii="Arial" w:hAnsi="Arial" w:cs="Arial"/>
        </w:rPr>
        <w:t>The Mana Wāhine</w:t>
      </w:r>
      <w:r w:rsidR="00BC45AB" w:rsidRPr="005E3091">
        <w:rPr>
          <w:rStyle w:val="FootnoteReference"/>
          <w:rFonts w:ascii="Arial" w:hAnsi="Arial" w:cs="Arial"/>
        </w:rPr>
        <w:footnoteReference w:id="2"/>
      </w:r>
      <w:r w:rsidR="00BC45AB" w:rsidRPr="005E3091">
        <w:rPr>
          <w:rFonts w:ascii="Arial" w:hAnsi="Arial" w:cs="Arial"/>
        </w:rPr>
        <w:t xml:space="preserve"> </w:t>
      </w:r>
      <w:r w:rsidRPr="005E3091">
        <w:rPr>
          <w:rFonts w:ascii="Arial" w:hAnsi="Arial" w:cs="Arial"/>
        </w:rPr>
        <w:t xml:space="preserve">Kaupapa Inquiry (the Inquiry) is a thematic inquiry by the Waitangi Tribunal. Claims to this Inquiry allege the Crown has failed to protect the rangatiratanga (right to exercise </w:t>
      </w:r>
      <w:r w:rsidRPr="005E3091">
        <w:rPr>
          <w:rFonts w:ascii="Arial" w:hAnsi="Arial" w:cs="Arial"/>
        </w:rPr>
        <w:lastRenderedPageBreak/>
        <w:t xml:space="preserve">authority, chieftainship) of </w:t>
      </w:r>
      <w:r w:rsidR="00055301">
        <w:rPr>
          <w:rFonts w:ascii="Arial" w:hAnsi="Arial" w:cs="Arial"/>
        </w:rPr>
        <w:t xml:space="preserve">wāhine </w:t>
      </w:r>
      <w:r w:rsidR="00A573DA" w:rsidRPr="005E3091">
        <w:rPr>
          <w:rFonts w:ascii="Arial" w:hAnsi="Arial" w:cs="Arial"/>
        </w:rPr>
        <w:t>Māori and</w:t>
      </w:r>
      <w:r w:rsidRPr="005E3091">
        <w:rPr>
          <w:rFonts w:ascii="Arial" w:hAnsi="Arial" w:cs="Arial"/>
        </w:rPr>
        <w:t xml:space="preserve"> their right to non-discrimination on grounds of gender, with serious prejudicial consequences for their social, economic, cultural and spiritual well-being and their access to leadership roles. </w:t>
      </w:r>
    </w:p>
    <w:p w14:paraId="323EDED3" w14:textId="7FF546CE" w:rsidR="003842FA" w:rsidRPr="005E3091" w:rsidRDefault="003842FA" w:rsidP="00B40F51">
      <w:pPr>
        <w:jc w:val="both"/>
        <w:rPr>
          <w:rFonts w:ascii="Arial" w:hAnsi="Arial" w:cs="Arial"/>
        </w:rPr>
      </w:pPr>
    </w:p>
    <w:p w14:paraId="7FAA4A6A" w14:textId="42C3B7A2" w:rsidR="00D42F08" w:rsidRPr="005E3091" w:rsidRDefault="00D42F08" w:rsidP="00B40F51">
      <w:pPr>
        <w:jc w:val="both"/>
        <w:rPr>
          <w:rFonts w:ascii="Arial" w:hAnsi="Arial" w:cs="Arial"/>
          <w:b/>
          <w:bCs/>
        </w:rPr>
      </w:pPr>
      <w:r w:rsidRPr="005E3091">
        <w:rPr>
          <w:rFonts w:ascii="Arial" w:hAnsi="Arial" w:cs="Arial"/>
          <w:b/>
          <w:bCs/>
        </w:rPr>
        <w:t xml:space="preserve">Waitangi Tribunal </w:t>
      </w:r>
      <w:r w:rsidR="00EE5322" w:rsidRPr="005E3091">
        <w:rPr>
          <w:rFonts w:ascii="Arial" w:hAnsi="Arial" w:cs="Arial"/>
          <w:b/>
          <w:bCs/>
        </w:rPr>
        <w:t>process</w:t>
      </w:r>
    </w:p>
    <w:p w14:paraId="0D8EC63C" w14:textId="77777777" w:rsidR="00D42F08" w:rsidRPr="005E3091" w:rsidRDefault="00D42F08" w:rsidP="00B40F51">
      <w:pPr>
        <w:jc w:val="both"/>
        <w:rPr>
          <w:rFonts w:ascii="Arial" w:hAnsi="Arial" w:cs="Arial"/>
        </w:rPr>
      </w:pPr>
    </w:p>
    <w:p w14:paraId="0EE18CEC" w14:textId="4FB87089" w:rsidR="003842FA" w:rsidRPr="005E3091" w:rsidRDefault="003842FA" w:rsidP="00B40F51">
      <w:pPr>
        <w:jc w:val="both"/>
        <w:rPr>
          <w:rFonts w:ascii="Arial" w:hAnsi="Arial" w:cs="Arial"/>
        </w:rPr>
      </w:pPr>
      <w:r w:rsidRPr="005E3091">
        <w:rPr>
          <w:rFonts w:ascii="Arial" w:hAnsi="Arial" w:cs="Arial"/>
        </w:rPr>
        <w:t xml:space="preserve">The Waitangi Tribunal is a standing commission of inquiry </w:t>
      </w:r>
      <w:r w:rsidR="00D3109E" w:rsidRPr="005E3091">
        <w:rPr>
          <w:rFonts w:ascii="Arial" w:hAnsi="Arial" w:cs="Arial"/>
        </w:rPr>
        <w:t>(</w:t>
      </w:r>
      <w:r w:rsidRPr="005E3091">
        <w:rPr>
          <w:rFonts w:ascii="Arial" w:hAnsi="Arial" w:cs="Arial"/>
        </w:rPr>
        <w:t>under the Commissions of Inquiry Act 1908</w:t>
      </w:r>
      <w:r w:rsidR="00D3109E" w:rsidRPr="005E3091">
        <w:rPr>
          <w:rFonts w:ascii="Arial" w:hAnsi="Arial" w:cs="Arial"/>
        </w:rPr>
        <w:t>), where Māori individuals or groupings can submit a claim</w:t>
      </w:r>
      <w:r w:rsidR="00144DC0" w:rsidRPr="005E3091">
        <w:rPr>
          <w:rFonts w:ascii="Arial" w:hAnsi="Arial" w:cs="Arial"/>
        </w:rPr>
        <w:t xml:space="preserve"> alleging that the Crown has breached the Treaty by particular actions, inactions, laws, or policies that have caused prejudice to Māori</w:t>
      </w:r>
      <w:r w:rsidR="005977F5" w:rsidRPr="005E3091">
        <w:rPr>
          <w:rFonts w:ascii="Arial" w:hAnsi="Arial" w:cs="Arial"/>
        </w:rPr>
        <w:t xml:space="preserve">. It </w:t>
      </w:r>
      <w:r w:rsidRPr="005E3091">
        <w:rPr>
          <w:rFonts w:ascii="Arial" w:hAnsi="Arial" w:cs="Arial"/>
        </w:rPr>
        <w:t>has powers similar to a court of law</w:t>
      </w:r>
      <w:r w:rsidR="005977F5" w:rsidRPr="005E3091">
        <w:rPr>
          <w:rFonts w:ascii="Arial" w:hAnsi="Arial" w:cs="Arial"/>
        </w:rPr>
        <w:t>,</w:t>
      </w:r>
      <w:r w:rsidRPr="005E3091">
        <w:rPr>
          <w:rFonts w:ascii="Arial" w:hAnsi="Arial" w:cs="Arial"/>
        </w:rPr>
        <w:t xml:space="preserve"> where witnesses are summoned and documents are requested to present evidence of a breach or breaches by the Crown, to the principles or obligations under the Treaty.</w:t>
      </w:r>
    </w:p>
    <w:p w14:paraId="71C224F0" w14:textId="400FFDFA" w:rsidR="00286C07" w:rsidRPr="005E3091" w:rsidRDefault="00286C07" w:rsidP="00B40F51">
      <w:pPr>
        <w:jc w:val="both"/>
        <w:rPr>
          <w:rFonts w:ascii="Arial" w:hAnsi="Arial" w:cs="Arial"/>
        </w:rPr>
      </w:pPr>
    </w:p>
    <w:p w14:paraId="408F4426" w14:textId="5884A7B8" w:rsidR="00286C07" w:rsidRPr="005E3091" w:rsidRDefault="00286C07" w:rsidP="00B40F51">
      <w:pPr>
        <w:jc w:val="both"/>
        <w:rPr>
          <w:rFonts w:ascii="Arial" w:hAnsi="Arial" w:cs="Arial"/>
        </w:rPr>
      </w:pPr>
      <w:r w:rsidRPr="005E3091">
        <w:rPr>
          <w:rFonts w:ascii="Arial" w:hAnsi="Arial" w:cs="Arial"/>
        </w:rPr>
        <w:t>Once a claim is assessed and meets the requirements of the Waitangi Tribunal the claim is then registered, and claimants can apply for legal aid funding to assist them in the legal costs for processing the claim.</w:t>
      </w:r>
    </w:p>
    <w:p w14:paraId="7836B0F1" w14:textId="725E7239" w:rsidR="00144DC0" w:rsidRPr="005E3091" w:rsidRDefault="00144DC0" w:rsidP="00B40F51">
      <w:pPr>
        <w:jc w:val="both"/>
        <w:rPr>
          <w:rFonts w:ascii="Arial" w:hAnsi="Arial" w:cs="Arial"/>
        </w:rPr>
      </w:pPr>
    </w:p>
    <w:p w14:paraId="0C3C2F1D" w14:textId="6F275A05" w:rsidR="00D14C6C" w:rsidRPr="005E3091" w:rsidRDefault="009E5D6C" w:rsidP="00B40F51">
      <w:pPr>
        <w:jc w:val="both"/>
        <w:rPr>
          <w:rFonts w:ascii="Arial" w:hAnsi="Arial" w:cs="Arial"/>
        </w:rPr>
      </w:pPr>
      <w:r w:rsidRPr="005E3091">
        <w:rPr>
          <w:rFonts w:ascii="Arial" w:hAnsi="Arial" w:cs="Arial"/>
        </w:rPr>
        <w:t xml:space="preserve">The claim filed with the Waitangi Tribunal in 1993 by members of the </w:t>
      </w:r>
      <w:r w:rsidR="0082781E" w:rsidRPr="005E3091">
        <w:rPr>
          <w:rFonts w:ascii="Arial" w:hAnsi="Arial" w:cs="Arial"/>
        </w:rPr>
        <w:t>Māori Women’s Welfare League</w:t>
      </w:r>
      <w:r w:rsidR="00D7133E">
        <w:rPr>
          <w:rFonts w:ascii="Arial" w:hAnsi="Arial" w:cs="Arial"/>
        </w:rPr>
        <w:t xml:space="preserve"> </w:t>
      </w:r>
      <w:r w:rsidRPr="005E3091">
        <w:rPr>
          <w:rFonts w:ascii="Arial" w:hAnsi="Arial" w:cs="Arial"/>
        </w:rPr>
        <w:t xml:space="preserve">was in response to a </w:t>
      </w:r>
      <w:r w:rsidR="006F69D0" w:rsidRPr="005E3091">
        <w:rPr>
          <w:rFonts w:ascii="Arial" w:hAnsi="Arial" w:cs="Arial"/>
        </w:rPr>
        <w:t>failure to appoint any women to the Māori Fisheries Commission</w:t>
      </w:r>
      <w:r w:rsidRPr="005E3091">
        <w:rPr>
          <w:rFonts w:ascii="Arial" w:hAnsi="Arial" w:cs="Arial"/>
        </w:rPr>
        <w:t>. The Commission was</w:t>
      </w:r>
      <w:r w:rsidR="006F69D0" w:rsidRPr="005E3091">
        <w:rPr>
          <w:rFonts w:ascii="Arial" w:hAnsi="Arial" w:cs="Arial"/>
        </w:rPr>
        <w:t xml:space="preserve"> responsible for managing fisheries assets returned to Māori in the Fisheries Settlement. </w:t>
      </w:r>
      <w:r w:rsidR="00D14C6C" w:rsidRPr="005E3091">
        <w:rPr>
          <w:rFonts w:ascii="Arial" w:hAnsi="Arial" w:cs="Arial"/>
        </w:rPr>
        <w:t>Twenty-five</w:t>
      </w:r>
      <w:r w:rsidR="006F69D0" w:rsidRPr="005E3091">
        <w:rPr>
          <w:rFonts w:ascii="Arial" w:hAnsi="Arial" w:cs="Arial"/>
        </w:rPr>
        <w:t xml:space="preserve"> years later</w:t>
      </w:r>
      <w:r w:rsidR="00D14C6C" w:rsidRPr="005E3091">
        <w:rPr>
          <w:rFonts w:ascii="Arial" w:hAnsi="Arial" w:cs="Arial"/>
        </w:rPr>
        <w:t xml:space="preserve"> in 2018, the Mana Wāhine Kaupapa Inquiry (the Inquiry) formally commenced, and approximately </w:t>
      </w:r>
      <w:r w:rsidR="00D7268C" w:rsidRPr="005E3091">
        <w:rPr>
          <w:rFonts w:ascii="Arial" w:hAnsi="Arial" w:cs="Arial"/>
        </w:rPr>
        <w:t xml:space="preserve">170 </w:t>
      </w:r>
      <w:r w:rsidR="00D14C6C" w:rsidRPr="005E3091">
        <w:rPr>
          <w:rFonts w:ascii="Arial" w:hAnsi="Arial" w:cs="Arial"/>
        </w:rPr>
        <w:t xml:space="preserve">claims have been made to the Tribunal to date. </w:t>
      </w:r>
    </w:p>
    <w:p w14:paraId="12ACEB42" w14:textId="4D830954" w:rsidR="00D14C6C" w:rsidRPr="005E3091" w:rsidRDefault="00D14C6C" w:rsidP="00B40F51">
      <w:pPr>
        <w:jc w:val="both"/>
        <w:rPr>
          <w:rFonts w:ascii="Arial" w:hAnsi="Arial" w:cs="Arial"/>
        </w:rPr>
      </w:pPr>
    </w:p>
    <w:p w14:paraId="3709ABFD" w14:textId="062B8CBF" w:rsidR="00EE5322" w:rsidRPr="005E3091" w:rsidRDefault="00EE5322" w:rsidP="00B40F51">
      <w:pPr>
        <w:jc w:val="both"/>
        <w:rPr>
          <w:rFonts w:ascii="Arial" w:hAnsi="Arial" w:cs="Arial"/>
          <w:b/>
          <w:bCs/>
        </w:rPr>
      </w:pPr>
      <w:r w:rsidRPr="005E3091">
        <w:rPr>
          <w:rFonts w:ascii="Arial" w:hAnsi="Arial" w:cs="Arial"/>
          <w:b/>
          <w:bCs/>
        </w:rPr>
        <w:t xml:space="preserve">The Inquiry </w:t>
      </w:r>
    </w:p>
    <w:p w14:paraId="4FC33767" w14:textId="77777777" w:rsidR="00EE5322" w:rsidRPr="005E3091" w:rsidRDefault="00EE5322" w:rsidP="00B40F51">
      <w:pPr>
        <w:jc w:val="both"/>
        <w:rPr>
          <w:rFonts w:ascii="Arial" w:hAnsi="Arial" w:cs="Arial"/>
          <w:b/>
          <w:bCs/>
        </w:rPr>
      </w:pPr>
    </w:p>
    <w:p w14:paraId="3067B128" w14:textId="6A065592" w:rsidR="009224EB" w:rsidRPr="005E3091" w:rsidRDefault="00144DC0" w:rsidP="00B40F51">
      <w:pPr>
        <w:jc w:val="both"/>
        <w:rPr>
          <w:rFonts w:ascii="Arial" w:hAnsi="Arial" w:cs="Arial"/>
        </w:rPr>
      </w:pPr>
      <w:r w:rsidRPr="005E3091">
        <w:rPr>
          <w:rFonts w:ascii="Arial" w:hAnsi="Arial" w:cs="Arial"/>
        </w:rPr>
        <w:t xml:space="preserve">The Inquiry is currently underway with a number of contextual (tūāpapa) hearings where the Waitangi Tribunal </w:t>
      </w:r>
      <w:r w:rsidR="002F1085" w:rsidRPr="005E3091">
        <w:rPr>
          <w:rFonts w:ascii="Arial" w:hAnsi="Arial" w:cs="Arial"/>
        </w:rPr>
        <w:t xml:space="preserve">is presented with evidence from </w:t>
      </w:r>
      <w:r w:rsidR="00055301">
        <w:rPr>
          <w:rFonts w:ascii="Arial" w:hAnsi="Arial" w:cs="Arial"/>
        </w:rPr>
        <w:t xml:space="preserve">wāhine </w:t>
      </w:r>
      <w:r w:rsidR="005E3091" w:rsidRPr="005E3091">
        <w:rPr>
          <w:rFonts w:ascii="Arial" w:hAnsi="Arial" w:cs="Arial"/>
        </w:rPr>
        <w:t>Māori claimants</w:t>
      </w:r>
      <w:r w:rsidR="00070FDE" w:rsidRPr="005E3091">
        <w:rPr>
          <w:rFonts w:ascii="Arial" w:hAnsi="Arial" w:cs="Arial"/>
        </w:rPr>
        <w:t>,</w:t>
      </w:r>
      <w:r w:rsidR="002F1085" w:rsidRPr="005E3091">
        <w:rPr>
          <w:rFonts w:ascii="Arial" w:hAnsi="Arial" w:cs="Arial"/>
        </w:rPr>
        <w:t xml:space="preserve"> </w:t>
      </w:r>
      <w:r w:rsidR="005E3091">
        <w:rPr>
          <w:rFonts w:ascii="Arial" w:hAnsi="Arial" w:cs="Arial"/>
        </w:rPr>
        <w:t xml:space="preserve">who are drawing on historical accounts of life for wāhine Māori </w:t>
      </w:r>
      <w:r w:rsidR="002F1085" w:rsidRPr="005E3091">
        <w:rPr>
          <w:rFonts w:ascii="Arial" w:hAnsi="Arial" w:cs="Arial"/>
        </w:rPr>
        <w:t>pre-1840</w:t>
      </w:r>
      <w:r w:rsidR="00070FDE" w:rsidRPr="005E3091">
        <w:rPr>
          <w:rFonts w:ascii="Arial" w:hAnsi="Arial" w:cs="Arial"/>
        </w:rPr>
        <w:t xml:space="preserve">, </w:t>
      </w:r>
      <w:r w:rsidR="002F1085" w:rsidRPr="005E3091">
        <w:rPr>
          <w:rFonts w:ascii="Arial" w:hAnsi="Arial" w:cs="Arial"/>
        </w:rPr>
        <w:t xml:space="preserve">prior to </w:t>
      </w:r>
      <w:r w:rsidR="007F3215" w:rsidRPr="005E3091">
        <w:rPr>
          <w:rFonts w:ascii="Arial" w:hAnsi="Arial" w:cs="Arial"/>
        </w:rPr>
        <w:t xml:space="preserve">and at </w:t>
      </w:r>
      <w:r w:rsidR="002F1085" w:rsidRPr="005E3091">
        <w:rPr>
          <w:rFonts w:ascii="Arial" w:hAnsi="Arial" w:cs="Arial"/>
        </w:rPr>
        <w:t xml:space="preserve">the signing of the Treaty. </w:t>
      </w:r>
    </w:p>
    <w:p w14:paraId="5720ECF7" w14:textId="77777777" w:rsidR="009224EB" w:rsidRPr="005E3091" w:rsidRDefault="009224EB" w:rsidP="00B40F51">
      <w:pPr>
        <w:jc w:val="both"/>
        <w:rPr>
          <w:rFonts w:ascii="Arial" w:hAnsi="Arial" w:cs="Arial"/>
        </w:rPr>
      </w:pPr>
    </w:p>
    <w:p w14:paraId="27D2031D" w14:textId="7915D1C7" w:rsidR="007F3215" w:rsidRPr="005E3091" w:rsidRDefault="009224EB" w:rsidP="00B40F51">
      <w:pPr>
        <w:jc w:val="both"/>
        <w:rPr>
          <w:rFonts w:ascii="Arial" w:hAnsi="Arial" w:cs="Arial"/>
        </w:rPr>
      </w:pPr>
      <w:r w:rsidRPr="005E3091">
        <w:rPr>
          <w:rFonts w:ascii="Arial" w:hAnsi="Arial" w:cs="Arial"/>
        </w:rPr>
        <w:t xml:space="preserve">The Tribunal and claimants </w:t>
      </w:r>
      <w:r w:rsidR="009F312D" w:rsidRPr="005E3091">
        <w:rPr>
          <w:rFonts w:ascii="Arial" w:hAnsi="Arial" w:cs="Arial"/>
        </w:rPr>
        <w:t>agreed</w:t>
      </w:r>
      <w:r w:rsidRPr="005E3091">
        <w:rPr>
          <w:rFonts w:ascii="Arial" w:hAnsi="Arial" w:cs="Arial"/>
        </w:rPr>
        <w:t xml:space="preserve"> this contextual setting to be important </w:t>
      </w:r>
      <w:r w:rsidR="009F312D" w:rsidRPr="005E3091">
        <w:rPr>
          <w:rFonts w:ascii="Arial" w:hAnsi="Arial" w:cs="Arial"/>
        </w:rPr>
        <w:t xml:space="preserve">as a foundation to the Inquiry to </w:t>
      </w:r>
      <w:r w:rsidRPr="005E3091">
        <w:rPr>
          <w:rFonts w:ascii="Arial" w:hAnsi="Arial" w:cs="Arial"/>
        </w:rPr>
        <w:t xml:space="preserve">understand the life, </w:t>
      </w:r>
      <w:r w:rsidR="009F312D" w:rsidRPr="005E3091">
        <w:rPr>
          <w:rFonts w:ascii="Arial" w:hAnsi="Arial" w:cs="Arial"/>
        </w:rPr>
        <w:t>role,</w:t>
      </w:r>
      <w:r w:rsidRPr="005E3091">
        <w:rPr>
          <w:rFonts w:ascii="Arial" w:hAnsi="Arial" w:cs="Arial"/>
        </w:rPr>
        <w:t xml:space="preserve"> and status of </w:t>
      </w:r>
      <w:r w:rsidR="00910F33" w:rsidRPr="005E3091">
        <w:rPr>
          <w:rFonts w:ascii="Arial" w:hAnsi="Arial" w:cs="Arial"/>
        </w:rPr>
        <w:t xml:space="preserve">Māori </w:t>
      </w:r>
      <w:r w:rsidR="00FC71C8" w:rsidRPr="005E3091">
        <w:rPr>
          <w:rFonts w:ascii="Arial" w:hAnsi="Arial" w:cs="Arial"/>
        </w:rPr>
        <w:t xml:space="preserve">women </w:t>
      </w:r>
      <w:r w:rsidR="00910F33" w:rsidRPr="005E3091">
        <w:rPr>
          <w:rFonts w:ascii="Arial" w:hAnsi="Arial" w:cs="Arial"/>
        </w:rPr>
        <w:t>before</w:t>
      </w:r>
      <w:r w:rsidRPr="005E3091">
        <w:rPr>
          <w:rFonts w:ascii="Arial" w:hAnsi="Arial" w:cs="Arial"/>
        </w:rPr>
        <w:t xml:space="preserve"> the Treaty was signed</w:t>
      </w:r>
      <w:r w:rsidR="009F312D" w:rsidRPr="005E3091">
        <w:rPr>
          <w:rFonts w:ascii="Arial" w:hAnsi="Arial" w:cs="Arial"/>
        </w:rPr>
        <w:t xml:space="preserve">. </w:t>
      </w:r>
      <w:r w:rsidR="00910F33" w:rsidRPr="005E3091">
        <w:rPr>
          <w:rFonts w:ascii="Arial" w:hAnsi="Arial" w:cs="Arial"/>
        </w:rPr>
        <w:t xml:space="preserve">The body of evidence gathered during this phase of the Inquiry will provide insights into how colonisation impacted on the lives of </w:t>
      </w:r>
      <w:r w:rsidR="00055301">
        <w:rPr>
          <w:rFonts w:ascii="Arial" w:hAnsi="Arial" w:cs="Arial"/>
        </w:rPr>
        <w:t xml:space="preserve">wāhine </w:t>
      </w:r>
      <w:r w:rsidR="00794BC2">
        <w:rPr>
          <w:rFonts w:ascii="Arial" w:hAnsi="Arial" w:cs="Arial"/>
        </w:rPr>
        <w:t xml:space="preserve">Māori in 1840, </w:t>
      </w:r>
      <w:r w:rsidR="005E3091" w:rsidRPr="005E3091">
        <w:rPr>
          <w:rFonts w:ascii="Arial" w:hAnsi="Arial" w:cs="Arial"/>
        </w:rPr>
        <w:t>in</w:t>
      </w:r>
      <w:r w:rsidR="00910F33" w:rsidRPr="005E3091">
        <w:rPr>
          <w:rFonts w:ascii="Arial" w:hAnsi="Arial" w:cs="Arial"/>
        </w:rPr>
        <w:t xml:space="preserve"> particular</w:t>
      </w:r>
      <w:r w:rsidR="00EE5322" w:rsidRPr="005E3091">
        <w:rPr>
          <w:rFonts w:ascii="Arial" w:hAnsi="Arial" w:cs="Arial"/>
        </w:rPr>
        <w:t>,</w:t>
      </w:r>
      <w:r w:rsidR="00910F33" w:rsidRPr="005E3091">
        <w:rPr>
          <w:rFonts w:ascii="Arial" w:hAnsi="Arial" w:cs="Arial"/>
        </w:rPr>
        <w:t xml:space="preserve"> their authority over land, resources, and people. </w:t>
      </w:r>
      <w:r w:rsidR="007F3215" w:rsidRPr="005E3091">
        <w:rPr>
          <w:rFonts w:ascii="Arial" w:hAnsi="Arial" w:cs="Arial"/>
        </w:rPr>
        <w:t xml:space="preserve">according to tikanga (Māori customs). </w:t>
      </w:r>
      <w:r w:rsidR="00FC71C8" w:rsidRPr="005E3091">
        <w:rPr>
          <w:rFonts w:ascii="Arial" w:hAnsi="Arial" w:cs="Arial"/>
        </w:rPr>
        <w:t xml:space="preserve"> </w:t>
      </w:r>
      <w:r w:rsidR="00055301">
        <w:rPr>
          <w:rFonts w:ascii="Arial" w:hAnsi="Arial" w:cs="Arial"/>
        </w:rPr>
        <w:t xml:space="preserve">Wāhine </w:t>
      </w:r>
      <w:r w:rsidR="00FC71C8" w:rsidRPr="005E3091">
        <w:rPr>
          <w:rFonts w:ascii="Arial" w:hAnsi="Arial" w:cs="Arial"/>
        </w:rPr>
        <w:t xml:space="preserve">Māori </w:t>
      </w:r>
      <w:r w:rsidR="007F3215" w:rsidRPr="005E3091">
        <w:rPr>
          <w:rFonts w:ascii="Arial" w:hAnsi="Arial" w:cs="Arial"/>
        </w:rPr>
        <w:t xml:space="preserve">and </w:t>
      </w:r>
      <w:r w:rsidR="00055301">
        <w:rPr>
          <w:rFonts w:ascii="Arial" w:hAnsi="Arial" w:cs="Arial"/>
        </w:rPr>
        <w:t>tāne Māori (Māori men)</w:t>
      </w:r>
      <w:r w:rsidR="00FC71C8" w:rsidRPr="005E3091">
        <w:rPr>
          <w:rFonts w:ascii="Arial" w:hAnsi="Arial" w:cs="Arial"/>
        </w:rPr>
        <w:t xml:space="preserve"> </w:t>
      </w:r>
      <w:r w:rsidR="007F3215" w:rsidRPr="005E3091">
        <w:rPr>
          <w:rFonts w:ascii="Arial" w:hAnsi="Arial" w:cs="Arial"/>
        </w:rPr>
        <w:t>had complementary roles in determining their own internal political, economic</w:t>
      </w:r>
      <w:r w:rsidR="00FC71C8" w:rsidRPr="005E3091">
        <w:rPr>
          <w:rFonts w:ascii="Arial" w:hAnsi="Arial" w:cs="Arial"/>
        </w:rPr>
        <w:t xml:space="preserve">, and social rights and objectives and acted collectively in accordance with those determinants. </w:t>
      </w:r>
    </w:p>
    <w:p w14:paraId="3CE6DC8A" w14:textId="7FA77D09" w:rsidR="00FC71C8" w:rsidRPr="005E3091" w:rsidRDefault="00FC71C8" w:rsidP="00B40F51">
      <w:pPr>
        <w:jc w:val="both"/>
        <w:rPr>
          <w:rFonts w:ascii="Arial" w:hAnsi="Arial" w:cs="Arial"/>
        </w:rPr>
      </w:pPr>
    </w:p>
    <w:p w14:paraId="10C41EC6" w14:textId="710F4E2E" w:rsidR="00EE5322" w:rsidRPr="005E3091" w:rsidRDefault="00910F33" w:rsidP="00B40F51">
      <w:pPr>
        <w:jc w:val="both"/>
        <w:rPr>
          <w:rFonts w:ascii="Arial" w:hAnsi="Arial" w:cs="Arial"/>
        </w:rPr>
      </w:pPr>
      <w:r w:rsidRPr="005E3091">
        <w:rPr>
          <w:rFonts w:ascii="Arial" w:hAnsi="Arial" w:cs="Arial"/>
        </w:rPr>
        <w:lastRenderedPageBreak/>
        <w:t xml:space="preserve">Claimants allege </w:t>
      </w:r>
      <w:r w:rsidR="00FC71C8" w:rsidRPr="005E3091">
        <w:rPr>
          <w:rFonts w:ascii="Arial" w:hAnsi="Arial" w:cs="Arial"/>
        </w:rPr>
        <w:t xml:space="preserve">the imposition of the colonial patriarchy prevented the practice of tikanga and prioritised colonial (British) laws over te ao Māori. This move elevated the role of </w:t>
      </w:r>
      <w:r w:rsidR="00055301">
        <w:rPr>
          <w:rFonts w:ascii="Arial" w:hAnsi="Arial" w:cs="Arial"/>
        </w:rPr>
        <w:t xml:space="preserve">tāne </w:t>
      </w:r>
      <w:r w:rsidR="005E3091" w:rsidRPr="005E3091">
        <w:rPr>
          <w:rFonts w:ascii="Arial" w:hAnsi="Arial" w:cs="Arial"/>
        </w:rPr>
        <w:t>Māori over</w:t>
      </w:r>
      <w:r w:rsidR="00FC71C8" w:rsidRPr="005E3091">
        <w:rPr>
          <w:rFonts w:ascii="Arial" w:hAnsi="Arial" w:cs="Arial"/>
        </w:rPr>
        <w:t xml:space="preserve"> </w:t>
      </w:r>
      <w:r w:rsidR="00055301">
        <w:rPr>
          <w:rFonts w:ascii="Arial" w:hAnsi="Arial" w:cs="Arial"/>
        </w:rPr>
        <w:t xml:space="preserve">wāhine </w:t>
      </w:r>
      <w:r w:rsidR="00FC71C8" w:rsidRPr="005E3091">
        <w:rPr>
          <w:rFonts w:ascii="Arial" w:hAnsi="Arial" w:cs="Arial"/>
        </w:rPr>
        <w:t xml:space="preserve">Māori, reducing the role and status of </w:t>
      </w:r>
      <w:r w:rsidR="00055301">
        <w:rPr>
          <w:rFonts w:ascii="Arial" w:hAnsi="Arial" w:cs="Arial"/>
        </w:rPr>
        <w:t xml:space="preserve">wāhine </w:t>
      </w:r>
      <w:r w:rsidR="00FC71C8" w:rsidRPr="005E3091">
        <w:rPr>
          <w:rFonts w:ascii="Arial" w:hAnsi="Arial" w:cs="Arial"/>
        </w:rPr>
        <w:t xml:space="preserve">Māori within their own tribal and whānau lives. </w:t>
      </w:r>
    </w:p>
    <w:p w14:paraId="5BD18606" w14:textId="77777777" w:rsidR="00E13FC6" w:rsidRPr="005E3091" w:rsidRDefault="00E13FC6" w:rsidP="00B40F51">
      <w:pPr>
        <w:jc w:val="both"/>
        <w:rPr>
          <w:rFonts w:ascii="Arial" w:hAnsi="Arial" w:cs="Arial"/>
        </w:rPr>
      </w:pPr>
    </w:p>
    <w:p w14:paraId="3B7821EE" w14:textId="5F3750D8" w:rsidR="00E13FC6" w:rsidRPr="005E3091" w:rsidRDefault="00D42F08" w:rsidP="00B40F51">
      <w:pPr>
        <w:jc w:val="both"/>
        <w:rPr>
          <w:rFonts w:ascii="Arial" w:hAnsi="Arial" w:cs="Arial"/>
          <w:b/>
          <w:bCs/>
        </w:rPr>
      </w:pPr>
      <w:r w:rsidRPr="005E3091">
        <w:rPr>
          <w:rFonts w:ascii="Arial" w:hAnsi="Arial" w:cs="Arial"/>
          <w:b/>
          <w:bCs/>
        </w:rPr>
        <w:t>Issues raised in the claims</w:t>
      </w:r>
    </w:p>
    <w:p w14:paraId="2C5EC26B" w14:textId="77777777" w:rsidR="00E13FC6" w:rsidRPr="005E3091" w:rsidRDefault="00E13FC6" w:rsidP="00B40F51">
      <w:pPr>
        <w:jc w:val="both"/>
        <w:rPr>
          <w:rFonts w:ascii="Arial" w:hAnsi="Arial" w:cs="Arial"/>
        </w:rPr>
      </w:pPr>
    </w:p>
    <w:p w14:paraId="5804844F" w14:textId="68B97750" w:rsidR="00144DC0" w:rsidRPr="005E3091" w:rsidRDefault="00C208A3" w:rsidP="00B40F51">
      <w:pPr>
        <w:jc w:val="both"/>
        <w:rPr>
          <w:rFonts w:ascii="Arial" w:hAnsi="Arial" w:cs="Arial"/>
        </w:rPr>
      </w:pPr>
      <w:r w:rsidRPr="005E3091">
        <w:rPr>
          <w:rFonts w:ascii="Arial" w:hAnsi="Arial" w:cs="Arial"/>
        </w:rPr>
        <w:t>The Waitangi Tribunal has organised the issues raised in the claims into three broad themes:</w:t>
      </w:r>
    </w:p>
    <w:p w14:paraId="2E232828" w14:textId="15C8562F" w:rsidR="00C208A3" w:rsidRPr="005E3091" w:rsidRDefault="00C208A3" w:rsidP="00B40F51">
      <w:pPr>
        <w:jc w:val="both"/>
        <w:rPr>
          <w:rFonts w:ascii="Arial" w:hAnsi="Arial" w:cs="Arial"/>
        </w:rPr>
      </w:pPr>
    </w:p>
    <w:p w14:paraId="419EFFC6" w14:textId="1968812F" w:rsidR="00C208A3" w:rsidRPr="005E3091" w:rsidRDefault="00C208A3" w:rsidP="00C208A3">
      <w:pPr>
        <w:pStyle w:val="ListParagraph"/>
        <w:numPr>
          <w:ilvl w:val="0"/>
          <w:numId w:val="2"/>
        </w:numPr>
        <w:jc w:val="both"/>
        <w:rPr>
          <w:rFonts w:ascii="Arial" w:hAnsi="Arial" w:cs="Arial"/>
        </w:rPr>
      </w:pPr>
      <w:r w:rsidRPr="005E3091">
        <w:rPr>
          <w:rFonts w:ascii="Arial" w:hAnsi="Arial" w:cs="Arial"/>
        </w:rPr>
        <w:t xml:space="preserve">Protection of the role, status, and knowledge of </w:t>
      </w:r>
      <w:r w:rsidR="00055301">
        <w:rPr>
          <w:rFonts w:ascii="Arial" w:hAnsi="Arial" w:cs="Arial"/>
        </w:rPr>
        <w:t xml:space="preserve">wāhine </w:t>
      </w:r>
      <w:r w:rsidR="005E3091" w:rsidRPr="005E3091">
        <w:rPr>
          <w:rFonts w:ascii="Arial" w:hAnsi="Arial" w:cs="Arial"/>
        </w:rPr>
        <w:t>Māori –</w:t>
      </w:r>
      <w:r w:rsidRPr="005E3091">
        <w:rPr>
          <w:rFonts w:ascii="Arial" w:hAnsi="Arial" w:cs="Arial"/>
        </w:rPr>
        <w:t xml:space="preserve"> protection of the inherent mana (power, control) and rangatiratanga (authority) of </w:t>
      </w:r>
      <w:r w:rsidR="00055301">
        <w:rPr>
          <w:rFonts w:ascii="Arial" w:hAnsi="Arial" w:cs="Arial"/>
        </w:rPr>
        <w:t xml:space="preserve">wāhine </w:t>
      </w:r>
      <w:r w:rsidRPr="005E3091">
        <w:rPr>
          <w:rFonts w:ascii="Arial" w:hAnsi="Arial" w:cs="Arial"/>
        </w:rPr>
        <w:t xml:space="preserve">Māori </w:t>
      </w:r>
    </w:p>
    <w:p w14:paraId="39FA1D1C" w14:textId="77777777" w:rsidR="00070FDE" w:rsidRPr="005E3091" w:rsidRDefault="00070FDE" w:rsidP="00070FDE">
      <w:pPr>
        <w:pStyle w:val="ListParagraph"/>
        <w:jc w:val="both"/>
        <w:rPr>
          <w:rFonts w:ascii="Arial" w:hAnsi="Arial" w:cs="Arial"/>
        </w:rPr>
      </w:pPr>
    </w:p>
    <w:p w14:paraId="45D67C86" w14:textId="4FC3111B" w:rsidR="00070FDE" w:rsidRPr="005E3091" w:rsidRDefault="00C208A3" w:rsidP="00070FDE">
      <w:pPr>
        <w:pStyle w:val="ListParagraph"/>
        <w:numPr>
          <w:ilvl w:val="0"/>
          <w:numId w:val="2"/>
        </w:numPr>
        <w:jc w:val="both"/>
        <w:rPr>
          <w:rFonts w:ascii="Arial" w:hAnsi="Arial" w:cs="Arial"/>
        </w:rPr>
      </w:pPr>
      <w:r w:rsidRPr="005E3091">
        <w:rPr>
          <w:rFonts w:ascii="Arial" w:hAnsi="Arial" w:cs="Arial"/>
        </w:rPr>
        <w:t xml:space="preserve">Equity and disparities in outcomes and wellbeing for </w:t>
      </w:r>
      <w:r w:rsidR="00055301">
        <w:rPr>
          <w:rFonts w:ascii="Arial" w:hAnsi="Arial" w:cs="Arial"/>
        </w:rPr>
        <w:t xml:space="preserve">wāhine </w:t>
      </w:r>
      <w:r w:rsidR="005E3091" w:rsidRPr="005E3091">
        <w:rPr>
          <w:rFonts w:ascii="Arial" w:hAnsi="Arial" w:cs="Arial"/>
        </w:rPr>
        <w:t>Māori –</w:t>
      </w:r>
      <w:r w:rsidRPr="005E3091">
        <w:rPr>
          <w:rFonts w:ascii="Arial" w:hAnsi="Arial" w:cs="Arial"/>
        </w:rPr>
        <w:t xml:space="preserve"> </w:t>
      </w:r>
      <w:r w:rsidR="00523532" w:rsidRPr="005E3091">
        <w:rPr>
          <w:rFonts w:ascii="Arial" w:hAnsi="Arial" w:cs="Arial"/>
        </w:rPr>
        <w:t xml:space="preserve">recognition and protection of the </w:t>
      </w:r>
      <w:r w:rsidRPr="005E3091">
        <w:rPr>
          <w:rFonts w:ascii="Arial" w:hAnsi="Arial" w:cs="Arial"/>
        </w:rPr>
        <w:t xml:space="preserve">role, status and knowledge of </w:t>
      </w:r>
      <w:r w:rsidR="00055301">
        <w:rPr>
          <w:rFonts w:ascii="Arial" w:hAnsi="Arial" w:cs="Arial"/>
        </w:rPr>
        <w:t xml:space="preserve">wāhine </w:t>
      </w:r>
      <w:r w:rsidR="005E3091" w:rsidRPr="005E3091">
        <w:rPr>
          <w:rFonts w:ascii="Arial" w:hAnsi="Arial" w:cs="Arial"/>
        </w:rPr>
        <w:t>Māori has</w:t>
      </w:r>
      <w:r w:rsidRPr="005E3091">
        <w:rPr>
          <w:rFonts w:ascii="Arial" w:hAnsi="Arial" w:cs="Arial"/>
        </w:rPr>
        <w:t xml:space="preserve"> led to the marginalisation and discrimination against </w:t>
      </w:r>
      <w:r w:rsidR="00055301">
        <w:rPr>
          <w:rFonts w:ascii="Arial" w:hAnsi="Arial" w:cs="Arial"/>
        </w:rPr>
        <w:t xml:space="preserve">wāhine </w:t>
      </w:r>
      <w:r w:rsidRPr="005E3091">
        <w:rPr>
          <w:rFonts w:ascii="Arial" w:hAnsi="Arial" w:cs="Arial"/>
        </w:rPr>
        <w:t xml:space="preserve">Māori </w:t>
      </w:r>
    </w:p>
    <w:p w14:paraId="13EDB374" w14:textId="77777777" w:rsidR="00EE5322" w:rsidRPr="005E3091" w:rsidRDefault="00EE5322" w:rsidP="00EE5322">
      <w:pPr>
        <w:jc w:val="both"/>
        <w:rPr>
          <w:rFonts w:ascii="Arial" w:hAnsi="Arial" w:cs="Arial"/>
        </w:rPr>
      </w:pPr>
    </w:p>
    <w:p w14:paraId="228B60B9" w14:textId="21ED0DD2" w:rsidR="004F431F" w:rsidRPr="005E3091" w:rsidRDefault="00C208A3" w:rsidP="004F431F">
      <w:pPr>
        <w:pStyle w:val="ListParagraph"/>
        <w:numPr>
          <w:ilvl w:val="0"/>
          <w:numId w:val="2"/>
        </w:numPr>
        <w:jc w:val="both"/>
        <w:rPr>
          <w:rFonts w:ascii="Arial" w:hAnsi="Arial" w:cs="Arial"/>
        </w:rPr>
      </w:pPr>
      <w:r w:rsidRPr="005E3091">
        <w:rPr>
          <w:rFonts w:ascii="Arial" w:hAnsi="Arial" w:cs="Arial"/>
        </w:rPr>
        <w:t xml:space="preserve">Representation and access to leadership, governance, and decision-making roles for Māori women – </w:t>
      </w:r>
      <w:r w:rsidR="00523532" w:rsidRPr="005E3091">
        <w:rPr>
          <w:rFonts w:ascii="Arial" w:hAnsi="Arial" w:cs="Arial"/>
        </w:rPr>
        <w:t>provision and promotion of the appointment, representation, and participation of Māori women in governance and decision-making roles across all sector</w:t>
      </w:r>
      <w:r w:rsidR="00A337E7" w:rsidRPr="005E3091">
        <w:rPr>
          <w:rFonts w:ascii="Arial" w:hAnsi="Arial" w:cs="Arial"/>
        </w:rPr>
        <w:t>s.</w:t>
      </w:r>
    </w:p>
    <w:p w14:paraId="6511899D" w14:textId="77777777" w:rsidR="002045A4" w:rsidRPr="005E3091" w:rsidRDefault="002045A4" w:rsidP="002045A4">
      <w:pPr>
        <w:pStyle w:val="ListParagraph"/>
        <w:rPr>
          <w:rFonts w:ascii="Arial" w:hAnsi="Arial" w:cs="Arial"/>
        </w:rPr>
      </w:pPr>
    </w:p>
    <w:p w14:paraId="1E37FDD5" w14:textId="084AA912" w:rsidR="002045A4" w:rsidRPr="005E3091" w:rsidRDefault="002045A4" w:rsidP="002045A4">
      <w:pPr>
        <w:jc w:val="both"/>
        <w:rPr>
          <w:rFonts w:ascii="Arial" w:hAnsi="Arial" w:cs="Arial"/>
        </w:rPr>
      </w:pPr>
      <w:r w:rsidRPr="005E3091">
        <w:rPr>
          <w:rFonts w:ascii="Arial" w:hAnsi="Arial" w:cs="Arial"/>
        </w:rPr>
        <w:t xml:space="preserve">Issues regarding a lack of recognition for </w:t>
      </w:r>
      <w:r w:rsidR="005E3091">
        <w:rPr>
          <w:rFonts w:ascii="Arial" w:hAnsi="Arial" w:cs="Arial"/>
        </w:rPr>
        <w:t xml:space="preserve">wāhine </w:t>
      </w:r>
      <w:r w:rsidRPr="005E3091">
        <w:rPr>
          <w:rFonts w:ascii="Arial" w:hAnsi="Arial" w:cs="Arial"/>
        </w:rPr>
        <w:t xml:space="preserve">Māori in leadership roles </w:t>
      </w:r>
      <w:r w:rsidR="005E3091" w:rsidRPr="005E3091">
        <w:rPr>
          <w:rFonts w:ascii="Arial" w:hAnsi="Arial" w:cs="Arial"/>
        </w:rPr>
        <w:t xml:space="preserve">is </w:t>
      </w:r>
      <w:r w:rsidR="005E3091">
        <w:rPr>
          <w:rFonts w:ascii="Arial" w:hAnsi="Arial" w:cs="Arial"/>
        </w:rPr>
        <w:t>a</w:t>
      </w:r>
      <w:r w:rsidRPr="005E3091">
        <w:rPr>
          <w:rFonts w:ascii="Arial" w:hAnsi="Arial" w:cs="Arial"/>
        </w:rPr>
        <w:t xml:space="preserve"> recurring theme across the claims</w:t>
      </w:r>
      <w:r w:rsidR="003C0CF3" w:rsidRPr="005E3091">
        <w:rPr>
          <w:rFonts w:ascii="Arial" w:hAnsi="Arial" w:cs="Arial"/>
        </w:rPr>
        <w:t>.</w:t>
      </w:r>
    </w:p>
    <w:p w14:paraId="2EA93892" w14:textId="77777777" w:rsidR="00EE5322" w:rsidRPr="005E3091" w:rsidRDefault="00EE5322" w:rsidP="00523532">
      <w:pPr>
        <w:jc w:val="both"/>
        <w:rPr>
          <w:rFonts w:ascii="Arial" w:hAnsi="Arial" w:cs="Arial"/>
        </w:rPr>
      </w:pPr>
    </w:p>
    <w:p w14:paraId="15CAC44D" w14:textId="00828692" w:rsidR="00704A75" w:rsidRPr="005E3091" w:rsidRDefault="00704A75" w:rsidP="00523532">
      <w:pPr>
        <w:jc w:val="both"/>
        <w:rPr>
          <w:rFonts w:ascii="Arial" w:hAnsi="Arial" w:cs="Arial"/>
        </w:rPr>
      </w:pPr>
      <w:r w:rsidRPr="005E3091">
        <w:rPr>
          <w:rFonts w:ascii="Arial" w:hAnsi="Arial" w:cs="Arial"/>
        </w:rPr>
        <w:t xml:space="preserve">Claims </w:t>
      </w:r>
      <w:r w:rsidR="0042283C">
        <w:rPr>
          <w:rFonts w:ascii="Arial" w:hAnsi="Arial" w:cs="Arial"/>
        </w:rPr>
        <w:t xml:space="preserve">are also seeking the remedies from  </w:t>
      </w:r>
      <w:r w:rsidRPr="005E3091">
        <w:rPr>
          <w:rFonts w:ascii="Arial" w:hAnsi="Arial" w:cs="Arial"/>
        </w:rPr>
        <w:t>the Crown</w:t>
      </w:r>
      <w:r w:rsidR="0042283C">
        <w:rPr>
          <w:rFonts w:ascii="Arial" w:hAnsi="Arial" w:cs="Arial"/>
        </w:rPr>
        <w:t>,</w:t>
      </w:r>
      <w:r w:rsidRPr="005E3091">
        <w:rPr>
          <w:rFonts w:ascii="Arial" w:hAnsi="Arial" w:cs="Arial"/>
        </w:rPr>
        <w:t xml:space="preserve"> </w:t>
      </w:r>
      <w:r w:rsidR="00B23C01" w:rsidRPr="005E3091">
        <w:rPr>
          <w:rFonts w:ascii="Arial" w:hAnsi="Arial" w:cs="Arial"/>
        </w:rPr>
        <w:t>some of which include:</w:t>
      </w:r>
    </w:p>
    <w:p w14:paraId="2A6A4359" w14:textId="49A665E7" w:rsidR="0056449A" w:rsidRPr="005E3091" w:rsidRDefault="0056449A" w:rsidP="00523532">
      <w:pPr>
        <w:jc w:val="both"/>
        <w:rPr>
          <w:rFonts w:ascii="Arial" w:hAnsi="Arial" w:cs="Arial"/>
        </w:rPr>
      </w:pPr>
    </w:p>
    <w:p w14:paraId="2EA9F5F1" w14:textId="29B64D5B" w:rsidR="0056449A" w:rsidRPr="005E3091" w:rsidRDefault="0056449A" w:rsidP="0056449A">
      <w:pPr>
        <w:pStyle w:val="ListParagraph"/>
        <w:numPr>
          <w:ilvl w:val="0"/>
          <w:numId w:val="3"/>
        </w:numPr>
        <w:jc w:val="both"/>
        <w:rPr>
          <w:rFonts w:ascii="Arial" w:hAnsi="Arial" w:cs="Arial"/>
        </w:rPr>
      </w:pPr>
      <w:r w:rsidRPr="005E3091">
        <w:rPr>
          <w:rFonts w:ascii="Arial" w:hAnsi="Arial" w:cs="Arial"/>
        </w:rPr>
        <w:t xml:space="preserve">Ensure representation in decision-making roles and </w:t>
      </w:r>
      <w:r w:rsidR="009E5D6C" w:rsidRPr="005E3091">
        <w:rPr>
          <w:rFonts w:ascii="Arial" w:hAnsi="Arial" w:cs="Arial"/>
        </w:rPr>
        <w:t>settings</w:t>
      </w:r>
      <w:r w:rsidRPr="005E3091">
        <w:rPr>
          <w:rFonts w:ascii="Arial" w:hAnsi="Arial" w:cs="Arial"/>
        </w:rPr>
        <w:t xml:space="preserve"> for </w:t>
      </w:r>
      <w:r w:rsidR="00055301">
        <w:rPr>
          <w:rFonts w:ascii="Arial" w:hAnsi="Arial" w:cs="Arial"/>
        </w:rPr>
        <w:t xml:space="preserve">wāhine </w:t>
      </w:r>
      <w:r w:rsidRPr="005E3091">
        <w:rPr>
          <w:rFonts w:ascii="Arial" w:hAnsi="Arial" w:cs="Arial"/>
        </w:rPr>
        <w:t>Māori</w:t>
      </w:r>
    </w:p>
    <w:p w14:paraId="532E2CD9" w14:textId="7138587C" w:rsidR="0056449A" w:rsidRDefault="00A35C26" w:rsidP="0056449A">
      <w:pPr>
        <w:pStyle w:val="ListParagraph"/>
        <w:numPr>
          <w:ilvl w:val="0"/>
          <w:numId w:val="3"/>
        </w:numPr>
        <w:jc w:val="both"/>
        <w:rPr>
          <w:rFonts w:ascii="Arial" w:hAnsi="Arial" w:cs="Arial"/>
        </w:rPr>
      </w:pPr>
      <w:r w:rsidRPr="005E3091">
        <w:rPr>
          <w:rFonts w:ascii="Arial" w:hAnsi="Arial" w:cs="Arial"/>
        </w:rPr>
        <w:t xml:space="preserve">Establish a working group of </w:t>
      </w:r>
      <w:r w:rsidR="00055301">
        <w:rPr>
          <w:rFonts w:ascii="Arial" w:hAnsi="Arial" w:cs="Arial"/>
        </w:rPr>
        <w:t xml:space="preserve">wāhine </w:t>
      </w:r>
      <w:r w:rsidR="005E3091" w:rsidRPr="005E3091">
        <w:rPr>
          <w:rFonts w:ascii="Arial" w:hAnsi="Arial" w:cs="Arial"/>
        </w:rPr>
        <w:t>Māori claimants</w:t>
      </w:r>
      <w:r w:rsidRPr="005E3091">
        <w:rPr>
          <w:rFonts w:ascii="Arial" w:hAnsi="Arial" w:cs="Arial"/>
        </w:rPr>
        <w:t xml:space="preserve"> to address issues raised with the Crown and the performance of its agencies</w:t>
      </w:r>
    </w:p>
    <w:p w14:paraId="19A780F7" w14:textId="77777777" w:rsidR="005E3091" w:rsidRPr="005E3091" w:rsidRDefault="005E3091" w:rsidP="005E3091">
      <w:pPr>
        <w:pStyle w:val="ListParagraph"/>
        <w:jc w:val="both"/>
        <w:rPr>
          <w:rFonts w:ascii="Arial" w:hAnsi="Arial" w:cs="Arial"/>
        </w:rPr>
      </w:pPr>
    </w:p>
    <w:p w14:paraId="30F664C8" w14:textId="4A0B3735" w:rsidR="00A35C26" w:rsidRDefault="00A35C26" w:rsidP="0056449A">
      <w:pPr>
        <w:pStyle w:val="ListParagraph"/>
        <w:numPr>
          <w:ilvl w:val="0"/>
          <w:numId w:val="3"/>
        </w:numPr>
        <w:jc w:val="both"/>
        <w:rPr>
          <w:rFonts w:ascii="Arial" w:hAnsi="Arial" w:cs="Arial"/>
        </w:rPr>
      </w:pPr>
      <w:r w:rsidRPr="005E3091">
        <w:rPr>
          <w:rFonts w:ascii="Arial" w:hAnsi="Arial" w:cs="Arial"/>
        </w:rPr>
        <w:t xml:space="preserve">Develop a Treaty of Waitangi-compliant framework to restore the rangatiratanga of </w:t>
      </w:r>
      <w:r w:rsidR="00055301">
        <w:rPr>
          <w:rFonts w:ascii="Arial" w:hAnsi="Arial" w:cs="Arial"/>
        </w:rPr>
        <w:t xml:space="preserve">wāhine </w:t>
      </w:r>
      <w:r w:rsidRPr="005E3091">
        <w:rPr>
          <w:rFonts w:ascii="Arial" w:hAnsi="Arial" w:cs="Arial"/>
        </w:rPr>
        <w:t xml:space="preserve">Māori  </w:t>
      </w:r>
    </w:p>
    <w:p w14:paraId="2B51BDED" w14:textId="77777777" w:rsidR="005E3091" w:rsidRPr="005E3091" w:rsidRDefault="005E3091" w:rsidP="005E3091">
      <w:pPr>
        <w:jc w:val="both"/>
        <w:rPr>
          <w:rFonts w:ascii="Arial" w:hAnsi="Arial" w:cs="Arial"/>
        </w:rPr>
      </w:pPr>
    </w:p>
    <w:p w14:paraId="24ADC39E" w14:textId="3B901381" w:rsidR="00B23C01" w:rsidRDefault="00B23C01" w:rsidP="0056449A">
      <w:pPr>
        <w:pStyle w:val="ListParagraph"/>
        <w:numPr>
          <w:ilvl w:val="0"/>
          <w:numId w:val="3"/>
        </w:numPr>
        <w:jc w:val="both"/>
        <w:rPr>
          <w:rFonts w:ascii="Arial" w:hAnsi="Arial" w:cs="Arial"/>
        </w:rPr>
      </w:pPr>
      <w:r w:rsidRPr="005E3091">
        <w:rPr>
          <w:rFonts w:ascii="Arial" w:hAnsi="Arial" w:cs="Arial"/>
        </w:rPr>
        <w:t xml:space="preserve">Implement a policy and legislative framework that allows pay equity for </w:t>
      </w:r>
      <w:r w:rsidR="00055301">
        <w:rPr>
          <w:rFonts w:ascii="Arial" w:hAnsi="Arial" w:cs="Arial"/>
        </w:rPr>
        <w:t xml:space="preserve">wāhine </w:t>
      </w:r>
      <w:r w:rsidRPr="005E3091">
        <w:rPr>
          <w:rFonts w:ascii="Arial" w:hAnsi="Arial" w:cs="Arial"/>
        </w:rPr>
        <w:t xml:space="preserve">Māori </w:t>
      </w:r>
    </w:p>
    <w:p w14:paraId="21491268" w14:textId="77777777" w:rsidR="005E3091" w:rsidRPr="005E3091" w:rsidRDefault="005E3091" w:rsidP="005E3091">
      <w:pPr>
        <w:jc w:val="both"/>
        <w:rPr>
          <w:rFonts w:ascii="Arial" w:hAnsi="Arial" w:cs="Arial"/>
        </w:rPr>
      </w:pPr>
    </w:p>
    <w:p w14:paraId="0345C82B" w14:textId="0556976A" w:rsidR="00B23C01" w:rsidRDefault="00B23C01" w:rsidP="0056449A">
      <w:pPr>
        <w:pStyle w:val="ListParagraph"/>
        <w:numPr>
          <w:ilvl w:val="0"/>
          <w:numId w:val="3"/>
        </w:numPr>
        <w:jc w:val="both"/>
        <w:rPr>
          <w:rFonts w:ascii="Arial" w:hAnsi="Arial" w:cs="Arial"/>
        </w:rPr>
      </w:pPr>
      <w:r w:rsidRPr="005E3091">
        <w:rPr>
          <w:rFonts w:ascii="Arial" w:hAnsi="Arial" w:cs="Arial"/>
        </w:rPr>
        <w:t xml:space="preserve">Resourcing and support for work opportunities and income equality for </w:t>
      </w:r>
      <w:r w:rsidR="00055301">
        <w:rPr>
          <w:rFonts w:ascii="Arial" w:hAnsi="Arial" w:cs="Arial"/>
        </w:rPr>
        <w:t xml:space="preserve">wāhine </w:t>
      </w:r>
      <w:r w:rsidR="005E3091">
        <w:rPr>
          <w:rFonts w:ascii="Arial" w:hAnsi="Arial" w:cs="Arial"/>
        </w:rPr>
        <w:t>Māori</w:t>
      </w:r>
    </w:p>
    <w:p w14:paraId="7F17A3EC" w14:textId="77777777" w:rsidR="005E3091" w:rsidRPr="005E3091" w:rsidRDefault="005E3091" w:rsidP="005E3091">
      <w:pPr>
        <w:jc w:val="both"/>
        <w:rPr>
          <w:rFonts w:ascii="Arial" w:hAnsi="Arial" w:cs="Arial"/>
        </w:rPr>
      </w:pPr>
    </w:p>
    <w:p w14:paraId="0293205B" w14:textId="27256207" w:rsidR="00B23C01" w:rsidRDefault="004F431F" w:rsidP="0056449A">
      <w:pPr>
        <w:pStyle w:val="ListParagraph"/>
        <w:numPr>
          <w:ilvl w:val="0"/>
          <w:numId w:val="3"/>
        </w:numPr>
        <w:jc w:val="both"/>
        <w:rPr>
          <w:rFonts w:ascii="Arial" w:hAnsi="Arial" w:cs="Arial"/>
        </w:rPr>
      </w:pPr>
      <w:r w:rsidRPr="005E3091">
        <w:rPr>
          <w:rFonts w:ascii="Arial" w:hAnsi="Arial" w:cs="Arial"/>
        </w:rPr>
        <w:t xml:space="preserve">Resource leadership programmes that inspire and develop young </w:t>
      </w:r>
      <w:r w:rsidR="00055301">
        <w:rPr>
          <w:rFonts w:ascii="Arial" w:hAnsi="Arial" w:cs="Arial"/>
        </w:rPr>
        <w:t xml:space="preserve">wāhine </w:t>
      </w:r>
      <w:r w:rsidRPr="005E3091">
        <w:rPr>
          <w:rFonts w:ascii="Arial" w:hAnsi="Arial" w:cs="Arial"/>
        </w:rPr>
        <w:t xml:space="preserve">Māori </w:t>
      </w:r>
    </w:p>
    <w:p w14:paraId="602E6A5A" w14:textId="77777777" w:rsidR="005E3091" w:rsidRPr="005E3091" w:rsidRDefault="005E3091" w:rsidP="005E3091">
      <w:pPr>
        <w:jc w:val="both"/>
        <w:rPr>
          <w:rFonts w:ascii="Arial" w:hAnsi="Arial" w:cs="Arial"/>
        </w:rPr>
      </w:pPr>
    </w:p>
    <w:p w14:paraId="23AE6846" w14:textId="491660C6" w:rsidR="004F431F" w:rsidRPr="005E3091" w:rsidRDefault="004F431F" w:rsidP="0056449A">
      <w:pPr>
        <w:pStyle w:val="ListParagraph"/>
        <w:numPr>
          <w:ilvl w:val="0"/>
          <w:numId w:val="3"/>
        </w:numPr>
        <w:jc w:val="both"/>
        <w:rPr>
          <w:rFonts w:ascii="Arial" w:hAnsi="Arial" w:cs="Arial"/>
        </w:rPr>
      </w:pPr>
      <w:r w:rsidRPr="005E3091">
        <w:rPr>
          <w:rFonts w:ascii="Arial" w:hAnsi="Arial" w:cs="Arial"/>
        </w:rPr>
        <w:lastRenderedPageBreak/>
        <w:t xml:space="preserve">Review existing Crown policies in relation to the over-representation of </w:t>
      </w:r>
      <w:r w:rsidR="00055301">
        <w:rPr>
          <w:rFonts w:ascii="Arial" w:hAnsi="Arial" w:cs="Arial"/>
        </w:rPr>
        <w:t xml:space="preserve">wāhine </w:t>
      </w:r>
      <w:r w:rsidRPr="005E3091">
        <w:rPr>
          <w:rFonts w:ascii="Arial" w:hAnsi="Arial" w:cs="Arial"/>
        </w:rPr>
        <w:t xml:space="preserve">Māori in lack of access to justice issues, poor health outcomes, victims of family and sexual violence and educational non-achievement. </w:t>
      </w:r>
    </w:p>
    <w:p w14:paraId="4994BCBB" w14:textId="191B20FD" w:rsidR="002A617F" w:rsidRPr="005E3091" w:rsidRDefault="002A617F" w:rsidP="002A617F">
      <w:pPr>
        <w:jc w:val="both"/>
        <w:rPr>
          <w:rFonts w:ascii="Arial" w:hAnsi="Arial" w:cs="Arial"/>
        </w:rPr>
      </w:pPr>
    </w:p>
    <w:p w14:paraId="40CD4C72" w14:textId="50AE1233" w:rsidR="002A617F" w:rsidRPr="005E3091" w:rsidRDefault="002A617F" w:rsidP="002A617F">
      <w:pPr>
        <w:jc w:val="both"/>
        <w:rPr>
          <w:rFonts w:ascii="Arial" w:hAnsi="Arial" w:cs="Arial"/>
        </w:rPr>
      </w:pPr>
      <w:r w:rsidRPr="005E3091">
        <w:rPr>
          <w:rFonts w:ascii="Arial" w:hAnsi="Arial" w:cs="Arial"/>
        </w:rPr>
        <w:t xml:space="preserve">Claimants are very clear that the Crown response or government approach to the Inquiry needs to ensure that the voices of </w:t>
      </w:r>
      <w:r w:rsidR="00055301">
        <w:rPr>
          <w:rFonts w:ascii="Arial" w:hAnsi="Arial" w:cs="Arial"/>
        </w:rPr>
        <w:t xml:space="preserve">wāhine </w:t>
      </w:r>
      <w:r w:rsidR="005E3091" w:rsidRPr="005E3091">
        <w:rPr>
          <w:rFonts w:ascii="Arial" w:hAnsi="Arial" w:cs="Arial"/>
        </w:rPr>
        <w:t>Māori are</w:t>
      </w:r>
      <w:r w:rsidRPr="005E3091">
        <w:rPr>
          <w:rFonts w:ascii="Arial" w:hAnsi="Arial" w:cs="Arial"/>
        </w:rPr>
        <w:t xml:space="preserve"> at the forefront of any policy changes or initiatives</w:t>
      </w:r>
      <w:r w:rsidR="00055301">
        <w:rPr>
          <w:rFonts w:ascii="Arial" w:hAnsi="Arial" w:cs="Arial"/>
        </w:rPr>
        <w:t xml:space="preserve"> that affect them and their whānau. </w:t>
      </w:r>
      <w:r w:rsidRPr="005E3091">
        <w:rPr>
          <w:rFonts w:ascii="Arial" w:hAnsi="Arial" w:cs="Arial"/>
        </w:rPr>
        <w:t xml:space="preserve"> </w:t>
      </w:r>
    </w:p>
    <w:p w14:paraId="1473EF0F" w14:textId="3EA6C2C7" w:rsidR="0056449A" w:rsidRPr="005E3091" w:rsidRDefault="0056449A" w:rsidP="00523532">
      <w:pPr>
        <w:jc w:val="both"/>
        <w:rPr>
          <w:rFonts w:ascii="Arial" w:hAnsi="Arial" w:cs="Arial"/>
        </w:rPr>
      </w:pPr>
    </w:p>
    <w:p w14:paraId="1E8B2C34" w14:textId="0F8166C3" w:rsidR="0056449A" w:rsidRPr="005E3091" w:rsidRDefault="00E5272A" w:rsidP="00523532">
      <w:pPr>
        <w:jc w:val="both"/>
        <w:rPr>
          <w:rFonts w:ascii="Arial" w:hAnsi="Arial" w:cs="Arial"/>
          <w:b/>
          <w:bCs/>
        </w:rPr>
      </w:pPr>
      <w:r w:rsidRPr="005E3091">
        <w:rPr>
          <w:rFonts w:ascii="Arial" w:hAnsi="Arial" w:cs="Arial"/>
          <w:b/>
          <w:bCs/>
        </w:rPr>
        <w:t>Governance and management of</w:t>
      </w:r>
      <w:r w:rsidR="004F431F" w:rsidRPr="005E3091">
        <w:rPr>
          <w:rFonts w:ascii="Arial" w:hAnsi="Arial" w:cs="Arial"/>
          <w:b/>
          <w:bCs/>
        </w:rPr>
        <w:t xml:space="preserve"> the</w:t>
      </w:r>
      <w:r w:rsidRPr="005E3091">
        <w:rPr>
          <w:rFonts w:ascii="Arial" w:hAnsi="Arial" w:cs="Arial"/>
          <w:b/>
          <w:bCs/>
        </w:rPr>
        <w:t xml:space="preserve"> Crown’s response to the</w:t>
      </w:r>
      <w:r w:rsidR="004F431F" w:rsidRPr="005E3091">
        <w:rPr>
          <w:rFonts w:ascii="Arial" w:hAnsi="Arial" w:cs="Arial"/>
          <w:b/>
          <w:bCs/>
        </w:rPr>
        <w:t xml:space="preserve"> Inquiry</w:t>
      </w:r>
    </w:p>
    <w:p w14:paraId="3A89D6A0" w14:textId="77777777" w:rsidR="00DC65F2" w:rsidRPr="005E3091" w:rsidRDefault="00DC65F2" w:rsidP="00523532">
      <w:pPr>
        <w:jc w:val="both"/>
        <w:rPr>
          <w:rFonts w:ascii="Arial" w:hAnsi="Arial" w:cs="Arial"/>
          <w:b/>
          <w:bCs/>
        </w:rPr>
      </w:pPr>
    </w:p>
    <w:p w14:paraId="4B8FF861" w14:textId="1D3EF2F0" w:rsidR="00DC65F2" w:rsidRPr="005E3091" w:rsidRDefault="00DC65F2" w:rsidP="00DC65F2">
      <w:pPr>
        <w:jc w:val="both"/>
        <w:rPr>
          <w:rFonts w:ascii="Arial" w:hAnsi="Arial" w:cs="Arial"/>
        </w:rPr>
      </w:pPr>
      <w:r w:rsidRPr="005E3091">
        <w:rPr>
          <w:rFonts w:ascii="Arial" w:hAnsi="Arial" w:cs="Arial"/>
        </w:rPr>
        <w:t>The Minister for Women and the Minister for Māori Development are the co-lead Ministers for the Crown’s response to the Inquiry. Te Puni Kōkiri (Ministry for Māori Development</w:t>
      </w:r>
      <w:r w:rsidR="002045A4" w:rsidRPr="005E3091">
        <w:rPr>
          <w:rFonts w:ascii="Arial" w:hAnsi="Arial" w:cs="Arial"/>
        </w:rPr>
        <w:t xml:space="preserve"> a</w:t>
      </w:r>
      <w:r w:rsidR="00055301">
        <w:rPr>
          <w:rFonts w:ascii="Arial" w:hAnsi="Arial" w:cs="Arial"/>
        </w:rPr>
        <w:t>s</w:t>
      </w:r>
      <w:r w:rsidR="002045A4" w:rsidRPr="005E3091">
        <w:rPr>
          <w:rFonts w:ascii="Arial" w:hAnsi="Arial" w:cs="Arial"/>
        </w:rPr>
        <w:t xml:space="preserve"> the </w:t>
      </w:r>
      <w:r w:rsidR="00D7268C" w:rsidRPr="005E3091">
        <w:rPr>
          <w:rFonts w:ascii="Arial" w:hAnsi="Arial" w:cs="Arial"/>
        </w:rPr>
        <w:t>principal</w:t>
      </w:r>
      <w:r w:rsidR="002045A4" w:rsidRPr="005E3091">
        <w:rPr>
          <w:rFonts w:ascii="Arial" w:hAnsi="Arial" w:cs="Arial"/>
        </w:rPr>
        <w:t xml:space="preserve"> advisor to the Crown on Māori wellbeing and development</w:t>
      </w:r>
      <w:r w:rsidRPr="005E3091">
        <w:rPr>
          <w:rFonts w:ascii="Arial" w:hAnsi="Arial" w:cs="Arial"/>
        </w:rPr>
        <w:t xml:space="preserve">) and Manatū Wāhine (Ministry for Women) are the co-lead agencies for the Inquiry. </w:t>
      </w:r>
    </w:p>
    <w:p w14:paraId="6D387ADA" w14:textId="77777777" w:rsidR="00DC65F2" w:rsidRPr="005E3091" w:rsidRDefault="00DC65F2" w:rsidP="00DC65F2">
      <w:pPr>
        <w:jc w:val="both"/>
        <w:rPr>
          <w:rFonts w:ascii="Arial" w:hAnsi="Arial" w:cs="Arial"/>
        </w:rPr>
      </w:pPr>
    </w:p>
    <w:p w14:paraId="551453BA" w14:textId="4FF1BA4A" w:rsidR="00DC65F2" w:rsidRPr="005E3091" w:rsidRDefault="00DC65F2" w:rsidP="00DC65F2">
      <w:pPr>
        <w:jc w:val="both"/>
        <w:rPr>
          <w:rFonts w:ascii="Arial" w:hAnsi="Arial" w:cs="Arial"/>
        </w:rPr>
      </w:pPr>
      <w:r w:rsidRPr="005E3091">
        <w:rPr>
          <w:rFonts w:ascii="Arial" w:hAnsi="Arial" w:cs="Arial"/>
        </w:rPr>
        <w:t xml:space="preserve">The co-leadership functions are supported by a Joint Roopū (group) which was established in November 2019 and includes officials from both agencies. The joint roopū has two key functions: </w:t>
      </w:r>
    </w:p>
    <w:p w14:paraId="70093240" w14:textId="4A4AB283" w:rsidR="00DC65F2" w:rsidRPr="005E3091" w:rsidRDefault="00DC65F2" w:rsidP="00C87502">
      <w:pPr>
        <w:pStyle w:val="ListParagraph"/>
        <w:numPr>
          <w:ilvl w:val="0"/>
          <w:numId w:val="5"/>
        </w:numPr>
        <w:spacing w:before="120" w:after="120"/>
        <w:ind w:left="709" w:hanging="283"/>
        <w:contextualSpacing w:val="0"/>
        <w:jc w:val="both"/>
        <w:rPr>
          <w:rFonts w:ascii="Arial" w:hAnsi="Arial" w:cs="Arial"/>
          <w:lang w:eastAsia="en-NZ"/>
        </w:rPr>
      </w:pPr>
      <w:r w:rsidRPr="005E3091">
        <w:rPr>
          <w:rFonts w:ascii="Arial" w:hAnsi="Arial" w:cs="Arial"/>
        </w:rPr>
        <w:t>To lead the Crown’s involvement in the Waitangi Tribunal Mana Wāhine Kaupapa Inquiry and its response to the issues raised</w:t>
      </w:r>
    </w:p>
    <w:p w14:paraId="2BD9B9D0" w14:textId="123AF355" w:rsidR="00DC65F2" w:rsidRDefault="00DC65F2" w:rsidP="00C87502">
      <w:pPr>
        <w:pStyle w:val="ListParagraph"/>
        <w:numPr>
          <w:ilvl w:val="0"/>
          <w:numId w:val="5"/>
        </w:numPr>
        <w:spacing w:before="120" w:after="120"/>
        <w:ind w:left="709" w:hanging="283"/>
        <w:contextualSpacing w:val="0"/>
        <w:jc w:val="both"/>
        <w:rPr>
          <w:rFonts w:ascii="Arial" w:hAnsi="Arial" w:cs="Arial"/>
          <w:lang w:eastAsia="en-NZ"/>
        </w:rPr>
      </w:pPr>
      <w:r w:rsidRPr="005E3091">
        <w:rPr>
          <w:rFonts w:ascii="Arial" w:hAnsi="Arial" w:cs="Arial"/>
        </w:rPr>
        <w:t xml:space="preserve">To work across government to ensure policy, legislation, and agencies recognise the specific needs of Māori women and address the disparities between Māori women and the rest of society. </w:t>
      </w:r>
    </w:p>
    <w:p w14:paraId="5ABA1E14" w14:textId="4116D6B1" w:rsidR="00DC65F2" w:rsidRDefault="00DC65F2" w:rsidP="00D7133E">
      <w:pPr>
        <w:jc w:val="both"/>
        <w:rPr>
          <w:rFonts w:ascii="Arial" w:hAnsi="Arial" w:cs="Arial"/>
        </w:rPr>
      </w:pPr>
      <w:r w:rsidRPr="005E3091">
        <w:rPr>
          <w:rFonts w:ascii="Arial" w:hAnsi="Arial" w:cs="Arial"/>
          <w:lang w:eastAsia="en-NZ"/>
        </w:rPr>
        <w:t xml:space="preserve">The response from the Crown to the Inquiry is supported by two governance groups. The first is an Interdepartmental Steering Group consisting of agencies from across government who have an influential position and are strategically positioned as sector leaders and respondents </w:t>
      </w:r>
      <w:r w:rsidRPr="005E3091">
        <w:rPr>
          <w:rFonts w:ascii="Arial" w:hAnsi="Arial" w:cs="Arial"/>
        </w:rPr>
        <w:t xml:space="preserve">to the claims. </w:t>
      </w:r>
    </w:p>
    <w:p w14:paraId="24372AF4" w14:textId="77777777" w:rsidR="00D7133E" w:rsidRDefault="00D7133E" w:rsidP="00D7133E">
      <w:pPr>
        <w:jc w:val="both"/>
        <w:rPr>
          <w:rFonts w:ascii="Arial" w:hAnsi="Arial" w:cs="Arial"/>
        </w:rPr>
      </w:pPr>
    </w:p>
    <w:p w14:paraId="65E68E4F" w14:textId="71199709" w:rsidR="00A1450E" w:rsidRDefault="00DC65F2" w:rsidP="00D7133E">
      <w:pPr>
        <w:jc w:val="both"/>
        <w:rPr>
          <w:rFonts w:ascii="Arial" w:hAnsi="Arial" w:cs="Arial"/>
          <w:lang w:eastAsia="en-NZ"/>
        </w:rPr>
      </w:pPr>
      <w:r w:rsidRPr="005E3091">
        <w:rPr>
          <w:rFonts w:ascii="Arial" w:hAnsi="Arial" w:cs="Arial"/>
        </w:rPr>
        <w:t>The Interdepartmental Working Group (the Working Group) is made up of the same agencies in the Steering Group, including Te Puni Kōkiri and Manatū Wāhine. The purpose of this group is to support the Steering Group and carry out the day-to-day work of ensuring the Crown’s participation in the Inquiry</w:t>
      </w:r>
      <w:r w:rsidRPr="005E3091">
        <w:rPr>
          <w:rFonts w:ascii="Arial" w:hAnsi="Arial" w:cs="Arial"/>
          <w:lang w:eastAsia="en-NZ"/>
        </w:rPr>
        <w:t>.</w:t>
      </w:r>
    </w:p>
    <w:p w14:paraId="7DC42E79" w14:textId="6A37E20C" w:rsidR="00D7133E" w:rsidRDefault="00D7133E" w:rsidP="00D7133E">
      <w:pPr>
        <w:jc w:val="both"/>
        <w:rPr>
          <w:rFonts w:ascii="Arial" w:hAnsi="Arial" w:cs="Arial"/>
          <w:lang w:eastAsia="en-NZ"/>
        </w:rPr>
      </w:pPr>
    </w:p>
    <w:p w14:paraId="060490E8" w14:textId="3AB9C14D" w:rsidR="00DC65F2" w:rsidRPr="005E3091" w:rsidRDefault="00DC65F2" w:rsidP="00523532">
      <w:pPr>
        <w:jc w:val="both"/>
        <w:rPr>
          <w:rFonts w:ascii="Arial" w:hAnsi="Arial" w:cs="Arial"/>
        </w:rPr>
      </w:pPr>
      <w:r w:rsidRPr="005E3091">
        <w:rPr>
          <w:rFonts w:ascii="Arial" w:hAnsi="Arial" w:cs="Arial"/>
          <w:lang w:eastAsia="en-NZ"/>
        </w:rPr>
        <w:t xml:space="preserve">While the Inquiry progresses, the Working Group is identifying existing policies and programmes that </w:t>
      </w:r>
      <w:r w:rsidR="002A617F" w:rsidRPr="005E3091">
        <w:rPr>
          <w:rFonts w:ascii="Arial" w:hAnsi="Arial" w:cs="Arial"/>
          <w:lang w:eastAsia="en-NZ"/>
        </w:rPr>
        <w:t xml:space="preserve">can potentially have a focus on </w:t>
      </w:r>
      <w:r w:rsidR="00A1450E">
        <w:rPr>
          <w:rFonts w:ascii="Arial" w:hAnsi="Arial" w:cs="Arial"/>
          <w:lang w:eastAsia="en-NZ"/>
        </w:rPr>
        <w:t xml:space="preserve">wāhine </w:t>
      </w:r>
      <w:r w:rsidR="00794BC2" w:rsidRPr="005E3091">
        <w:rPr>
          <w:rFonts w:ascii="Arial" w:hAnsi="Arial" w:cs="Arial"/>
          <w:lang w:eastAsia="en-NZ"/>
        </w:rPr>
        <w:t>Māori.</w:t>
      </w:r>
      <w:r w:rsidR="002A617F" w:rsidRPr="005E3091">
        <w:rPr>
          <w:rFonts w:ascii="Arial" w:hAnsi="Arial" w:cs="Arial"/>
          <w:lang w:eastAsia="en-NZ"/>
        </w:rPr>
        <w:t xml:space="preserve"> This approach is not the Crown’s response to the Inquiry however, it is an opportunity to examine ‘business as usual’ initiatives that can make positive changes in the short to medium term, instead of waiting for the Inquiry to be completed. This work will be informed by engagement with </w:t>
      </w:r>
      <w:r w:rsidR="00A1450E">
        <w:rPr>
          <w:rFonts w:ascii="Arial" w:hAnsi="Arial" w:cs="Arial"/>
          <w:lang w:eastAsia="en-NZ"/>
        </w:rPr>
        <w:t xml:space="preserve">wāhine </w:t>
      </w:r>
      <w:r w:rsidR="00794BC2" w:rsidRPr="005E3091">
        <w:rPr>
          <w:rFonts w:ascii="Arial" w:hAnsi="Arial" w:cs="Arial"/>
          <w:lang w:eastAsia="en-NZ"/>
        </w:rPr>
        <w:t>Māori to</w:t>
      </w:r>
      <w:r w:rsidR="002A617F" w:rsidRPr="005E3091">
        <w:rPr>
          <w:rFonts w:ascii="Arial" w:hAnsi="Arial" w:cs="Arial"/>
          <w:lang w:eastAsia="en-NZ"/>
        </w:rPr>
        <w:t xml:space="preserve"> ensure that </w:t>
      </w:r>
      <w:r w:rsidR="002A617F" w:rsidRPr="005E3091">
        <w:rPr>
          <w:rFonts w:ascii="Arial" w:hAnsi="Arial" w:cs="Arial"/>
          <w:lang w:eastAsia="en-NZ"/>
        </w:rPr>
        <w:lastRenderedPageBreak/>
        <w:t xml:space="preserve">their voices are driving </w:t>
      </w:r>
      <w:r w:rsidR="00E5272A" w:rsidRPr="005E3091">
        <w:rPr>
          <w:rFonts w:ascii="Arial" w:hAnsi="Arial" w:cs="Arial"/>
          <w:lang w:eastAsia="en-NZ"/>
        </w:rPr>
        <w:t xml:space="preserve">the </w:t>
      </w:r>
      <w:r w:rsidR="002A617F" w:rsidRPr="005E3091">
        <w:rPr>
          <w:rFonts w:ascii="Arial" w:hAnsi="Arial" w:cs="Arial"/>
          <w:lang w:eastAsia="en-NZ"/>
        </w:rPr>
        <w:t xml:space="preserve">key policies that affect them and their whānau. </w:t>
      </w:r>
    </w:p>
    <w:p w14:paraId="25FAAC37" w14:textId="77777777" w:rsidR="00C208A3" w:rsidRPr="005E3091" w:rsidRDefault="00C208A3" w:rsidP="00C208A3">
      <w:pPr>
        <w:jc w:val="both"/>
        <w:rPr>
          <w:rFonts w:ascii="Arial" w:hAnsi="Arial" w:cs="Arial"/>
        </w:rPr>
      </w:pPr>
    </w:p>
    <w:p w14:paraId="51A48A3F" w14:textId="77777777" w:rsidR="00E5272A" w:rsidRPr="005E3091" w:rsidRDefault="00E5272A" w:rsidP="00B40F51">
      <w:pPr>
        <w:jc w:val="both"/>
        <w:rPr>
          <w:rFonts w:ascii="Arial" w:hAnsi="Arial" w:cs="Arial"/>
          <w:b/>
          <w:bCs/>
        </w:rPr>
      </w:pPr>
      <w:r w:rsidRPr="005E3091">
        <w:rPr>
          <w:rFonts w:ascii="Arial" w:hAnsi="Arial" w:cs="Arial"/>
          <w:b/>
          <w:bCs/>
        </w:rPr>
        <w:t xml:space="preserve">Work progressing in the coming months </w:t>
      </w:r>
    </w:p>
    <w:p w14:paraId="4A729733" w14:textId="77777777" w:rsidR="00E5272A" w:rsidRPr="005E3091" w:rsidRDefault="00E5272A" w:rsidP="00B40F51">
      <w:pPr>
        <w:jc w:val="both"/>
        <w:rPr>
          <w:rFonts w:ascii="Arial" w:hAnsi="Arial" w:cs="Arial"/>
          <w:b/>
          <w:bCs/>
        </w:rPr>
      </w:pPr>
    </w:p>
    <w:p w14:paraId="227FC3D1" w14:textId="3C1B7B3A" w:rsidR="00E5272A" w:rsidRDefault="00E5272A" w:rsidP="00B40F51">
      <w:pPr>
        <w:jc w:val="both"/>
        <w:rPr>
          <w:rFonts w:ascii="Arial" w:hAnsi="Arial" w:cs="Arial"/>
        </w:rPr>
      </w:pPr>
      <w:r w:rsidRPr="005E3091">
        <w:rPr>
          <w:rFonts w:ascii="Arial" w:hAnsi="Arial" w:cs="Arial"/>
        </w:rPr>
        <w:t xml:space="preserve">The Joint Roopū and members of the Working Group will further develop their thinking on </w:t>
      </w:r>
      <w:r w:rsidR="003C0CF3" w:rsidRPr="005E3091">
        <w:rPr>
          <w:rFonts w:ascii="Arial" w:hAnsi="Arial" w:cs="Arial"/>
        </w:rPr>
        <w:t>a</w:t>
      </w:r>
      <w:r w:rsidRPr="005E3091">
        <w:rPr>
          <w:rFonts w:ascii="Arial" w:hAnsi="Arial" w:cs="Arial"/>
        </w:rPr>
        <w:t xml:space="preserve"> cross-government approach to applying a </w:t>
      </w:r>
      <w:r w:rsidR="00A1450E">
        <w:rPr>
          <w:rFonts w:ascii="Arial" w:hAnsi="Arial" w:cs="Arial"/>
        </w:rPr>
        <w:t xml:space="preserve">wāhine </w:t>
      </w:r>
      <w:r w:rsidR="00794BC2" w:rsidRPr="005E3091">
        <w:rPr>
          <w:rFonts w:ascii="Arial" w:hAnsi="Arial" w:cs="Arial"/>
        </w:rPr>
        <w:t>Māori lens</w:t>
      </w:r>
      <w:r w:rsidRPr="005E3091">
        <w:rPr>
          <w:rFonts w:ascii="Arial" w:hAnsi="Arial" w:cs="Arial"/>
        </w:rPr>
        <w:t xml:space="preserve"> to existing policies and initiatives. An engagement process will be implemented to test this approach with </w:t>
      </w:r>
      <w:r w:rsidR="00A1450E">
        <w:rPr>
          <w:rFonts w:ascii="Arial" w:hAnsi="Arial" w:cs="Arial"/>
        </w:rPr>
        <w:t xml:space="preserve">wāhine </w:t>
      </w:r>
      <w:r w:rsidR="00794BC2" w:rsidRPr="005E3091">
        <w:rPr>
          <w:rFonts w:ascii="Arial" w:hAnsi="Arial" w:cs="Arial"/>
        </w:rPr>
        <w:t>Māori.</w:t>
      </w:r>
    </w:p>
    <w:p w14:paraId="05533292" w14:textId="63C7BDFD" w:rsidR="00326CD6" w:rsidRDefault="00326CD6" w:rsidP="00B40F51">
      <w:pPr>
        <w:jc w:val="both"/>
        <w:rPr>
          <w:rFonts w:ascii="Arial" w:hAnsi="Arial" w:cs="Arial"/>
        </w:rPr>
      </w:pPr>
    </w:p>
    <w:p w14:paraId="00D08089" w14:textId="2A714AC2" w:rsidR="00326CD6" w:rsidRPr="005E3091" w:rsidRDefault="00326CD6" w:rsidP="00B40F51">
      <w:pPr>
        <w:jc w:val="both"/>
        <w:rPr>
          <w:rFonts w:ascii="Arial" w:hAnsi="Arial" w:cs="Arial"/>
        </w:rPr>
      </w:pPr>
      <w:r>
        <w:rPr>
          <w:rFonts w:ascii="Arial" w:hAnsi="Arial" w:cs="Arial"/>
        </w:rPr>
        <w:t xml:space="preserve">A joint research committee of claimants, claimant counsel, </w:t>
      </w:r>
      <w:r w:rsidR="0042283C">
        <w:rPr>
          <w:rFonts w:ascii="Arial" w:hAnsi="Arial" w:cs="Arial"/>
        </w:rPr>
        <w:t xml:space="preserve">a Waitangi Tribunal staff member, </w:t>
      </w:r>
      <w:r>
        <w:rPr>
          <w:rFonts w:ascii="Arial" w:hAnsi="Arial" w:cs="Arial"/>
        </w:rPr>
        <w:t>and Crown representative</w:t>
      </w:r>
      <w:r w:rsidR="0042283C">
        <w:rPr>
          <w:rFonts w:ascii="Arial" w:hAnsi="Arial" w:cs="Arial"/>
        </w:rPr>
        <w:t>s</w:t>
      </w:r>
      <w:r>
        <w:rPr>
          <w:rFonts w:ascii="Arial" w:hAnsi="Arial" w:cs="Arial"/>
        </w:rPr>
        <w:t xml:space="preserve">, has been established to undertake research into historical accounts where there are gaps in evidence, and in impacts on wāhine Māori in contemporary settings. </w:t>
      </w:r>
    </w:p>
    <w:p w14:paraId="6E2D56C4" w14:textId="5C669C35" w:rsidR="00CB1E66" w:rsidRPr="005E3091" w:rsidRDefault="00CB1E66" w:rsidP="00B40F51">
      <w:pPr>
        <w:jc w:val="both"/>
        <w:rPr>
          <w:rFonts w:ascii="Arial" w:hAnsi="Arial" w:cs="Arial"/>
        </w:rPr>
      </w:pPr>
    </w:p>
    <w:p w14:paraId="67837298" w14:textId="38234504" w:rsidR="00CB1E66" w:rsidRPr="005E3091" w:rsidRDefault="00CB1E66" w:rsidP="00B40F51">
      <w:pPr>
        <w:jc w:val="both"/>
        <w:rPr>
          <w:rFonts w:ascii="Arial" w:hAnsi="Arial" w:cs="Arial"/>
        </w:rPr>
      </w:pPr>
      <w:r w:rsidRPr="005E3091">
        <w:rPr>
          <w:rFonts w:ascii="Arial" w:hAnsi="Arial" w:cs="Arial"/>
        </w:rPr>
        <w:t>The next phase of hearings</w:t>
      </w:r>
      <w:r w:rsidR="0057406A" w:rsidRPr="005E3091">
        <w:rPr>
          <w:rFonts w:ascii="Arial" w:hAnsi="Arial" w:cs="Arial"/>
        </w:rPr>
        <w:t xml:space="preserve">, </w:t>
      </w:r>
      <w:r w:rsidR="00326CD6">
        <w:rPr>
          <w:rFonts w:ascii="Arial" w:hAnsi="Arial" w:cs="Arial"/>
        </w:rPr>
        <w:t xml:space="preserve">following </w:t>
      </w:r>
      <w:r w:rsidR="0057406A" w:rsidRPr="005E3091">
        <w:rPr>
          <w:rFonts w:ascii="Arial" w:hAnsi="Arial" w:cs="Arial"/>
        </w:rPr>
        <w:t xml:space="preserve">the </w:t>
      </w:r>
      <w:r w:rsidR="00326CD6">
        <w:rPr>
          <w:rFonts w:ascii="Arial" w:hAnsi="Arial" w:cs="Arial"/>
        </w:rPr>
        <w:t>t</w:t>
      </w:r>
      <w:r w:rsidR="0057406A" w:rsidRPr="005E3091">
        <w:rPr>
          <w:rFonts w:ascii="Arial" w:hAnsi="Arial" w:cs="Arial"/>
        </w:rPr>
        <w:t>ūāpapa hearings,</w:t>
      </w:r>
      <w:r w:rsidRPr="005E3091">
        <w:rPr>
          <w:rFonts w:ascii="Arial" w:hAnsi="Arial" w:cs="Arial"/>
        </w:rPr>
        <w:t xml:space="preserve"> will be focused on evidence related to contemporary issues affecting </w:t>
      </w:r>
      <w:r w:rsidR="00A1450E">
        <w:rPr>
          <w:rFonts w:ascii="Arial" w:hAnsi="Arial" w:cs="Arial"/>
        </w:rPr>
        <w:t xml:space="preserve">wāhine </w:t>
      </w:r>
      <w:r w:rsidR="00794BC2" w:rsidRPr="005E3091">
        <w:rPr>
          <w:rFonts w:ascii="Arial" w:hAnsi="Arial" w:cs="Arial"/>
        </w:rPr>
        <w:t>Māori.</w:t>
      </w:r>
      <w:r w:rsidRPr="005E3091">
        <w:rPr>
          <w:rFonts w:ascii="Arial" w:hAnsi="Arial" w:cs="Arial"/>
        </w:rPr>
        <w:t xml:space="preserve"> It is also at this phase of the Inquiry where the Crown will be formulating its response.</w:t>
      </w:r>
    </w:p>
    <w:p w14:paraId="63E4637F" w14:textId="4BC9F440" w:rsidR="00CB1E66" w:rsidRPr="005E3091" w:rsidRDefault="00CB1E66" w:rsidP="00B40F51">
      <w:pPr>
        <w:jc w:val="both"/>
        <w:rPr>
          <w:rFonts w:ascii="Arial" w:hAnsi="Arial" w:cs="Arial"/>
        </w:rPr>
      </w:pPr>
    </w:p>
    <w:p w14:paraId="1DAC116C" w14:textId="5610BCF8" w:rsidR="00CB1E66" w:rsidRPr="005E3091" w:rsidRDefault="00CB1E66" w:rsidP="00B40F51">
      <w:pPr>
        <w:jc w:val="both"/>
        <w:rPr>
          <w:rFonts w:ascii="Arial" w:hAnsi="Arial" w:cs="Arial"/>
          <w:b/>
          <w:bCs/>
        </w:rPr>
      </w:pPr>
      <w:r w:rsidRPr="005E3091">
        <w:rPr>
          <w:rFonts w:ascii="Arial" w:hAnsi="Arial" w:cs="Arial"/>
          <w:b/>
          <w:bCs/>
        </w:rPr>
        <w:t>Conclusion</w:t>
      </w:r>
    </w:p>
    <w:p w14:paraId="3CB2F1AF" w14:textId="77777777" w:rsidR="003C0CF3" w:rsidRPr="005E3091" w:rsidRDefault="003C0CF3" w:rsidP="00B40F51">
      <w:pPr>
        <w:jc w:val="both"/>
        <w:rPr>
          <w:rFonts w:ascii="Arial" w:hAnsi="Arial" w:cs="Arial"/>
        </w:rPr>
      </w:pPr>
    </w:p>
    <w:p w14:paraId="74B324FF" w14:textId="576FB1AC" w:rsidR="00B40F51" w:rsidRPr="005E3091" w:rsidRDefault="000B2673" w:rsidP="00B40F51">
      <w:pPr>
        <w:jc w:val="both"/>
        <w:rPr>
          <w:rFonts w:ascii="Arial" w:hAnsi="Arial" w:cs="Arial"/>
          <w:shd w:val="clear" w:color="auto" w:fill="FFFFFF"/>
        </w:rPr>
      </w:pPr>
      <w:r w:rsidRPr="005E3091">
        <w:rPr>
          <w:rFonts w:ascii="Arial" w:hAnsi="Arial" w:cs="Arial"/>
        </w:rPr>
        <w:t>In</w:t>
      </w:r>
      <w:r w:rsidR="002045A4" w:rsidRPr="005E3091">
        <w:rPr>
          <w:rFonts w:ascii="Arial" w:hAnsi="Arial" w:cs="Arial"/>
        </w:rPr>
        <w:t xml:space="preserve"> his role as the co-</w:t>
      </w:r>
      <w:r w:rsidR="00794BC2">
        <w:rPr>
          <w:rFonts w:ascii="Arial" w:hAnsi="Arial" w:cs="Arial"/>
        </w:rPr>
        <w:t>L</w:t>
      </w:r>
      <w:r w:rsidR="002045A4" w:rsidRPr="005E3091">
        <w:rPr>
          <w:rFonts w:ascii="Arial" w:hAnsi="Arial" w:cs="Arial"/>
        </w:rPr>
        <w:t xml:space="preserve">ead </w:t>
      </w:r>
      <w:r w:rsidR="00794BC2">
        <w:rPr>
          <w:rFonts w:ascii="Arial" w:hAnsi="Arial" w:cs="Arial"/>
        </w:rPr>
        <w:t>M</w:t>
      </w:r>
      <w:r w:rsidR="002045A4" w:rsidRPr="005E3091">
        <w:rPr>
          <w:rFonts w:ascii="Arial" w:hAnsi="Arial" w:cs="Arial"/>
        </w:rPr>
        <w:t>inister for the Inquiry</w:t>
      </w:r>
      <w:r w:rsidR="00794BC2">
        <w:rPr>
          <w:rFonts w:ascii="Arial" w:hAnsi="Arial" w:cs="Arial"/>
        </w:rPr>
        <w:t>,</w:t>
      </w:r>
      <w:r w:rsidR="002045A4" w:rsidRPr="005E3091">
        <w:rPr>
          <w:rFonts w:ascii="Arial" w:hAnsi="Arial" w:cs="Arial"/>
        </w:rPr>
        <w:t xml:space="preserve"> </w:t>
      </w:r>
      <w:r w:rsidRPr="005E3091">
        <w:rPr>
          <w:rFonts w:ascii="Arial" w:hAnsi="Arial" w:cs="Arial"/>
        </w:rPr>
        <w:t xml:space="preserve">the Minister for Māori Development </w:t>
      </w:r>
      <w:r w:rsidR="002045A4" w:rsidRPr="005E3091">
        <w:rPr>
          <w:rFonts w:ascii="Arial" w:hAnsi="Arial" w:cs="Arial"/>
        </w:rPr>
        <w:t>has stated that, “the</w:t>
      </w:r>
      <w:r w:rsidR="002045A4" w:rsidRPr="005E3091">
        <w:rPr>
          <w:rFonts w:ascii="Arial" w:hAnsi="Arial" w:cs="Arial"/>
          <w:shd w:val="clear" w:color="auto" w:fill="FFFFFF"/>
        </w:rPr>
        <w:t xml:space="preserve"> Inquiry will help us better understand how historical events have shaped many of the issues faced by wāhine Māori today providing an opportunity for us to work collectively to restore their mana and rangatiratanga.”</w:t>
      </w:r>
      <w:r w:rsidR="002045A4" w:rsidRPr="005E3091">
        <w:rPr>
          <w:rStyle w:val="FootnoteReference"/>
          <w:rFonts w:ascii="Arial" w:hAnsi="Arial" w:cs="Arial"/>
          <w:shd w:val="clear" w:color="auto" w:fill="FFFFFF"/>
        </w:rPr>
        <w:footnoteReference w:id="3"/>
      </w:r>
    </w:p>
    <w:p w14:paraId="613599E3" w14:textId="2C2538C0" w:rsidR="002045A4" w:rsidRPr="005E3091" w:rsidRDefault="002045A4" w:rsidP="00B40F51">
      <w:pPr>
        <w:jc w:val="both"/>
        <w:rPr>
          <w:rFonts w:ascii="Arial" w:hAnsi="Arial" w:cs="Arial"/>
          <w:shd w:val="clear" w:color="auto" w:fill="FFFFFF"/>
        </w:rPr>
      </w:pPr>
    </w:p>
    <w:p w14:paraId="2BBC2D86" w14:textId="38A648B3" w:rsidR="00794BC2" w:rsidRDefault="000B2673" w:rsidP="000B2673">
      <w:pPr>
        <w:jc w:val="both"/>
        <w:rPr>
          <w:rFonts w:ascii="Arial" w:hAnsi="Arial" w:cs="Arial"/>
        </w:rPr>
      </w:pPr>
      <w:r w:rsidRPr="005E3091">
        <w:rPr>
          <w:rFonts w:ascii="Arial" w:hAnsi="Arial" w:cs="Arial"/>
        </w:rPr>
        <w:t>Reflecting on th</w:t>
      </w:r>
      <w:r w:rsidR="00794BC2">
        <w:rPr>
          <w:rFonts w:ascii="Arial" w:hAnsi="Arial" w:cs="Arial"/>
        </w:rPr>
        <w:t xml:space="preserve">is statement and the </w:t>
      </w:r>
      <w:r w:rsidR="00794BC2" w:rsidRPr="005E3091">
        <w:rPr>
          <w:rFonts w:ascii="Arial" w:hAnsi="Arial" w:cs="Arial"/>
        </w:rPr>
        <w:t>issues</w:t>
      </w:r>
      <w:r w:rsidRPr="005E3091">
        <w:rPr>
          <w:rFonts w:ascii="Arial" w:hAnsi="Arial" w:cs="Arial"/>
        </w:rPr>
        <w:t xml:space="preserve"> </w:t>
      </w:r>
      <w:r w:rsidR="00A573DA">
        <w:rPr>
          <w:rFonts w:ascii="Arial" w:hAnsi="Arial" w:cs="Arial"/>
        </w:rPr>
        <w:t xml:space="preserve">across the claims and what this might mean </w:t>
      </w:r>
      <w:r w:rsidRPr="005E3091">
        <w:rPr>
          <w:rFonts w:ascii="Arial" w:hAnsi="Arial" w:cs="Arial"/>
        </w:rPr>
        <w:t>in a Crown</w:t>
      </w:r>
      <w:r w:rsidR="00A573DA">
        <w:rPr>
          <w:rFonts w:ascii="Arial" w:hAnsi="Arial" w:cs="Arial"/>
        </w:rPr>
        <w:t xml:space="preserve"> response to the Inquiry</w:t>
      </w:r>
      <w:r w:rsidRPr="005E3091">
        <w:rPr>
          <w:rFonts w:ascii="Arial" w:hAnsi="Arial" w:cs="Arial"/>
        </w:rPr>
        <w:t>,</w:t>
      </w:r>
      <w:r w:rsidR="00A573DA">
        <w:rPr>
          <w:rFonts w:ascii="Arial" w:hAnsi="Arial" w:cs="Arial"/>
        </w:rPr>
        <w:t xml:space="preserve"> </w:t>
      </w:r>
      <w:r w:rsidRPr="005E3091">
        <w:rPr>
          <w:rFonts w:ascii="Arial" w:hAnsi="Arial" w:cs="Arial"/>
        </w:rPr>
        <w:t xml:space="preserve">claimants are </w:t>
      </w:r>
      <w:r w:rsidR="00A1450E">
        <w:rPr>
          <w:rFonts w:ascii="Arial" w:hAnsi="Arial" w:cs="Arial"/>
        </w:rPr>
        <w:t>speaking fundamentally about the loss of rangatiratanga and the impact of that</w:t>
      </w:r>
      <w:r w:rsidR="00A573DA">
        <w:rPr>
          <w:rFonts w:ascii="Arial" w:hAnsi="Arial" w:cs="Arial"/>
        </w:rPr>
        <w:t xml:space="preserve">, not only on their lives, but also of </w:t>
      </w:r>
      <w:r w:rsidR="00A1450E">
        <w:rPr>
          <w:rFonts w:ascii="Arial" w:hAnsi="Arial" w:cs="Arial"/>
        </w:rPr>
        <w:t>their whānau, hapū and iwi</w:t>
      </w:r>
      <w:r w:rsidR="00D7133E">
        <w:rPr>
          <w:rFonts w:ascii="Arial" w:hAnsi="Arial" w:cs="Arial"/>
        </w:rPr>
        <w:t>.</w:t>
      </w:r>
    </w:p>
    <w:p w14:paraId="2F219979" w14:textId="77777777" w:rsidR="00794BC2" w:rsidRDefault="00794BC2" w:rsidP="000B2673">
      <w:pPr>
        <w:jc w:val="both"/>
        <w:rPr>
          <w:rFonts w:ascii="Arial" w:hAnsi="Arial" w:cs="Arial"/>
        </w:rPr>
      </w:pPr>
    </w:p>
    <w:p w14:paraId="2AFEF26C" w14:textId="11A6D674" w:rsidR="000B2673" w:rsidRPr="005E3091" w:rsidRDefault="000B2673" w:rsidP="00B40F51">
      <w:pPr>
        <w:jc w:val="both"/>
        <w:rPr>
          <w:rFonts w:ascii="Arial" w:hAnsi="Arial" w:cs="Arial"/>
          <w:shd w:val="clear" w:color="auto" w:fill="FFFFFF"/>
        </w:rPr>
      </w:pPr>
    </w:p>
    <w:p w14:paraId="487DE2FA" w14:textId="20796B90" w:rsidR="000B2673" w:rsidRPr="005E3091" w:rsidRDefault="000B2673" w:rsidP="00B40F51">
      <w:pPr>
        <w:jc w:val="both"/>
        <w:rPr>
          <w:rFonts w:ascii="Arial" w:hAnsi="Arial" w:cs="Arial"/>
          <w:shd w:val="clear" w:color="auto" w:fill="FFFFFF"/>
        </w:rPr>
      </w:pPr>
    </w:p>
    <w:p w14:paraId="6D202583" w14:textId="77777777" w:rsidR="000B2673" w:rsidRPr="005E3091" w:rsidRDefault="000B2673" w:rsidP="00B40F51">
      <w:pPr>
        <w:jc w:val="both"/>
        <w:rPr>
          <w:rFonts w:ascii="Arial" w:hAnsi="Arial" w:cs="Arial"/>
          <w:shd w:val="clear" w:color="auto" w:fill="FFFFFF"/>
        </w:rPr>
      </w:pPr>
    </w:p>
    <w:p w14:paraId="1E63B5AB" w14:textId="1015F16D" w:rsidR="00770049" w:rsidRDefault="000B2673" w:rsidP="00885DFD">
      <w:pPr>
        <w:jc w:val="center"/>
        <w:rPr>
          <w:rFonts w:ascii="Arial" w:hAnsi="Arial" w:cs="Arial"/>
        </w:rPr>
      </w:pPr>
      <w:r w:rsidRPr="005E3091">
        <w:rPr>
          <w:rFonts w:ascii="Arial" w:hAnsi="Arial" w:cs="Arial"/>
        </w:rPr>
        <w:t>Me aro koe ki te hā o Hine-ahu-One</w:t>
      </w:r>
    </w:p>
    <w:p w14:paraId="34DB8F8E" w14:textId="77777777" w:rsidR="00A573DA" w:rsidRPr="005E3091" w:rsidRDefault="00A573DA" w:rsidP="00885DFD">
      <w:pPr>
        <w:jc w:val="center"/>
        <w:rPr>
          <w:rFonts w:ascii="Arial" w:hAnsi="Arial" w:cs="Arial"/>
        </w:rPr>
      </w:pPr>
    </w:p>
    <w:p w14:paraId="1E55308D" w14:textId="2DBE18AC" w:rsidR="000B2673" w:rsidRPr="005E3091" w:rsidRDefault="000B2673" w:rsidP="00885DFD">
      <w:pPr>
        <w:jc w:val="center"/>
        <w:rPr>
          <w:rFonts w:ascii="Arial" w:hAnsi="Arial" w:cs="Arial"/>
        </w:rPr>
      </w:pPr>
      <w:r w:rsidRPr="005E3091">
        <w:rPr>
          <w:rFonts w:ascii="Arial" w:hAnsi="Arial" w:cs="Arial"/>
        </w:rPr>
        <w:t xml:space="preserve">Pay heed to the dignity of women </w:t>
      </w:r>
    </w:p>
    <w:p w14:paraId="3017978B" w14:textId="77777777" w:rsidR="00770049" w:rsidRPr="005E3091" w:rsidRDefault="00770049" w:rsidP="00885DFD">
      <w:pPr>
        <w:jc w:val="center"/>
        <w:rPr>
          <w:rFonts w:ascii="Arial" w:hAnsi="Arial" w:cs="Arial"/>
        </w:rPr>
      </w:pPr>
    </w:p>
    <w:sectPr w:rsidR="00770049" w:rsidRPr="005E3091" w:rsidSect="001A726D">
      <w:footerReference w:type="default" r:id="rId9"/>
      <w:pgSz w:w="11907" w:h="16840"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4002" w14:textId="77777777" w:rsidR="00406BDC" w:rsidRDefault="00406BDC" w:rsidP="006807DF">
      <w:r>
        <w:separator/>
      </w:r>
    </w:p>
  </w:endnote>
  <w:endnote w:type="continuationSeparator" w:id="0">
    <w:p w14:paraId="24F3395B" w14:textId="77777777" w:rsidR="00406BDC" w:rsidRDefault="00406BDC" w:rsidP="0068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949037"/>
      <w:docPartObj>
        <w:docPartGallery w:val="Page Numbers (Bottom of Page)"/>
        <w:docPartUnique/>
      </w:docPartObj>
    </w:sdtPr>
    <w:sdtEndPr>
      <w:rPr>
        <w:noProof/>
      </w:rPr>
    </w:sdtEndPr>
    <w:sdtContent>
      <w:p w14:paraId="73F2B30D" w14:textId="5536B591" w:rsidR="006807DF" w:rsidRDefault="006807DF">
        <w:pPr>
          <w:pStyle w:val="Footer"/>
          <w:jc w:val="right"/>
        </w:pPr>
        <w:r>
          <w:fldChar w:fldCharType="begin"/>
        </w:r>
        <w:r>
          <w:instrText xml:space="preserve"> PAGE   \* MERGEFORMAT </w:instrText>
        </w:r>
        <w:r>
          <w:fldChar w:fldCharType="separate"/>
        </w:r>
        <w:r w:rsidR="00432AF3">
          <w:rPr>
            <w:noProof/>
          </w:rPr>
          <w:t>1</w:t>
        </w:r>
        <w:r>
          <w:rPr>
            <w:noProof/>
          </w:rPr>
          <w:fldChar w:fldCharType="end"/>
        </w:r>
      </w:p>
    </w:sdtContent>
  </w:sdt>
  <w:p w14:paraId="615EA0D8" w14:textId="4F6F9849" w:rsidR="006807DF" w:rsidRDefault="006807DF">
    <w:pPr>
      <w:pStyle w:val="Footer"/>
    </w:pPr>
  </w:p>
  <w:p w14:paraId="07321ADD" w14:textId="77CAA66A" w:rsidR="00C87502" w:rsidRDefault="00C87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AA91" w14:textId="77777777" w:rsidR="00406BDC" w:rsidRDefault="00406BDC" w:rsidP="006807DF">
      <w:r>
        <w:separator/>
      </w:r>
    </w:p>
  </w:footnote>
  <w:footnote w:type="continuationSeparator" w:id="0">
    <w:p w14:paraId="711D0840" w14:textId="77777777" w:rsidR="00406BDC" w:rsidRDefault="00406BDC" w:rsidP="006807DF">
      <w:r>
        <w:continuationSeparator/>
      </w:r>
    </w:p>
  </w:footnote>
  <w:footnote w:id="1">
    <w:p w14:paraId="0BF13441" w14:textId="3179EB29" w:rsidR="009E5D6C" w:rsidRDefault="009E5D6C">
      <w:pPr>
        <w:pStyle w:val="FootnoteText"/>
      </w:pPr>
      <w:r>
        <w:rPr>
          <w:rStyle w:val="FootnoteReference"/>
        </w:rPr>
        <w:footnoteRef/>
      </w:r>
      <w:r>
        <w:t xml:space="preserve"> </w:t>
      </w:r>
      <w:r w:rsidR="005C5A47">
        <w:t>The Māori Women’s Welfare League is a national Māori women’s organisation</w:t>
      </w:r>
    </w:p>
  </w:footnote>
  <w:footnote w:id="2">
    <w:p w14:paraId="14091746" w14:textId="3A72B9E9" w:rsidR="00BC45AB" w:rsidRDefault="00BC45AB">
      <w:pPr>
        <w:pStyle w:val="FootnoteText"/>
      </w:pPr>
      <w:r>
        <w:rPr>
          <w:rStyle w:val="FootnoteReference"/>
        </w:rPr>
        <w:footnoteRef/>
      </w:r>
      <w:r>
        <w:t xml:space="preserve"> The term used for the status, validity, power and influence of Māori women.</w:t>
      </w:r>
    </w:p>
  </w:footnote>
  <w:footnote w:id="3">
    <w:p w14:paraId="5969975B" w14:textId="33AD7EFA" w:rsidR="002045A4" w:rsidRDefault="002045A4">
      <w:pPr>
        <w:pStyle w:val="FootnoteText"/>
      </w:pPr>
      <w:r>
        <w:rPr>
          <w:rStyle w:val="FootnoteReference"/>
        </w:rPr>
        <w:footnoteRef/>
      </w:r>
      <w:r>
        <w:t xml:space="preserve"> 2021 Waitangi Tribunal Members’ Conference Speech (30 March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EC9"/>
    <w:multiLevelType w:val="multilevel"/>
    <w:tmpl w:val="B9F68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77022"/>
    <w:multiLevelType w:val="hybridMultilevel"/>
    <w:tmpl w:val="4B3CA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1420F0"/>
    <w:multiLevelType w:val="hybridMultilevel"/>
    <w:tmpl w:val="6BB8E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6B7183"/>
    <w:multiLevelType w:val="hybridMultilevel"/>
    <w:tmpl w:val="E2902FE8"/>
    <w:lvl w:ilvl="0" w:tplc="6122ACEE">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2E912162"/>
    <w:multiLevelType w:val="hybridMultilevel"/>
    <w:tmpl w:val="9B3E3562"/>
    <w:lvl w:ilvl="0" w:tplc="14090001">
      <w:start w:val="1"/>
      <w:numFmt w:val="bullet"/>
      <w:lvlText w:val=""/>
      <w:lvlJc w:val="left"/>
      <w:pPr>
        <w:ind w:left="3270" w:hanging="360"/>
      </w:pPr>
      <w:rPr>
        <w:rFonts w:ascii="Symbol" w:hAnsi="Symbol" w:hint="default"/>
      </w:rPr>
    </w:lvl>
    <w:lvl w:ilvl="1" w:tplc="14090003" w:tentative="1">
      <w:start w:val="1"/>
      <w:numFmt w:val="bullet"/>
      <w:lvlText w:val="o"/>
      <w:lvlJc w:val="left"/>
      <w:pPr>
        <w:ind w:left="3990" w:hanging="360"/>
      </w:pPr>
      <w:rPr>
        <w:rFonts w:ascii="Courier New" w:hAnsi="Courier New" w:cs="Courier New" w:hint="default"/>
      </w:rPr>
    </w:lvl>
    <w:lvl w:ilvl="2" w:tplc="14090005" w:tentative="1">
      <w:start w:val="1"/>
      <w:numFmt w:val="bullet"/>
      <w:lvlText w:val=""/>
      <w:lvlJc w:val="left"/>
      <w:pPr>
        <w:ind w:left="4710" w:hanging="360"/>
      </w:pPr>
      <w:rPr>
        <w:rFonts w:ascii="Wingdings" w:hAnsi="Wingdings" w:hint="default"/>
      </w:rPr>
    </w:lvl>
    <w:lvl w:ilvl="3" w:tplc="14090001" w:tentative="1">
      <w:start w:val="1"/>
      <w:numFmt w:val="bullet"/>
      <w:lvlText w:val=""/>
      <w:lvlJc w:val="left"/>
      <w:pPr>
        <w:ind w:left="5430" w:hanging="360"/>
      </w:pPr>
      <w:rPr>
        <w:rFonts w:ascii="Symbol" w:hAnsi="Symbol" w:hint="default"/>
      </w:rPr>
    </w:lvl>
    <w:lvl w:ilvl="4" w:tplc="14090003" w:tentative="1">
      <w:start w:val="1"/>
      <w:numFmt w:val="bullet"/>
      <w:lvlText w:val="o"/>
      <w:lvlJc w:val="left"/>
      <w:pPr>
        <w:ind w:left="6150" w:hanging="360"/>
      </w:pPr>
      <w:rPr>
        <w:rFonts w:ascii="Courier New" w:hAnsi="Courier New" w:cs="Courier New" w:hint="default"/>
      </w:rPr>
    </w:lvl>
    <w:lvl w:ilvl="5" w:tplc="14090005" w:tentative="1">
      <w:start w:val="1"/>
      <w:numFmt w:val="bullet"/>
      <w:lvlText w:val=""/>
      <w:lvlJc w:val="left"/>
      <w:pPr>
        <w:ind w:left="6870" w:hanging="360"/>
      </w:pPr>
      <w:rPr>
        <w:rFonts w:ascii="Wingdings" w:hAnsi="Wingdings" w:hint="default"/>
      </w:rPr>
    </w:lvl>
    <w:lvl w:ilvl="6" w:tplc="14090001" w:tentative="1">
      <w:start w:val="1"/>
      <w:numFmt w:val="bullet"/>
      <w:lvlText w:val=""/>
      <w:lvlJc w:val="left"/>
      <w:pPr>
        <w:ind w:left="7590" w:hanging="360"/>
      </w:pPr>
      <w:rPr>
        <w:rFonts w:ascii="Symbol" w:hAnsi="Symbol" w:hint="default"/>
      </w:rPr>
    </w:lvl>
    <w:lvl w:ilvl="7" w:tplc="14090003" w:tentative="1">
      <w:start w:val="1"/>
      <w:numFmt w:val="bullet"/>
      <w:lvlText w:val="o"/>
      <w:lvlJc w:val="left"/>
      <w:pPr>
        <w:ind w:left="8310" w:hanging="360"/>
      </w:pPr>
      <w:rPr>
        <w:rFonts w:ascii="Courier New" w:hAnsi="Courier New" w:cs="Courier New" w:hint="default"/>
      </w:rPr>
    </w:lvl>
    <w:lvl w:ilvl="8" w:tplc="14090005" w:tentative="1">
      <w:start w:val="1"/>
      <w:numFmt w:val="bullet"/>
      <w:lvlText w:val=""/>
      <w:lvlJc w:val="left"/>
      <w:pPr>
        <w:ind w:left="90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Stamp" w:val="0"/>
  </w:docVars>
  <w:rsids>
    <w:rsidRoot w:val="001A726D"/>
    <w:rsid w:val="0002239F"/>
    <w:rsid w:val="00022B3D"/>
    <w:rsid w:val="000307AC"/>
    <w:rsid w:val="00035ADD"/>
    <w:rsid w:val="0004382B"/>
    <w:rsid w:val="00055301"/>
    <w:rsid w:val="00057485"/>
    <w:rsid w:val="00060CCD"/>
    <w:rsid w:val="00064E85"/>
    <w:rsid w:val="00066FC1"/>
    <w:rsid w:val="00070FDE"/>
    <w:rsid w:val="000808CF"/>
    <w:rsid w:val="00080ECD"/>
    <w:rsid w:val="000A21B5"/>
    <w:rsid w:val="000A47B1"/>
    <w:rsid w:val="000B2673"/>
    <w:rsid w:val="000C447B"/>
    <w:rsid w:val="000C4D14"/>
    <w:rsid w:val="000C7440"/>
    <w:rsid w:val="000D08F3"/>
    <w:rsid w:val="000D1CE7"/>
    <w:rsid w:val="000E315B"/>
    <w:rsid w:val="000F00D5"/>
    <w:rsid w:val="00102AB0"/>
    <w:rsid w:val="00114192"/>
    <w:rsid w:val="00114CD5"/>
    <w:rsid w:val="001254DE"/>
    <w:rsid w:val="0013371B"/>
    <w:rsid w:val="00135CA3"/>
    <w:rsid w:val="00144DC0"/>
    <w:rsid w:val="0015596C"/>
    <w:rsid w:val="00160188"/>
    <w:rsid w:val="001706E0"/>
    <w:rsid w:val="001742EE"/>
    <w:rsid w:val="001747C2"/>
    <w:rsid w:val="00176832"/>
    <w:rsid w:val="001A0B08"/>
    <w:rsid w:val="001A726D"/>
    <w:rsid w:val="001B52EC"/>
    <w:rsid w:val="001B5CEA"/>
    <w:rsid w:val="001C039B"/>
    <w:rsid w:val="001C6587"/>
    <w:rsid w:val="001C7238"/>
    <w:rsid w:val="001D5912"/>
    <w:rsid w:val="001D7617"/>
    <w:rsid w:val="001E6753"/>
    <w:rsid w:val="001E72E2"/>
    <w:rsid w:val="00203703"/>
    <w:rsid w:val="002045A4"/>
    <w:rsid w:val="00206B02"/>
    <w:rsid w:val="002072C2"/>
    <w:rsid w:val="00221BAA"/>
    <w:rsid w:val="00222189"/>
    <w:rsid w:val="0022393C"/>
    <w:rsid w:val="00265A7E"/>
    <w:rsid w:val="0027099F"/>
    <w:rsid w:val="00272316"/>
    <w:rsid w:val="00284769"/>
    <w:rsid w:val="00286C07"/>
    <w:rsid w:val="002918EA"/>
    <w:rsid w:val="002940BB"/>
    <w:rsid w:val="00295556"/>
    <w:rsid w:val="00296D46"/>
    <w:rsid w:val="002A1557"/>
    <w:rsid w:val="002A52A5"/>
    <w:rsid w:val="002A617F"/>
    <w:rsid w:val="002A7517"/>
    <w:rsid w:val="002B39D9"/>
    <w:rsid w:val="002B720B"/>
    <w:rsid w:val="002C1F1F"/>
    <w:rsid w:val="002C606D"/>
    <w:rsid w:val="002D086C"/>
    <w:rsid w:val="002D59B8"/>
    <w:rsid w:val="002E034F"/>
    <w:rsid w:val="002E3949"/>
    <w:rsid w:val="002E5E84"/>
    <w:rsid w:val="002F1085"/>
    <w:rsid w:val="002F1D58"/>
    <w:rsid w:val="002F7BED"/>
    <w:rsid w:val="003019CA"/>
    <w:rsid w:val="00301C7F"/>
    <w:rsid w:val="00306012"/>
    <w:rsid w:val="00306FAB"/>
    <w:rsid w:val="00312FCD"/>
    <w:rsid w:val="003150AE"/>
    <w:rsid w:val="00315671"/>
    <w:rsid w:val="003159E8"/>
    <w:rsid w:val="00321019"/>
    <w:rsid w:val="00321E0A"/>
    <w:rsid w:val="00326CD6"/>
    <w:rsid w:val="00336FDF"/>
    <w:rsid w:val="00336FEF"/>
    <w:rsid w:val="00342E0F"/>
    <w:rsid w:val="00351189"/>
    <w:rsid w:val="0035185B"/>
    <w:rsid w:val="00356EB3"/>
    <w:rsid w:val="00371EB7"/>
    <w:rsid w:val="00373BE8"/>
    <w:rsid w:val="00373C76"/>
    <w:rsid w:val="00377C24"/>
    <w:rsid w:val="003842FA"/>
    <w:rsid w:val="00393E4D"/>
    <w:rsid w:val="003A1650"/>
    <w:rsid w:val="003B00CF"/>
    <w:rsid w:val="003B394A"/>
    <w:rsid w:val="003B7A4F"/>
    <w:rsid w:val="003C0CF3"/>
    <w:rsid w:val="003C6F33"/>
    <w:rsid w:val="003D31AD"/>
    <w:rsid w:val="003D72FF"/>
    <w:rsid w:val="003D7945"/>
    <w:rsid w:val="003E0450"/>
    <w:rsid w:val="003F6AB4"/>
    <w:rsid w:val="00400042"/>
    <w:rsid w:val="00402C87"/>
    <w:rsid w:val="00406BDC"/>
    <w:rsid w:val="004149B0"/>
    <w:rsid w:val="004171C9"/>
    <w:rsid w:val="0042283C"/>
    <w:rsid w:val="00431D18"/>
    <w:rsid w:val="00432AF3"/>
    <w:rsid w:val="00435017"/>
    <w:rsid w:val="00443021"/>
    <w:rsid w:val="00444863"/>
    <w:rsid w:val="00444C4E"/>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31F"/>
    <w:rsid w:val="004F49E5"/>
    <w:rsid w:val="004F7A83"/>
    <w:rsid w:val="00501EC2"/>
    <w:rsid w:val="00501F3D"/>
    <w:rsid w:val="00512088"/>
    <w:rsid w:val="00512918"/>
    <w:rsid w:val="00515BEE"/>
    <w:rsid w:val="00523532"/>
    <w:rsid w:val="00524126"/>
    <w:rsid w:val="00525452"/>
    <w:rsid w:val="00547AF1"/>
    <w:rsid w:val="0055108E"/>
    <w:rsid w:val="0055468C"/>
    <w:rsid w:val="00557073"/>
    <w:rsid w:val="0056449A"/>
    <w:rsid w:val="0057406A"/>
    <w:rsid w:val="00590E09"/>
    <w:rsid w:val="005977F5"/>
    <w:rsid w:val="005A519E"/>
    <w:rsid w:val="005B44C3"/>
    <w:rsid w:val="005B6181"/>
    <w:rsid w:val="005C5A47"/>
    <w:rsid w:val="005D0F53"/>
    <w:rsid w:val="005D7EEF"/>
    <w:rsid w:val="005E0BCF"/>
    <w:rsid w:val="005E3091"/>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07DF"/>
    <w:rsid w:val="00686D57"/>
    <w:rsid w:val="0068712E"/>
    <w:rsid w:val="00687372"/>
    <w:rsid w:val="00695214"/>
    <w:rsid w:val="006955DF"/>
    <w:rsid w:val="00695BC3"/>
    <w:rsid w:val="006B13DA"/>
    <w:rsid w:val="006C4D96"/>
    <w:rsid w:val="006C58BB"/>
    <w:rsid w:val="006C737B"/>
    <w:rsid w:val="006D4B53"/>
    <w:rsid w:val="006D6EBC"/>
    <w:rsid w:val="006E2ED9"/>
    <w:rsid w:val="006E6445"/>
    <w:rsid w:val="006E72A1"/>
    <w:rsid w:val="006F0741"/>
    <w:rsid w:val="006F69D0"/>
    <w:rsid w:val="007032F2"/>
    <w:rsid w:val="00703545"/>
    <w:rsid w:val="00704526"/>
    <w:rsid w:val="00704A75"/>
    <w:rsid w:val="00715485"/>
    <w:rsid w:val="00716186"/>
    <w:rsid w:val="00716272"/>
    <w:rsid w:val="0072447E"/>
    <w:rsid w:val="00732F44"/>
    <w:rsid w:val="0074163E"/>
    <w:rsid w:val="007524A9"/>
    <w:rsid w:val="007539CF"/>
    <w:rsid w:val="007542C8"/>
    <w:rsid w:val="0076595A"/>
    <w:rsid w:val="00770049"/>
    <w:rsid w:val="00770C1C"/>
    <w:rsid w:val="00772748"/>
    <w:rsid w:val="00785610"/>
    <w:rsid w:val="00786D86"/>
    <w:rsid w:val="00794BC2"/>
    <w:rsid w:val="007A02AA"/>
    <w:rsid w:val="007A3071"/>
    <w:rsid w:val="007A65D5"/>
    <w:rsid w:val="007A6AF6"/>
    <w:rsid w:val="007B003C"/>
    <w:rsid w:val="007B0BF6"/>
    <w:rsid w:val="007B5D0F"/>
    <w:rsid w:val="007B5D18"/>
    <w:rsid w:val="007C28A0"/>
    <w:rsid w:val="007C458C"/>
    <w:rsid w:val="007D1C30"/>
    <w:rsid w:val="007D24C8"/>
    <w:rsid w:val="007E5D02"/>
    <w:rsid w:val="007F28B4"/>
    <w:rsid w:val="007F3215"/>
    <w:rsid w:val="007F53DD"/>
    <w:rsid w:val="008031EA"/>
    <w:rsid w:val="00803483"/>
    <w:rsid w:val="00803D08"/>
    <w:rsid w:val="0080557D"/>
    <w:rsid w:val="00812F7F"/>
    <w:rsid w:val="00813DA8"/>
    <w:rsid w:val="00816CAA"/>
    <w:rsid w:val="008173C3"/>
    <w:rsid w:val="0082692A"/>
    <w:rsid w:val="0082781E"/>
    <w:rsid w:val="008309D2"/>
    <w:rsid w:val="00836134"/>
    <w:rsid w:val="0085628D"/>
    <w:rsid w:val="008614E9"/>
    <w:rsid w:val="00862155"/>
    <w:rsid w:val="008630E4"/>
    <w:rsid w:val="0086714A"/>
    <w:rsid w:val="00874AE1"/>
    <w:rsid w:val="00885DFD"/>
    <w:rsid w:val="008970AC"/>
    <w:rsid w:val="008A319D"/>
    <w:rsid w:val="008A6EB5"/>
    <w:rsid w:val="008B5E00"/>
    <w:rsid w:val="008B66E6"/>
    <w:rsid w:val="008C1FCE"/>
    <w:rsid w:val="008C5F08"/>
    <w:rsid w:val="008C76CF"/>
    <w:rsid w:val="008D6DB6"/>
    <w:rsid w:val="008F4A55"/>
    <w:rsid w:val="00900D35"/>
    <w:rsid w:val="0090565E"/>
    <w:rsid w:val="00910F33"/>
    <w:rsid w:val="009154C3"/>
    <w:rsid w:val="009224B2"/>
    <w:rsid w:val="009224EB"/>
    <w:rsid w:val="009255ED"/>
    <w:rsid w:val="009276E6"/>
    <w:rsid w:val="0093720C"/>
    <w:rsid w:val="00940100"/>
    <w:rsid w:val="009557B8"/>
    <w:rsid w:val="00956FD1"/>
    <w:rsid w:val="00974703"/>
    <w:rsid w:val="00976470"/>
    <w:rsid w:val="00976A52"/>
    <w:rsid w:val="0097754C"/>
    <w:rsid w:val="00983430"/>
    <w:rsid w:val="009918E5"/>
    <w:rsid w:val="00995DCA"/>
    <w:rsid w:val="009A5A55"/>
    <w:rsid w:val="009B7E13"/>
    <w:rsid w:val="009C19B4"/>
    <w:rsid w:val="009C7853"/>
    <w:rsid w:val="009D1E06"/>
    <w:rsid w:val="009D5424"/>
    <w:rsid w:val="009E1781"/>
    <w:rsid w:val="009E31FF"/>
    <w:rsid w:val="009E5D6C"/>
    <w:rsid w:val="009E6810"/>
    <w:rsid w:val="009F0743"/>
    <w:rsid w:val="009F1864"/>
    <w:rsid w:val="009F312D"/>
    <w:rsid w:val="009F48DF"/>
    <w:rsid w:val="00A02ADE"/>
    <w:rsid w:val="00A03475"/>
    <w:rsid w:val="00A03549"/>
    <w:rsid w:val="00A03E9C"/>
    <w:rsid w:val="00A03EDC"/>
    <w:rsid w:val="00A048C7"/>
    <w:rsid w:val="00A13D17"/>
    <w:rsid w:val="00A1450E"/>
    <w:rsid w:val="00A159D1"/>
    <w:rsid w:val="00A15E96"/>
    <w:rsid w:val="00A17A9E"/>
    <w:rsid w:val="00A2153D"/>
    <w:rsid w:val="00A337E7"/>
    <w:rsid w:val="00A35C26"/>
    <w:rsid w:val="00A45CB9"/>
    <w:rsid w:val="00A50660"/>
    <w:rsid w:val="00A572B5"/>
    <w:rsid w:val="00A573DA"/>
    <w:rsid w:val="00A671EE"/>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23C01"/>
    <w:rsid w:val="00B31269"/>
    <w:rsid w:val="00B340BA"/>
    <w:rsid w:val="00B37CED"/>
    <w:rsid w:val="00B40F51"/>
    <w:rsid w:val="00B40F99"/>
    <w:rsid w:val="00B46AD3"/>
    <w:rsid w:val="00B6355C"/>
    <w:rsid w:val="00B71B7D"/>
    <w:rsid w:val="00B87991"/>
    <w:rsid w:val="00B96082"/>
    <w:rsid w:val="00BA294E"/>
    <w:rsid w:val="00BB0A75"/>
    <w:rsid w:val="00BB2C57"/>
    <w:rsid w:val="00BB3833"/>
    <w:rsid w:val="00BB58BB"/>
    <w:rsid w:val="00BC45AB"/>
    <w:rsid w:val="00BD76C9"/>
    <w:rsid w:val="00BE1AEE"/>
    <w:rsid w:val="00BF331F"/>
    <w:rsid w:val="00BF6D07"/>
    <w:rsid w:val="00BF75AA"/>
    <w:rsid w:val="00C166B7"/>
    <w:rsid w:val="00C208A3"/>
    <w:rsid w:val="00C32935"/>
    <w:rsid w:val="00C35F8A"/>
    <w:rsid w:val="00C5592C"/>
    <w:rsid w:val="00C64F7C"/>
    <w:rsid w:val="00C701D4"/>
    <w:rsid w:val="00C87502"/>
    <w:rsid w:val="00C93633"/>
    <w:rsid w:val="00CB1E66"/>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14C6C"/>
    <w:rsid w:val="00D25480"/>
    <w:rsid w:val="00D3109E"/>
    <w:rsid w:val="00D3403C"/>
    <w:rsid w:val="00D345E9"/>
    <w:rsid w:val="00D35E1A"/>
    <w:rsid w:val="00D37509"/>
    <w:rsid w:val="00D42F08"/>
    <w:rsid w:val="00D43F35"/>
    <w:rsid w:val="00D44217"/>
    <w:rsid w:val="00D5351E"/>
    <w:rsid w:val="00D576BA"/>
    <w:rsid w:val="00D66CBB"/>
    <w:rsid w:val="00D66D98"/>
    <w:rsid w:val="00D7133E"/>
    <w:rsid w:val="00D7268C"/>
    <w:rsid w:val="00D74137"/>
    <w:rsid w:val="00D74910"/>
    <w:rsid w:val="00D75966"/>
    <w:rsid w:val="00D772EE"/>
    <w:rsid w:val="00D836BA"/>
    <w:rsid w:val="00D93061"/>
    <w:rsid w:val="00D95097"/>
    <w:rsid w:val="00DA79C9"/>
    <w:rsid w:val="00DB1BF3"/>
    <w:rsid w:val="00DC1D1B"/>
    <w:rsid w:val="00DC23D6"/>
    <w:rsid w:val="00DC28F0"/>
    <w:rsid w:val="00DC48DF"/>
    <w:rsid w:val="00DC65F2"/>
    <w:rsid w:val="00DC7C34"/>
    <w:rsid w:val="00DD4E39"/>
    <w:rsid w:val="00DD7E19"/>
    <w:rsid w:val="00DE1ED4"/>
    <w:rsid w:val="00DE363E"/>
    <w:rsid w:val="00DE4A92"/>
    <w:rsid w:val="00DE608D"/>
    <w:rsid w:val="00DF32A4"/>
    <w:rsid w:val="00DF3A9B"/>
    <w:rsid w:val="00DF3C27"/>
    <w:rsid w:val="00DF43AC"/>
    <w:rsid w:val="00E0142D"/>
    <w:rsid w:val="00E02D0B"/>
    <w:rsid w:val="00E10842"/>
    <w:rsid w:val="00E11369"/>
    <w:rsid w:val="00E13FC6"/>
    <w:rsid w:val="00E14AC1"/>
    <w:rsid w:val="00E150D8"/>
    <w:rsid w:val="00E168D4"/>
    <w:rsid w:val="00E240E1"/>
    <w:rsid w:val="00E43143"/>
    <w:rsid w:val="00E5272A"/>
    <w:rsid w:val="00E574F5"/>
    <w:rsid w:val="00E80EF3"/>
    <w:rsid w:val="00E8337D"/>
    <w:rsid w:val="00E83708"/>
    <w:rsid w:val="00E917EC"/>
    <w:rsid w:val="00E961D9"/>
    <w:rsid w:val="00EA5122"/>
    <w:rsid w:val="00EA6781"/>
    <w:rsid w:val="00EB00FE"/>
    <w:rsid w:val="00EB675F"/>
    <w:rsid w:val="00EC200F"/>
    <w:rsid w:val="00ED0DE2"/>
    <w:rsid w:val="00EE5322"/>
    <w:rsid w:val="00EE6EE7"/>
    <w:rsid w:val="00EF22AC"/>
    <w:rsid w:val="00F04AAE"/>
    <w:rsid w:val="00F10268"/>
    <w:rsid w:val="00F11EEE"/>
    <w:rsid w:val="00F306BA"/>
    <w:rsid w:val="00F3135F"/>
    <w:rsid w:val="00F41623"/>
    <w:rsid w:val="00F46CA8"/>
    <w:rsid w:val="00F61908"/>
    <w:rsid w:val="00F744C7"/>
    <w:rsid w:val="00F908CC"/>
    <w:rsid w:val="00F90DF1"/>
    <w:rsid w:val="00F9429B"/>
    <w:rsid w:val="00F95802"/>
    <w:rsid w:val="00FC71C8"/>
    <w:rsid w:val="00FE0EC3"/>
    <w:rsid w:val="00FE5D99"/>
    <w:rsid w:val="00FF1883"/>
    <w:rsid w:val="00FF2D50"/>
    <w:rsid w:val="00FF394D"/>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AB854"/>
  <w15:chartTrackingRefBased/>
  <w15:docId w15:val="{E9B6BE1C-63EC-4372-959A-141321F6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6D"/>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6807DF"/>
    <w:pPr>
      <w:tabs>
        <w:tab w:val="center" w:pos="4513"/>
        <w:tab w:val="right" w:pos="9026"/>
      </w:tabs>
    </w:pPr>
  </w:style>
  <w:style w:type="character" w:customStyle="1" w:styleId="HeaderChar">
    <w:name w:val="Header Char"/>
    <w:basedOn w:val="DefaultParagraphFont"/>
    <w:link w:val="Header"/>
    <w:uiPriority w:val="99"/>
    <w:rsid w:val="006807DF"/>
    <w:rPr>
      <w:rFonts w:ascii="Calibri" w:eastAsiaTheme="minorHAnsi" w:hAnsi="Calibri" w:cs="Calibri"/>
      <w:sz w:val="22"/>
      <w:szCs w:val="22"/>
      <w:lang w:eastAsia="en-US"/>
    </w:rPr>
  </w:style>
  <w:style w:type="paragraph" w:styleId="Footer">
    <w:name w:val="footer"/>
    <w:basedOn w:val="Normal"/>
    <w:link w:val="FooterChar"/>
    <w:uiPriority w:val="99"/>
    <w:unhideWhenUsed/>
    <w:rsid w:val="006807DF"/>
    <w:pPr>
      <w:tabs>
        <w:tab w:val="center" w:pos="4513"/>
        <w:tab w:val="right" w:pos="9026"/>
      </w:tabs>
    </w:pPr>
  </w:style>
  <w:style w:type="character" w:customStyle="1" w:styleId="FooterChar">
    <w:name w:val="Footer Char"/>
    <w:basedOn w:val="DefaultParagraphFont"/>
    <w:link w:val="Footer"/>
    <w:uiPriority w:val="99"/>
    <w:rsid w:val="006807DF"/>
    <w:rPr>
      <w:rFonts w:ascii="Calibri" w:eastAsiaTheme="minorHAnsi" w:hAnsi="Calibri" w:cs="Calibri"/>
      <w:sz w:val="22"/>
      <w:szCs w:val="22"/>
      <w:lang w:eastAsia="en-US"/>
    </w:rPr>
  </w:style>
  <w:style w:type="paragraph" w:styleId="FootnoteText">
    <w:name w:val="footnote text"/>
    <w:basedOn w:val="Normal"/>
    <w:link w:val="FootnoteTextChar"/>
    <w:uiPriority w:val="99"/>
    <w:semiHidden/>
    <w:unhideWhenUsed/>
    <w:rsid w:val="009224EB"/>
    <w:rPr>
      <w:sz w:val="20"/>
      <w:szCs w:val="20"/>
    </w:rPr>
  </w:style>
  <w:style w:type="character" w:customStyle="1" w:styleId="FootnoteTextChar">
    <w:name w:val="Footnote Text Char"/>
    <w:basedOn w:val="DefaultParagraphFont"/>
    <w:link w:val="FootnoteText"/>
    <w:uiPriority w:val="99"/>
    <w:semiHidden/>
    <w:rsid w:val="009224EB"/>
    <w:rPr>
      <w:rFonts w:ascii="Calibri" w:eastAsiaTheme="minorHAnsi" w:hAnsi="Calibri" w:cs="Calibri"/>
      <w:lang w:eastAsia="en-US"/>
    </w:rPr>
  </w:style>
  <w:style w:type="character" w:styleId="FootnoteReference">
    <w:name w:val="footnote reference"/>
    <w:basedOn w:val="DefaultParagraphFont"/>
    <w:uiPriority w:val="99"/>
    <w:semiHidden/>
    <w:unhideWhenUsed/>
    <w:rsid w:val="009224EB"/>
    <w:rPr>
      <w:vertAlign w:val="superscript"/>
    </w:rPr>
  </w:style>
  <w:style w:type="paragraph" w:styleId="ListParagraph">
    <w:name w:val="List Paragraph"/>
    <w:basedOn w:val="Normal"/>
    <w:link w:val="ListParagraphChar"/>
    <w:uiPriority w:val="34"/>
    <w:qFormat/>
    <w:rsid w:val="00C208A3"/>
    <w:pPr>
      <w:ind w:left="720"/>
      <w:contextualSpacing/>
    </w:pPr>
  </w:style>
  <w:style w:type="character" w:customStyle="1" w:styleId="ListParagraphChar">
    <w:name w:val="List Paragraph Char"/>
    <w:link w:val="ListParagraph"/>
    <w:uiPriority w:val="34"/>
    <w:rsid w:val="00DC65F2"/>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3C0CF3"/>
    <w:rPr>
      <w:sz w:val="16"/>
      <w:szCs w:val="16"/>
    </w:rPr>
  </w:style>
  <w:style w:type="paragraph" w:styleId="CommentText">
    <w:name w:val="annotation text"/>
    <w:basedOn w:val="Normal"/>
    <w:link w:val="CommentTextChar"/>
    <w:uiPriority w:val="99"/>
    <w:semiHidden/>
    <w:unhideWhenUsed/>
    <w:rsid w:val="003C0CF3"/>
    <w:rPr>
      <w:sz w:val="20"/>
      <w:szCs w:val="20"/>
    </w:rPr>
  </w:style>
  <w:style w:type="character" w:customStyle="1" w:styleId="CommentTextChar">
    <w:name w:val="Comment Text Char"/>
    <w:basedOn w:val="DefaultParagraphFont"/>
    <w:link w:val="CommentText"/>
    <w:uiPriority w:val="99"/>
    <w:semiHidden/>
    <w:rsid w:val="003C0CF3"/>
    <w:rPr>
      <w:rFonts w:ascii="Calibri" w:eastAsiaTheme="minorHAnsi" w:hAnsi="Calibri" w:cs="Calibri"/>
      <w:lang w:eastAsia="en-US"/>
    </w:rPr>
  </w:style>
  <w:style w:type="paragraph" w:styleId="CommentSubject">
    <w:name w:val="annotation subject"/>
    <w:basedOn w:val="CommentText"/>
    <w:next w:val="CommentText"/>
    <w:link w:val="CommentSubjectChar"/>
    <w:uiPriority w:val="99"/>
    <w:semiHidden/>
    <w:unhideWhenUsed/>
    <w:rsid w:val="003C0CF3"/>
    <w:rPr>
      <w:b/>
      <w:bCs/>
    </w:rPr>
  </w:style>
  <w:style w:type="character" w:customStyle="1" w:styleId="CommentSubjectChar">
    <w:name w:val="Comment Subject Char"/>
    <w:basedOn w:val="CommentTextChar"/>
    <w:link w:val="CommentSubject"/>
    <w:uiPriority w:val="99"/>
    <w:semiHidden/>
    <w:rsid w:val="003C0CF3"/>
    <w:rPr>
      <w:rFonts w:ascii="Calibri" w:eastAsiaTheme="minorHAnsi" w:hAnsi="Calibri" w:cs="Calibri"/>
      <w:b/>
      <w:bCs/>
      <w:lang w:eastAsia="en-US"/>
    </w:rPr>
  </w:style>
  <w:style w:type="paragraph" w:styleId="Revision">
    <w:name w:val="Revision"/>
    <w:hidden/>
    <w:uiPriority w:val="99"/>
    <w:semiHidden/>
    <w:rsid w:val="00DE4A92"/>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AFAF9B-7A9C-44D6-88FB-F5C1E52E660B}">
  <ds:schemaRefs>
    <ds:schemaRef ds:uri="http://www.w3.org/2001/XMLSchema"/>
  </ds:schemaRefs>
</ds:datastoreItem>
</file>

<file path=customXml/itemProps2.xml><?xml version="1.0" encoding="utf-8"?>
<ds:datastoreItem xmlns:ds="http://schemas.openxmlformats.org/officeDocument/2006/customXml" ds:itemID="{58877AE3-3C1B-413F-8324-A43419A48FA5}">
  <ds:schemaRefs>
    <ds:schemaRef ds:uri="http://schemas.openxmlformats.org/officeDocument/2006/bibliography"/>
  </ds:schemaRefs>
</ds:datastoreItem>
</file>

<file path=customXml/itemProps3.xml><?xml version="1.0" encoding="utf-8"?>
<ds:datastoreItem xmlns:ds="http://schemas.openxmlformats.org/officeDocument/2006/customXml" ds:itemID="{16A690E9-95F1-4769-9ED6-CAAD5A47C520}"/>
</file>

<file path=customXml/itemProps4.xml><?xml version="1.0" encoding="utf-8"?>
<ds:datastoreItem xmlns:ds="http://schemas.openxmlformats.org/officeDocument/2006/customXml" ds:itemID="{F22BCCA1-BA2F-430A-9E33-F503CA1353AE}"/>
</file>

<file path=customXml/itemProps5.xml><?xml version="1.0" encoding="utf-8"?>
<ds:datastoreItem xmlns:ds="http://schemas.openxmlformats.org/officeDocument/2006/customXml" ds:itemID="{89A16E78-B134-4E4E-B842-5F4319504E77}"/>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Sharmaine Nolan</dc:creator>
  <cp:keywords/>
  <dc:description/>
  <cp:lastModifiedBy>FRENDIN, Rose (PHM)</cp:lastModifiedBy>
  <cp:revision>2</cp:revision>
  <cp:lastPrinted>2021-06-16T07:11:00Z</cp:lastPrinted>
  <dcterms:created xsi:type="dcterms:W3CDTF">2021-06-21T00:21:00Z</dcterms:created>
  <dcterms:modified xsi:type="dcterms:W3CDTF">2021-06-21T00:21:00Z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