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4BD0" w14:textId="21D41FD3" w:rsidR="00D363B8" w:rsidRPr="00597C07" w:rsidRDefault="00D363B8" w:rsidP="00D363B8">
      <w:pPr>
        <w:rPr>
          <w:rFonts w:ascii="Arial" w:eastAsia="Arial" w:hAnsi="Arial"/>
          <w:sz w:val="22"/>
          <w:szCs w:val="22"/>
        </w:rPr>
      </w:pPr>
      <w:bookmarkStart w:id="0" w:name="_Hlk57196059"/>
      <w:r>
        <w:rPr>
          <w:noProof/>
        </w:rPr>
        <w:drawing>
          <wp:anchor distT="0" distB="0" distL="114300" distR="114300" simplePos="0" relativeHeight="251659264" behindDoc="0" locked="0" layoutInCell="1" allowOverlap="1" wp14:anchorId="2307CF07" wp14:editId="7D9E0F90">
            <wp:simplePos x="0" y="0"/>
            <wp:positionH relativeFrom="margin">
              <wp:align>center</wp:align>
            </wp:positionH>
            <wp:positionV relativeFrom="paragraph">
              <wp:posOffset>0</wp:posOffset>
            </wp:positionV>
            <wp:extent cx="6115050" cy="101790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017905"/>
                    </a:xfrm>
                    <a:prstGeom prst="rect">
                      <a:avLst/>
                    </a:prstGeom>
                    <a:noFill/>
                  </pic:spPr>
                </pic:pic>
              </a:graphicData>
            </a:graphic>
          </wp:anchor>
        </w:drawing>
      </w:r>
    </w:p>
    <w:p w14:paraId="5F105DDF" w14:textId="77777777" w:rsidR="00D363B8" w:rsidRDefault="00D363B8" w:rsidP="00D363B8">
      <w:pPr>
        <w:jc w:val="center"/>
        <w:rPr>
          <w:rFonts w:ascii="Calibri" w:eastAsia="Calibri" w:hAnsi="Calibri"/>
          <w:sz w:val="100"/>
          <w:szCs w:val="100"/>
        </w:rPr>
      </w:pPr>
      <w:bookmarkStart w:id="1" w:name="_Hlk74740058"/>
    </w:p>
    <w:p w14:paraId="27484B72" w14:textId="0D381CD4" w:rsidR="00D363B8" w:rsidRPr="00597C07" w:rsidRDefault="00D363B8" w:rsidP="00D363B8">
      <w:pPr>
        <w:jc w:val="center"/>
        <w:rPr>
          <w:rFonts w:ascii="Calibri" w:eastAsia="Calibri" w:hAnsi="Calibri"/>
          <w:sz w:val="100"/>
          <w:szCs w:val="100"/>
        </w:rPr>
      </w:pPr>
      <w:r>
        <w:rPr>
          <w:rFonts w:ascii="Calibri" w:eastAsia="Calibri" w:hAnsi="Calibri"/>
          <w:sz w:val="100"/>
          <w:szCs w:val="100"/>
        </w:rPr>
        <w:t>Written s</w:t>
      </w:r>
      <w:r w:rsidRPr="00597C07">
        <w:rPr>
          <w:rFonts w:ascii="Calibri" w:eastAsia="Calibri" w:hAnsi="Calibri"/>
          <w:sz w:val="100"/>
          <w:szCs w:val="100"/>
        </w:rPr>
        <w:t xml:space="preserve">ubmission </w:t>
      </w:r>
    </w:p>
    <w:p w14:paraId="1B8328F0" w14:textId="77777777" w:rsidR="00D363B8" w:rsidRPr="00597C07" w:rsidRDefault="00D363B8" w:rsidP="00D363B8">
      <w:pPr>
        <w:jc w:val="center"/>
        <w:rPr>
          <w:rFonts w:ascii="Calibri" w:eastAsia="Calibri" w:hAnsi="Calibri"/>
          <w:sz w:val="72"/>
          <w:szCs w:val="72"/>
        </w:rPr>
      </w:pPr>
      <w:r w:rsidRPr="00597C07">
        <w:rPr>
          <w:rFonts w:ascii="Calibri" w:eastAsia="Calibri" w:hAnsi="Calibri"/>
          <w:sz w:val="72"/>
          <w:szCs w:val="72"/>
        </w:rPr>
        <w:t xml:space="preserve">to </w:t>
      </w:r>
    </w:p>
    <w:p w14:paraId="11C62E78" w14:textId="77777777" w:rsidR="00D363B8" w:rsidRPr="00597C07" w:rsidRDefault="00D363B8" w:rsidP="00D363B8">
      <w:pPr>
        <w:jc w:val="center"/>
        <w:rPr>
          <w:rFonts w:ascii="Calibri" w:eastAsia="Calibri" w:hAnsi="Calibri"/>
          <w:sz w:val="72"/>
          <w:szCs w:val="72"/>
        </w:rPr>
      </w:pPr>
      <w:r w:rsidRPr="00597C07">
        <w:rPr>
          <w:rFonts w:ascii="Calibri" w:eastAsia="Calibri" w:hAnsi="Calibri"/>
          <w:sz w:val="72"/>
          <w:szCs w:val="72"/>
        </w:rPr>
        <w:t>the Committee on the Elimination of Discrimination against Women</w:t>
      </w:r>
    </w:p>
    <w:p w14:paraId="7AF17CAB" w14:textId="77777777" w:rsidR="00D363B8" w:rsidRDefault="00D363B8" w:rsidP="00D363B8">
      <w:pPr>
        <w:pStyle w:val="Overskrift2"/>
        <w:shd w:val="clear" w:color="auto" w:fill="FFFFFF"/>
        <w:ind w:left="576"/>
        <w:rPr>
          <w:rFonts w:ascii="Verdana" w:eastAsia="Times New Roman" w:hAnsi="Verdana" w:cs="Times New Roman"/>
          <w:color w:val="0072C6"/>
          <w:sz w:val="35"/>
          <w:szCs w:val="35"/>
          <w:lang w:val="en-US" w:eastAsia="da-DK"/>
        </w:rPr>
      </w:pPr>
    </w:p>
    <w:p w14:paraId="47AEF42C" w14:textId="77777777" w:rsidR="00D363B8" w:rsidRDefault="00D363B8" w:rsidP="00D363B8">
      <w:pPr>
        <w:pStyle w:val="Overskrift2"/>
        <w:shd w:val="clear" w:color="auto" w:fill="FFFFFF"/>
        <w:ind w:left="576"/>
        <w:jc w:val="center"/>
        <w:rPr>
          <w:rFonts w:ascii="Verdana" w:eastAsia="Times New Roman" w:hAnsi="Verdana" w:cs="Times New Roman"/>
          <w:b/>
          <w:bCs/>
          <w:color w:val="auto"/>
          <w:sz w:val="44"/>
          <w:szCs w:val="44"/>
          <w:lang w:val="en-US" w:eastAsia="da-DK"/>
        </w:rPr>
      </w:pPr>
    </w:p>
    <w:p w14:paraId="5E3DFBDA" w14:textId="4497DE8F" w:rsidR="00D363B8" w:rsidRPr="00D363B8" w:rsidRDefault="00D363B8" w:rsidP="00D363B8">
      <w:pPr>
        <w:tabs>
          <w:tab w:val="num" w:pos="720"/>
        </w:tabs>
        <w:ind w:left="720" w:hanging="360"/>
        <w:jc w:val="center"/>
        <w:rPr>
          <w:b/>
          <w:bCs/>
          <w:sz w:val="52"/>
          <w:szCs w:val="52"/>
        </w:rPr>
      </w:pPr>
      <w:r w:rsidRPr="00D363B8">
        <w:rPr>
          <w:b/>
          <w:bCs/>
          <w:sz w:val="22"/>
          <w:szCs w:val="22"/>
        </w:rPr>
        <w:t xml:space="preserve"> </w:t>
      </w:r>
      <w:r w:rsidRPr="00D363B8">
        <w:rPr>
          <w:b/>
          <w:bCs/>
          <w:sz w:val="52"/>
          <w:szCs w:val="52"/>
        </w:rPr>
        <w:t>Drafting of the General Recommendation on the Rights of Indigenous Women and Girls</w:t>
      </w:r>
    </w:p>
    <w:bookmarkEnd w:id="0"/>
    <w:bookmarkEnd w:id="1"/>
    <w:p w14:paraId="049FB3F5" w14:textId="526C6266" w:rsidR="00D363B8" w:rsidRPr="00D363B8" w:rsidRDefault="00D363B8">
      <w:pPr>
        <w:spacing w:after="160" w:line="259" w:lineRule="auto"/>
        <w:rPr>
          <w:b/>
          <w:bCs/>
          <w:sz w:val="22"/>
          <w:szCs w:val="22"/>
          <w:lang w:val="en-US"/>
        </w:rPr>
      </w:pPr>
    </w:p>
    <w:p w14:paraId="0CE215CF" w14:textId="77777777" w:rsidR="00D363B8" w:rsidRDefault="00D363B8" w:rsidP="003954DC">
      <w:pPr>
        <w:tabs>
          <w:tab w:val="num" w:pos="720"/>
        </w:tabs>
        <w:ind w:left="720" w:hanging="360"/>
        <w:jc w:val="center"/>
        <w:rPr>
          <w:b/>
          <w:bCs/>
          <w:sz w:val="22"/>
          <w:szCs w:val="22"/>
        </w:rPr>
      </w:pPr>
    </w:p>
    <w:p w14:paraId="4D6C223B" w14:textId="4918A1AF" w:rsidR="003954DC" w:rsidRDefault="00D363B8" w:rsidP="00D363B8">
      <w:pPr>
        <w:spacing w:after="160" w:line="259" w:lineRule="auto"/>
        <w:rPr>
          <w:b/>
          <w:bCs/>
          <w:sz w:val="22"/>
          <w:szCs w:val="22"/>
        </w:rPr>
      </w:pPr>
      <w:r>
        <w:rPr>
          <w:b/>
          <w:bCs/>
          <w:sz w:val="22"/>
          <w:szCs w:val="22"/>
        </w:rPr>
        <w:br w:type="page"/>
      </w:r>
      <w:r w:rsidR="003954DC">
        <w:rPr>
          <w:b/>
          <w:bCs/>
          <w:sz w:val="22"/>
          <w:szCs w:val="22"/>
        </w:rPr>
        <w:lastRenderedPageBreak/>
        <w:t xml:space="preserve">Introduction </w:t>
      </w:r>
    </w:p>
    <w:p w14:paraId="46C76BB1" w14:textId="233CA5A8" w:rsidR="00B149AD" w:rsidRDefault="003954DC" w:rsidP="001E16C9">
      <w:pPr>
        <w:ind w:firstLine="360"/>
        <w:jc w:val="both"/>
        <w:rPr>
          <w:sz w:val="22"/>
          <w:szCs w:val="22"/>
        </w:rPr>
      </w:pPr>
      <w:r w:rsidRPr="009A30FF">
        <w:rPr>
          <w:sz w:val="22"/>
          <w:szCs w:val="22"/>
        </w:rPr>
        <w:t xml:space="preserve">With </w:t>
      </w:r>
      <w:r>
        <w:rPr>
          <w:sz w:val="22"/>
          <w:szCs w:val="22"/>
        </w:rPr>
        <w:t>this written submission, the International Work Group on Indigenous Affairs</w:t>
      </w:r>
      <w:r w:rsidR="00E75E85">
        <w:rPr>
          <w:sz w:val="22"/>
          <w:szCs w:val="22"/>
        </w:rPr>
        <w:t xml:space="preserve"> (IWGIA)</w:t>
      </w:r>
      <w:r>
        <w:rPr>
          <w:sz w:val="22"/>
          <w:szCs w:val="22"/>
        </w:rPr>
        <w:t xml:space="preserve"> </w:t>
      </w:r>
      <w:r w:rsidR="007D5676">
        <w:rPr>
          <w:sz w:val="22"/>
          <w:szCs w:val="22"/>
        </w:rPr>
        <w:t>seeks</w:t>
      </w:r>
      <w:r>
        <w:rPr>
          <w:sz w:val="22"/>
          <w:szCs w:val="22"/>
        </w:rPr>
        <w:t xml:space="preserve"> to bring forward the voices, </w:t>
      </w:r>
      <w:r w:rsidRPr="009A30FF">
        <w:rPr>
          <w:sz w:val="22"/>
          <w:szCs w:val="22"/>
        </w:rPr>
        <w:t>perspectives and experiences</w:t>
      </w:r>
      <w:r>
        <w:rPr>
          <w:sz w:val="22"/>
          <w:szCs w:val="22"/>
        </w:rPr>
        <w:t xml:space="preserve"> of </w:t>
      </w:r>
      <w:r w:rsidR="00A45093">
        <w:rPr>
          <w:sz w:val="22"/>
          <w:szCs w:val="22"/>
        </w:rPr>
        <w:t>i</w:t>
      </w:r>
      <w:r w:rsidRPr="009A30FF">
        <w:rPr>
          <w:sz w:val="22"/>
          <w:szCs w:val="22"/>
        </w:rPr>
        <w:t xml:space="preserve">ndigenous </w:t>
      </w:r>
      <w:r w:rsidR="00A45093">
        <w:rPr>
          <w:sz w:val="22"/>
          <w:szCs w:val="22"/>
        </w:rPr>
        <w:t>w</w:t>
      </w:r>
      <w:r w:rsidRPr="009A30FF">
        <w:rPr>
          <w:sz w:val="22"/>
          <w:szCs w:val="22"/>
        </w:rPr>
        <w:t xml:space="preserve">omen and </w:t>
      </w:r>
      <w:r w:rsidR="00A45093">
        <w:rPr>
          <w:sz w:val="22"/>
          <w:szCs w:val="22"/>
        </w:rPr>
        <w:t>g</w:t>
      </w:r>
      <w:r w:rsidRPr="009A30FF">
        <w:rPr>
          <w:sz w:val="22"/>
          <w:szCs w:val="22"/>
        </w:rPr>
        <w:t>irls</w:t>
      </w:r>
      <w:r w:rsidR="00615508">
        <w:rPr>
          <w:sz w:val="22"/>
          <w:szCs w:val="22"/>
        </w:rPr>
        <w:t>, particularly</w:t>
      </w:r>
      <w:r w:rsidRPr="009A30FF">
        <w:rPr>
          <w:sz w:val="22"/>
          <w:szCs w:val="22"/>
        </w:rPr>
        <w:t xml:space="preserve"> from Africa, Asia, Latin America and the Arctic, and to include </w:t>
      </w:r>
      <w:r w:rsidR="00EA7649">
        <w:rPr>
          <w:sz w:val="22"/>
          <w:szCs w:val="22"/>
        </w:rPr>
        <w:t>them</w:t>
      </w:r>
      <w:r w:rsidRPr="009A30FF">
        <w:rPr>
          <w:sz w:val="22"/>
          <w:szCs w:val="22"/>
        </w:rPr>
        <w:t xml:space="preserve"> in the development of CEDAW’s general recommendation</w:t>
      </w:r>
      <w:r>
        <w:rPr>
          <w:sz w:val="22"/>
          <w:szCs w:val="22"/>
        </w:rPr>
        <w:t xml:space="preserve"> </w:t>
      </w:r>
      <w:r w:rsidRPr="0014129A">
        <w:rPr>
          <w:sz w:val="22"/>
          <w:szCs w:val="22"/>
          <w:lang w:val="en-US"/>
        </w:rPr>
        <w:t>on the rights of Indigenous women and girls.</w:t>
      </w:r>
      <w:r w:rsidRPr="009A30FF">
        <w:rPr>
          <w:sz w:val="22"/>
          <w:szCs w:val="22"/>
        </w:rPr>
        <w:t xml:space="preserve"> </w:t>
      </w:r>
    </w:p>
    <w:p w14:paraId="72B0940F" w14:textId="77777777" w:rsidR="00B149AD" w:rsidRDefault="00B149AD" w:rsidP="001E16C9">
      <w:pPr>
        <w:ind w:firstLine="360"/>
        <w:jc w:val="both"/>
        <w:rPr>
          <w:sz w:val="22"/>
          <w:szCs w:val="22"/>
        </w:rPr>
      </w:pPr>
    </w:p>
    <w:p w14:paraId="58E9A468" w14:textId="0EA3F7C4" w:rsidR="001E16C9" w:rsidRDefault="003954DC" w:rsidP="001677CC">
      <w:pPr>
        <w:ind w:firstLine="360"/>
        <w:jc w:val="both"/>
        <w:rPr>
          <w:sz w:val="22"/>
          <w:szCs w:val="22"/>
        </w:rPr>
      </w:pPr>
      <w:r w:rsidRPr="009A30FF">
        <w:rPr>
          <w:sz w:val="22"/>
          <w:szCs w:val="22"/>
        </w:rPr>
        <w:t xml:space="preserve">The </w:t>
      </w:r>
      <w:r w:rsidR="00E75E85">
        <w:rPr>
          <w:sz w:val="22"/>
          <w:szCs w:val="22"/>
        </w:rPr>
        <w:t xml:space="preserve">methodology used to collect the </w:t>
      </w:r>
      <w:r w:rsidRPr="009A30FF">
        <w:rPr>
          <w:sz w:val="22"/>
          <w:szCs w:val="22"/>
        </w:rPr>
        <w:t xml:space="preserve">data </w:t>
      </w:r>
      <w:r w:rsidR="00E75E85">
        <w:rPr>
          <w:sz w:val="22"/>
          <w:szCs w:val="22"/>
        </w:rPr>
        <w:t xml:space="preserve">contained </w:t>
      </w:r>
      <w:r w:rsidRPr="009A30FF">
        <w:rPr>
          <w:sz w:val="22"/>
          <w:szCs w:val="22"/>
        </w:rPr>
        <w:t xml:space="preserve">in this </w:t>
      </w:r>
      <w:r>
        <w:rPr>
          <w:sz w:val="22"/>
          <w:szCs w:val="22"/>
        </w:rPr>
        <w:t>written submission</w:t>
      </w:r>
      <w:r w:rsidRPr="009A30FF">
        <w:rPr>
          <w:sz w:val="22"/>
          <w:szCs w:val="22"/>
        </w:rPr>
        <w:t xml:space="preserve"> has been</w:t>
      </w:r>
      <w:r w:rsidR="00A45093">
        <w:rPr>
          <w:sz w:val="22"/>
          <w:szCs w:val="22"/>
        </w:rPr>
        <w:t xml:space="preserve"> centered on indigenous women’s voices, and is extracted from</w:t>
      </w:r>
      <w:r w:rsidRPr="009A30FF">
        <w:rPr>
          <w:sz w:val="22"/>
          <w:szCs w:val="22"/>
        </w:rPr>
        <w:t xml:space="preserve"> interviews</w:t>
      </w:r>
      <w:r>
        <w:rPr>
          <w:sz w:val="22"/>
          <w:szCs w:val="22"/>
        </w:rPr>
        <w:t xml:space="preserve"> with Indigenous Women</w:t>
      </w:r>
      <w:r w:rsidR="007D5676">
        <w:rPr>
          <w:sz w:val="22"/>
          <w:szCs w:val="22"/>
        </w:rPr>
        <w:t xml:space="preserve"> leaders from partner organizations</w:t>
      </w:r>
      <w:r w:rsidRPr="009A30FF">
        <w:rPr>
          <w:sz w:val="22"/>
          <w:szCs w:val="22"/>
        </w:rPr>
        <w:t xml:space="preserve">, </w:t>
      </w:r>
      <w:r w:rsidR="00C27D29" w:rsidRPr="009A30FF">
        <w:rPr>
          <w:sz w:val="22"/>
          <w:szCs w:val="22"/>
        </w:rPr>
        <w:t>the data available through the Indigenous Navigator</w:t>
      </w:r>
      <w:r w:rsidR="00C27D29">
        <w:rPr>
          <w:sz w:val="22"/>
          <w:szCs w:val="22"/>
        </w:rPr>
        <w:t xml:space="preserve">, </w:t>
      </w:r>
      <w:r w:rsidR="00F24F60">
        <w:rPr>
          <w:sz w:val="22"/>
          <w:szCs w:val="22"/>
        </w:rPr>
        <w:t xml:space="preserve">NGO </w:t>
      </w:r>
      <w:r w:rsidRPr="009A30FF">
        <w:rPr>
          <w:sz w:val="22"/>
          <w:szCs w:val="22"/>
        </w:rPr>
        <w:t xml:space="preserve">reports that gathered Indigenous Women and Girls’ testimony, </w:t>
      </w:r>
      <w:r w:rsidR="00C27D29" w:rsidRPr="009A30FF">
        <w:rPr>
          <w:sz w:val="22"/>
          <w:szCs w:val="22"/>
        </w:rPr>
        <w:t xml:space="preserve">and </w:t>
      </w:r>
      <w:r w:rsidR="00F24F60">
        <w:rPr>
          <w:sz w:val="22"/>
          <w:szCs w:val="22"/>
        </w:rPr>
        <w:t xml:space="preserve">international organizations </w:t>
      </w:r>
      <w:r w:rsidR="00C27D29">
        <w:rPr>
          <w:sz w:val="22"/>
          <w:szCs w:val="22"/>
        </w:rPr>
        <w:t>reports</w:t>
      </w:r>
      <w:r w:rsidRPr="009A30FF">
        <w:rPr>
          <w:sz w:val="22"/>
          <w:szCs w:val="22"/>
        </w:rPr>
        <w:t xml:space="preserve">. </w:t>
      </w:r>
      <w:r w:rsidR="001677CC">
        <w:rPr>
          <w:sz w:val="22"/>
          <w:szCs w:val="22"/>
        </w:rPr>
        <w:t>It should be noted, however, that t</w:t>
      </w:r>
      <w:r w:rsidR="0086278F">
        <w:rPr>
          <w:sz w:val="22"/>
          <w:szCs w:val="22"/>
        </w:rPr>
        <w:t xml:space="preserve">he short deadline </w:t>
      </w:r>
      <w:r w:rsidR="00516D79">
        <w:rPr>
          <w:sz w:val="22"/>
          <w:szCs w:val="22"/>
        </w:rPr>
        <w:t xml:space="preserve">provided </w:t>
      </w:r>
      <w:r w:rsidR="001677CC">
        <w:rPr>
          <w:sz w:val="22"/>
          <w:szCs w:val="22"/>
        </w:rPr>
        <w:t xml:space="preserve">to file </w:t>
      </w:r>
      <w:r w:rsidR="00516D79">
        <w:rPr>
          <w:sz w:val="22"/>
          <w:szCs w:val="22"/>
        </w:rPr>
        <w:t xml:space="preserve">these </w:t>
      </w:r>
      <w:r w:rsidR="001677CC">
        <w:rPr>
          <w:sz w:val="22"/>
          <w:szCs w:val="22"/>
        </w:rPr>
        <w:t>submissions hampered the ability of NGOs such as IWGIA to fully guarantee the inclusive participation of Indigenous Women and Girls</w:t>
      </w:r>
      <w:r w:rsidR="0086278F">
        <w:rPr>
          <w:sz w:val="22"/>
          <w:szCs w:val="22"/>
        </w:rPr>
        <w:t xml:space="preserve"> </w:t>
      </w:r>
      <w:r w:rsidR="001677CC">
        <w:rPr>
          <w:sz w:val="22"/>
          <w:szCs w:val="22"/>
        </w:rPr>
        <w:t xml:space="preserve">in this process. </w:t>
      </w:r>
    </w:p>
    <w:p w14:paraId="58672630" w14:textId="77777777" w:rsidR="001E16C9" w:rsidRDefault="001E16C9" w:rsidP="003954DC">
      <w:pPr>
        <w:ind w:firstLine="360"/>
        <w:jc w:val="both"/>
        <w:rPr>
          <w:sz w:val="22"/>
          <w:szCs w:val="22"/>
        </w:rPr>
      </w:pPr>
    </w:p>
    <w:p w14:paraId="7C0E8F23" w14:textId="75265D44" w:rsidR="00AA0C11" w:rsidRDefault="00D363B8" w:rsidP="00AA0C11">
      <w:pPr>
        <w:ind w:firstLine="360"/>
        <w:jc w:val="both"/>
        <w:rPr>
          <w:sz w:val="22"/>
          <w:szCs w:val="22"/>
        </w:rPr>
      </w:pPr>
      <w:r>
        <w:rPr>
          <w:sz w:val="22"/>
          <w:szCs w:val="22"/>
        </w:rPr>
        <w:t>All</w:t>
      </w:r>
      <w:r w:rsidR="00516D79">
        <w:rPr>
          <w:sz w:val="22"/>
          <w:szCs w:val="22"/>
        </w:rPr>
        <w:t xml:space="preserve"> t</w:t>
      </w:r>
      <w:r w:rsidR="003954DC">
        <w:rPr>
          <w:sz w:val="22"/>
          <w:szCs w:val="22"/>
        </w:rPr>
        <w:t>hese sources of information have</w:t>
      </w:r>
      <w:r w:rsidR="003954DC" w:rsidRPr="009A30FF">
        <w:rPr>
          <w:sz w:val="22"/>
          <w:szCs w:val="22"/>
        </w:rPr>
        <w:t xml:space="preserve"> confirmed</w:t>
      </w:r>
      <w:r w:rsidR="001E16C9">
        <w:rPr>
          <w:sz w:val="22"/>
          <w:szCs w:val="22"/>
        </w:rPr>
        <w:t xml:space="preserve"> </w:t>
      </w:r>
      <w:r w:rsidR="003954DC" w:rsidRPr="009A30FF">
        <w:rPr>
          <w:sz w:val="22"/>
          <w:szCs w:val="22"/>
        </w:rPr>
        <w:t xml:space="preserve">how </w:t>
      </w:r>
      <w:r w:rsidR="00A45093">
        <w:rPr>
          <w:sz w:val="22"/>
          <w:szCs w:val="22"/>
        </w:rPr>
        <w:t>i</w:t>
      </w:r>
      <w:r w:rsidR="00A45093" w:rsidRPr="009A30FF">
        <w:rPr>
          <w:sz w:val="22"/>
          <w:szCs w:val="22"/>
        </w:rPr>
        <w:t xml:space="preserve">ndigenous </w:t>
      </w:r>
      <w:r w:rsidR="00A45093">
        <w:rPr>
          <w:sz w:val="22"/>
          <w:szCs w:val="22"/>
        </w:rPr>
        <w:t>w</w:t>
      </w:r>
      <w:r w:rsidR="00A45093" w:rsidRPr="009A30FF">
        <w:rPr>
          <w:sz w:val="22"/>
          <w:szCs w:val="22"/>
        </w:rPr>
        <w:t xml:space="preserve">omen and </w:t>
      </w:r>
      <w:r w:rsidR="00A45093">
        <w:rPr>
          <w:sz w:val="22"/>
          <w:szCs w:val="22"/>
        </w:rPr>
        <w:t>g</w:t>
      </w:r>
      <w:r w:rsidR="00A45093" w:rsidRPr="009A30FF">
        <w:rPr>
          <w:sz w:val="22"/>
          <w:szCs w:val="22"/>
        </w:rPr>
        <w:t>irls</w:t>
      </w:r>
      <w:r w:rsidR="00A45093" w:rsidRPr="009A30FF" w:rsidDel="00A45093">
        <w:rPr>
          <w:sz w:val="22"/>
          <w:szCs w:val="22"/>
        </w:rPr>
        <w:t xml:space="preserve"> </w:t>
      </w:r>
      <w:r w:rsidR="00FC7CB5">
        <w:rPr>
          <w:sz w:val="22"/>
          <w:szCs w:val="22"/>
        </w:rPr>
        <w:t>worldwide</w:t>
      </w:r>
      <w:r w:rsidR="003954DC" w:rsidRPr="009A30FF">
        <w:rPr>
          <w:sz w:val="22"/>
          <w:szCs w:val="22"/>
        </w:rPr>
        <w:t xml:space="preserve"> </w:t>
      </w:r>
      <w:r w:rsidR="003954DC">
        <w:rPr>
          <w:sz w:val="22"/>
          <w:szCs w:val="22"/>
        </w:rPr>
        <w:t xml:space="preserve">are confronted to </w:t>
      </w:r>
      <w:r w:rsidR="001E16C9">
        <w:rPr>
          <w:sz w:val="22"/>
          <w:szCs w:val="22"/>
        </w:rPr>
        <w:t>multiple</w:t>
      </w:r>
      <w:r w:rsidR="003954DC">
        <w:rPr>
          <w:sz w:val="22"/>
          <w:szCs w:val="22"/>
        </w:rPr>
        <w:t xml:space="preserve"> layers of discrimination </w:t>
      </w:r>
      <w:r w:rsidR="00E75E85">
        <w:rPr>
          <w:sz w:val="22"/>
          <w:szCs w:val="22"/>
        </w:rPr>
        <w:t xml:space="preserve">and structural barriers </w:t>
      </w:r>
      <w:r w:rsidR="003954DC">
        <w:rPr>
          <w:sz w:val="22"/>
          <w:szCs w:val="22"/>
        </w:rPr>
        <w:t xml:space="preserve">that lead to mutually reinforcing human rights abuses. </w:t>
      </w:r>
      <w:r w:rsidR="00913C6D">
        <w:rPr>
          <w:sz w:val="22"/>
          <w:szCs w:val="22"/>
        </w:rPr>
        <w:t>S</w:t>
      </w:r>
      <w:r w:rsidR="003954DC" w:rsidRPr="00844724">
        <w:rPr>
          <w:sz w:val="22"/>
          <w:szCs w:val="22"/>
        </w:rPr>
        <w:t xml:space="preserve">exism, racism, </w:t>
      </w:r>
      <w:r w:rsidR="003954DC">
        <w:rPr>
          <w:sz w:val="22"/>
          <w:szCs w:val="22"/>
        </w:rPr>
        <w:t>economic status</w:t>
      </w:r>
      <w:r w:rsidR="003954DC" w:rsidRPr="00844724">
        <w:rPr>
          <w:sz w:val="22"/>
          <w:szCs w:val="22"/>
        </w:rPr>
        <w:t>,</w:t>
      </w:r>
      <w:r w:rsidR="003954DC">
        <w:rPr>
          <w:sz w:val="22"/>
          <w:szCs w:val="22"/>
        </w:rPr>
        <w:t xml:space="preserve"> as well as </w:t>
      </w:r>
      <w:r w:rsidR="003954DC" w:rsidRPr="00844724">
        <w:rPr>
          <w:sz w:val="22"/>
          <w:szCs w:val="22"/>
        </w:rPr>
        <w:t>structural and institutional inequities resulting from colonization</w:t>
      </w:r>
      <w:r w:rsidR="00913C6D">
        <w:rPr>
          <w:sz w:val="22"/>
          <w:szCs w:val="22"/>
        </w:rPr>
        <w:t xml:space="preserve"> and globalization</w:t>
      </w:r>
      <w:r w:rsidR="003954DC">
        <w:rPr>
          <w:sz w:val="22"/>
          <w:szCs w:val="22"/>
        </w:rPr>
        <w:t xml:space="preserve"> make indigenous women more vulnerable to human rights abuses. </w:t>
      </w:r>
      <w:r w:rsidR="00AA0C11">
        <w:rPr>
          <w:sz w:val="22"/>
          <w:szCs w:val="22"/>
        </w:rPr>
        <w:t>As will</w:t>
      </w:r>
      <w:r w:rsidR="007D5676">
        <w:rPr>
          <w:sz w:val="22"/>
          <w:szCs w:val="22"/>
        </w:rPr>
        <w:t xml:space="preserve"> be</w:t>
      </w:r>
      <w:r w:rsidR="00AA0C11">
        <w:rPr>
          <w:sz w:val="22"/>
          <w:szCs w:val="22"/>
        </w:rPr>
        <w:t xml:space="preserve"> detail</w:t>
      </w:r>
      <w:r w:rsidR="007D5676">
        <w:rPr>
          <w:sz w:val="22"/>
          <w:szCs w:val="22"/>
        </w:rPr>
        <w:t>ed</w:t>
      </w:r>
      <w:r w:rsidR="00AA0C11">
        <w:rPr>
          <w:sz w:val="22"/>
          <w:szCs w:val="22"/>
        </w:rPr>
        <w:t xml:space="preserve"> below, t</w:t>
      </w:r>
      <w:r w:rsidR="001E16C9">
        <w:rPr>
          <w:sz w:val="22"/>
          <w:szCs w:val="22"/>
        </w:rPr>
        <w:t>heir</w:t>
      </w:r>
      <w:r w:rsidR="003954DC">
        <w:rPr>
          <w:sz w:val="22"/>
          <w:szCs w:val="22"/>
        </w:rPr>
        <w:t xml:space="preserve"> lives continue to be marked by discrimination, inequity, violence, </w:t>
      </w:r>
      <w:r w:rsidR="00EA7649">
        <w:rPr>
          <w:sz w:val="22"/>
          <w:szCs w:val="22"/>
        </w:rPr>
        <w:t xml:space="preserve">as well as </w:t>
      </w:r>
      <w:r w:rsidR="003954DC">
        <w:rPr>
          <w:sz w:val="22"/>
          <w:szCs w:val="22"/>
        </w:rPr>
        <w:t xml:space="preserve">obstacles to the fulfillment of their civil, political, </w:t>
      </w:r>
      <w:r w:rsidR="003954DC" w:rsidRPr="00844724">
        <w:rPr>
          <w:sz w:val="22"/>
          <w:szCs w:val="22"/>
        </w:rPr>
        <w:t xml:space="preserve">economic, social, and cultural rights. </w:t>
      </w:r>
    </w:p>
    <w:p w14:paraId="7E9B4F64" w14:textId="77777777" w:rsidR="00AA0C11" w:rsidRDefault="00AA0C11" w:rsidP="00AA0C11">
      <w:pPr>
        <w:ind w:firstLine="360"/>
        <w:jc w:val="both"/>
        <w:rPr>
          <w:sz w:val="22"/>
          <w:szCs w:val="22"/>
        </w:rPr>
      </w:pPr>
    </w:p>
    <w:p w14:paraId="4700130B" w14:textId="6C34FEFC" w:rsidR="003954DC" w:rsidRDefault="003954DC" w:rsidP="003954DC">
      <w:pPr>
        <w:rPr>
          <w:b/>
          <w:bCs/>
          <w:sz w:val="22"/>
          <w:szCs w:val="22"/>
        </w:rPr>
      </w:pPr>
      <w:r w:rsidRPr="00844724">
        <w:rPr>
          <w:b/>
          <w:bCs/>
          <w:sz w:val="22"/>
          <w:szCs w:val="22"/>
        </w:rPr>
        <w:t>Situation of Indigenous Women</w:t>
      </w:r>
      <w:r w:rsidR="00A24F38">
        <w:rPr>
          <w:b/>
          <w:bCs/>
          <w:sz w:val="22"/>
          <w:szCs w:val="22"/>
        </w:rPr>
        <w:t xml:space="preserve"> and Girls</w:t>
      </w:r>
      <w:r w:rsidRPr="00844724">
        <w:rPr>
          <w:b/>
          <w:bCs/>
          <w:sz w:val="22"/>
          <w:szCs w:val="22"/>
        </w:rPr>
        <w:t xml:space="preserve"> Worldwide</w:t>
      </w:r>
    </w:p>
    <w:p w14:paraId="755C2B77" w14:textId="3C2893C0" w:rsidR="00AC0116" w:rsidRDefault="00AD7DF8" w:rsidP="00AC0116">
      <w:pPr>
        <w:pStyle w:val="Listeafsnit"/>
        <w:numPr>
          <w:ilvl w:val="0"/>
          <w:numId w:val="6"/>
        </w:numPr>
        <w:rPr>
          <w:b/>
          <w:bCs/>
          <w:sz w:val="22"/>
          <w:szCs w:val="22"/>
        </w:rPr>
      </w:pPr>
      <w:r w:rsidRPr="00D07E8B">
        <w:rPr>
          <w:b/>
          <w:bCs/>
          <w:sz w:val="22"/>
          <w:szCs w:val="22"/>
        </w:rPr>
        <w:t xml:space="preserve">Lack of </w:t>
      </w:r>
      <w:r w:rsidR="00F411EB" w:rsidRPr="00D07E8B">
        <w:rPr>
          <w:b/>
          <w:bCs/>
          <w:sz w:val="22"/>
          <w:szCs w:val="22"/>
        </w:rPr>
        <w:t>Legal R</w:t>
      </w:r>
      <w:r w:rsidRPr="00D07E8B">
        <w:rPr>
          <w:b/>
          <w:bCs/>
          <w:sz w:val="22"/>
          <w:szCs w:val="22"/>
        </w:rPr>
        <w:t>ecognition</w:t>
      </w:r>
      <w:r w:rsidR="00AC0116">
        <w:rPr>
          <w:b/>
          <w:bCs/>
          <w:sz w:val="22"/>
          <w:szCs w:val="22"/>
        </w:rPr>
        <w:t xml:space="preserve"> </w:t>
      </w:r>
    </w:p>
    <w:p w14:paraId="3292D77B" w14:textId="72EB38E4" w:rsidR="00AD7DF8" w:rsidRPr="00AC0116" w:rsidRDefault="00AD7DF8" w:rsidP="00BB032A">
      <w:pPr>
        <w:ind w:firstLine="360"/>
        <w:jc w:val="both"/>
        <w:rPr>
          <w:b/>
          <w:bCs/>
          <w:sz w:val="22"/>
          <w:szCs w:val="22"/>
        </w:rPr>
      </w:pPr>
      <w:r w:rsidRPr="00AC0116">
        <w:rPr>
          <w:sz w:val="22"/>
          <w:szCs w:val="22"/>
        </w:rPr>
        <w:t xml:space="preserve">While </w:t>
      </w:r>
      <w:r w:rsidR="001677CC" w:rsidRPr="00AC0116">
        <w:rPr>
          <w:sz w:val="22"/>
          <w:szCs w:val="22"/>
        </w:rPr>
        <w:t>IWGIA</w:t>
      </w:r>
      <w:r w:rsidRPr="00AC0116">
        <w:rPr>
          <w:sz w:val="22"/>
          <w:szCs w:val="22"/>
        </w:rPr>
        <w:t xml:space="preserve"> appreciate</w:t>
      </w:r>
      <w:r w:rsidR="001677CC" w:rsidRPr="00AC0116">
        <w:rPr>
          <w:sz w:val="22"/>
          <w:szCs w:val="22"/>
        </w:rPr>
        <w:t>s</w:t>
      </w:r>
      <w:r w:rsidRPr="00AC0116">
        <w:rPr>
          <w:sz w:val="22"/>
          <w:szCs w:val="22"/>
        </w:rPr>
        <w:t xml:space="preserve"> the extensive list of challenges highlighted in the Committee’s Concept Note, </w:t>
      </w:r>
      <w:r w:rsidR="006D1368" w:rsidRPr="00AC0116">
        <w:rPr>
          <w:sz w:val="22"/>
          <w:szCs w:val="22"/>
        </w:rPr>
        <w:t>it</w:t>
      </w:r>
      <w:r w:rsidR="00BA37DB" w:rsidRPr="00AC0116">
        <w:rPr>
          <w:sz w:val="22"/>
          <w:szCs w:val="22"/>
        </w:rPr>
        <w:t xml:space="preserve"> </w:t>
      </w:r>
      <w:r w:rsidR="006D1368" w:rsidRPr="00AC0116">
        <w:rPr>
          <w:sz w:val="22"/>
          <w:szCs w:val="22"/>
        </w:rPr>
        <w:t>is</w:t>
      </w:r>
      <w:r w:rsidRPr="00AC0116">
        <w:rPr>
          <w:sz w:val="22"/>
          <w:szCs w:val="22"/>
        </w:rPr>
        <w:t xml:space="preserve"> concerned about the </w:t>
      </w:r>
      <w:r w:rsidR="00516D79">
        <w:rPr>
          <w:sz w:val="22"/>
          <w:szCs w:val="22"/>
        </w:rPr>
        <w:t>absence of</w:t>
      </w:r>
      <w:r w:rsidRPr="00AC0116">
        <w:rPr>
          <w:sz w:val="22"/>
          <w:szCs w:val="22"/>
        </w:rPr>
        <w:t xml:space="preserve"> </w:t>
      </w:r>
      <w:r w:rsidR="00516D79">
        <w:rPr>
          <w:sz w:val="22"/>
          <w:szCs w:val="22"/>
        </w:rPr>
        <w:t xml:space="preserve">discussion </w:t>
      </w:r>
      <w:r w:rsidRPr="00AC0116">
        <w:rPr>
          <w:sz w:val="22"/>
          <w:szCs w:val="22"/>
        </w:rPr>
        <w:t>on</w:t>
      </w:r>
      <w:r w:rsidR="00516D79">
        <w:rPr>
          <w:sz w:val="22"/>
          <w:szCs w:val="22"/>
        </w:rPr>
        <w:t xml:space="preserve"> the</w:t>
      </w:r>
      <w:r w:rsidRPr="00AC0116">
        <w:rPr>
          <w:sz w:val="22"/>
          <w:szCs w:val="22"/>
        </w:rPr>
        <w:t xml:space="preserve"> status of legal recognition within national</w:t>
      </w:r>
      <w:r w:rsidR="001677CC" w:rsidRPr="00AC0116">
        <w:rPr>
          <w:sz w:val="22"/>
          <w:szCs w:val="22"/>
        </w:rPr>
        <w:t xml:space="preserve"> </w:t>
      </w:r>
      <w:r w:rsidRPr="00AC0116">
        <w:rPr>
          <w:sz w:val="22"/>
          <w:szCs w:val="22"/>
        </w:rPr>
        <w:t xml:space="preserve">legislative frameworks that constitute </w:t>
      </w:r>
      <w:r w:rsidR="00516D79">
        <w:rPr>
          <w:sz w:val="22"/>
          <w:szCs w:val="22"/>
        </w:rPr>
        <w:t xml:space="preserve">a </w:t>
      </w:r>
      <w:r w:rsidRPr="00AC0116">
        <w:rPr>
          <w:sz w:val="22"/>
          <w:szCs w:val="22"/>
        </w:rPr>
        <w:t xml:space="preserve">key obstacle to </w:t>
      </w:r>
      <w:r w:rsidR="006D1368" w:rsidRPr="00AC0116">
        <w:rPr>
          <w:sz w:val="22"/>
          <w:szCs w:val="22"/>
        </w:rPr>
        <w:t xml:space="preserve">the </w:t>
      </w:r>
      <w:r w:rsidRPr="00AC0116">
        <w:rPr>
          <w:sz w:val="22"/>
          <w:szCs w:val="22"/>
        </w:rPr>
        <w:t>realization of the rights of indigenous women.</w:t>
      </w:r>
      <w:r w:rsidR="00BA37DB" w:rsidRPr="00AC0116">
        <w:rPr>
          <w:sz w:val="22"/>
          <w:szCs w:val="22"/>
        </w:rPr>
        <w:t xml:space="preserve"> </w:t>
      </w:r>
      <w:r w:rsidR="006D1368" w:rsidRPr="00AC0116">
        <w:rPr>
          <w:sz w:val="22"/>
          <w:szCs w:val="22"/>
        </w:rPr>
        <w:t xml:space="preserve">Indeed, Indigenous peoples throughout Asia and Africa are confronted to narrow, colonization-centric interpretations of the terms “indigenous peoples,” which </w:t>
      </w:r>
      <w:r w:rsidR="00F411EB" w:rsidRPr="00AC0116">
        <w:rPr>
          <w:sz w:val="22"/>
          <w:szCs w:val="22"/>
        </w:rPr>
        <w:t xml:space="preserve">generate piecemeal approaches to the recognition of their rights and </w:t>
      </w:r>
      <w:r w:rsidR="006D1368" w:rsidRPr="00AC0116">
        <w:rPr>
          <w:sz w:val="22"/>
          <w:szCs w:val="22"/>
        </w:rPr>
        <w:t>exclude</w:t>
      </w:r>
      <w:r w:rsidR="00F411EB" w:rsidRPr="00AC0116">
        <w:rPr>
          <w:sz w:val="22"/>
          <w:szCs w:val="22"/>
        </w:rPr>
        <w:t>s</w:t>
      </w:r>
      <w:r w:rsidR="006D1368" w:rsidRPr="00AC0116">
        <w:rPr>
          <w:sz w:val="22"/>
          <w:szCs w:val="22"/>
        </w:rPr>
        <w:t xml:space="preserve"> them from international human rights standards and protections. </w:t>
      </w:r>
      <w:r w:rsidR="00F411EB" w:rsidRPr="00AC0116">
        <w:rPr>
          <w:sz w:val="22"/>
          <w:szCs w:val="22"/>
        </w:rPr>
        <w:t xml:space="preserve">In </w:t>
      </w:r>
      <w:r w:rsidR="00516D79" w:rsidRPr="00AC0116">
        <w:rPr>
          <w:sz w:val="22"/>
          <w:szCs w:val="22"/>
        </w:rPr>
        <w:t>Thailand</w:t>
      </w:r>
      <w:r w:rsidR="00F411EB" w:rsidRPr="00AC0116">
        <w:rPr>
          <w:sz w:val="22"/>
          <w:szCs w:val="22"/>
        </w:rPr>
        <w:t xml:space="preserve">, </w:t>
      </w:r>
      <w:r w:rsidR="00F411EB" w:rsidRPr="00AC0116">
        <w:rPr>
          <w:rFonts w:eastAsiaTheme="minorHAnsi"/>
          <w:sz w:val="22"/>
          <w:szCs w:val="22"/>
          <w:lang w:val="en-US"/>
        </w:rPr>
        <w:t>geographic and language barriers, as well as limited access to information and registration processes deprive indigenous peoples from citizenship, and from legal status under national legal frameworks.</w:t>
      </w:r>
      <w:r w:rsidRPr="006D1368">
        <w:rPr>
          <w:rStyle w:val="Fodnotehenvisning"/>
          <w:sz w:val="22"/>
          <w:szCs w:val="22"/>
          <w:lang w:val="en-GB"/>
        </w:rPr>
        <w:footnoteReference w:id="1"/>
      </w:r>
      <w:r w:rsidRPr="00AC0116">
        <w:rPr>
          <w:rStyle w:val="Fodnotehenvisning"/>
          <w:sz w:val="22"/>
          <w:szCs w:val="22"/>
          <w:lang w:val="en-GB"/>
        </w:rPr>
        <w:t xml:space="preserve"> </w:t>
      </w:r>
      <w:r w:rsidR="00BA37DB" w:rsidRPr="00AC0116">
        <w:rPr>
          <w:sz w:val="22"/>
          <w:szCs w:val="22"/>
        </w:rPr>
        <w:t>As a result, indigenous peoples are denied</w:t>
      </w:r>
      <w:r w:rsidRPr="00AC0116">
        <w:rPr>
          <w:sz w:val="22"/>
          <w:szCs w:val="22"/>
        </w:rPr>
        <w:t xml:space="preserve"> basic social services; freedom of movement</w:t>
      </w:r>
      <w:r w:rsidR="00BB032A">
        <w:rPr>
          <w:sz w:val="22"/>
          <w:szCs w:val="22"/>
        </w:rPr>
        <w:t xml:space="preserve"> and</w:t>
      </w:r>
      <w:r w:rsidR="00D07E8B" w:rsidRPr="00AC0116">
        <w:rPr>
          <w:sz w:val="22"/>
          <w:szCs w:val="22"/>
        </w:rPr>
        <w:t xml:space="preserve"> </w:t>
      </w:r>
      <w:r w:rsidRPr="00AC0116">
        <w:rPr>
          <w:sz w:val="22"/>
          <w:szCs w:val="22"/>
        </w:rPr>
        <w:t>speech</w:t>
      </w:r>
      <w:r w:rsidR="00D07E8B" w:rsidRPr="00AC0116">
        <w:rPr>
          <w:sz w:val="22"/>
          <w:szCs w:val="22"/>
        </w:rPr>
        <w:t>;</w:t>
      </w:r>
      <w:r w:rsidRPr="00AC0116">
        <w:rPr>
          <w:sz w:val="22"/>
          <w:szCs w:val="22"/>
        </w:rPr>
        <w:t xml:space="preserve"> and land ownership. Indigenous women and girls are specifically and disproportionately impacted by </w:t>
      </w:r>
      <w:r w:rsidR="00345C91">
        <w:rPr>
          <w:sz w:val="22"/>
          <w:szCs w:val="22"/>
        </w:rPr>
        <w:t>these</w:t>
      </w:r>
      <w:r w:rsidRPr="00AC0116">
        <w:rPr>
          <w:sz w:val="22"/>
          <w:szCs w:val="22"/>
        </w:rPr>
        <w:t xml:space="preserve"> </w:t>
      </w:r>
      <w:r w:rsidR="00516D79">
        <w:rPr>
          <w:sz w:val="22"/>
          <w:szCs w:val="22"/>
        </w:rPr>
        <w:t>abuses</w:t>
      </w:r>
      <w:r w:rsidR="00BA37DB" w:rsidRPr="00AC0116">
        <w:rPr>
          <w:sz w:val="22"/>
          <w:szCs w:val="22"/>
        </w:rPr>
        <w:t>,</w:t>
      </w:r>
      <w:r w:rsidRPr="00AC0116">
        <w:rPr>
          <w:sz w:val="22"/>
          <w:szCs w:val="22"/>
        </w:rPr>
        <w:t xml:space="preserve"> enhancing their vulnerability to exploitation and violence by state and non-state actors. </w:t>
      </w:r>
    </w:p>
    <w:p w14:paraId="7512AD03" w14:textId="77777777" w:rsidR="00AD7DF8" w:rsidRPr="00844724" w:rsidRDefault="00AD7DF8" w:rsidP="00BB032A">
      <w:pPr>
        <w:jc w:val="both"/>
        <w:rPr>
          <w:b/>
          <w:bCs/>
          <w:sz w:val="22"/>
          <w:szCs w:val="22"/>
        </w:rPr>
      </w:pPr>
    </w:p>
    <w:p w14:paraId="797B6B52" w14:textId="75EDB4EE" w:rsidR="00A45093" w:rsidRDefault="00A45093" w:rsidP="003954DC">
      <w:pPr>
        <w:pStyle w:val="Listeafsnit"/>
        <w:numPr>
          <w:ilvl w:val="0"/>
          <w:numId w:val="6"/>
        </w:numPr>
        <w:rPr>
          <w:b/>
          <w:bCs/>
          <w:sz w:val="22"/>
          <w:szCs w:val="22"/>
        </w:rPr>
      </w:pPr>
      <w:r>
        <w:rPr>
          <w:b/>
          <w:bCs/>
          <w:sz w:val="22"/>
          <w:szCs w:val="22"/>
        </w:rPr>
        <w:t xml:space="preserve">Discrimination against </w:t>
      </w:r>
      <w:r w:rsidR="00A24F38">
        <w:rPr>
          <w:b/>
          <w:bCs/>
          <w:sz w:val="22"/>
          <w:szCs w:val="22"/>
        </w:rPr>
        <w:t>I</w:t>
      </w:r>
      <w:r w:rsidRPr="00A45093">
        <w:rPr>
          <w:b/>
          <w:bCs/>
          <w:sz w:val="22"/>
          <w:szCs w:val="22"/>
        </w:rPr>
        <w:t xml:space="preserve">ndigenous </w:t>
      </w:r>
      <w:r w:rsidR="00A24F38">
        <w:rPr>
          <w:b/>
          <w:bCs/>
          <w:sz w:val="22"/>
          <w:szCs w:val="22"/>
        </w:rPr>
        <w:t>W</w:t>
      </w:r>
      <w:r w:rsidRPr="00A45093">
        <w:rPr>
          <w:b/>
          <w:bCs/>
          <w:sz w:val="22"/>
          <w:szCs w:val="22"/>
        </w:rPr>
        <w:t xml:space="preserve">omen and </w:t>
      </w:r>
      <w:r w:rsidR="00A24F38">
        <w:rPr>
          <w:b/>
          <w:bCs/>
          <w:sz w:val="22"/>
          <w:szCs w:val="22"/>
        </w:rPr>
        <w:t>G</w:t>
      </w:r>
      <w:r w:rsidRPr="00A45093">
        <w:rPr>
          <w:b/>
          <w:bCs/>
          <w:sz w:val="22"/>
          <w:szCs w:val="22"/>
        </w:rPr>
        <w:t>irls</w:t>
      </w:r>
    </w:p>
    <w:p w14:paraId="3FE7B998" w14:textId="1C27EB51" w:rsidR="00A45093" w:rsidRDefault="00A45093" w:rsidP="00A45093">
      <w:pPr>
        <w:ind w:firstLine="360"/>
        <w:jc w:val="both"/>
        <w:rPr>
          <w:sz w:val="22"/>
          <w:szCs w:val="22"/>
        </w:rPr>
      </w:pPr>
      <w:r>
        <w:rPr>
          <w:sz w:val="22"/>
          <w:szCs w:val="22"/>
        </w:rPr>
        <w:t xml:space="preserve">Discrimination </w:t>
      </w:r>
      <w:r w:rsidR="001512FF">
        <w:rPr>
          <w:sz w:val="22"/>
          <w:szCs w:val="22"/>
        </w:rPr>
        <w:t xml:space="preserve">against indigenous women and girls is </w:t>
      </w:r>
      <w:proofErr w:type="gramStart"/>
      <w:r w:rsidR="001512FF">
        <w:rPr>
          <w:sz w:val="22"/>
          <w:szCs w:val="22"/>
        </w:rPr>
        <w:t>prevalent</w:t>
      </w:r>
      <w:r w:rsidR="006073BE">
        <w:rPr>
          <w:sz w:val="22"/>
          <w:szCs w:val="22"/>
        </w:rPr>
        <w:t>, and</w:t>
      </w:r>
      <w:proofErr w:type="gramEnd"/>
      <w:r w:rsidR="006073BE">
        <w:rPr>
          <w:sz w:val="22"/>
          <w:szCs w:val="22"/>
        </w:rPr>
        <w:t xml:space="preserve"> is a form of violence itself</w:t>
      </w:r>
      <w:r>
        <w:rPr>
          <w:sz w:val="22"/>
          <w:szCs w:val="22"/>
        </w:rPr>
        <w:t xml:space="preserve">.  As was stressed by the </w:t>
      </w:r>
      <w:r w:rsidR="001D40E0">
        <w:rPr>
          <w:sz w:val="22"/>
          <w:szCs w:val="22"/>
        </w:rPr>
        <w:t>former</w:t>
      </w:r>
      <w:r>
        <w:rPr>
          <w:sz w:val="22"/>
          <w:szCs w:val="22"/>
        </w:rPr>
        <w:t xml:space="preserve">-United Nations Special Rapporteur on the rights of indigenous peoples, the “routine exclusion of indigenous women and girls from </w:t>
      </w:r>
      <w:r w:rsidRPr="00A7643D">
        <w:rPr>
          <w:sz w:val="22"/>
          <w:szCs w:val="22"/>
        </w:rPr>
        <w:t>the rights and resources otherwise guaranteed to citizens</w:t>
      </w:r>
      <w:r>
        <w:rPr>
          <w:sz w:val="22"/>
          <w:szCs w:val="22"/>
        </w:rPr>
        <w:t>” and the “endemic violations</w:t>
      </w:r>
      <w:r w:rsidRPr="00A7643D">
        <w:rPr>
          <w:sz w:val="22"/>
          <w:szCs w:val="22"/>
        </w:rPr>
        <w:t xml:space="preserve"> of </w:t>
      </w:r>
      <w:r>
        <w:rPr>
          <w:sz w:val="22"/>
          <w:szCs w:val="22"/>
        </w:rPr>
        <w:t xml:space="preserve">[their] </w:t>
      </w:r>
      <w:r w:rsidRPr="00A7643D">
        <w:rPr>
          <w:sz w:val="22"/>
          <w:szCs w:val="22"/>
        </w:rPr>
        <w:t>collective, civil and political, and economic, social and cultural rights</w:t>
      </w:r>
      <w:r>
        <w:rPr>
          <w:sz w:val="22"/>
          <w:szCs w:val="22"/>
        </w:rPr>
        <w:t xml:space="preserve">” </w:t>
      </w:r>
      <w:r w:rsidRPr="00A7643D">
        <w:rPr>
          <w:sz w:val="22"/>
          <w:szCs w:val="22"/>
        </w:rPr>
        <w:t>constitut</w:t>
      </w:r>
      <w:r w:rsidR="006073BE">
        <w:rPr>
          <w:sz w:val="22"/>
          <w:szCs w:val="22"/>
        </w:rPr>
        <w:t>e</w:t>
      </w:r>
      <w:r w:rsidRPr="00A7643D">
        <w:rPr>
          <w:sz w:val="22"/>
          <w:szCs w:val="22"/>
        </w:rPr>
        <w:t xml:space="preserve"> a form of structural violence against indigenous women.</w:t>
      </w:r>
      <w:r>
        <w:rPr>
          <w:rStyle w:val="Fodnotehenvisning"/>
          <w:sz w:val="22"/>
          <w:szCs w:val="22"/>
        </w:rPr>
        <w:footnoteReference w:id="2"/>
      </w:r>
      <w:r w:rsidRPr="00A7643D">
        <w:rPr>
          <w:sz w:val="22"/>
          <w:szCs w:val="22"/>
        </w:rPr>
        <w:t xml:space="preserve"> </w:t>
      </w:r>
      <w:r>
        <w:rPr>
          <w:sz w:val="22"/>
          <w:szCs w:val="22"/>
        </w:rPr>
        <w:t xml:space="preserve">  </w:t>
      </w:r>
    </w:p>
    <w:p w14:paraId="37C7E2F2" w14:textId="77777777" w:rsidR="00A45093" w:rsidRDefault="00A45093" w:rsidP="00A45093">
      <w:pPr>
        <w:ind w:firstLine="360"/>
        <w:jc w:val="both"/>
        <w:rPr>
          <w:sz w:val="22"/>
          <w:szCs w:val="22"/>
        </w:rPr>
      </w:pPr>
    </w:p>
    <w:p w14:paraId="0A5A38E1" w14:textId="2D828EAE" w:rsidR="00A45093" w:rsidRPr="00400DC5" w:rsidRDefault="00A45093" w:rsidP="00A45093">
      <w:pPr>
        <w:ind w:firstLine="360"/>
        <w:jc w:val="both"/>
        <w:rPr>
          <w:sz w:val="22"/>
          <w:szCs w:val="22"/>
        </w:rPr>
      </w:pPr>
      <w:r>
        <w:rPr>
          <w:sz w:val="22"/>
          <w:szCs w:val="22"/>
        </w:rPr>
        <w:t>Discrimination on the basis of gender and race is also a cause of the violence faced by indigenous women and girls, and a cause of the impunity and complacency with which this violence is treated by public officials.</w:t>
      </w:r>
      <w:r>
        <w:rPr>
          <w:rStyle w:val="Fodnotehenvisning"/>
          <w:sz w:val="22"/>
          <w:szCs w:val="22"/>
        </w:rPr>
        <w:footnoteReference w:id="3"/>
      </w:r>
      <w:r>
        <w:rPr>
          <w:sz w:val="22"/>
          <w:szCs w:val="22"/>
        </w:rPr>
        <w:t xml:space="preserve"> Dismissive responses from authorities, themselves often based on discriminatory and stereotyped beliefs, perpetuate and enhance </w:t>
      </w:r>
      <w:r w:rsidR="006073BE">
        <w:rPr>
          <w:sz w:val="22"/>
          <w:szCs w:val="22"/>
        </w:rPr>
        <w:t>these beliefs and</w:t>
      </w:r>
      <w:r>
        <w:rPr>
          <w:sz w:val="22"/>
          <w:szCs w:val="22"/>
        </w:rPr>
        <w:t xml:space="preserve"> perceptions of indigenous women </w:t>
      </w:r>
      <w:r w:rsidR="00A24F38">
        <w:rPr>
          <w:sz w:val="22"/>
          <w:szCs w:val="22"/>
        </w:rPr>
        <w:t xml:space="preserve">and girls </w:t>
      </w:r>
      <w:r>
        <w:rPr>
          <w:sz w:val="22"/>
          <w:szCs w:val="22"/>
        </w:rPr>
        <w:t>in society. This makes indigenous women and girls vulnerable to further violence. For instance, indigenous women in India stressed that violence against Adivasi women is rarely prosecuted or treated seriously, and worse, that Adivasi women have repeatedly reported being sexually abused or raped</w:t>
      </w:r>
      <w:r w:rsidRPr="00825335">
        <w:rPr>
          <w:sz w:val="22"/>
          <w:szCs w:val="22"/>
        </w:rPr>
        <w:t xml:space="preserve"> </w:t>
      </w:r>
      <w:r>
        <w:rPr>
          <w:sz w:val="22"/>
          <w:szCs w:val="22"/>
        </w:rPr>
        <w:t>while under police custody.</w:t>
      </w:r>
      <w:r>
        <w:rPr>
          <w:rStyle w:val="Fodnotehenvisning"/>
          <w:sz w:val="22"/>
          <w:szCs w:val="22"/>
        </w:rPr>
        <w:footnoteReference w:id="4"/>
      </w:r>
      <w:r>
        <w:rPr>
          <w:rStyle w:val="FodnotetekstTegn"/>
          <w:sz w:val="22"/>
          <w:szCs w:val="22"/>
        </w:rPr>
        <w:t xml:space="preserve"> A study in Bangladesh revealed that </w:t>
      </w:r>
      <w:r w:rsidRPr="00E8678B">
        <w:rPr>
          <w:sz w:val="22"/>
          <w:szCs w:val="22"/>
          <w:lang w:val="en-GB"/>
        </w:rPr>
        <w:t>“impunity has been the single most crucial factor contributing to increasing incidents of sexual and gender-based violence in the</w:t>
      </w:r>
      <w:r w:rsidR="006F6444">
        <w:rPr>
          <w:sz w:val="22"/>
          <w:szCs w:val="22"/>
          <w:lang w:val="en-GB"/>
        </w:rPr>
        <w:t xml:space="preserve"> [</w:t>
      </w:r>
      <w:r w:rsidR="006F6444" w:rsidRPr="001512FF">
        <w:rPr>
          <w:sz w:val="22"/>
          <w:szCs w:val="22"/>
          <w:lang w:val="en-AU"/>
        </w:rPr>
        <w:t>Chittagong Hill Tracts</w:t>
      </w:r>
      <w:r w:rsidR="006F6444">
        <w:rPr>
          <w:sz w:val="22"/>
          <w:szCs w:val="22"/>
          <w:lang w:val="en-AU"/>
        </w:rPr>
        <w:t>]</w:t>
      </w:r>
      <w:r w:rsidRPr="00E8678B">
        <w:rPr>
          <w:sz w:val="22"/>
          <w:szCs w:val="22"/>
          <w:lang w:val="en-GB"/>
        </w:rPr>
        <w:t>”.</w:t>
      </w:r>
      <w:r>
        <w:rPr>
          <w:rStyle w:val="Fodnotehenvisning"/>
          <w:sz w:val="22"/>
          <w:szCs w:val="22"/>
          <w:lang w:val="en-GB"/>
        </w:rPr>
        <w:footnoteReference w:id="5"/>
      </w:r>
      <w:r>
        <w:rPr>
          <w:rStyle w:val="FodnotetekstTegn"/>
          <w:sz w:val="22"/>
          <w:szCs w:val="22"/>
        </w:rPr>
        <w:t xml:space="preserve"> In Canada, a recent report highlighted how indigenous women and girls who went missing were generally viewed by authorities </w:t>
      </w:r>
      <w:r w:rsidRPr="00350903">
        <w:rPr>
          <w:sz w:val="22"/>
          <w:szCs w:val="22"/>
        </w:rPr>
        <w:t xml:space="preserve">through a lens of </w:t>
      </w:r>
      <w:r>
        <w:rPr>
          <w:sz w:val="22"/>
          <w:szCs w:val="22"/>
        </w:rPr>
        <w:t>“</w:t>
      </w:r>
      <w:r w:rsidRPr="00350903">
        <w:rPr>
          <w:sz w:val="22"/>
          <w:szCs w:val="22"/>
        </w:rPr>
        <w:t>pervasive racist and sexist stereotypes that ultimately blame Indigenous women</w:t>
      </w:r>
      <w:r>
        <w:rPr>
          <w:sz w:val="22"/>
          <w:szCs w:val="22"/>
        </w:rPr>
        <w:t xml:space="preserve"> and </w:t>
      </w:r>
      <w:r w:rsidRPr="00350903">
        <w:rPr>
          <w:sz w:val="22"/>
          <w:szCs w:val="22"/>
        </w:rPr>
        <w:t>girls</w:t>
      </w:r>
      <w:r>
        <w:rPr>
          <w:sz w:val="22"/>
          <w:szCs w:val="22"/>
        </w:rPr>
        <w:t xml:space="preserve"> </w:t>
      </w:r>
      <w:r w:rsidRPr="00350903">
        <w:rPr>
          <w:sz w:val="22"/>
          <w:szCs w:val="22"/>
        </w:rPr>
        <w:t>for the violence and difficulties they face</w:t>
      </w:r>
      <w:r>
        <w:rPr>
          <w:sz w:val="22"/>
          <w:szCs w:val="22"/>
        </w:rPr>
        <w:t>.”</w:t>
      </w:r>
      <w:r>
        <w:rPr>
          <w:rStyle w:val="Fodnotehenvisning"/>
          <w:sz w:val="22"/>
          <w:szCs w:val="22"/>
        </w:rPr>
        <w:footnoteReference w:id="6"/>
      </w:r>
      <w:r>
        <w:rPr>
          <w:sz w:val="22"/>
          <w:szCs w:val="22"/>
        </w:rPr>
        <w:t xml:space="preserve"> </w:t>
      </w:r>
    </w:p>
    <w:p w14:paraId="1BE7E80E" w14:textId="77777777" w:rsidR="00A45093" w:rsidRPr="00A45093" w:rsidRDefault="00A45093" w:rsidP="00A45093">
      <w:pPr>
        <w:rPr>
          <w:b/>
          <w:bCs/>
          <w:sz w:val="22"/>
          <w:szCs w:val="22"/>
        </w:rPr>
      </w:pPr>
    </w:p>
    <w:p w14:paraId="68E75D3E" w14:textId="12524706" w:rsidR="003954DC" w:rsidRDefault="003954DC" w:rsidP="003954DC">
      <w:pPr>
        <w:pStyle w:val="Listeafsnit"/>
        <w:numPr>
          <w:ilvl w:val="0"/>
          <w:numId w:val="6"/>
        </w:numPr>
        <w:rPr>
          <w:b/>
          <w:bCs/>
          <w:sz w:val="22"/>
          <w:szCs w:val="22"/>
        </w:rPr>
      </w:pPr>
      <w:r w:rsidRPr="00844724">
        <w:rPr>
          <w:b/>
          <w:bCs/>
          <w:sz w:val="22"/>
          <w:szCs w:val="22"/>
        </w:rPr>
        <w:t xml:space="preserve">Increased Likelihood of Violence </w:t>
      </w:r>
      <w:r>
        <w:rPr>
          <w:b/>
          <w:bCs/>
          <w:sz w:val="22"/>
          <w:szCs w:val="22"/>
        </w:rPr>
        <w:t xml:space="preserve">and Impunity </w:t>
      </w:r>
    </w:p>
    <w:p w14:paraId="6626E680" w14:textId="4C909FBC" w:rsidR="001512FF" w:rsidRDefault="001512FF" w:rsidP="003954DC">
      <w:pPr>
        <w:ind w:firstLine="360"/>
        <w:jc w:val="both"/>
        <w:rPr>
          <w:sz w:val="22"/>
          <w:szCs w:val="22"/>
        </w:rPr>
      </w:pPr>
      <w:r>
        <w:rPr>
          <w:sz w:val="22"/>
          <w:szCs w:val="22"/>
        </w:rPr>
        <w:t xml:space="preserve">Indigenous women </w:t>
      </w:r>
      <w:r w:rsidR="00A24F38">
        <w:rPr>
          <w:sz w:val="22"/>
          <w:szCs w:val="22"/>
        </w:rPr>
        <w:t xml:space="preserve">and girls </w:t>
      </w:r>
      <w:r>
        <w:rPr>
          <w:sz w:val="22"/>
          <w:szCs w:val="22"/>
        </w:rPr>
        <w:t xml:space="preserve">experience </w:t>
      </w:r>
      <w:r w:rsidR="00902DB8">
        <w:rPr>
          <w:sz w:val="22"/>
          <w:szCs w:val="22"/>
        </w:rPr>
        <w:t xml:space="preserve">diverse forms </w:t>
      </w:r>
      <w:r w:rsidR="00A24F38">
        <w:rPr>
          <w:sz w:val="22"/>
          <w:szCs w:val="22"/>
        </w:rPr>
        <w:t>of violence, in</w:t>
      </w:r>
      <w:r w:rsidR="00902DB8">
        <w:rPr>
          <w:sz w:val="22"/>
          <w:szCs w:val="22"/>
        </w:rPr>
        <w:t xml:space="preserve"> </w:t>
      </w:r>
      <w:r>
        <w:rPr>
          <w:sz w:val="22"/>
          <w:szCs w:val="22"/>
        </w:rPr>
        <w:t>disproportionate amounts</w:t>
      </w:r>
      <w:r w:rsidR="00A24F38">
        <w:rPr>
          <w:sz w:val="22"/>
          <w:szCs w:val="22"/>
        </w:rPr>
        <w:t>,</w:t>
      </w:r>
      <w:r>
        <w:rPr>
          <w:sz w:val="22"/>
          <w:szCs w:val="22"/>
        </w:rPr>
        <w:t xml:space="preserve"> as compared to other women</w:t>
      </w:r>
      <w:r w:rsidR="00A24F38">
        <w:rPr>
          <w:sz w:val="22"/>
          <w:szCs w:val="22"/>
        </w:rPr>
        <w:t xml:space="preserve"> and girls</w:t>
      </w:r>
      <w:r w:rsidR="00527700">
        <w:rPr>
          <w:sz w:val="22"/>
          <w:szCs w:val="22"/>
        </w:rPr>
        <w:t>.</w:t>
      </w:r>
      <w:r w:rsidR="004171E8">
        <w:rPr>
          <w:rStyle w:val="Fodnotehenvisning"/>
          <w:sz w:val="22"/>
          <w:szCs w:val="22"/>
        </w:rPr>
        <w:footnoteReference w:id="7"/>
      </w:r>
      <w:r w:rsidR="00527700">
        <w:rPr>
          <w:sz w:val="22"/>
          <w:szCs w:val="22"/>
        </w:rPr>
        <w:t xml:space="preserve"> This includes a higher exposition to various forms of</w:t>
      </w:r>
      <w:r>
        <w:rPr>
          <w:sz w:val="22"/>
          <w:szCs w:val="22"/>
        </w:rPr>
        <w:t xml:space="preserve"> sexual violence</w:t>
      </w:r>
      <w:r w:rsidR="00527700">
        <w:rPr>
          <w:sz w:val="22"/>
          <w:szCs w:val="22"/>
        </w:rPr>
        <w:t>, trafficking</w:t>
      </w:r>
      <w:r w:rsidR="00D07E8B">
        <w:rPr>
          <w:sz w:val="22"/>
          <w:szCs w:val="22"/>
        </w:rPr>
        <w:t>,</w:t>
      </w:r>
      <w:r w:rsidR="00527700">
        <w:rPr>
          <w:sz w:val="22"/>
          <w:szCs w:val="22"/>
        </w:rPr>
        <w:t xml:space="preserve"> </w:t>
      </w:r>
      <w:r w:rsidR="00902DB8">
        <w:rPr>
          <w:sz w:val="22"/>
          <w:szCs w:val="22"/>
        </w:rPr>
        <w:t xml:space="preserve">and </w:t>
      </w:r>
      <w:r>
        <w:rPr>
          <w:sz w:val="22"/>
          <w:szCs w:val="22"/>
        </w:rPr>
        <w:t>domestic violence</w:t>
      </w:r>
      <w:r w:rsidR="00902DB8">
        <w:rPr>
          <w:sz w:val="22"/>
          <w:szCs w:val="22"/>
        </w:rPr>
        <w:t xml:space="preserve">. Violence against Indigenous women and girls also occurs in contexts such as during armed conflicts and militarization of their territories, during the implementation of development, investment and extractive projects, and while exercising the defense of their human rights. </w:t>
      </w:r>
      <w:r w:rsidR="00A24F38">
        <w:rPr>
          <w:sz w:val="22"/>
          <w:szCs w:val="22"/>
        </w:rPr>
        <w:t xml:space="preserve"> </w:t>
      </w:r>
    </w:p>
    <w:p w14:paraId="634170E9" w14:textId="24FA9A74" w:rsidR="00527700" w:rsidRDefault="00A24F38" w:rsidP="003954DC">
      <w:pPr>
        <w:ind w:firstLine="360"/>
        <w:jc w:val="both"/>
        <w:rPr>
          <w:sz w:val="22"/>
          <w:szCs w:val="22"/>
        </w:rPr>
      </w:pPr>
      <w:r>
        <w:rPr>
          <w:sz w:val="22"/>
          <w:szCs w:val="22"/>
        </w:rPr>
        <w:t xml:space="preserve"> </w:t>
      </w:r>
    </w:p>
    <w:p w14:paraId="36003E39" w14:textId="7A737808" w:rsidR="003762AD" w:rsidRDefault="003954DC" w:rsidP="003954DC">
      <w:pPr>
        <w:ind w:firstLine="360"/>
        <w:jc w:val="both"/>
        <w:rPr>
          <w:sz w:val="22"/>
          <w:szCs w:val="22"/>
        </w:rPr>
      </w:pPr>
      <w:r>
        <w:rPr>
          <w:sz w:val="22"/>
          <w:szCs w:val="22"/>
        </w:rPr>
        <w:t>I</w:t>
      </w:r>
      <w:r w:rsidR="00796065">
        <w:rPr>
          <w:sz w:val="22"/>
          <w:szCs w:val="22"/>
        </w:rPr>
        <w:t>ndeed, i</w:t>
      </w:r>
      <w:r>
        <w:rPr>
          <w:sz w:val="22"/>
          <w:szCs w:val="22"/>
        </w:rPr>
        <w:t>ndigenous women</w:t>
      </w:r>
      <w:r w:rsidR="00A24F38">
        <w:rPr>
          <w:sz w:val="22"/>
          <w:szCs w:val="22"/>
        </w:rPr>
        <w:t xml:space="preserve"> and girls</w:t>
      </w:r>
      <w:r>
        <w:rPr>
          <w:sz w:val="22"/>
          <w:szCs w:val="22"/>
        </w:rPr>
        <w:t xml:space="preserve"> are significantly more likely </w:t>
      </w:r>
      <w:r w:rsidR="00F93D63">
        <w:rPr>
          <w:sz w:val="22"/>
          <w:szCs w:val="22"/>
        </w:rPr>
        <w:t xml:space="preserve">to be victims of different forms of sexual violence and </w:t>
      </w:r>
      <w:r>
        <w:rPr>
          <w:sz w:val="22"/>
          <w:szCs w:val="22"/>
        </w:rPr>
        <w:t>to experience rape than non-indigenous women</w:t>
      </w:r>
      <w:r w:rsidR="00A24F38">
        <w:rPr>
          <w:sz w:val="22"/>
          <w:szCs w:val="22"/>
        </w:rPr>
        <w:t xml:space="preserve"> and girls</w:t>
      </w:r>
      <w:r w:rsidR="00F93D63">
        <w:rPr>
          <w:sz w:val="22"/>
          <w:szCs w:val="22"/>
        </w:rPr>
        <w:t>.</w:t>
      </w:r>
      <w:r>
        <w:rPr>
          <w:rStyle w:val="Fodnotehenvisning"/>
          <w:sz w:val="22"/>
          <w:szCs w:val="22"/>
        </w:rPr>
        <w:footnoteReference w:id="8"/>
      </w:r>
      <w:r>
        <w:rPr>
          <w:sz w:val="22"/>
          <w:szCs w:val="22"/>
        </w:rPr>
        <w:t xml:space="preserve"> Indigenous women </w:t>
      </w:r>
      <w:r w:rsidR="00A24F38">
        <w:rPr>
          <w:sz w:val="22"/>
          <w:szCs w:val="22"/>
        </w:rPr>
        <w:t xml:space="preserve">and girls </w:t>
      </w:r>
      <w:r w:rsidR="0052170C">
        <w:rPr>
          <w:sz w:val="22"/>
          <w:szCs w:val="22"/>
        </w:rPr>
        <w:t xml:space="preserve">worldwide </w:t>
      </w:r>
      <w:r>
        <w:rPr>
          <w:sz w:val="22"/>
          <w:szCs w:val="22"/>
        </w:rPr>
        <w:t>who leave their families and communities fleeing difficult socio-economic conditions or armed conflicts, are also highly vulnerable to trafficking, including severe economic and sexual exploitation and sexual violence.</w:t>
      </w:r>
      <w:r>
        <w:rPr>
          <w:rStyle w:val="Fodnotehenvisning"/>
          <w:sz w:val="22"/>
          <w:szCs w:val="22"/>
        </w:rPr>
        <w:footnoteReference w:id="9"/>
      </w:r>
      <w:r>
        <w:rPr>
          <w:sz w:val="22"/>
          <w:szCs w:val="22"/>
        </w:rPr>
        <w:t xml:space="preserve"> In Nepal,</w:t>
      </w:r>
      <w:r w:rsidR="00EA7649">
        <w:rPr>
          <w:sz w:val="22"/>
          <w:szCs w:val="22"/>
        </w:rPr>
        <w:t xml:space="preserve"> </w:t>
      </w:r>
      <w:r w:rsidRPr="00BB419B">
        <w:rPr>
          <w:sz w:val="22"/>
          <w:szCs w:val="22"/>
        </w:rPr>
        <w:t>indigenous women and girls</w:t>
      </w:r>
      <w:r>
        <w:rPr>
          <w:sz w:val="22"/>
          <w:szCs w:val="22"/>
        </w:rPr>
        <w:t xml:space="preserve"> </w:t>
      </w:r>
      <w:r w:rsidR="006073BE">
        <w:rPr>
          <w:sz w:val="22"/>
          <w:szCs w:val="22"/>
        </w:rPr>
        <w:t>amount to</w:t>
      </w:r>
      <w:r w:rsidRPr="00BB419B">
        <w:rPr>
          <w:sz w:val="22"/>
          <w:szCs w:val="22"/>
        </w:rPr>
        <w:t xml:space="preserve"> almost 80% of the total of trafficked </w:t>
      </w:r>
      <w:r w:rsidR="006073BE">
        <w:rPr>
          <w:sz w:val="22"/>
          <w:szCs w:val="22"/>
        </w:rPr>
        <w:t>persons</w:t>
      </w:r>
      <w:r w:rsidRPr="00BB419B">
        <w:rPr>
          <w:sz w:val="22"/>
          <w:szCs w:val="22"/>
        </w:rPr>
        <w:t xml:space="preserve"> although the proportion of</w:t>
      </w:r>
      <w:r>
        <w:rPr>
          <w:sz w:val="22"/>
          <w:szCs w:val="22"/>
        </w:rPr>
        <w:t xml:space="preserve"> </w:t>
      </w:r>
      <w:r w:rsidRPr="00BB419B">
        <w:rPr>
          <w:sz w:val="22"/>
          <w:szCs w:val="22"/>
        </w:rPr>
        <w:t>indigenous peoples in Nepal is only officially 37%</w:t>
      </w:r>
      <w:r>
        <w:rPr>
          <w:sz w:val="22"/>
          <w:szCs w:val="22"/>
        </w:rPr>
        <w:t>.</w:t>
      </w:r>
      <w:r>
        <w:rPr>
          <w:rStyle w:val="Fodnotehenvisning"/>
          <w:sz w:val="22"/>
          <w:szCs w:val="22"/>
        </w:rPr>
        <w:footnoteReference w:id="10"/>
      </w:r>
      <w:r w:rsidRPr="0028482D">
        <w:rPr>
          <w:sz w:val="22"/>
          <w:szCs w:val="22"/>
        </w:rPr>
        <w:t xml:space="preserve"> </w:t>
      </w:r>
    </w:p>
    <w:p w14:paraId="0D1114FA" w14:textId="77777777" w:rsidR="003762AD" w:rsidRDefault="003762AD" w:rsidP="003954DC">
      <w:pPr>
        <w:ind w:firstLine="360"/>
        <w:jc w:val="both"/>
        <w:rPr>
          <w:sz w:val="22"/>
          <w:szCs w:val="22"/>
        </w:rPr>
      </w:pPr>
    </w:p>
    <w:p w14:paraId="58C7DF5F" w14:textId="27434724" w:rsidR="003954DC" w:rsidRDefault="003762AD" w:rsidP="003954DC">
      <w:pPr>
        <w:ind w:firstLine="360"/>
        <w:jc w:val="both"/>
        <w:rPr>
          <w:sz w:val="22"/>
          <w:szCs w:val="22"/>
        </w:rPr>
      </w:pPr>
      <w:r>
        <w:rPr>
          <w:sz w:val="22"/>
          <w:szCs w:val="22"/>
        </w:rPr>
        <w:t>I</w:t>
      </w:r>
      <w:r w:rsidR="001D40E0">
        <w:rPr>
          <w:sz w:val="22"/>
          <w:szCs w:val="22"/>
        </w:rPr>
        <w:t xml:space="preserve">ndigenous </w:t>
      </w:r>
      <w:r w:rsidR="00F81A09">
        <w:rPr>
          <w:sz w:val="22"/>
          <w:szCs w:val="22"/>
        </w:rPr>
        <w:t>w</w:t>
      </w:r>
      <w:r w:rsidR="001D40E0">
        <w:rPr>
          <w:sz w:val="22"/>
          <w:szCs w:val="22"/>
        </w:rPr>
        <w:t>omen</w:t>
      </w:r>
      <w:r w:rsidR="00F81A09">
        <w:rPr>
          <w:sz w:val="22"/>
          <w:szCs w:val="22"/>
        </w:rPr>
        <w:t xml:space="preserve"> and girls</w:t>
      </w:r>
      <w:r w:rsidR="001D40E0">
        <w:rPr>
          <w:sz w:val="22"/>
          <w:szCs w:val="22"/>
        </w:rPr>
        <w:t>’</w:t>
      </w:r>
      <w:r>
        <w:rPr>
          <w:sz w:val="22"/>
          <w:szCs w:val="22"/>
        </w:rPr>
        <w:t xml:space="preserve"> rights</w:t>
      </w:r>
      <w:r w:rsidR="002B16BC">
        <w:rPr>
          <w:sz w:val="22"/>
          <w:szCs w:val="22"/>
        </w:rPr>
        <w:t xml:space="preserve"> to physical integrity</w:t>
      </w:r>
      <w:r>
        <w:rPr>
          <w:sz w:val="22"/>
          <w:szCs w:val="22"/>
        </w:rPr>
        <w:t xml:space="preserve"> are</w:t>
      </w:r>
      <w:r w:rsidR="001D40E0">
        <w:rPr>
          <w:sz w:val="22"/>
          <w:szCs w:val="22"/>
        </w:rPr>
        <w:t xml:space="preserve"> also </w:t>
      </w:r>
      <w:r>
        <w:rPr>
          <w:sz w:val="22"/>
          <w:szCs w:val="22"/>
        </w:rPr>
        <w:t>violated</w:t>
      </w:r>
      <w:r w:rsidR="001D40E0">
        <w:rPr>
          <w:sz w:val="22"/>
          <w:szCs w:val="22"/>
        </w:rPr>
        <w:t xml:space="preserve"> </w:t>
      </w:r>
      <w:r>
        <w:rPr>
          <w:sz w:val="22"/>
          <w:szCs w:val="22"/>
        </w:rPr>
        <w:t xml:space="preserve">by their own communities </w:t>
      </w:r>
      <w:r w:rsidR="00AC0116">
        <w:rPr>
          <w:sz w:val="22"/>
          <w:szCs w:val="22"/>
        </w:rPr>
        <w:t>through</w:t>
      </w:r>
      <w:r>
        <w:rPr>
          <w:sz w:val="22"/>
          <w:szCs w:val="22"/>
        </w:rPr>
        <w:t xml:space="preserve"> different traditional, harmful practices. For example, </w:t>
      </w:r>
      <w:r w:rsidR="00F81A09">
        <w:rPr>
          <w:sz w:val="22"/>
          <w:szCs w:val="22"/>
        </w:rPr>
        <w:t>a</w:t>
      </w:r>
      <w:r w:rsidR="003954DC">
        <w:rPr>
          <w:sz w:val="22"/>
          <w:szCs w:val="22"/>
        </w:rPr>
        <w:t>cross Sub-Saharan Africa, early and forced marriages remain a major concern</w:t>
      </w:r>
      <w:r w:rsidR="008011D5">
        <w:rPr>
          <w:sz w:val="22"/>
          <w:szCs w:val="22"/>
        </w:rPr>
        <w:t xml:space="preserve"> for indigenous girls</w:t>
      </w:r>
      <w:r w:rsidR="003954DC">
        <w:rPr>
          <w:sz w:val="22"/>
          <w:szCs w:val="22"/>
        </w:rPr>
        <w:t xml:space="preserve">. Early marriage is closely related to removal from school, higher </w:t>
      </w:r>
      <w:r w:rsidR="003F0623">
        <w:rPr>
          <w:sz w:val="22"/>
          <w:szCs w:val="22"/>
        </w:rPr>
        <w:t>probability</w:t>
      </w:r>
      <w:r w:rsidR="003954DC">
        <w:rPr>
          <w:sz w:val="22"/>
          <w:szCs w:val="22"/>
        </w:rPr>
        <w:t xml:space="preserve"> of domestic violence, complications in pregnancy and childbirth, among other harmful impacts.</w:t>
      </w:r>
      <w:r w:rsidR="003954DC">
        <w:rPr>
          <w:rStyle w:val="Fodnotehenvisning"/>
          <w:sz w:val="22"/>
          <w:szCs w:val="22"/>
        </w:rPr>
        <w:footnoteReference w:id="11"/>
      </w:r>
      <w:r w:rsidR="003954DC">
        <w:rPr>
          <w:rStyle w:val="FodnotetekstTegn"/>
          <w:sz w:val="22"/>
          <w:szCs w:val="22"/>
        </w:rPr>
        <w:t xml:space="preserve"> </w:t>
      </w:r>
      <w:r w:rsidR="00EA7649">
        <w:rPr>
          <w:rStyle w:val="FodnotetekstTegn"/>
          <w:sz w:val="22"/>
          <w:szCs w:val="22"/>
        </w:rPr>
        <w:t>A</w:t>
      </w:r>
      <w:r w:rsidR="003954DC">
        <w:rPr>
          <w:rStyle w:val="FodnotetekstTegn"/>
          <w:sz w:val="22"/>
          <w:szCs w:val="22"/>
        </w:rPr>
        <w:t xml:space="preserve"> </w:t>
      </w:r>
      <w:r w:rsidR="00EA7649">
        <w:rPr>
          <w:rStyle w:val="FodnotetekstTegn"/>
          <w:sz w:val="22"/>
          <w:szCs w:val="22"/>
        </w:rPr>
        <w:t xml:space="preserve">prevalent practice called </w:t>
      </w:r>
      <w:r w:rsidR="003954DC">
        <w:rPr>
          <w:rStyle w:val="FodnotetekstTegn"/>
          <w:sz w:val="22"/>
          <w:szCs w:val="22"/>
        </w:rPr>
        <w:t xml:space="preserve">“beading” in </w:t>
      </w:r>
      <w:r w:rsidR="00EA7649">
        <w:rPr>
          <w:rStyle w:val="FodnotetekstTegn"/>
          <w:sz w:val="22"/>
          <w:szCs w:val="22"/>
        </w:rPr>
        <w:t xml:space="preserve">the Samburu region in </w:t>
      </w:r>
      <w:r w:rsidR="003954DC">
        <w:rPr>
          <w:rStyle w:val="FodnotetekstTegn"/>
          <w:sz w:val="22"/>
          <w:szCs w:val="22"/>
        </w:rPr>
        <w:t xml:space="preserve">Kenya, where </w:t>
      </w:r>
      <w:r w:rsidR="00EA7649">
        <w:rPr>
          <w:rStyle w:val="FodnotetekstTegn"/>
          <w:sz w:val="22"/>
          <w:szCs w:val="22"/>
        </w:rPr>
        <w:t>m</w:t>
      </w:r>
      <w:r w:rsidR="003954DC">
        <w:rPr>
          <w:rStyle w:val="FodnotetekstTegn"/>
          <w:sz w:val="22"/>
          <w:szCs w:val="22"/>
        </w:rPr>
        <w:t xml:space="preserve">en </w:t>
      </w:r>
      <w:r w:rsidR="00F93D63">
        <w:rPr>
          <w:rStyle w:val="FodnotetekstTegn"/>
          <w:sz w:val="22"/>
          <w:szCs w:val="22"/>
        </w:rPr>
        <w:t>of</w:t>
      </w:r>
      <w:r w:rsidR="003954DC">
        <w:rPr>
          <w:rStyle w:val="FodnotetekstTegn"/>
          <w:sz w:val="22"/>
          <w:szCs w:val="22"/>
        </w:rPr>
        <w:t xml:space="preserve"> the “warrior” age group can have sanctioned sexual relations with young girls as young as 9 years old in exchange for specialized beads and other goods</w:t>
      </w:r>
      <w:r w:rsidR="00EA7649">
        <w:rPr>
          <w:rStyle w:val="FodnotetekstTegn"/>
          <w:sz w:val="22"/>
          <w:szCs w:val="22"/>
        </w:rPr>
        <w:t>, constitute</w:t>
      </w:r>
      <w:r w:rsidR="008011D5">
        <w:rPr>
          <w:rStyle w:val="FodnotetekstTegn"/>
          <w:sz w:val="22"/>
          <w:szCs w:val="22"/>
        </w:rPr>
        <w:t>s</w:t>
      </w:r>
      <w:r w:rsidR="00EA7649">
        <w:rPr>
          <w:rStyle w:val="FodnotetekstTegn"/>
          <w:sz w:val="22"/>
          <w:szCs w:val="22"/>
        </w:rPr>
        <w:t xml:space="preserve"> a </w:t>
      </w:r>
      <w:r w:rsidR="00F93D63">
        <w:rPr>
          <w:rStyle w:val="FodnotetekstTegn"/>
          <w:sz w:val="22"/>
          <w:szCs w:val="22"/>
        </w:rPr>
        <w:t>serious</w:t>
      </w:r>
      <w:r w:rsidR="00EA7649">
        <w:rPr>
          <w:rStyle w:val="FodnotetekstTegn"/>
          <w:sz w:val="22"/>
          <w:szCs w:val="22"/>
        </w:rPr>
        <w:t xml:space="preserve"> violation of indigenous girls’ rights</w:t>
      </w:r>
      <w:r w:rsidR="003954DC">
        <w:rPr>
          <w:rStyle w:val="FodnotetekstTegn"/>
          <w:sz w:val="22"/>
          <w:szCs w:val="22"/>
        </w:rPr>
        <w:t>.</w:t>
      </w:r>
      <w:r w:rsidR="003954DC">
        <w:rPr>
          <w:rStyle w:val="Fodnotehenvisning"/>
          <w:sz w:val="22"/>
          <w:szCs w:val="22"/>
        </w:rPr>
        <w:footnoteReference w:id="12"/>
      </w:r>
      <w:r w:rsidR="003954DC">
        <w:rPr>
          <w:rStyle w:val="FodnotetekstTegn"/>
          <w:sz w:val="22"/>
          <w:szCs w:val="22"/>
        </w:rPr>
        <w:t xml:space="preserve"> Beading leads to interrupted education for girls</w:t>
      </w:r>
      <w:r w:rsidR="00F81A09">
        <w:rPr>
          <w:rStyle w:val="FodnotetekstTegn"/>
          <w:sz w:val="22"/>
          <w:szCs w:val="22"/>
        </w:rPr>
        <w:t>,</w:t>
      </w:r>
      <w:r w:rsidR="003954DC">
        <w:rPr>
          <w:rStyle w:val="FodnotetekstTegn"/>
          <w:sz w:val="22"/>
          <w:szCs w:val="22"/>
        </w:rPr>
        <w:t xml:space="preserve"> high illiteracy rates, exposition to physical violence, increased risk of </w:t>
      </w:r>
      <w:r w:rsidR="00F81A09">
        <w:rPr>
          <w:rStyle w:val="FodnotetekstTegn"/>
          <w:sz w:val="22"/>
          <w:szCs w:val="22"/>
        </w:rPr>
        <w:t>STDs</w:t>
      </w:r>
      <w:r w:rsidR="003954DC">
        <w:rPr>
          <w:rStyle w:val="FodnotetekstTegn"/>
          <w:sz w:val="22"/>
          <w:szCs w:val="22"/>
        </w:rPr>
        <w:t>, early pregnancies</w:t>
      </w:r>
      <w:r w:rsidR="008011D5">
        <w:rPr>
          <w:rStyle w:val="FodnotetekstTegn"/>
          <w:sz w:val="22"/>
          <w:szCs w:val="22"/>
        </w:rPr>
        <w:t>,</w:t>
      </w:r>
      <w:r w:rsidR="003954DC">
        <w:rPr>
          <w:rStyle w:val="FodnotetekstTegn"/>
          <w:sz w:val="22"/>
          <w:szCs w:val="22"/>
        </w:rPr>
        <w:t xml:space="preserve"> forced abortion or infanticide, </w:t>
      </w:r>
      <w:r w:rsidR="00F93D63">
        <w:rPr>
          <w:rStyle w:val="FodnotetekstTegn"/>
          <w:sz w:val="22"/>
          <w:szCs w:val="22"/>
        </w:rPr>
        <w:t xml:space="preserve">as well as </w:t>
      </w:r>
      <w:r w:rsidR="003954DC">
        <w:rPr>
          <w:rStyle w:val="FodnotetekstTegn"/>
          <w:sz w:val="22"/>
          <w:szCs w:val="22"/>
        </w:rPr>
        <w:t xml:space="preserve">psychological trauma as a result of the non-consensual </w:t>
      </w:r>
      <w:r w:rsidR="00A24F38">
        <w:rPr>
          <w:rStyle w:val="FodnotetekstTegn"/>
          <w:sz w:val="22"/>
          <w:szCs w:val="22"/>
        </w:rPr>
        <w:t xml:space="preserve">sexual </w:t>
      </w:r>
      <w:r w:rsidR="003954DC">
        <w:rPr>
          <w:rStyle w:val="FodnotetekstTegn"/>
          <w:sz w:val="22"/>
          <w:szCs w:val="22"/>
        </w:rPr>
        <w:t>relations and violence.</w:t>
      </w:r>
      <w:r w:rsidR="003954DC">
        <w:rPr>
          <w:rStyle w:val="Fodnotehenvisning"/>
          <w:sz w:val="22"/>
          <w:szCs w:val="22"/>
        </w:rPr>
        <w:footnoteReference w:id="13"/>
      </w:r>
      <w:r w:rsidR="003954DC">
        <w:rPr>
          <w:rStyle w:val="FodnotetekstTegn"/>
          <w:sz w:val="22"/>
          <w:szCs w:val="22"/>
        </w:rPr>
        <w:t xml:space="preserve"> </w:t>
      </w:r>
      <w:r w:rsidR="00AD7DF8">
        <w:rPr>
          <w:rStyle w:val="FodnotetekstTegn"/>
          <w:sz w:val="22"/>
          <w:szCs w:val="22"/>
        </w:rPr>
        <w:t>In India, Indigenous Women face brutal human rights violations when their communities brand them as witches</w:t>
      </w:r>
      <w:r w:rsidR="00281CC7">
        <w:rPr>
          <w:rStyle w:val="FodnotetekstTegn"/>
          <w:sz w:val="22"/>
          <w:szCs w:val="22"/>
        </w:rPr>
        <w:t>: y</w:t>
      </w:r>
      <w:r w:rsidR="00AD7DF8">
        <w:rPr>
          <w:rStyle w:val="FodnotetekstTegn"/>
          <w:sz w:val="22"/>
          <w:szCs w:val="22"/>
        </w:rPr>
        <w:t xml:space="preserve">oung women </w:t>
      </w:r>
      <w:r w:rsidR="00281CC7">
        <w:rPr>
          <w:rStyle w:val="FodnotetekstTegn"/>
          <w:sz w:val="22"/>
          <w:szCs w:val="22"/>
        </w:rPr>
        <w:t xml:space="preserve">branded </w:t>
      </w:r>
      <w:r w:rsidR="00AD7DF8">
        <w:rPr>
          <w:rStyle w:val="FodnotetekstTegn"/>
          <w:sz w:val="22"/>
          <w:szCs w:val="22"/>
        </w:rPr>
        <w:t>a</w:t>
      </w:r>
      <w:r w:rsidR="00281CC7">
        <w:rPr>
          <w:rStyle w:val="FodnotetekstTegn"/>
          <w:sz w:val="22"/>
          <w:szCs w:val="22"/>
        </w:rPr>
        <w:t>s</w:t>
      </w:r>
      <w:r w:rsidR="00AD7DF8">
        <w:rPr>
          <w:rStyle w:val="FodnotetekstTegn"/>
          <w:sz w:val="22"/>
          <w:szCs w:val="22"/>
        </w:rPr>
        <w:t xml:space="preserve"> </w:t>
      </w:r>
      <w:r w:rsidR="00281CC7">
        <w:rPr>
          <w:rStyle w:val="FodnotetekstTegn"/>
          <w:sz w:val="22"/>
          <w:szCs w:val="22"/>
        </w:rPr>
        <w:t>“</w:t>
      </w:r>
      <w:r w:rsidR="00AD7DF8">
        <w:rPr>
          <w:rStyle w:val="FodnotetekstTegn"/>
          <w:sz w:val="22"/>
          <w:szCs w:val="22"/>
        </w:rPr>
        <w:t>witch</w:t>
      </w:r>
      <w:r w:rsidR="00281CC7">
        <w:rPr>
          <w:rStyle w:val="FodnotetekstTegn"/>
          <w:sz w:val="22"/>
          <w:szCs w:val="22"/>
        </w:rPr>
        <w:t>es”</w:t>
      </w:r>
      <w:r w:rsidR="00AD7DF8">
        <w:rPr>
          <w:rStyle w:val="FodnotetekstTegn"/>
          <w:sz w:val="22"/>
          <w:szCs w:val="22"/>
        </w:rPr>
        <w:t xml:space="preserve"> and shunned from their communities at best, </w:t>
      </w:r>
      <w:r w:rsidR="00281CC7">
        <w:rPr>
          <w:rStyle w:val="FodnotetekstTegn"/>
          <w:sz w:val="22"/>
          <w:szCs w:val="22"/>
        </w:rPr>
        <w:t>and at times</w:t>
      </w:r>
      <w:r w:rsidR="00AD7DF8">
        <w:rPr>
          <w:rStyle w:val="FodnotetekstTegn"/>
          <w:sz w:val="22"/>
          <w:szCs w:val="22"/>
        </w:rPr>
        <w:t xml:space="preserve"> </w:t>
      </w:r>
      <w:r w:rsidR="00281CC7">
        <w:rPr>
          <w:rStyle w:val="FodnotetekstTegn"/>
          <w:sz w:val="22"/>
          <w:szCs w:val="22"/>
        </w:rPr>
        <w:t xml:space="preserve">even stoned, </w:t>
      </w:r>
      <w:r w:rsidR="00AD7DF8">
        <w:rPr>
          <w:rStyle w:val="FodnotetekstTegn"/>
          <w:sz w:val="22"/>
          <w:szCs w:val="22"/>
        </w:rPr>
        <w:t>tortured and killed.</w:t>
      </w:r>
      <w:r w:rsidR="00281CC7">
        <w:rPr>
          <w:rStyle w:val="Fodnotehenvisning"/>
          <w:sz w:val="22"/>
          <w:szCs w:val="22"/>
        </w:rPr>
        <w:footnoteReference w:id="14"/>
      </w:r>
      <w:r w:rsidR="00281CC7">
        <w:rPr>
          <w:sz w:val="22"/>
          <w:szCs w:val="22"/>
        </w:rPr>
        <w:t xml:space="preserve"> </w:t>
      </w:r>
    </w:p>
    <w:p w14:paraId="06D130E2" w14:textId="77777777" w:rsidR="003954DC" w:rsidRDefault="003954DC" w:rsidP="003954DC">
      <w:pPr>
        <w:ind w:firstLine="360"/>
        <w:jc w:val="both"/>
        <w:rPr>
          <w:sz w:val="22"/>
          <w:szCs w:val="22"/>
        </w:rPr>
      </w:pPr>
    </w:p>
    <w:p w14:paraId="34D9BBB2" w14:textId="1B89193E" w:rsidR="00743DDF" w:rsidRDefault="003954DC" w:rsidP="00743DDF">
      <w:pPr>
        <w:ind w:firstLine="360"/>
        <w:jc w:val="both"/>
        <w:rPr>
          <w:sz w:val="22"/>
          <w:szCs w:val="22"/>
        </w:rPr>
      </w:pPr>
      <w:r>
        <w:rPr>
          <w:sz w:val="22"/>
          <w:szCs w:val="22"/>
        </w:rPr>
        <w:t>Indigenous women</w:t>
      </w:r>
      <w:r w:rsidR="00A24F38">
        <w:rPr>
          <w:sz w:val="22"/>
          <w:szCs w:val="22"/>
        </w:rPr>
        <w:t xml:space="preserve"> and girls</w:t>
      </w:r>
      <w:r>
        <w:rPr>
          <w:sz w:val="22"/>
          <w:szCs w:val="22"/>
        </w:rPr>
        <w:t xml:space="preserve"> across all regions are significantly more likely to be victims of domestic violence than non-indigenous women, both from non-indigenous and indigenous partners.</w:t>
      </w:r>
      <w:r>
        <w:rPr>
          <w:rStyle w:val="Fodnotehenvisning"/>
          <w:sz w:val="22"/>
          <w:szCs w:val="22"/>
        </w:rPr>
        <w:footnoteReference w:id="15"/>
      </w:r>
      <w:r>
        <w:rPr>
          <w:sz w:val="22"/>
          <w:szCs w:val="22"/>
        </w:rPr>
        <w:t xml:space="preserve"> </w:t>
      </w:r>
      <w:r w:rsidR="00B309E3" w:rsidRPr="00B309E3">
        <w:rPr>
          <w:sz w:val="22"/>
          <w:szCs w:val="22"/>
        </w:rPr>
        <w:t xml:space="preserve">The </w:t>
      </w:r>
      <w:r w:rsidR="00B309E3">
        <w:rPr>
          <w:sz w:val="22"/>
          <w:szCs w:val="22"/>
        </w:rPr>
        <w:t>IACHR has discussed</w:t>
      </w:r>
      <w:r w:rsidR="00B309E3" w:rsidRPr="00B309E3">
        <w:rPr>
          <w:sz w:val="22"/>
          <w:szCs w:val="22"/>
        </w:rPr>
        <w:t xml:space="preserve"> the prevalence of</w:t>
      </w:r>
      <w:r w:rsidR="00B309E3">
        <w:rPr>
          <w:sz w:val="22"/>
          <w:szCs w:val="22"/>
        </w:rPr>
        <w:t xml:space="preserve"> </w:t>
      </w:r>
      <w:r w:rsidR="00B309E3" w:rsidRPr="00B309E3">
        <w:rPr>
          <w:sz w:val="22"/>
          <w:szCs w:val="22"/>
        </w:rPr>
        <w:t>domestic violence suffered by indigenous women</w:t>
      </w:r>
      <w:r w:rsidR="00B309E3">
        <w:rPr>
          <w:sz w:val="22"/>
          <w:szCs w:val="22"/>
        </w:rPr>
        <w:t xml:space="preserve"> throughout the Americas and published harrowing statistics from </w:t>
      </w:r>
      <w:r w:rsidR="00B309E3" w:rsidRPr="00B309E3">
        <w:rPr>
          <w:sz w:val="22"/>
          <w:szCs w:val="22"/>
        </w:rPr>
        <w:t>Guatemala, Mexico, Bolivia, Brazil, Ecuador, Canada</w:t>
      </w:r>
      <w:r w:rsidR="003F0623">
        <w:rPr>
          <w:sz w:val="22"/>
          <w:szCs w:val="22"/>
        </w:rPr>
        <w:t>,</w:t>
      </w:r>
      <w:r w:rsidR="00B309E3" w:rsidRPr="00B309E3">
        <w:rPr>
          <w:sz w:val="22"/>
          <w:szCs w:val="22"/>
        </w:rPr>
        <w:t xml:space="preserve"> and the </w:t>
      </w:r>
      <w:r w:rsidR="00281CC7">
        <w:rPr>
          <w:sz w:val="22"/>
          <w:szCs w:val="22"/>
        </w:rPr>
        <w:t>USA</w:t>
      </w:r>
      <w:r w:rsidR="00B309E3" w:rsidRPr="00B309E3">
        <w:rPr>
          <w:sz w:val="22"/>
          <w:szCs w:val="22"/>
        </w:rPr>
        <w:t>.</w:t>
      </w:r>
      <w:r w:rsidR="00B309E3">
        <w:rPr>
          <w:rStyle w:val="Fodnotehenvisning"/>
          <w:sz w:val="22"/>
          <w:szCs w:val="22"/>
        </w:rPr>
        <w:footnoteReference w:id="16"/>
      </w:r>
      <w:r w:rsidR="00B309E3">
        <w:rPr>
          <w:sz w:val="22"/>
          <w:szCs w:val="22"/>
        </w:rPr>
        <w:t xml:space="preserve"> </w:t>
      </w:r>
      <w:r w:rsidR="00281CC7">
        <w:rPr>
          <w:sz w:val="22"/>
          <w:szCs w:val="22"/>
        </w:rPr>
        <w:t xml:space="preserve">In Cameroon, </w:t>
      </w:r>
      <w:r>
        <w:rPr>
          <w:sz w:val="22"/>
          <w:szCs w:val="22"/>
        </w:rPr>
        <w:t xml:space="preserve">55% of </w:t>
      </w:r>
      <w:r w:rsidR="00B566EF">
        <w:rPr>
          <w:sz w:val="22"/>
          <w:szCs w:val="22"/>
        </w:rPr>
        <w:t xml:space="preserve">Indigenous </w:t>
      </w:r>
      <w:proofErr w:type="spellStart"/>
      <w:r w:rsidR="00B566EF">
        <w:rPr>
          <w:sz w:val="22"/>
          <w:szCs w:val="22"/>
        </w:rPr>
        <w:t>Mbororo</w:t>
      </w:r>
      <w:proofErr w:type="spellEnd"/>
      <w:r w:rsidR="00B566EF">
        <w:rPr>
          <w:sz w:val="22"/>
          <w:szCs w:val="22"/>
        </w:rPr>
        <w:t xml:space="preserve"> women </w:t>
      </w:r>
      <w:r>
        <w:rPr>
          <w:sz w:val="22"/>
          <w:szCs w:val="22"/>
        </w:rPr>
        <w:t>reported suffering violence before the age of 15.</w:t>
      </w:r>
      <w:r>
        <w:rPr>
          <w:rStyle w:val="Fodnotehenvisning"/>
          <w:sz w:val="22"/>
          <w:szCs w:val="22"/>
        </w:rPr>
        <w:footnoteReference w:id="17"/>
      </w:r>
      <w:r>
        <w:rPr>
          <w:sz w:val="22"/>
          <w:szCs w:val="22"/>
        </w:rPr>
        <w:t xml:space="preserve"> </w:t>
      </w:r>
      <w:r w:rsidR="00281CC7">
        <w:rPr>
          <w:sz w:val="22"/>
          <w:szCs w:val="22"/>
        </w:rPr>
        <w:t>D</w:t>
      </w:r>
      <w:r w:rsidR="00743DDF">
        <w:rPr>
          <w:sz w:val="22"/>
          <w:szCs w:val="22"/>
        </w:rPr>
        <w:t xml:space="preserve">omestic violence </w:t>
      </w:r>
      <w:r w:rsidR="00743DDF" w:rsidRPr="00FD4C53">
        <w:rPr>
          <w:sz w:val="22"/>
          <w:szCs w:val="22"/>
        </w:rPr>
        <w:t xml:space="preserve">may be felt more acutely by indigenous women </w:t>
      </w:r>
      <w:r w:rsidR="00A24F38">
        <w:rPr>
          <w:sz w:val="22"/>
          <w:szCs w:val="22"/>
        </w:rPr>
        <w:t xml:space="preserve">and girls </w:t>
      </w:r>
      <w:r w:rsidR="00743DDF" w:rsidRPr="00FD4C53">
        <w:rPr>
          <w:sz w:val="22"/>
          <w:szCs w:val="22"/>
        </w:rPr>
        <w:t>owing to</w:t>
      </w:r>
      <w:r w:rsidR="00743DDF">
        <w:rPr>
          <w:sz w:val="22"/>
          <w:szCs w:val="22"/>
        </w:rPr>
        <w:t xml:space="preserve"> the </w:t>
      </w:r>
      <w:r w:rsidR="00743DDF" w:rsidRPr="00FD4C53">
        <w:rPr>
          <w:sz w:val="22"/>
          <w:szCs w:val="22"/>
        </w:rPr>
        <w:t>lack of access to support services and justice, as well as their specific cultural and economic</w:t>
      </w:r>
      <w:r w:rsidR="00743DDF">
        <w:rPr>
          <w:sz w:val="22"/>
          <w:szCs w:val="22"/>
        </w:rPr>
        <w:t xml:space="preserve"> </w:t>
      </w:r>
      <w:r w:rsidR="00743DDF" w:rsidRPr="00FD4C53">
        <w:rPr>
          <w:sz w:val="22"/>
          <w:szCs w:val="22"/>
        </w:rPr>
        <w:t>circumstances.</w:t>
      </w:r>
      <w:r w:rsidR="00743DDF">
        <w:rPr>
          <w:rStyle w:val="Fodnotehenvisning"/>
          <w:sz w:val="22"/>
          <w:szCs w:val="22"/>
        </w:rPr>
        <w:footnoteReference w:id="18"/>
      </w:r>
      <w:r w:rsidR="00743DDF">
        <w:rPr>
          <w:sz w:val="22"/>
          <w:szCs w:val="22"/>
        </w:rPr>
        <w:t xml:space="preserve"> </w:t>
      </w:r>
      <w:r w:rsidR="00A24F38">
        <w:rPr>
          <w:sz w:val="22"/>
          <w:szCs w:val="22"/>
        </w:rPr>
        <w:t xml:space="preserve"> </w:t>
      </w:r>
    </w:p>
    <w:p w14:paraId="17CA0A28" w14:textId="77777777" w:rsidR="0046037F" w:rsidRDefault="0046037F" w:rsidP="0046037F">
      <w:pPr>
        <w:ind w:firstLine="360"/>
        <w:jc w:val="both"/>
        <w:rPr>
          <w:sz w:val="22"/>
          <w:szCs w:val="22"/>
        </w:rPr>
      </w:pPr>
    </w:p>
    <w:p w14:paraId="301A8633" w14:textId="32EDBD0D" w:rsidR="0046037F" w:rsidRDefault="0046037F" w:rsidP="0046037F">
      <w:pPr>
        <w:ind w:firstLine="360"/>
        <w:jc w:val="both"/>
        <w:rPr>
          <w:sz w:val="22"/>
          <w:szCs w:val="22"/>
        </w:rPr>
      </w:pPr>
      <w:r>
        <w:rPr>
          <w:sz w:val="22"/>
          <w:szCs w:val="22"/>
        </w:rPr>
        <w:t xml:space="preserve">Indigenous women also face discrimination and violence in </w:t>
      </w:r>
      <w:r w:rsidR="006F6444">
        <w:rPr>
          <w:sz w:val="22"/>
          <w:szCs w:val="22"/>
        </w:rPr>
        <w:t xml:space="preserve">the </w:t>
      </w:r>
      <w:r w:rsidR="00E15FF3">
        <w:rPr>
          <w:sz w:val="22"/>
          <w:szCs w:val="22"/>
        </w:rPr>
        <w:t>exercise</w:t>
      </w:r>
      <w:r w:rsidR="006F6444">
        <w:rPr>
          <w:sz w:val="22"/>
          <w:szCs w:val="22"/>
        </w:rPr>
        <w:t xml:space="preserve"> of their economic, social and cultural rights.</w:t>
      </w:r>
      <w:r w:rsidR="00245938">
        <w:rPr>
          <w:sz w:val="22"/>
          <w:szCs w:val="22"/>
        </w:rPr>
        <w:t xml:space="preserve"> Indigenous girls are at higher risk of sexual violence </w:t>
      </w:r>
      <w:r w:rsidR="000C2183">
        <w:rPr>
          <w:sz w:val="22"/>
          <w:szCs w:val="22"/>
        </w:rPr>
        <w:t xml:space="preserve">on their </w:t>
      </w:r>
      <w:r w:rsidR="003762AD">
        <w:rPr>
          <w:sz w:val="22"/>
          <w:szCs w:val="22"/>
        </w:rPr>
        <w:t>way to and</w:t>
      </w:r>
      <w:r w:rsidR="000C2183">
        <w:rPr>
          <w:sz w:val="22"/>
          <w:szCs w:val="22"/>
        </w:rPr>
        <w:t xml:space="preserve"> from school,</w:t>
      </w:r>
      <w:r w:rsidR="003762AD">
        <w:rPr>
          <w:sz w:val="22"/>
          <w:szCs w:val="22"/>
        </w:rPr>
        <w:t xml:space="preserve"> or when they move away from their communities </w:t>
      </w:r>
      <w:r w:rsidR="00D07E8B">
        <w:rPr>
          <w:sz w:val="22"/>
          <w:szCs w:val="22"/>
        </w:rPr>
        <w:t>to study</w:t>
      </w:r>
      <w:r w:rsidR="003762AD">
        <w:rPr>
          <w:sz w:val="22"/>
          <w:szCs w:val="22"/>
        </w:rPr>
        <w:t>,</w:t>
      </w:r>
      <w:r w:rsidR="000C2183">
        <w:rPr>
          <w:sz w:val="22"/>
          <w:szCs w:val="22"/>
        </w:rPr>
        <w:t xml:space="preserve"> </w:t>
      </w:r>
      <w:r w:rsidR="00245938">
        <w:rPr>
          <w:sz w:val="22"/>
          <w:szCs w:val="22"/>
        </w:rPr>
        <w:t xml:space="preserve">as </w:t>
      </w:r>
      <w:r w:rsidR="00E15FF3">
        <w:rPr>
          <w:sz w:val="22"/>
          <w:szCs w:val="22"/>
        </w:rPr>
        <w:t xml:space="preserve">a result of the remoteness of many indigenous communities and the long distances </w:t>
      </w:r>
      <w:r w:rsidR="00245938">
        <w:rPr>
          <w:sz w:val="22"/>
          <w:szCs w:val="22"/>
        </w:rPr>
        <w:t>they</w:t>
      </w:r>
      <w:r w:rsidR="00E15FF3">
        <w:rPr>
          <w:sz w:val="22"/>
          <w:szCs w:val="22"/>
        </w:rPr>
        <w:t xml:space="preserve"> need to travel to attend school</w:t>
      </w:r>
      <w:r w:rsidR="00245938">
        <w:rPr>
          <w:sz w:val="22"/>
          <w:szCs w:val="22"/>
        </w:rPr>
        <w:t>.</w:t>
      </w:r>
      <w:r w:rsidR="00245938">
        <w:rPr>
          <w:rStyle w:val="Fodnotehenvisning"/>
          <w:sz w:val="22"/>
          <w:szCs w:val="22"/>
        </w:rPr>
        <w:footnoteReference w:id="19"/>
      </w:r>
      <w:r w:rsidR="00245938">
        <w:rPr>
          <w:sz w:val="22"/>
          <w:szCs w:val="22"/>
        </w:rPr>
        <w:t xml:space="preserve"> </w:t>
      </w:r>
      <w:r w:rsidR="00DA05C9">
        <w:rPr>
          <w:rStyle w:val="FodnotetekstTegn"/>
          <w:sz w:val="22"/>
          <w:szCs w:val="22"/>
        </w:rPr>
        <w:t xml:space="preserve">The former </w:t>
      </w:r>
      <w:r w:rsidR="00281CC7">
        <w:rPr>
          <w:rStyle w:val="FodnotetekstTegn"/>
          <w:sz w:val="22"/>
          <w:szCs w:val="22"/>
        </w:rPr>
        <w:t>UN</w:t>
      </w:r>
      <w:r w:rsidR="00DA05C9">
        <w:rPr>
          <w:rStyle w:val="FodnotetekstTegn"/>
          <w:sz w:val="22"/>
          <w:szCs w:val="22"/>
        </w:rPr>
        <w:t xml:space="preserve"> Special Rapporteur on the Rights of Indigenous Peoples reported that i</w:t>
      </w:r>
      <w:r w:rsidR="00DA05C9">
        <w:rPr>
          <w:sz w:val="22"/>
          <w:szCs w:val="22"/>
        </w:rPr>
        <w:t xml:space="preserve">ndigenous women accessing health services related to </w:t>
      </w:r>
      <w:r w:rsidR="00DA05C9" w:rsidRPr="005403EB">
        <w:rPr>
          <w:sz w:val="22"/>
          <w:szCs w:val="22"/>
        </w:rPr>
        <w:t>pregnancy, childbirth or</w:t>
      </w:r>
      <w:r w:rsidR="00DA05C9">
        <w:rPr>
          <w:sz w:val="22"/>
          <w:szCs w:val="22"/>
        </w:rPr>
        <w:t xml:space="preserve"> </w:t>
      </w:r>
      <w:r w:rsidR="00DA05C9" w:rsidRPr="005403EB">
        <w:rPr>
          <w:sz w:val="22"/>
          <w:szCs w:val="22"/>
        </w:rPr>
        <w:t>postpartum period</w:t>
      </w:r>
      <w:r w:rsidR="00DA05C9">
        <w:rPr>
          <w:sz w:val="22"/>
          <w:szCs w:val="22"/>
        </w:rPr>
        <w:t xml:space="preserve"> have been sterilized without their consent or forced to use contraceptives.</w:t>
      </w:r>
      <w:r w:rsidR="00DA05C9">
        <w:rPr>
          <w:rStyle w:val="Fodnotehenvisning"/>
          <w:sz w:val="22"/>
          <w:szCs w:val="22"/>
        </w:rPr>
        <w:footnoteReference w:id="20"/>
      </w:r>
      <w:r w:rsidR="00DA05C9">
        <w:rPr>
          <w:sz w:val="22"/>
          <w:szCs w:val="22"/>
        </w:rPr>
        <w:t xml:space="preserve"> </w:t>
      </w:r>
      <w:r w:rsidR="000C2183">
        <w:rPr>
          <w:sz w:val="22"/>
          <w:szCs w:val="22"/>
        </w:rPr>
        <w:t>I</w:t>
      </w:r>
      <w:r w:rsidR="00DA05C9">
        <w:rPr>
          <w:sz w:val="22"/>
          <w:szCs w:val="22"/>
        </w:rPr>
        <w:t xml:space="preserve">n fact, </w:t>
      </w:r>
      <w:r w:rsidR="000C2183">
        <w:rPr>
          <w:sz w:val="22"/>
          <w:szCs w:val="22"/>
        </w:rPr>
        <w:t>o</w:t>
      </w:r>
      <w:r>
        <w:rPr>
          <w:sz w:val="22"/>
          <w:szCs w:val="22"/>
        </w:rPr>
        <w:t xml:space="preserve">bstetric violence against indigenous women is a </w:t>
      </w:r>
      <w:r w:rsidRPr="005403EB">
        <w:rPr>
          <w:sz w:val="22"/>
          <w:szCs w:val="22"/>
        </w:rPr>
        <w:t xml:space="preserve">widespread </w:t>
      </w:r>
      <w:r>
        <w:rPr>
          <w:sz w:val="22"/>
          <w:szCs w:val="22"/>
        </w:rPr>
        <w:t>practice in the Americas</w:t>
      </w:r>
      <w:r w:rsidR="00C0083E">
        <w:rPr>
          <w:sz w:val="22"/>
          <w:szCs w:val="22"/>
        </w:rPr>
        <w:t xml:space="preserve"> and in other continents</w:t>
      </w:r>
      <w:r>
        <w:rPr>
          <w:sz w:val="22"/>
          <w:szCs w:val="22"/>
        </w:rPr>
        <w:t xml:space="preserve">, with common reports of practices such as forcing </w:t>
      </w:r>
      <w:r w:rsidRPr="005403EB">
        <w:rPr>
          <w:sz w:val="22"/>
          <w:szCs w:val="22"/>
        </w:rPr>
        <w:t>indigenous women</w:t>
      </w:r>
      <w:r w:rsidRPr="009C3F78">
        <w:rPr>
          <w:sz w:val="22"/>
          <w:szCs w:val="22"/>
        </w:rPr>
        <w:t xml:space="preserve"> </w:t>
      </w:r>
      <w:r w:rsidRPr="005403EB">
        <w:rPr>
          <w:sz w:val="22"/>
          <w:szCs w:val="22"/>
        </w:rPr>
        <w:t>to give birth in a supine</w:t>
      </w:r>
      <w:r>
        <w:rPr>
          <w:sz w:val="22"/>
          <w:szCs w:val="22"/>
        </w:rPr>
        <w:t xml:space="preserve"> </w:t>
      </w:r>
      <w:r w:rsidRPr="005403EB">
        <w:rPr>
          <w:sz w:val="22"/>
          <w:szCs w:val="22"/>
        </w:rPr>
        <w:t xml:space="preserve">position rather than </w:t>
      </w:r>
      <w:r>
        <w:rPr>
          <w:sz w:val="22"/>
          <w:szCs w:val="22"/>
        </w:rPr>
        <w:t>their preferred</w:t>
      </w:r>
      <w:r w:rsidRPr="005403EB">
        <w:rPr>
          <w:sz w:val="22"/>
          <w:szCs w:val="22"/>
        </w:rPr>
        <w:t xml:space="preserve"> vertical position</w:t>
      </w:r>
      <w:r>
        <w:rPr>
          <w:sz w:val="22"/>
          <w:szCs w:val="22"/>
        </w:rPr>
        <w:t xml:space="preserve">, </w:t>
      </w:r>
      <w:r w:rsidR="00C0083E">
        <w:rPr>
          <w:sz w:val="22"/>
          <w:szCs w:val="22"/>
        </w:rPr>
        <w:t>banning traditional midwif</w:t>
      </w:r>
      <w:r w:rsidR="00EE4D5C">
        <w:rPr>
          <w:sz w:val="22"/>
          <w:szCs w:val="22"/>
        </w:rPr>
        <w:t>ery and</w:t>
      </w:r>
      <w:r w:rsidR="00C0083E">
        <w:rPr>
          <w:sz w:val="22"/>
          <w:szCs w:val="22"/>
        </w:rPr>
        <w:t xml:space="preserve"> criminalising traditional practices, </w:t>
      </w:r>
      <w:r>
        <w:rPr>
          <w:sz w:val="22"/>
          <w:szCs w:val="22"/>
        </w:rPr>
        <w:t>or ridicule for their traditional clothing or their belief in the effects of traditional medicine;</w:t>
      </w:r>
      <w:r w:rsidRPr="005403EB">
        <w:rPr>
          <w:sz w:val="22"/>
          <w:szCs w:val="22"/>
        </w:rPr>
        <w:t xml:space="preserve"> among</w:t>
      </w:r>
      <w:r>
        <w:rPr>
          <w:sz w:val="22"/>
          <w:szCs w:val="22"/>
        </w:rPr>
        <w:t xml:space="preserve"> </w:t>
      </w:r>
      <w:r w:rsidRPr="005403EB">
        <w:rPr>
          <w:sz w:val="22"/>
          <w:szCs w:val="22"/>
        </w:rPr>
        <w:t>others</w:t>
      </w:r>
      <w:r>
        <w:rPr>
          <w:sz w:val="22"/>
          <w:szCs w:val="22"/>
        </w:rPr>
        <w:t>.</w:t>
      </w:r>
      <w:r>
        <w:rPr>
          <w:rStyle w:val="Fodnotehenvisning"/>
          <w:sz w:val="22"/>
          <w:szCs w:val="22"/>
        </w:rPr>
        <w:footnoteReference w:id="21"/>
      </w:r>
      <w:r>
        <w:rPr>
          <w:rStyle w:val="FodnotetekstTegn"/>
          <w:sz w:val="22"/>
          <w:szCs w:val="22"/>
        </w:rPr>
        <w:t xml:space="preserve"> </w:t>
      </w:r>
    </w:p>
    <w:p w14:paraId="09F270B0" w14:textId="77777777" w:rsidR="00743DDF" w:rsidRDefault="00743DDF" w:rsidP="003954DC">
      <w:pPr>
        <w:ind w:firstLine="360"/>
        <w:jc w:val="both"/>
        <w:rPr>
          <w:sz w:val="22"/>
          <w:szCs w:val="22"/>
        </w:rPr>
      </w:pPr>
    </w:p>
    <w:p w14:paraId="7E16A323" w14:textId="2211B41F" w:rsidR="008011D5" w:rsidRDefault="003954DC" w:rsidP="00322BCA">
      <w:pPr>
        <w:ind w:firstLine="360"/>
        <w:jc w:val="both"/>
        <w:rPr>
          <w:sz w:val="22"/>
          <w:szCs w:val="22"/>
        </w:rPr>
      </w:pPr>
      <w:r>
        <w:rPr>
          <w:sz w:val="22"/>
          <w:szCs w:val="22"/>
        </w:rPr>
        <w:t xml:space="preserve">Because indigenous lands are often coveted by diverse actors for the natural resources they contain or for their development potential, indigenous communities - and indigenous women in particular - </w:t>
      </w:r>
      <w:r w:rsidRPr="00B83615">
        <w:rPr>
          <w:sz w:val="22"/>
          <w:szCs w:val="22"/>
        </w:rPr>
        <w:t>often</w:t>
      </w:r>
      <w:r>
        <w:rPr>
          <w:sz w:val="22"/>
          <w:szCs w:val="22"/>
        </w:rPr>
        <w:t xml:space="preserve"> end up “</w:t>
      </w:r>
      <w:r w:rsidRPr="00B83615">
        <w:rPr>
          <w:sz w:val="22"/>
          <w:szCs w:val="22"/>
        </w:rPr>
        <w:t>caught in the crossfire of conflict situations and</w:t>
      </w:r>
      <w:r>
        <w:rPr>
          <w:sz w:val="22"/>
          <w:szCs w:val="22"/>
        </w:rPr>
        <w:t xml:space="preserve"> </w:t>
      </w:r>
      <w:r w:rsidRPr="00B83615">
        <w:rPr>
          <w:sz w:val="22"/>
          <w:szCs w:val="22"/>
        </w:rPr>
        <w:t>subjected to militarized violence.</w:t>
      </w:r>
      <w:r>
        <w:rPr>
          <w:sz w:val="22"/>
          <w:szCs w:val="22"/>
        </w:rPr>
        <w:t>”</w:t>
      </w:r>
      <w:r>
        <w:rPr>
          <w:rStyle w:val="Fodnotehenvisning"/>
          <w:sz w:val="22"/>
          <w:szCs w:val="22"/>
        </w:rPr>
        <w:footnoteReference w:id="22"/>
      </w:r>
      <w:r>
        <w:rPr>
          <w:sz w:val="22"/>
          <w:szCs w:val="22"/>
        </w:rPr>
        <w:t xml:space="preserve"> </w:t>
      </w:r>
      <w:r w:rsidR="00C06045">
        <w:rPr>
          <w:sz w:val="22"/>
          <w:szCs w:val="22"/>
        </w:rPr>
        <w:t>T</w:t>
      </w:r>
      <w:r w:rsidR="00C06045" w:rsidRPr="00C308C3">
        <w:rPr>
          <w:sz w:val="22"/>
          <w:szCs w:val="22"/>
        </w:rPr>
        <w:t xml:space="preserve">he militarization of indigenous lands in </w:t>
      </w:r>
      <w:r w:rsidR="00C06045">
        <w:rPr>
          <w:sz w:val="22"/>
          <w:szCs w:val="22"/>
        </w:rPr>
        <w:t>t</w:t>
      </w:r>
      <w:r w:rsidR="00C06045" w:rsidRPr="00C308C3">
        <w:rPr>
          <w:sz w:val="22"/>
          <w:szCs w:val="22"/>
        </w:rPr>
        <w:t>he Americas</w:t>
      </w:r>
      <w:r w:rsidR="00785F37">
        <w:rPr>
          <w:sz w:val="22"/>
          <w:szCs w:val="22"/>
        </w:rPr>
        <w:t xml:space="preserve"> </w:t>
      </w:r>
      <w:r w:rsidR="00322BCA">
        <w:rPr>
          <w:sz w:val="22"/>
          <w:szCs w:val="22"/>
        </w:rPr>
        <w:t xml:space="preserve">has </w:t>
      </w:r>
      <w:r w:rsidR="00C06045" w:rsidRPr="00C308C3">
        <w:rPr>
          <w:sz w:val="22"/>
          <w:szCs w:val="22"/>
        </w:rPr>
        <w:t>expose</w:t>
      </w:r>
      <w:r w:rsidR="00322BCA">
        <w:rPr>
          <w:sz w:val="22"/>
          <w:szCs w:val="22"/>
        </w:rPr>
        <w:t>d</w:t>
      </w:r>
      <w:r w:rsidR="00C06045">
        <w:rPr>
          <w:sz w:val="22"/>
          <w:szCs w:val="22"/>
        </w:rPr>
        <w:t xml:space="preserve"> </w:t>
      </w:r>
      <w:r w:rsidR="00C06045" w:rsidRPr="00C308C3">
        <w:rPr>
          <w:sz w:val="22"/>
          <w:szCs w:val="22"/>
        </w:rPr>
        <w:t>indigenous women to sexual violence, including rape by the military forces,</w:t>
      </w:r>
      <w:r w:rsidR="00C06045">
        <w:rPr>
          <w:sz w:val="22"/>
          <w:szCs w:val="22"/>
        </w:rPr>
        <w:t xml:space="preserve"> </w:t>
      </w:r>
      <w:r w:rsidR="00C06045" w:rsidRPr="00C308C3">
        <w:rPr>
          <w:sz w:val="22"/>
          <w:szCs w:val="22"/>
        </w:rPr>
        <w:t>forced prostitution, and sexual slavery.</w:t>
      </w:r>
      <w:r w:rsidR="00C06045">
        <w:rPr>
          <w:rStyle w:val="Fodnotehenvisning"/>
          <w:sz w:val="22"/>
          <w:szCs w:val="22"/>
        </w:rPr>
        <w:footnoteReference w:id="23"/>
      </w:r>
      <w:r w:rsidR="00C06045">
        <w:rPr>
          <w:sz w:val="22"/>
          <w:szCs w:val="22"/>
        </w:rPr>
        <w:t xml:space="preserve"> </w:t>
      </w:r>
      <w:r w:rsidR="00322BCA">
        <w:rPr>
          <w:sz w:val="22"/>
          <w:szCs w:val="22"/>
        </w:rPr>
        <w:t xml:space="preserve">In several Asian countries, such as </w:t>
      </w:r>
      <w:r w:rsidR="00322BCA" w:rsidRPr="00322BCA">
        <w:rPr>
          <w:sz w:val="22"/>
          <w:szCs w:val="22"/>
          <w:lang w:val="en-US"/>
        </w:rPr>
        <w:t>Fiji, India, Myanmar, Nepal, the Philippines, Thailand and Timor-Leste</w:t>
      </w:r>
      <w:r w:rsidR="00322BCA">
        <w:rPr>
          <w:sz w:val="22"/>
          <w:szCs w:val="22"/>
          <w:lang w:val="en-US"/>
        </w:rPr>
        <w:t xml:space="preserve">, the militarization of conflict over indigenous land has led to </w:t>
      </w:r>
      <w:r w:rsidR="00322BCA" w:rsidRPr="00322BCA">
        <w:rPr>
          <w:sz w:val="22"/>
          <w:szCs w:val="22"/>
          <w:lang w:val="en-US"/>
        </w:rPr>
        <w:t>gang-rape</w:t>
      </w:r>
      <w:r w:rsidR="00322BCA">
        <w:rPr>
          <w:sz w:val="22"/>
          <w:szCs w:val="22"/>
          <w:lang w:val="en-US"/>
        </w:rPr>
        <w:t>,</w:t>
      </w:r>
      <w:r w:rsidR="00322BCA" w:rsidRPr="00322BCA">
        <w:rPr>
          <w:sz w:val="22"/>
          <w:szCs w:val="22"/>
          <w:lang w:val="en-US"/>
        </w:rPr>
        <w:t xml:space="preserve"> sexual enslavement and killing of tribal women and girls</w:t>
      </w:r>
      <w:r w:rsidR="00322BCA">
        <w:rPr>
          <w:sz w:val="22"/>
          <w:szCs w:val="22"/>
          <w:lang w:val="en-US"/>
        </w:rPr>
        <w:t>.</w:t>
      </w:r>
      <w:r w:rsidR="00322BCA">
        <w:rPr>
          <w:rStyle w:val="Fodnotehenvisning"/>
          <w:sz w:val="22"/>
          <w:szCs w:val="22"/>
        </w:rPr>
        <w:footnoteReference w:id="24"/>
      </w:r>
      <w:r w:rsidR="00322BCA" w:rsidRPr="00322BCA">
        <w:rPr>
          <w:sz w:val="22"/>
          <w:szCs w:val="22"/>
        </w:rPr>
        <w:t xml:space="preserve"> </w:t>
      </w:r>
      <w:r w:rsidR="00322BCA">
        <w:rPr>
          <w:sz w:val="22"/>
          <w:szCs w:val="22"/>
        </w:rPr>
        <w:t xml:space="preserve">The militarization of their lands </w:t>
      </w:r>
      <w:r w:rsidR="00C06045">
        <w:rPr>
          <w:sz w:val="22"/>
          <w:szCs w:val="22"/>
        </w:rPr>
        <w:t>also makes them particularly vulnerable to forced labour and trafficking.</w:t>
      </w:r>
      <w:r w:rsidR="00C06045">
        <w:rPr>
          <w:rStyle w:val="Fodnotehenvisning"/>
          <w:sz w:val="22"/>
          <w:szCs w:val="22"/>
        </w:rPr>
        <w:footnoteReference w:id="25"/>
      </w:r>
    </w:p>
    <w:p w14:paraId="759DD2AB" w14:textId="77777777" w:rsidR="008011D5" w:rsidRDefault="008011D5" w:rsidP="003954DC">
      <w:pPr>
        <w:ind w:firstLine="360"/>
        <w:jc w:val="both"/>
        <w:rPr>
          <w:sz w:val="22"/>
          <w:szCs w:val="22"/>
        </w:rPr>
      </w:pPr>
    </w:p>
    <w:p w14:paraId="1E2E55C4" w14:textId="2410B0A6" w:rsidR="003954DC" w:rsidRPr="00517B2B" w:rsidRDefault="003954DC" w:rsidP="003954DC">
      <w:pPr>
        <w:ind w:firstLine="360"/>
        <w:jc w:val="both"/>
        <w:rPr>
          <w:sz w:val="22"/>
          <w:szCs w:val="22"/>
          <w:lang w:val="en-GB"/>
        </w:rPr>
      </w:pPr>
      <w:r>
        <w:rPr>
          <w:sz w:val="22"/>
          <w:szCs w:val="22"/>
        </w:rPr>
        <w:t>Development activities on or near their traditional lands ha</w:t>
      </w:r>
      <w:r w:rsidR="003F0623">
        <w:rPr>
          <w:sz w:val="22"/>
          <w:szCs w:val="22"/>
        </w:rPr>
        <w:t>ve</w:t>
      </w:r>
      <w:r>
        <w:rPr>
          <w:sz w:val="22"/>
          <w:szCs w:val="22"/>
        </w:rPr>
        <w:t xml:space="preserve"> generated increased risks of sexual violence for indigenous women and girls globally. </w:t>
      </w:r>
      <w:r w:rsidR="00847892">
        <w:rPr>
          <w:sz w:val="22"/>
          <w:szCs w:val="22"/>
        </w:rPr>
        <w:t>Across Latin America, d</w:t>
      </w:r>
      <w:r>
        <w:rPr>
          <w:sz w:val="22"/>
          <w:szCs w:val="22"/>
        </w:rPr>
        <w:t xml:space="preserve">evelopment projects, and the presence of temporary workers camps or armed security personnel in remote areas </w:t>
      </w:r>
      <w:r w:rsidR="003F0623">
        <w:rPr>
          <w:sz w:val="22"/>
          <w:szCs w:val="22"/>
        </w:rPr>
        <w:t xml:space="preserve">have </w:t>
      </w:r>
      <w:r>
        <w:rPr>
          <w:sz w:val="22"/>
          <w:szCs w:val="22"/>
        </w:rPr>
        <w:t>led to “an increase in involuntary prostitution of indigenous girls, forced/unwanted pregnancies, STDs and sexual violence.”</w:t>
      </w:r>
      <w:r>
        <w:rPr>
          <w:rStyle w:val="Fodnotehenvisning"/>
          <w:sz w:val="22"/>
          <w:szCs w:val="22"/>
        </w:rPr>
        <w:footnoteReference w:id="26"/>
      </w:r>
      <w:r>
        <w:rPr>
          <w:sz w:val="22"/>
          <w:szCs w:val="22"/>
        </w:rPr>
        <w:t xml:space="preserve"> </w:t>
      </w:r>
      <w:r w:rsidR="000F6C25">
        <w:rPr>
          <w:sz w:val="22"/>
          <w:szCs w:val="22"/>
        </w:rPr>
        <w:t xml:space="preserve">Other areas of the world face the same issue: an </w:t>
      </w:r>
      <w:r>
        <w:rPr>
          <w:sz w:val="22"/>
          <w:szCs w:val="22"/>
        </w:rPr>
        <w:t>interview with indigenous women leaders from Siberia</w:t>
      </w:r>
      <w:r w:rsidR="008011D5">
        <w:rPr>
          <w:sz w:val="22"/>
          <w:szCs w:val="22"/>
        </w:rPr>
        <w:t xml:space="preserve"> </w:t>
      </w:r>
      <w:r>
        <w:rPr>
          <w:sz w:val="22"/>
          <w:szCs w:val="22"/>
        </w:rPr>
        <w:t>revealed two</w:t>
      </w:r>
      <w:r w:rsidR="008011D5">
        <w:rPr>
          <w:sz w:val="22"/>
          <w:szCs w:val="22"/>
        </w:rPr>
        <w:t xml:space="preserve"> recent</w:t>
      </w:r>
      <w:r>
        <w:rPr>
          <w:sz w:val="22"/>
          <w:szCs w:val="22"/>
        </w:rPr>
        <w:t xml:space="preserve"> events of shift-workers from nearby oil and gas projects coming into their villages, getting drunk and raping young </w:t>
      </w:r>
      <w:proofErr w:type="spellStart"/>
      <w:r>
        <w:rPr>
          <w:sz w:val="22"/>
          <w:szCs w:val="22"/>
        </w:rPr>
        <w:t>Selkup</w:t>
      </w:r>
      <w:proofErr w:type="spellEnd"/>
      <w:r>
        <w:rPr>
          <w:sz w:val="22"/>
          <w:szCs w:val="22"/>
        </w:rPr>
        <w:t xml:space="preserve"> girls on their way back from school.</w:t>
      </w:r>
      <w:r>
        <w:rPr>
          <w:rStyle w:val="Fodnotehenvisning"/>
          <w:sz w:val="22"/>
          <w:szCs w:val="22"/>
        </w:rPr>
        <w:footnoteReference w:id="27"/>
      </w:r>
      <w:r>
        <w:rPr>
          <w:sz w:val="22"/>
          <w:szCs w:val="22"/>
        </w:rPr>
        <w:t xml:space="preserve"> The rapid expansion of tourism in some areas, such as in the </w:t>
      </w:r>
      <w:r w:rsidRPr="00847AA3">
        <w:rPr>
          <w:sz w:val="22"/>
          <w:szCs w:val="22"/>
        </w:rPr>
        <w:t>Chittagong Hill Tracts</w:t>
      </w:r>
      <w:r>
        <w:rPr>
          <w:sz w:val="22"/>
          <w:szCs w:val="22"/>
        </w:rPr>
        <w:t xml:space="preserve"> in Bangladesh, has lead to increased “</w:t>
      </w:r>
      <w:r w:rsidRPr="00847AA3">
        <w:rPr>
          <w:sz w:val="22"/>
          <w:szCs w:val="22"/>
          <w:lang w:val="en-GB"/>
        </w:rPr>
        <w:t>sexual harassment, insecurity and sufferings for the indigenous women and girls</w:t>
      </w:r>
      <w:r w:rsidR="00743DDF">
        <w:rPr>
          <w:sz w:val="22"/>
          <w:szCs w:val="22"/>
          <w:lang w:val="en-GB"/>
        </w:rPr>
        <w:t>.</w:t>
      </w:r>
      <w:r>
        <w:rPr>
          <w:sz w:val="22"/>
          <w:szCs w:val="22"/>
          <w:lang w:val="en-GB"/>
        </w:rPr>
        <w:t>”</w:t>
      </w:r>
      <w:r>
        <w:rPr>
          <w:rStyle w:val="Fodnotehenvisning"/>
          <w:sz w:val="22"/>
          <w:szCs w:val="22"/>
          <w:lang w:val="en-GB"/>
        </w:rPr>
        <w:footnoteReference w:id="28"/>
      </w:r>
      <w:r>
        <w:rPr>
          <w:sz w:val="22"/>
          <w:szCs w:val="22"/>
          <w:lang w:val="en-GB"/>
        </w:rPr>
        <w:t xml:space="preserve"> </w:t>
      </w:r>
      <w:r w:rsidR="005B4B31">
        <w:rPr>
          <w:sz w:val="22"/>
          <w:szCs w:val="22"/>
        </w:rPr>
        <w:t>Moreover, i</w:t>
      </w:r>
      <w:r w:rsidR="005B4B31" w:rsidRPr="007E625A">
        <w:rPr>
          <w:sz w:val="22"/>
          <w:szCs w:val="22"/>
        </w:rPr>
        <w:t>ndigenous women</w:t>
      </w:r>
      <w:r w:rsidR="005B4B31">
        <w:rPr>
          <w:sz w:val="22"/>
          <w:szCs w:val="22"/>
        </w:rPr>
        <w:t xml:space="preserve"> and girls</w:t>
      </w:r>
      <w:r w:rsidR="005B4B31" w:rsidRPr="007E625A">
        <w:rPr>
          <w:sz w:val="22"/>
          <w:szCs w:val="22"/>
        </w:rPr>
        <w:t xml:space="preserve"> </w:t>
      </w:r>
      <w:r w:rsidR="005B4B31">
        <w:rPr>
          <w:sz w:val="22"/>
          <w:szCs w:val="22"/>
        </w:rPr>
        <w:t>have</w:t>
      </w:r>
      <w:r w:rsidR="005B4B31" w:rsidRPr="007E625A">
        <w:rPr>
          <w:sz w:val="22"/>
          <w:szCs w:val="22"/>
        </w:rPr>
        <w:t xml:space="preserve"> an </w:t>
      </w:r>
      <w:r w:rsidR="005B4B31">
        <w:rPr>
          <w:sz w:val="22"/>
          <w:szCs w:val="22"/>
        </w:rPr>
        <w:t>exacerbated</w:t>
      </w:r>
      <w:r w:rsidR="005B4B31" w:rsidRPr="007E625A">
        <w:rPr>
          <w:sz w:val="22"/>
          <w:szCs w:val="22"/>
        </w:rPr>
        <w:t xml:space="preserve"> risk </w:t>
      </w:r>
      <w:r w:rsidR="005B4B31">
        <w:rPr>
          <w:sz w:val="22"/>
          <w:szCs w:val="22"/>
        </w:rPr>
        <w:t>of</w:t>
      </w:r>
      <w:r w:rsidR="005B4B31" w:rsidRPr="007E625A">
        <w:rPr>
          <w:sz w:val="22"/>
          <w:szCs w:val="22"/>
        </w:rPr>
        <w:t xml:space="preserve"> health problems</w:t>
      </w:r>
      <w:r w:rsidR="005B4B31">
        <w:rPr>
          <w:sz w:val="22"/>
          <w:szCs w:val="22"/>
        </w:rPr>
        <w:t xml:space="preserve"> </w:t>
      </w:r>
      <w:r w:rsidR="005B4B31" w:rsidRPr="007E625A">
        <w:rPr>
          <w:sz w:val="22"/>
          <w:szCs w:val="22"/>
        </w:rPr>
        <w:t>associated with environmental contamination when development projects</w:t>
      </w:r>
      <w:r w:rsidR="005B4B31">
        <w:rPr>
          <w:sz w:val="22"/>
          <w:szCs w:val="22"/>
        </w:rPr>
        <w:t xml:space="preserve"> </w:t>
      </w:r>
      <w:r w:rsidR="005B4B31" w:rsidRPr="007E625A">
        <w:rPr>
          <w:sz w:val="22"/>
          <w:szCs w:val="22"/>
        </w:rPr>
        <w:t>are implemented in their territories</w:t>
      </w:r>
      <w:r w:rsidR="005B4B31">
        <w:rPr>
          <w:sz w:val="22"/>
          <w:szCs w:val="22"/>
        </w:rPr>
        <w:t>.</w:t>
      </w:r>
      <w:r w:rsidR="005B4B31">
        <w:rPr>
          <w:rStyle w:val="Fodnotehenvisning"/>
          <w:sz w:val="22"/>
          <w:szCs w:val="22"/>
        </w:rPr>
        <w:footnoteReference w:id="29"/>
      </w:r>
      <w:r w:rsidR="005B4B31">
        <w:rPr>
          <w:sz w:val="22"/>
          <w:szCs w:val="22"/>
        </w:rPr>
        <w:t xml:space="preserve"> </w:t>
      </w:r>
      <w:proofErr w:type="spellStart"/>
      <w:r w:rsidR="005B4B31">
        <w:rPr>
          <w:sz w:val="22"/>
          <w:szCs w:val="22"/>
        </w:rPr>
        <w:t>Apetina</w:t>
      </w:r>
      <w:proofErr w:type="spellEnd"/>
      <w:r w:rsidR="005B4B31">
        <w:rPr>
          <w:sz w:val="22"/>
          <w:szCs w:val="22"/>
        </w:rPr>
        <w:t xml:space="preserve"> Indigenous women in Suriname denounced </w:t>
      </w:r>
      <w:r w:rsidR="005B4B31" w:rsidRPr="00F670F3">
        <w:rPr>
          <w:sz w:val="22"/>
          <w:szCs w:val="22"/>
        </w:rPr>
        <w:t>the use of mercury and</w:t>
      </w:r>
      <w:r w:rsidR="005B4B31">
        <w:rPr>
          <w:sz w:val="22"/>
          <w:szCs w:val="22"/>
        </w:rPr>
        <w:t xml:space="preserve"> </w:t>
      </w:r>
      <w:r w:rsidR="005B4B31" w:rsidRPr="00F670F3">
        <w:rPr>
          <w:sz w:val="22"/>
          <w:szCs w:val="22"/>
        </w:rPr>
        <w:t>inadequate dumping procedures by mining companies affecting the quality of the water</w:t>
      </w:r>
      <w:r w:rsidR="00EE4D5C">
        <w:rPr>
          <w:sz w:val="22"/>
          <w:szCs w:val="22"/>
        </w:rPr>
        <w:t>,</w:t>
      </w:r>
      <w:r w:rsidR="005B4B31" w:rsidRPr="00F670F3">
        <w:rPr>
          <w:sz w:val="22"/>
          <w:szCs w:val="22"/>
        </w:rPr>
        <w:t xml:space="preserve"> </w:t>
      </w:r>
      <w:r w:rsidR="005B4B31">
        <w:rPr>
          <w:sz w:val="22"/>
          <w:szCs w:val="22"/>
        </w:rPr>
        <w:t>causing</w:t>
      </w:r>
      <w:r w:rsidR="005B4B31" w:rsidRPr="00F670F3">
        <w:rPr>
          <w:sz w:val="22"/>
          <w:szCs w:val="22"/>
        </w:rPr>
        <w:t xml:space="preserve"> pregnant</w:t>
      </w:r>
      <w:r w:rsidR="005B4B31">
        <w:rPr>
          <w:sz w:val="22"/>
          <w:szCs w:val="22"/>
        </w:rPr>
        <w:t xml:space="preserve"> </w:t>
      </w:r>
      <w:r w:rsidR="005B4B31" w:rsidRPr="00F670F3">
        <w:rPr>
          <w:sz w:val="22"/>
          <w:szCs w:val="22"/>
        </w:rPr>
        <w:t>women and children</w:t>
      </w:r>
      <w:r w:rsidR="005B4B31">
        <w:rPr>
          <w:sz w:val="22"/>
          <w:szCs w:val="22"/>
        </w:rPr>
        <w:t xml:space="preserve"> to </w:t>
      </w:r>
      <w:r w:rsidR="005B4B31" w:rsidRPr="00F670F3">
        <w:rPr>
          <w:sz w:val="22"/>
          <w:szCs w:val="22"/>
        </w:rPr>
        <w:t>suffer from severe diarrhea and tremors.</w:t>
      </w:r>
      <w:r w:rsidR="005B4B31">
        <w:rPr>
          <w:rStyle w:val="Fodnotehenvisning"/>
          <w:sz w:val="22"/>
          <w:szCs w:val="22"/>
        </w:rPr>
        <w:footnoteReference w:id="30"/>
      </w:r>
      <w:r w:rsidR="005B4B31">
        <w:rPr>
          <w:sz w:val="22"/>
          <w:szCs w:val="22"/>
        </w:rPr>
        <w:t xml:space="preserve"> </w:t>
      </w:r>
    </w:p>
    <w:p w14:paraId="729D062F" w14:textId="77777777" w:rsidR="003954DC" w:rsidRDefault="003954DC" w:rsidP="003954DC">
      <w:pPr>
        <w:jc w:val="both"/>
        <w:rPr>
          <w:sz w:val="22"/>
          <w:szCs w:val="22"/>
        </w:rPr>
      </w:pPr>
    </w:p>
    <w:p w14:paraId="60AC2FF3" w14:textId="201B97C8" w:rsidR="003954DC" w:rsidRDefault="00AC0116" w:rsidP="003954DC">
      <w:pPr>
        <w:ind w:firstLine="360"/>
        <w:jc w:val="both"/>
        <w:rPr>
          <w:sz w:val="22"/>
          <w:szCs w:val="22"/>
        </w:rPr>
      </w:pPr>
      <w:r>
        <w:rPr>
          <w:rStyle w:val="FodnotetekstTegn"/>
          <w:sz w:val="22"/>
          <w:szCs w:val="22"/>
        </w:rPr>
        <w:t>Additionally</w:t>
      </w:r>
      <w:r w:rsidR="003954DC">
        <w:rPr>
          <w:rStyle w:val="FodnotetekstTegn"/>
          <w:sz w:val="22"/>
          <w:szCs w:val="22"/>
        </w:rPr>
        <w:t>, indigenous women leaders</w:t>
      </w:r>
      <w:r>
        <w:rPr>
          <w:rStyle w:val="FodnotetekstTegn"/>
          <w:sz w:val="22"/>
          <w:szCs w:val="22"/>
        </w:rPr>
        <w:t xml:space="preserve"> and </w:t>
      </w:r>
      <w:r w:rsidR="003954DC" w:rsidRPr="00D95680">
        <w:rPr>
          <w:sz w:val="22"/>
          <w:szCs w:val="22"/>
        </w:rPr>
        <w:t xml:space="preserve">human rights organizations working </w:t>
      </w:r>
      <w:r w:rsidR="003954DC">
        <w:rPr>
          <w:sz w:val="22"/>
          <w:szCs w:val="22"/>
        </w:rPr>
        <w:t>for</w:t>
      </w:r>
      <w:r w:rsidR="003954DC" w:rsidRPr="00D95680">
        <w:rPr>
          <w:sz w:val="22"/>
          <w:szCs w:val="22"/>
        </w:rPr>
        <w:t xml:space="preserve"> the defense of</w:t>
      </w:r>
      <w:r w:rsidR="003954DC">
        <w:rPr>
          <w:sz w:val="22"/>
          <w:szCs w:val="22"/>
        </w:rPr>
        <w:t xml:space="preserve"> </w:t>
      </w:r>
      <w:r w:rsidR="003954DC" w:rsidRPr="00D95680">
        <w:rPr>
          <w:sz w:val="22"/>
          <w:szCs w:val="22"/>
        </w:rPr>
        <w:t xml:space="preserve">indigenous women’s rights </w:t>
      </w:r>
      <w:r w:rsidR="003954DC">
        <w:rPr>
          <w:sz w:val="22"/>
          <w:szCs w:val="22"/>
        </w:rPr>
        <w:t>are</w:t>
      </w:r>
      <w:r w:rsidR="003954DC" w:rsidRPr="00D95680">
        <w:rPr>
          <w:sz w:val="22"/>
          <w:szCs w:val="22"/>
        </w:rPr>
        <w:t xml:space="preserve"> frequently targets of </w:t>
      </w:r>
      <w:r w:rsidR="003954DC">
        <w:rPr>
          <w:sz w:val="22"/>
          <w:szCs w:val="22"/>
        </w:rPr>
        <w:t>intimidation, threats</w:t>
      </w:r>
      <w:r w:rsidR="00847892">
        <w:rPr>
          <w:sz w:val="22"/>
          <w:szCs w:val="22"/>
        </w:rPr>
        <w:t xml:space="preserve">, </w:t>
      </w:r>
      <w:r w:rsidR="003954DC">
        <w:rPr>
          <w:sz w:val="22"/>
          <w:szCs w:val="22"/>
        </w:rPr>
        <w:t xml:space="preserve">and </w:t>
      </w:r>
      <w:r w:rsidR="003954DC" w:rsidRPr="00D95680">
        <w:rPr>
          <w:sz w:val="22"/>
          <w:szCs w:val="22"/>
        </w:rPr>
        <w:t>attacks on</w:t>
      </w:r>
      <w:r w:rsidR="003954DC">
        <w:rPr>
          <w:sz w:val="22"/>
          <w:szCs w:val="22"/>
        </w:rPr>
        <w:t xml:space="preserve"> </w:t>
      </w:r>
      <w:r w:rsidR="003954DC" w:rsidRPr="00D95680">
        <w:rPr>
          <w:sz w:val="22"/>
          <w:szCs w:val="22"/>
        </w:rPr>
        <w:t>their life</w:t>
      </w:r>
      <w:r w:rsidR="003954DC">
        <w:rPr>
          <w:sz w:val="22"/>
          <w:szCs w:val="22"/>
        </w:rPr>
        <w:t>.</w:t>
      </w:r>
      <w:r w:rsidR="003954DC">
        <w:rPr>
          <w:rStyle w:val="Fodnotehenvisning"/>
          <w:sz w:val="22"/>
          <w:szCs w:val="22"/>
        </w:rPr>
        <w:footnoteReference w:id="31"/>
      </w:r>
      <w:r w:rsidR="003954DC">
        <w:rPr>
          <w:sz w:val="22"/>
          <w:szCs w:val="22"/>
        </w:rPr>
        <w:t xml:space="preserve"> </w:t>
      </w:r>
      <w:r>
        <w:rPr>
          <w:sz w:val="22"/>
          <w:szCs w:val="22"/>
        </w:rPr>
        <w:t>They</w:t>
      </w:r>
      <w:r w:rsidR="00847892">
        <w:rPr>
          <w:sz w:val="22"/>
          <w:szCs w:val="22"/>
        </w:rPr>
        <w:t xml:space="preserve"> face criminalization on the basis of false </w:t>
      </w:r>
      <w:r w:rsidR="00D85D2C">
        <w:rPr>
          <w:sz w:val="22"/>
          <w:szCs w:val="22"/>
        </w:rPr>
        <w:t xml:space="preserve">allegations, are subjected to </w:t>
      </w:r>
      <w:r w:rsidR="00D85D2C" w:rsidRPr="00D85D2C">
        <w:rPr>
          <w:sz w:val="22"/>
          <w:szCs w:val="22"/>
        </w:rPr>
        <w:t>unfounded criminal proceedings</w:t>
      </w:r>
      <w:r w:rsidR="00D85D2C">
        <w:rPr>
          <w:sz w:val="22"/>
          <w:szCs w:val="22"/>
        </w:rPr>
        <w:t xml:space="preserve">, as well as to imprisonment  in order to demoralize </w:t>
      </w:r>
      <w:r>
        <w:rPr>
          <w:sz w:val="22"/>
          <w:szCs w:val="22"/>
        </w:rPr>
        <w:t>them</w:t>
      </w:r>
      <w:r w:rsidR="00D85D2C">
        <w:rPr>
          <w:sz w:val="22"/>
          <w:szCs w:val="22"/>
        </w:rPr>
        <w:t>, paralyze their human rights</w:t>
      </w:r>
      <w:r>
        <w:rPr>
          <w:sz w:val="22"/>
          <w:szCs w:val="22"/>
        </w:rPr>
        <w:t xml:space="preserve"> defense work</w:t>
      </w:r>
      <w:r w:rsidR="00D85D2C">
        <w:rPr>
          <w:sz w:val="22"/>
          <w:szCs w:val="22"/>
        </w:rPr>
        <w:t xml:space="preserve"> and delegitimize their causes</w:t>
      </w:r>
      <w:r w:rsidR="00847892">
        <w:rPr>
          <w:sz w:val="22"/>
          <w:szCs w:val="22"/>
        </w:rPr>
        <w:t>.</w:t>
      </w:r>
      <w:r w:rsidR="00847892">
        <w:rPr>
          <w:rStyle w:val="Fodnotehenvisning"/>
          <w:sz w:val="22"/>
          <w:szCs w:val="22"/>
        </w:rPr>
        <w:footnoteReference w:id="32"/>
      </w:r>
      <w:r w:rsidR="00847892">
        <w:rPr>
          <w:sz w:val="22"/>
          <w:szCs w:val="22"/>
        </w:rPr>
        <w:t xml:space="preserve"> </w:t>
      </w:r>
      <w:r w:rsidR="003954DC" w:rsidRPr="005418BC">
        <w:rPr>
          <w:sz w:val="22"/>
          <w:szCs w:val="22"/>
        </w:rPr>
        <w:t>The combination of this pattern of violence against human rights</w:t>
      </w:r>
      <w:r w:rsidR="003954DC">
        <w:rPr>
          <w:sz w:val="22"/>
          <w:szCs w:val="22"/>
        </w:rPr>
        <w:t xml:space="preserve"> </w:t>
      </w:r>
      <w:r w:rsidR="003954DC" w:rsidRPr="005418BC">
        <w:rPr>
          <w:sz w:val="22"/>
          <w:szCs w:val="22"/>
        </w:rPr>
        <w:t>defenders and the multiple and intersecting forms of discrimination faced</w:t>
      </w:r>
      <w:r w:rsidR="003954DC">
        <w:rPr>
          <w:sz w:val="22"/>
          <w:szCs w:val="22"/>
        </w:rPr>
        <w:t xml:space="preserve"> </w:t>
      </w:r>
      <w:r w:rsidR="003954DC" w:rsidRPr="005418BC">
        <w:rPr>
          <w:sz w:val="22"/>
          <w:szCs w:val="22"/>
        </w:rPr>
        <w:t>by indigenous women create conditions that facilitate and perpetuate</w:t>
      </w:r>
      <w:r w:rsidR="003954DC">
        <w:rPr>
          <w:sz w:val="22"/>
          <w:szCs w:val="22"/>
        </w:rPr>
        <w:t xml:space="preserve"> </w:t>
      </w:r>
      <w:r w:rsidR="003954DC" w:rsidRPr="005418BC">
        <w:rPr>
          <w:sz w:val="22"/>
          <w:szCs w:val="22"/>
        </w:rPr>
        <w:t>violence against indigenous</w:t>
      </w:r>
      <w:r w:rsidR="00743DDF">
        <w:rPr>
          <w:sz w:val="22"/>
          <w:szCs w:val="22"/>
        </w:rPr>
        <w:t xml:space="preserve"> </w:t>
      </w:r>
      <w:r w:rsidR="003954DC" w:rsidRPr="005418BC">
        <w:rPr>
          <w:sz w:val="22"/>
          <w:szCs w:val="22"/>
        </w:rPr>
        <w:t>women.</w:t>
      </w:r>
    </w:p>
    <w:p w14:paraId="5D9A9D89" w14:textId="77777777" w:rsidR="00281CC7" w:rsidRDefault="00281CC7" w:rsidP="003954DC">
      <w:pPr>
        <w:ind w:firstLine="360"/>
        <w:jc w:val="both"/>
        <w:rPr>
          <w:sz w:val="22"/>
          <w:szCs w:val="22"/>
        </w:rPr>
      </w:pPr>
    </w:p>
    <w:p w14:paraId="4FAA4497" w14:textId="36BECF5C" w:rsidR="0097384E" w:rsidRDefault="0097384E" w:rsidP="003954DC">
      <w:pPr>
        <w:pStyle w:val="Listeafsnit"/>
        <w:numPr>
          <w:ilvl w:val="0"/>
          <w:numId w:val="6"/>
        </w:numPr>
        <w:rPr>
          <w:b/>
          <w:bCs/>
          <w:sz w:val="22"/>
          <w:szCs w:val="22"/>
        </w:rPr>
      </w:pPr>
      <w:r>
        <w:rPr>
          <w:b/>
          <w:bCs/>
          <w:sz w:val="22"/>
          <w:szCs w:val="22"/>
        </w:rPr>
        <w:t xml:space="preserve">Climate Change and Indigenous Women’s Rights </w:t>
      </w:r>
    </w:p>
    <w:p w14:paraId="066E8F6E" w14:textId="47F96678" w:rsidR="0097384E" w:rsidRDefault="0097384E" w:rsidP="00AF2438">
      <w:pPr>
        <w:ind w:firstLine="360"/>
        <w:jc w:val="both"/>
        <w:rPr>
          <w:sz w:val="22"/>
          <w:szCs w:val="22"/>
        </w:rPr>
      </w:pPr>
      <w:r>
        <w:rPr>
          <w:sz w:val="22"/>
          <w:szCs w:val="22"/>
        </w:rPr>
        <w:t>The impacts of climate change are often felt most acutely by indigenous peoples and have gendered impacts. Forced migration as a result of climate change and water scarcity are susceptible of making Indigenous women and girls more vulnerable to human rights abuses.</w:t>
      </w:r>
      <w:r>
        <w:rPr>
          <w:rStyle w:val="Fodnotehenvisning"/>
          <w:sz w:val="22"/>
          <w:szCs w:val="22"/>
        </w:rPr>
        <w:footnoteReference w:id="33"/>
      </w:r>
      <w:r>
        <w:rPr>
          <w:sz w:val="22"/>
          <w:szCs w:val="22"/>
        </w:rPr>
        <w:t xml:space="preserve"> </w:t>
      </w:r>
      <w:r>
        <w:rPr>
          <w:sz w:val="22"/>
          <w:szCs w:val="22"/>
          <w:lang w:val="en-GB"/>
        </w:rPr>
        <w:t xml:space="preserve">Indigenous communities in Asia denounced how </w:t>
      </w:r>
      <w:r w:rsidRPr="00517B2B">
        <w:rPr>
          <w:sz w:val="22"/>
          <w:szCs w:val="22"/>
        </w:rPr>
        <w:t xml:space="preserve">women and girls </w:t>
      </w:r>
      <w:r>
        <w:rPr>
          <w:sz w:val="22"/>
          <w:szCs w:val="22"/>
        </w:rPr>
        <w:t>we</w:t>
      </w:r>
      <w:r w:rsidRPr="00517B2B">
        <w:rPr>
          <w:sz w:val="22"/>
          <w:szCs w:val="22"/>
        </w:rPr>
        <w:t>re</w:t>
      </w:r>
      <w:r>
        <w:rPr>
          <w:sz w:val="22"/>
          <w:szCs w:val="22"/>
        </w:rPr>
        <w:t xml:space="preserve"> </w:t>
      </w:r>
      <w:r w:rsidRPr="00517B2B">
        <w:rPr>
          <w:sz w:val="22"/>
          <w:szCs w:val="22"/>
        </w:rPr>
        <w:t>forced to walk further</w:t>
      </w:r>
      <w:r>
        <w:rPr>
          <w:sz w:val="22"/>
          <w:szCs w:val="22"/>
        </w:rPr>
        <w:t xml:space="preserve"> and further out onto the land, and</w:t>
      </w:r>
      <w:r w:rsidRPr="00517B2B">
        <w:rPr>
          <w:sz w:val="22"/>
          <w:szCs w:val="22"/>
        </w:rPr>
        <w:t xml:space="preserve"> spend more time collecting water and firewood</w:t>
      </w:r>
      <w:r>
        <w:rPr>
          <w:sz w:val="22"/>
          <w:szCs w:val="22"/>
        </w:rPr>
        <w:t xml:space="preserve"> than they used to.</w:t>
      </w:r>
      <w:r>
        <w:rPr>
          <w:rStyle w:val="Fodnotehenvisning"/>
          <w:sz w:val="22"/>
          <w:szCs w:val="22"/>
        </w:rPr>
        <w:footnoteReference w:id="34"/>
      </w:r>
      <w:r>
        <w:rPr>
          <w:sz w:val="22"/>
          <w:szCs w:val="22"/>
        </w:rPr>
        <w:t xml:space="preserve"> In the Arctic, weather changes, thin ice and severe weather conditions are impeding traditional harvesting and hunting activities, depleting animals on which they base their sustenance, and affecting women’s traditional roles.</w:t>
      </w:r>
      <w:r>
        <w:rPr>
          <w:rStyle w:val="Fodnotehenvisning"/>
          <w:sz w:val="22"/>
          <w:szCs w:val="22"/>
        </w:rPr>
        <w:footnoteReference w:id="35"/>
      </w:r>
      <w:r>
        <w:rPr>
          <w:sz w:val="22"/>
          <w:szCs w:val="22"/>
        </w:rPr>
        <w:t xml:space="preserve"> State conservation efforts and programs to adapt to and mitigate climate change, </w:t>
      </w:r>
      <w:r w:rsidRPr="007B207A">
        <w:rPr>
          <w:sz w:val="22"/>
          <w:szCs w:val="22"/>
        </w:rPr>
        <w:t xml:space="preserve">when they are designed without consulting indigenous peoples and implemented without their participation, can have adverse </w:t>
      </w:r>
      <w:r w:rsidR="00AF2438">
        <w:rPr>
          <w:sz w:val="22"/>
          <w:szCs w:val="22"/>
        </w:rPr>
        <w:t xml:space="preserve">gendered </w:t>
      </w:r>
      <w:r w:rsidRPr="007B207A">
        <w:rPr>
          <w:sz w:val="22"/>
          <w:szCs w:val="22"/>
        </w:rPr>
        <w:t>impacts.</w:t>
      </w:r>
      <w:r w:rsidRPr="007B207A">
        <w:rPr>
          <w:sz w:val="22"/>
          <w:szCs w:val="22"/>
          <w:vertAlign w:val="superscript"/>
        </w:rPr>
        <w:footnoteReference w:id="36"/>
      </w:r>
      <w:r w:rsidRPr="0097384E">
        <w:rPr>
          <w:sz w:val="22"/>
          <w:szCs w:val="22"/>
        </w:rPr>
        <w:t xml:space="preserve"> </w:t>
      </w:r>
      <w:r>
        <w:rPr>
          <w:sz w:val="22"/>
          <w:szCs w:val="22"/>
        </w:rPr>
        <w:t xml:space="preserve">Indigenous women hold essential knowledge regarding climate mitigation and adaptation, passed on from one generation to the next, </w:t>
      </w:r>
      <w:r w:rsidR="00AF2438">
        <w:rPr>
          <w:sz w:val="22"/>
          <w:szCs w:val="22"/>
        </w:rPr>
        <w:t>yet</w:t>
      </w:r>
      <w:r>
        <w:rPr>
          <w:sz w:val="22"/>
          <w:szCs w:val="22"/>
        </w:rPr>
        <w:t xml:space="preserve"> they continue to be excluded </w:t>
      </w:r>
      <w:r w:rsidR="00AF2438">
        <w:rPr>
          <w:sz w:val="22"/>
          <w:szCs w:val="22"/>
        </w:rPr>
        <w:t>or</w:t>
      </w:r>
      <w:r>
        <w:rPr>
          <w:sz w:val="22"/>
          <w:szCs w:val="22"/>
        </w:rPr>
        <w:t xml:space="preserve"> underrepresented in environmental policymaking.</w:t>
      </w:r>
      <w:r>
        <w:rPr>
          <w:rStyle w:val="Fodnotehenvisning"/>
          <w:sz w:val="22"/>
          <w:szCs w:val="22"/>
        </w:rPr>
        <w:footnoteReference w:id="37"/>
      </w:r>
      <w:r>
        <w:rPr>
          <w:sz w:val="22"/>
          <w:szCs w:val="22"/>
        </w:rPr>
        <w:t xml:space="preserve"> When they speak up, indigenous women face criminalization and intimidation.</w:t>
      </w:r>
      <w:r>
        <w:rPr>
          <w:rStyle w:val="Fodnotehenvisning"/>
          <w:sz w:val="22"/>
          <w:szCs w:val="22"/>
        </w:rPr>
        <w:footnoteReference w:id="38"/>
      </w:r>
      <w:r>
        <w:rPr>
          <w:sz w:val="22"/>
          <w:szCs w:val="22"/>
        </w:rPr>
        <w:t xml:space="preserve"> </w:t>
      </w:r>
    </w:p>
    <w:p w14:paraId="21CB58E8" w14:textId="77777777" w:rsidR="0097384E" w:rsidRPr="0097384E" w:rsidRDefault="0097384E" w:rsidP="0097384E">
      <w:pPr>
        <w:rPr>
          <w:b/>
          <w:bCs/>
          <w:sz w:val="22"/>
          <w:szCs w:val="22"/>
        </w:rPr>
      </w:pPr>
    </w:p>
    <w:p w14:paraId="328C96FD" w14:textId="4E207EB8" w:rsidR="003954DC" w:rsidRDefault="003954DC" w:rsidP="003954DC">
      <w:pPr>
        <w:pStyle w:val="Listeafsnit"/>
        <w:numPr>
          <w:ilvl w:val="0"/>
          <w:numId w:val="6"/>
        </w:numPr>
        <w:rPr>
          <w:b/>
          <w:bCs/>
          <w:sz w:val="22"/>
          <w:szCs w:val="22"/>
        </w:rPr>
      </w:pPr>
      <w:r w:rsidRPr="0048198D">
        <w:rPr>
          <w:b/>
          <w:bCs/>
          <w:sz w:val="22"/>
          <w:szCs w:val="22"/>
        </w:rPr>
        <w:t>Exclusion from Access to and Ownership of Land</w:t>
      </w:r>
    </w:p>
    <w:p w14:paraId="67A41756" w14:textId="6A3A7153" w:rsidR="003954DC" w:rsidRDefault="00A24F38" w:rsidP="00862014">
      <w:pPr>
        <w:ind w:firstLine="360"/>
        <w:jc w:val="both"/>
        <w:rPr>
          <w:sz w:val="22"/>
          <w:szCs w:val="22"/>
        </w:rPr>
      </w:pPr>
      <w:r>
        <w:rPr>
          <w:sz w:val="22"/>
          <w:szCs w:val="22"/>
        </w:rPr>
        <w:t>As the former</w:t>
      </w:r>
      <w:r w:rsidR="003C7FD9">
        <w:rPr>
          <w:sz w:val="22"/>
          <w:szCs w:val="22"/>
        </w:rPr>
        <w:t xml:space="preserve"> </w:t>
      </w:r>
      <w:r w:rsidR="00AF2438">
        <w:rPr>
          <w:sz w:val="22"/>
          <w:szCs w:val="22"/>
        </w:rPr>
        <w:t>UN</w:t>
      </w:r>
      <w:r>
        <w:rPr>
          <w:sz w:val="22"/>
          <w:szCs w:val="22"/>
        </w:rPr>
        <w:t xml:space="preserve"> Special Rapporteur on the Rights of Indigenous Peoples</w:t>
      </w:r>
      <w:r w:rsidR="003C7FD9">
        <w:rPr>
          <w:sz w:val="22"/>
          <w:szCs w:val="22"/>
        </w:rPr>
        <w:t xml:space="preserve"> affirmed, the appropriation of indigenous traditional lands </w:t>
      </w:r>
      <w:r w:rsidR="00862014" w:rsidRPr="00C751CB">
        <w:rPr>
          <w:sz w:val="22"/>
          <w:szCs w:val="22"/>
        </w:rPr>
        <w:t>“is not gender neutral and indigenous women’s rights interact with violations of collective land rights</w:t>
      </w:r>
      <w:r w:rsidR="00862014" w:rsidRPr="00E2186C">
        <w:rPr>
          <w:sz w:val="22"/>
          <w:szCs w:val="22"/>
        </w:rPr>
        <w:t>.</w:t>
      </w:r>
      <w:r w:rsidR="00862014">
        <w:rPr>
          <w:sz w:val="22"/>
          <w:szCs w:val="22"/>
        </w:rPr>
        <w:t>”</w:t>
      </w:r>
      <w:r w:rsidR="00862014">
        <w:rPr>
          <w:rStyle w:val="Fodnotehenvisning"/>
          <w:sz w:val="22"/>
          <w:szCs w:val="22"/>
        </w:rPr>
        <w:footnoteReference w:id="39"/>
      </w:r>
      <w:r w:rsidR="00862014">
        <w:rPr>
          <w:rStyle w:val="FodnotetekstTegn"/>
          <w:sz w:val="22"/>
          <w:szCs w:val="22"/>
        </w:rPr>
        <w:t xml:space="preserve"> </w:t>
      </w:r>
      <w:r w:rsidR="003C7FD9">
        <w:rPr>
          <w:rStyle w:val="FodnotetekstTegn"/>
          <w:sz w:val="22"/>
          <w:szCs w:val="22"/>
        </w:rPr>
        <w:t xml:space="preserve">Indeed, the community’s loss of ancestral lands has specific gendered </w:t>
      </w:r>
      <w:r w:rsidR="00DA05C9">
        <w:rPr>
          <w:rStyle w:val="FodnotetekstTegn"/>
          <w:sz w:val="22"/>
          <w:szCs w:val="22"/>
        </w:rPr>
        <w:t>effects</w:t>
      </w:r>
      <w:r w:rsidR="003C7FD9">
        <w:rPr>
          <w:rStyle w:val="FodnotetekstTegn"/>
          <w:sz w:val="22"/>
          <w:szCs w:val="22"/>
        </w:rPr>
        <w:t xml:space="preserve">, as </w:t>
      </w:r>
      <w:r w:rsidR="00DA05C9">
        <w:rPr>
          <w:rStyle w:val="FodnotetekstTegn"/>
          <w:sz w:val="22"/>
          <w:szCs w:val="22"/>
        </w:rPr>
        <w:t xml:space="preserve">women and girls </w:t>
      </w:r>
      <w:r w:rsidR="003C7FD9">
        <w:rPr>
          <w:rStyle w:val="FodnotetekstTegn"/>
          <w:sz w:val="22"/>
          <w:szCs w:val="22"/>
        </w:rPr>
        <w:t xml:space="preserve">are the keepers of traditions and culture in their communities. Land appropriation </w:t>
      </w:r>
      <w:r w:rsidR="00C06045">
        <w:rPr>
          <w:sz w:val="22"/>
          <w:szCs w:val="22"/>
        </w:rPr>
        <w:t xml:space="preserve">infringes on indigenous women and girls’ ability to </w:t>
      </w:r>
      <w:r w:rsidR="003C7FD9">
        <w:rPr>
          <w:sz w:val="22"/>
          <w:szCs w:val="22"/>
        </w:rPr>
        <w:t>pursue traditional occupations</w:t>
      </w:r>
      <w:r w:rsidR="00DA05C9">
        <w:rPr>
          <w:sz w:val="22"/>
          <w:szCs w:val="22"/>
        </w:rPr>
        <w:t xml:space="preserve"> such as food gathering, agricultural production, herding, </w:t>
      </w:r>
      <w:r w:rsidR="00C34223">
        <w:rPr>
          <w:sz w:val="22"/>
          <w:szCs w:val="22"/>
        </w:rPr>
        <w:t>or weaving; to</w:t>
      </w:r>
      <w:r w:rsidR="003C7FD9">
        <w:rPr>
          <w:sz w:val="22"/>
          <w:szCs w:val="22"/>
        </w:rPr>
        <w:t xml:space="preserve"> </w:t>
      </w:r>
      <w:r w:rsidR="00862014" w:rsidRPr="0042629C">
        <w:rPr>
          <w:sz w:val="22"/>
          <w:szCs w:val="22"/>
        </w:rPr>
        <w:t>generate income</w:t>
      </w:r>
      <w:r w:rsidR="00C34223">
        <w:rPr>
          <w:sz w:val="22"/>
          <w:szCs w:val="22"/>
        </w:rPr>
        <w:t>;</w:t>
      </w:r>
      <w:r w:rsidR="00862014">
        <w:rPr>
          <w:sz w:val="22"/>
          <w:szCs w:val="22"/>
        </w:rPr>
        <w:t xml:space="preserve"> </w:t>
      </w:r>
      <w:r w:rsidR="00C34223">
        <w:rPr>
          <w:sz w:val="22"/>
          <w:szCs w:val="22"/>
        </w:rPr>
        <w:t xml:space="preserve">to maintain cultures and ways of life; </w:t>
      </w:r>
      <w:r w:rsidR="00862014">
        <w:rPr>
          <w:sz w:val="22"/>
          <w:szCs w:val="22"/>
        </w:rPr>
        <w:t>as well as erodes</w:t>
      </w:r>
      <w:r w:rsidR="003954DC">
        <w:rPr>
          <w:sz w:val="22"/>
          <w:szCs w:val="22"/>
        </w:rPr>
        <w:t xml:space="preserve"> indigenous women’s authority within the</w:t>
      </w:r>
      <w:r w:rsidR="006951B4">
        <w:rPr>
          <w:sz w:val="22"/>
          <w:szCs w:val="22"/>
        </w:rPr>
        <w:t xml:space="preserve">ir </w:t>
      </w:r>
      <w:r w:rsidR="003954DC">
        <w:rPr>
          <w:sz w:val="22"/>
          <w:szCs w:val="22"/>
        </w:rPr>
        <w:t>communit</w:t>
      </w:r>
      <w:r w:rsidR="006951B4">
        <w:rPr>
          <w:sz w:val="22"/>
          <w:szCs w:val="22"/>
        </w:rPr>
        <w:t>ies</w:t>
      </w:r>
      <w:r w:rsidR="003954DC" w:rsidRPr="0042629C">
        <w:rPr>
          <w:sz w:val="22"/>
          <w:szCs w:val="22"/>
        </w:rPr>
        <w:t>.</w:t>
      </w:r>
      <w:r w:rsidR="003954DC">
        <w:rPr>
          <w:rStyle w:val="Fodnotehenvisning"/>
          <w:sz w:val="22"/>
          <w:szCs w:val="22"/>
        </w:rPr>
        <w:footnoteReference w:id="40"/>
      </w:r>
      <w:r w:rsidR="003954DC">
        <w:rPr>
          <w:sz w:val="22"/>
          <w:szCs w:val="22"/>
        </w:rPr>
        <w:t xml:space="preserve"> </w:t>
      </w:r>
      <w:r w:rsidR="00862014" w:rsidRPr="00E2186C">
        <w:rPr>
          <w:sz w:val="22"/>
          <w:szCs w:val="22"/>
        </w:rPr>
        <w:t>The loss of land and</w:t>
      </w:r>
      <w:r w:rsidR="00862014">
        <w:rPr>
          <w:sz w:val="22"/>
          <w:szCs w:val="22"/>
        </w:rPr>
        <w:t xml:space="preserve"> </w:t>
      </w:r>
      <w:r w:rsidR="00C34223">
        <w:rPr>
          <w:sz w:val="22"/>
          <w:szCs w:val="22"/>
        </w:rPr>
        <w:t>devaluation of</w:t>
      </w:r>
      <w:r w:rsidR="00862014" w:rsidRPr="00E2186C">
        <w:rPr>
          <w:sz w:val="22"/>
          <w:szCs w:val="22"/>
        </w:rPr>
        <w:t xml:space="preserve"> women</w:t>
      </w:r>
      <w:r w:rsidR="00C34223">
        <w:rPr>
          <w:sz w:val="22"/>
          <w:szCs w:val="22"/>
        </w:rPr>
        <w:t>’s contributions</w:t>
      </w:r>
      <w:r w:rsidR="00862014" w:rsidRPr="00E2186C">
        <w:rPr>
          <w:sz w:val="22"/>
          <w:szCs w:val="22"/>
        </w:rPr>
        <w:t xml:space="preserve"> create</w:t>
      </w:r>
      <w:r w:rsidR="00C34223">
        <w:rPr>
          <w:sz w:val="22"/>
          <w:szCs w:val="22"/>
        </w:rPr>
        <w:t>s</w:t>
      </w:r>
      <w:r w:rsidR="00862014" w:rsidRPr="00E2186C">
        <w:rPr>
          <w:sz w:val="22"/>
          <w:szCs w:val="22"/>
        </w:rPr>
        <w:t xml:space="preserve"> vulnerability to abuse and violence.</w:t>
      </w:r>
      <w:r w:rsidR="00862014">
        <w:rPr>
          <w:rStyle w:val="Fodnotehenvisning"/>
          <w:sz w:val="22"/>
          <w:szCs w:val="22"/>
        </w:rPr>
        <w:footnoteReference w:id="41"/>
      </w:r>
      <w:r w:rsidR="00862014" w:rsidRPr="00E2186C">
        <w:rPr>
          <w:sz w:val="22"/>
          <w:szCs w:val="22"/>
        </w:rPr>
        <w:t xml:space="preserve"> </w:t>
      </w:r>
      <w:r w:rsidR="003954DC">
        <w:rPr>
          <w:sz w:val="22"/>
          <w:szCs w:val="22"/>
        </w:rPr>
        <w:t>The</w:t>
      </w:r>
      <w:r w:rsidR="006978B1">
        <w:rPr>
          <w:sz w:val="22"/>
          <w:szCs w:val="22"/>
        </w:rPr>
        <w:t>refore, the</w:t>
      </w:r>
      <w:r w:rsidR="003954DC">
        <w:rPr>
          <w:sz w:val="22"/>
          <w:szCs w:val="22"/>
        </w:rPr>
        <w:t xml:space="preserve"> protection of</w:t>
      </w:r>
      <w:r w:rsidR="003954DC" w:rsidRPr="00F50A69">
        <w:rPr>
          <w:sz w:val="22"/>
          <w:szCs w:val="22"/>
        </w:rPr>
        <w:t xml:space="preserve"> indigenous peoples’ collective right</w:t>
      </w:r>
      <w:r w:rsidR="00AF2438">
        <w:rPr>
          <w:sz w:val="22"/>
          <w:szCs w:val="22"/>
        </w:rPr>
        <w:t>s</w:t>
      </w:r>
      <w:r w:rsidR="003954DC" w:rsidRPr="00F50A69">
        <w:rPr>
          <w:sz w:val="22"/>
          <w:szCs w:val="22"/>
        </w:rPr>
        <w:t xml:space="preserve"> over the lands they have traditionally occupied as</w:t>
      </w:r>
      <w:r w:rsidR="003954DC">
        <w:rPr>
          <w:sz w:val="22"/>
          <w:szCs w:val="22"/>
        </w:rPr>
        <w:t xml:space="preserve"> </w:t>
      </w:r>
      <w:r w:rsidR="003954DC" w:rsidRPr="00F50A69">
        <w:rPr>
          <w:sz w:val="22"/>
          <w:szCs w:val="22"/>
        </w:rPr>
        <w:t>well as their associated ancestral knowledge is</w:t>
      </w:r>
      <w:r w:rsidR="003954DC">
        <w:rPr>
          <w:sz w:val="22"/>
          <w:szCs w:val="22"/>
        </w:rPr>
        <w:t xml:space="preserve"> </w:t>
      </w:r>
      <w:r w:rsidR="003954DC" w:rsidRPr="00F50A69">
        <w:rPr>
          <w:sz w:val="22"/>
          <w:szCs w:val="22"/>
        </w:rPr>
        <w:t>central</w:t>
      </w:r>
      <w:r w:rsidR="003954DC">
        <w:rPr>
          <w:sz w:val="22"/>
          <w:szCs w:val="22"/>
        </w:rPr>
        <w:t xml:space="preserve"> to</w:t>
      </w:r>
      <w:r w:rsidR="003954DC" w:rsidRPr="00F50A69">
        <w:rPr>
          <w:sz w:val="22"/>
          <w:szCs w:val="22"/>
        </w:rPr>
        <w:t xml:space="preserve"> </w:t>
      </w:r>
      <w:r w:rsidR="003954DC">
        <w:rPr>
          <w:sz w:val="22"/>
          <w:szCs w:val="22"/>
        </w:rPr>
        <w:t>the protection of</w:t>
      </w:r>
      <w:r w:rsidR="003954DC" w:rsidRPr="00F50A69">
        <w:rPr>
          <w:sz w:val="22"/>
          <w:szCs w:val="22"/>
        </w:rPr>
        <w:t xml:space="preserve"> indigenous women’s</w:t>
      </w:r>
      <w:r w:rsidR="003954DC">
        <w:rPr>
          <w:sz w:val="22"/>
          <w:szCs w:val="22"/>
        </w:rPr>
        <w:t xml:space="preserve"> rights. </w:t>
      </w:r>
    </w:p>
    <w:p w14:paraId="620BC32C" w14:textId="77777777" w:rsidR="00256CED" w:rsidRDefault="00256CED" w:rsidP="00862014">
      <w:pPr>
        <w:ind w:firstLine="360"/>
        <w:jc w:val="both"/>
        <w:rPr>
          <w:sz w:val="22"/>
          <w:szCs w:val="22"/>
        </w:rPr>
      </w:pPr>
    </w:p>
    <w:p w14:paraId="73E3FB1C" w14:textId="379B566A" w:rsidR="00D85D2C" w:rsidRDefault="00163BD3" w:rsidP="00862014">
      <w:pPr>
        <w:ind w:firstLine="360"/>
        <w:jc w:val="both"/>
        <w:rPr>
          <w:sz w:val="22"/>
          <w:szCs w:val="22"/>
        </w:rPr>
      </w:pPr>
      <w:r>
        <w:rPr>
          <w:sz w:val="22"/>
          <w:szCs w:val="22"/>
        </w:rPr>
        <w:t>T</w:t>
      </w:r>
      <w:r w:rsidR="00D85D2C">
        <w:rPr>
          <w:sz w:val="22"/>
          <w:szCs w:val="22"/>
        </w:rPr>
        <w:t>radition</w:t>
      </w:r>
      <w:r w:rsidR="00256CED">
        <w:rPr>
          <w:sz w:val="22"/>
          <w:szCs w:val="22"/>
        </w:rPr>
        <w:t>al</w:t>
      </w:r>
      <w:r w:rsidR="00D85D2C">
        <w:rPr>
          <w:sz w:val="22"/>
          <w:szCs w:val="22"/>
        </w:rPr>
        <w:t xml:space="preserve"> practices or customary laws</w:t>
      </w:r>
      <w:r w:rsidR="00324D60">
        <w:rPr>
          <w:sz w:val="22"/>
          <w:szCs w:val="22"/>
        </w:rPr>
        <w:t xml:space="preserve"> </w:t>
      </w:r>
      <w:r w:rsidR="00256CED">
        <w:rPr>
          <w:sz w:val="22"/>
          <w:szCs w:val="22"/>
        </w:rPr>
        <w:t xml:space="preserve">can </w:t>
      </w:r>
      <w:r>
        <w:rPr>
          <w:sz w:val="22"/>
          <w:szCs w:val="22"/>
        </w:rPr>
        <w:t xml:space="preserve">also </w:t>
      </w:r>
      <w:r w:rsidR="00256CED">
        <w:rPr>
          <w:sz w:val="22"/>
          <w:szCs w:val="22"/>
        </w:rPr>
        <w:t xml:space="preserve">be harmful to indigenous women and girls as they impede their right to ownership and inheritance of land, </w:t>
      </w:r>
      <w:r>
        <w:rPr>
          <w:sz w:val="22"/>
          <w:szCs w:val="22"/>
        </w:rPr>
        <w:t>limit their</w:t>
      </w:r>
      <w:r w:rsidR="009302D1">
        <w:rPr>
          <w:sz w:val="22"/>
          <w:szCs w:val="22"/>
        </w:rPr>
        <w:t xml:space="preserve"> ability to decide how they will use their natural resources, and </w:t>
      </w:r>
      <w:r w:rsidR="00256CED">
        <w:rPr>
          <w:sz w:val="22"/>
          <w:szCs w:val="22"/>
        </w:rPr>
        <w:t>creat</w:t>
      </w:r>
      <w:r>
        <w:rPr>
          <w:sz w:val="22"/>
          <w:szCs w:val="22"/>
        </w:rPr>
        <w:t>e</w:t>
      </w:r>
      <w:r w:rsidR="00256CED">
        <w:rPr>
          <w:sz w:val="22"/>
          <w:szCs w:val="22"/>
        </w:rPr>
        <w:t xml:space="preserve"> further causes of vulnerability</w:t>
      </w:r>
      <w:r w:rsidR="00AE17B0">
        <w:rPr>
          <w:sz w:val="22"/>
          <w:szCs w:val="22"/>
        </w:rPr>
        <w:t>.</w:t>
      </w:r>
      <w:r w:rsidR="00AE17B0">
        <w:rPr>
          <w:rStyle w:val="Fodnotehenvisning"/>
          <w:sz w:val="22"/>
          <w:szCs w:val="22"/>
        </w:rPr>
        <w:footnoteReference w:id="42"/>
      </w:r>
      <w:r w:rsidR="00324D60">
        <w:rPr>
          <w:sz w:val="22"/>
          <w:szCs w:val="22"/>
        </w:rPr>
        <w:t xml:space="preserve"> </w:t>
      </w:r>
      <w:r w:rsidR="00AF2438">
        <w:rPr>
          <w:sz w:val="22"/>
          <w:szCs w:val="22"/>
        </w:rPr>
        <w:t>Inversely</w:t>
      </w:r>
      <w:r w:rsidR="00324D60">
        <w:rPr>
          <w:sz w:val="22"/>
          <w:szCs w:val="22"/>
        </w:rPr>
        <w:t>, matrifocal indigenous societies</w:t>
      </w:r>
      <w:r w:rsidR="009302D1" w:rsidRPr="009302D1">
        <w:rPr>
          <w:sz w:val="22"/>
          <w:szCs w:val="22"/>
        </w:rPr>
        <w:t xml:space="preserve"> </w:t>
      </w:r>
      <w:r w:rsidR="009302D1">
        <w:rPr>
          <w:sz w:val="22"/>
          <w:szCs w:val="22"/>
        </w:rPr>
        <w:t>where indigenous women are entitled to access and ownership of land on the same basis as men,</w:t>
      </w:r>
      <w:r w:rsidR="00324D60">
        <w:rPr>
          <w:sz w:val="22"/>
          <w:szCs w:val="22"/>
        </w:rPr>
        <w:t xml:space="preserve"> such as the Shipibo-</w:t>
      </w:r>
      <w:proofErr w:type="spellStart"/>
      <w:r w:rsidR="00324D60">
        <w:rPr>
          <w:sz w:val="22"/>
          <w:szCs w:val="22"/>
        </w:rPr>
        <w:t>Conibo</w:t>
      </w:r>
      <w:proofErr w:type="spellEnd"/>
      <w:r w:rsidR="00CA566C">
        <w:rPr>
          <w:sz w:val="22"/>
          <w:szCs w:val="22"/>
        </w:rPr>
        <w:t xml:space="preserve"> in Peru</w:t>
      </w:r>
      <w:r w:rsidR="009302D1">
        <w:rPr>
          <w:sz w:val="22"/>
          <w:szCs w:val="22"/>
        </w:rPr>
        <w:t>,</w:t>
      </w:r>
      <w:r w:rsidR="00324D60">
        <w:rPr>
          <w:sz w:val="22"/>
          <w:szCs w:val="22"/>
        </w:rPr>
        <w:t xml:space="preserve"> </w:t>
      </w:r>
      <w:r w:rsidR="00CA566C">
        <w:rPr>
          <w:sz w:val="22"/>
          <w:szCs w:val="22"/>
        </w:rPr>
        <w:t>have prove</w:t>
      </w:r>
      <w:r w:rsidR="009302D1">
        <w:rPr>
          <w:sz w:val="22"/>
          <w:szCs w:val="22"/>
        </w:rPr>
        <w:t>n</w:t>
      </w:r>
      <w:r w:rsidR="00CA566C">
        <w:rPr>
          <w:sz w:val="22"/>
          <w:szCs w:val="22"/>
        </w:rPr>
        <w:t xml:space="preserve"> to entail positive results such as greater food security. </w:t>
      </w:r>
      <w:r w:rsidR="00CA566C">
        <w:rPr>
          <w:rStyle w:val="Fodnotehenvisning"/>
          <w:sz w:val="22"/>
          <w:szCs w:val="22"/>
        </w:rPr>
        <w:footnoteReference w:id="43"/>
      </w:r>
    </w:p>
    <w:p w14:paraId="1D203E26" w14:textId="77777777" w:rsidR="003954DC" w:rsidRDefault="003954DC" w:rsidP="003954DC">
      <w:pPr>
        <w:ind w:firstLine="360"/>
        <w:jc w:val="both"/>
        <w:rPr>
          <w:sz w:val="22"/>
          <w:szCs w:val="22"/>
        </w:rPr>
      </w:pPr>
    </w:p>
    <w:p w14:paraId="5B5C4317" w14:textId="77777777" w:rsidR="003954DC" w:rsidRDefault="003954DC" w:rsidP="003954DC">
      <w:pPr>
        <w:pStyle w:val="Listeafsnit"/>
        <w:numPr>
          <w:ilvl w:val="0"/>
          <w:numId w:val="6"/>
        </w:numPr>
        <w:rPr>
          <w:b/>
          <w:bCs/>
          <w:sz w:val="22"/>
          <w:szCs w:val="22"/>
        </w:rPr>
      </w:pPr>
      <w:r w:rsidRPr="0048198D">
        <w:rPr>
          <w:b/>
          <w:bCs/>
          <w:sz w:val="22"/>
          <w:szCs w:val="22"/>
        </w:rPr>
        <w:t>Exclusion from Public Participation and Decision-Making Roles</w:t>
      </w:r>
    </w:p>
    <w:p w14:paraId="0EF9D5F9" w14:textId="1F35817A" w:rsidR="00521A7C" w:rsidRDefault="00862014" w:rsidP="003954DC">
      <w:pPr>
        <w:ind w:firstLine="360"/>
        <w:jc w:val="both"/>
        <w:rPr>
          <w:sz w:val="22"/>
          <w:szCs w:val="22"/>
        </w:rPr>
      </w:pPr>
      <w:r>
        <w:rPr>
          <w:sz w:val="22"/>
          <w:szCs w:val="22"/>
        </w:rPr>
        <w:t>I</w:t>
      </w:r>
      <w:r w:rsidR="003954DC" w:rsidRPr="00DC73B9">
        <w:rPr>
          <w:sz w:val="22"/>
          <w:szCs w:val="22"/>
        </w:rPr>
        <w:t>n most countries, indigenous women are under-represented in national parliaments</w:t>
      </w:r>
      <w:r w:rsidR="003954DC">
        <w:rPr>
          <w:sz w:val="22"/>
          <w:szCs w:val="22"/>
        </w:rPr>
        <w:t xml:space="preserve">, </w:t>
      </w:r>
      <w:r w:rsidR="003954DC" w:rsidRPr="00DC73B9">
        <w:rPr>
          <w:sz w:val="22"/>
          <w:szCs w:val="22"/>
        </w:rPr>
        <w:t>local governments</w:t>
      </w:r>
      <w:r w:rsidR="003954DC">
        <w:rPr>
          <w:sz w:val="22"/>
          <w:szCs w:val="22"/>
        </w:rPr>
        <w:t xml:space="preserve"> and the judiciary</w:t>
      </w:r>
      <w:r w:rsidR="003954DC" w:rsidRPr="00DC73B9">
        <w:rPr>
          <w:sz w:val="22"/>
          <w:szCs w:val="22"/>
        </w:rPr>
        <w:t>.</w:t>
      </w:r>
      <w:r w:rsidR="003954DC" w:rsidRPr="003F7EE0">
        <w:rPr>
          <w:rStyle w:val="Fodnotehenvisning"/>
          <w:sz w:val="22"/>
          <w:szCs w:val="22"/>
        </w:rPr>
        <w:t xml:space="preserve"> </w:t>
      </w:r>
      <w:r w:rsidR="003954DC">
        <w:rPr>
          <w:rStyle w:val="Fodnotehenvisning"/>
          <w:sz w:val="22"/>
          <w:szCs w:val="22"/>
        </w:rPr>
        <w:footnoteReference w:id="44"/>
      </w:r>
      <w:r w:rsidR="003954DC">
        <w:rPr>
          <w:sz w:val="22"/>
          <w:szCs w:val="22"/>
        </w:rPr>
        <w:t xml:space="preserve"> Although in some countries, there are reserved seats for women in Parliament, it is very difficult for indigenous women to have access to any of these seats</w:t>
      </w:r>
      <w:r w:rsidR="007B1B64">
        <w:rPr>
          <w:sz w:val="22"/>
          <w:szCs w:val="22"/>
        </w:rPr>
        <w:t xml:space="preserve"> because of local ethnic and gendered prejudice against indigenous women, or because of their</w:t>
      </w:r>
      <w:r w:rsidR="00163BD3">
        <w:rPr>
          <w:sz w:val="22"/>
          <w:szCs w:val="22"/>
        </w:rPr>
        <w:t xml:space="preserve"> proportional</w:t>
      </w:r>
      <w:r w:rsidR="007B1B64">
        <w:rPr>
          <w:sz w:val="22"/>
          <w:szCs w:val="22"/>
        </w:rPr>
        <w:t xml:space="preserve"> minority within the States in which they live. For instance, in India, Adivasi and tribal women are restricted in their public participation by baseless rules requiring them to have no more than two children to participate in local electoral politics.</w:t>
      </w:r>
      <w:r w:rsidR="007B1B64">
        <w:rPr>
          <w:rStyle w:val="Fodnotehenvisning"/>
          <w:sz w:val="22"/>
          <w:szCs w:val="22"/>
        </w:rPr>
        <w:footnoteReference w:id="45"/>
      </w:r>
      <w:r w:rsidR="007B1B64">
        <w:rPr>
          <w:sz w:val="22"/>
          <w:szCs w:val="22"/>
        </w:rPr>
        <w:t xml:space="preserve"> A Saami indigenous woman leader from Siberia also brought up how gender stereotypes affected her ability to be taken seriously when running for office, with people doubting her ability because she was a woman, had children, and because she was indigenous.</w:t>
      </w:r>
      <w:r w:rsidR="007B1B64">
        <w:rPr>
          <w:rStyle w:val="Fodnotehenvisning"/>
          <w:sz w:val="22"/>
          <w:szCs w:val="22"/>
        </w:rPr>
        <w:footnoteReference w:id="46"/>
      </w:r>
      <w:r w:rsidR="007B1B64">
        <w:rPr>
          <w:sz w:val="22"/>
          <w:szCs w:val="22"/>
        </w:rPr>
        <w:t xml:space="preserve"> </w:t>
      </w:r>
      <w:bookmarkStart w:id="2" w:name="_Hlk74608416"/>
      <w:r w:rsidR="00E05415">
        <w:rPr>
          <w:sz w:val="22"/>
          <w:szCs w:val="22"/>
        </w:rPr>
        <w:t>This has brought indigenous women to call for reserved seats specifically for them.</w:t>
      </w:r>
      <w:r w:rsidR="00E05415">
        <w:rPr>
          <w:rStyle w:val="Fodnotehenvisning"/>
          <w:sz w:val="22"/>
          <w:szCs w:val="22"/>
        </w:rPr>
        <w:footnoteReference w:id="47"/>
      </w:r>
      <w:r w:rsidR="00E05415">
        <w:rPr>
          <w:sz w:val="22"/>
          <w:szCs w:val="22"/>
        </w:rPr>
        <w:t xml:space="preserve"> </w:t>
      </w:r>
      <w:r w:rsidR="009015EE" w:rsidRPr="00DC73B9">
        <w:rPr>
          <w:sz w:val="22"/>
          <w:szCs w:val="22"/>
        </w:rPr>
        <w:t>Indigenous women also encounter barriers to their participation in decision-making in their own</w:t>
      </w:r>
      <w:r w:rsidR="009015EE">
        <w:rPr>
          <w:sz w:val="22"/>
          <w:szCs w:val="22"/>
        </w:rPr>
        <w:t xml:space="preserve"> </w:t>
      </w:r>
      <w:r w:rsidR="009015EE" w:rsidRPr="00DC73B9">
        <w:rPr>
          <w:sz w:val="22"/>
          <w:szCs w:val="22"/>
        </w:rPr>
        <w:t>communities</w:t>
      </w:r>
      <w:r w:rsidR="009015EE">
        <w:rPr>
          <w:sz w:val="22"/>
          <w:szCs w:val="22"/>
        </w:rPr>
        <w:t>, with similar gender stereotyping as the cause.</w:t>
      </w:r>
      <w:r w:rsidR="004A48C3">
        <w:rPr>
          <w:rStyle w:val="Fodnotehenvisning"/>
          <w:sz w:val="22"/>
          <w:szCs w:val="22"/>
        </w:rPr>
        <w:footnoteReference w:id="48"/>
      </w:r>
      <w:r w:rsidR="009015EE">
        <w:rPr>
          <w:sz w:val="22"/>
          <w:szCs w:val="22"/>
        </w:rPr>
        <w:t xml:space="preserve"> </w:t>
      </w:r>
      <w:bookmarkEnd w:id="2"/>
    </w:p>
    <w:p w14:paraId="01B2D485" w14:textId="77777777" w:rsidR="00163BD3" w:rsidRPr="00DC73B9" w:rsidRDefault="00163BD3" w:rsidP="003954DC">
      <w:pPr>
        <w:jc w:val="both"/>
        <w:rPr>
          <w:sz w:val="22"/>
          <w:szCs w:val="22"/>
        </w:rPr>
      </w:pPr>
    </w:p>
    <w:p w14:paraId="614860CB" w14:textId="77777777" w:rsidR="003954DC" w:rsidRDefault="003954DC" w:rsidP="003954DC">
      <w:pPr>
        <w:pStyle w:val="Listeafsnit"/>
        <w:numPr>
          <w:ilvl w:val="0"/>
          <w:numId w:val="6"/>
        </w:numPr>
        <w:jc w:val="both"/>
        <w:rPr>
          <w:b/>
          <w:bCs/>
          <w:sz w:val="22"/>
          <w:szCs w:val="22"/>
        </w:rPr>
      </w:pPr>
      <w:r w:rsidRPr="0048198D">
        <w:rPr>
          <w:b/>
          <w:bCs/>
          <w:sz w:val="22"/>
          <w:szCs w:val="22"/>
        </w:rPr>
        <w:t xml:space="preserve">Violations of Economic, Social and Cultural Rights </w:t>
      </w:r>
    </w:p>
    <w:p w14:paraId="6B2A097C" w14:textId="3C0AFFB7" w:rsidR="00412106" w:rsidRDefault="0046037F" w:rsidP="00412106">
      <w:pPr>
        <w:ind w:firstLine="360"/>
        <w:jc w:val="both"/>
        <w:rPr>
          <w:sz w:val="22"/>
          <w:szCs w:val="22"/>
        </w:rPr>
      </w:pPr>
      <w:r w:rsidRPr="0048198D">
        <w:rPr>
          <w:sz w:val="22"/>
          <w:szCs w:val="22"/>
        </w:rPr>
        <w:t>Indigenous Women report</w:t>
      </w:r>
      <w:r>
        <w:rPr>
          <w:sz w:val="22"/>
          <w:szCs w:val="22"/>
        </w:rPr>
        <w:t xml:space="preserve"> various obstacles to their access to education, and particularly to culturally appropriate education. </w:t>
      </w:r>
      <w:r w:rsidR="003954DC" w:rsidRPr="00E2186C">
        <w:rPr>
          <w:sz w:val="22"/>
          <w:szCs w:val="22"/>
        </w:rPr>
        <w:t>Indigenous women tend to have low levels of educational</w:t>
      </w:r>
      <w:r w:rsidR="003954DC">
        <w:rPr>
          <w:sz w:val="22"/>
          <w:szCs w:val="22"/>
        </w:rPr>
        <w:t xml:space="preserve"> </w:t>
      </w:r>
      <w:r w:rsidR="003954DC" w:rsidRPr="00E2186C">
        <w:rPr>
          <w:sz w:val="22"/>
          <w:szCs w:val="22"/>
        </w:rPr>
        <w:t>attainment and literacy compared t</w:t>
      </w:r>
      <w:r w:rsidR="006951B4">
        <w:rPr>
          <w:sz w:val="22"/>
          <w:szCs w:val="22"/>
        </w:rPr>
        <w:t>o</w:t>
      </w:r>
      <w:r w:rsidR="003954DC" w:rsidRPr="00E2186C">
        <w:rPr>
          <w:sz w:val="22"/>
          <w:szCs w:val="22"/>
        </w:rPr>
        <w:t xml:space="preserve"> non-indigenous populations.</w:t>
      </w:r>
      <w:r w:rsidR="003954DC">
        <w:rPr>
          <w:rStyle w:val="Fodnotehenvisning"/>
          <w:sz w:val="22"/>
          <w:szCs w:val="22"/>
        </w:rPr>
        <w:footnoteReference w:id="49"/>
      </w:r>
      <w:r w:rsidR="003954DC" w:rsidRPr="00E2186C">
        <w:rPr>
          <w:sz w:val="22"/>
          <w:szCs w:val="22"/>
        </w:rPr>
        <w:t xml:space="preserve"> </w:t>
      </w:r>
      <w:r>
        <w:rPr>
          <w:sz w:val="22"/>
          <w:szCs w:val="22"/>
        </w:rPr>
        <w:t>Indeed, a</w:t>
      </w:r>
      <w:r w:rsidR="003954DC">
        <w:rPr>
          <w:sz w:val="22"/>
          <w:szCs w:val="22"/>
        </w:rPr>
        <w:t xml:space="preserve"> study published by the Economic </w:t>
      </w:r>
      <w:r w:rsidR="00B149AD">
        <w:rPr>
          <w:sz w:val="22"/>
          <w:szCs w:val="22"/>
        </w:rPr>
        <w:t>Commission</w:t>
      </w:r>
      <w:r w:rsidR="003954DC">
        <w:rPr>
          <w:sz w:val="22"/>
          <w:szCs w:val="22"/>
        </w:rPr>
        <w:t xml:space="preserve"> for Latin America and the Caribbean has shown that illiteracy rates among young indigenous women (aged 15-24) are alarmingly high in both urban and rural areas in Latin America.</w:t>
      </w:r>
      <w:r w:rsidR="003954DC">
        <w:rPr>
          <w:rStyle w:val="Fodnotehenvisning"/>
          <w:sz w:val="22"/>
          <w:szCs w:val="22"/>
        </w:rPr>
        <w:footnoteReference w:id="50"/>
      </w:r>
      <w:r w:rsidR="003954DC">
        <w:rPr>
          <w:sz w:val="22"/>
          <w:szCs w:val="22"/>
        </w:rPr>
        <w:t xml:space="preserve"> </w:t>
      </w:r>
      <w:r w:rsidR="003954DC" w:rsidRPr="00F50A69">
        <w:rPr>
          <w:sz w:val="22"/>
          <w:szCs w:val="22"/>
        </w:rPr>
        <w:t>Some of the main obstacles</w:t>
      </w:r>
      <w:r w:rsidR="003954DC">
        <w:rPr>
          <w:sz w:val="22"/>
          <w:szCs w:val="22"/>
        </w:rPr>
        <w:t xml:space="preserve"> to education</w:t>
      </w:r>
      <w:r w:rsidR="003954DC" w:rsidRPr="00F50A69">
        <w:rPr>
          <w:sz w:val="22"/>
          <w:szCs w:val="22"/>
        </w:rPr>
        <w:t xml:space="preserve"> include long</w:t>
      </w:r>
      <w:r w:rsidR="003954DC">
        <w:rPr>
          <w:sz w:val="22"/>
          <w:szCs w:val="22"/>
        </w:rPr>
        <w:t xml:space="preserve"> </w:t>
      </w:r>
      <w:r w:rsidR="003954DC" w:rsidRPr="00F50A69">
        <w:rPr>
          <w:sz w:val="22"/>
          <w:szCs w:val="22"/>
        </w:rPr>
        <w:t>distances, lack of transportation, lack of teaching in indigenous languages, poverty, and discrimination.</w:t>
      </w:r>
      <w:r w:rsidR="003954DC">
        <w:rPr>
          <w:sz w:val="22"/>
          <w:szCs w:val="22"/>
        </w:rPr>
        <w:t xml:space="preserve"> </w:t>
      </w:r>
      <w:r w:rsidR="003954DC" w:rsidRPr="00F50A69">
        <w:rPr>
          <w:sz w:val="22"/>
          <w:szCs w:val="22"/>
        </w:rPr>
        <w:t>Indigenous girls</w:t>
      </w:r>
      <w:r w:rsidR="003954DC">
        <w:rPr>
          <w:sz w:val="22"/>
          <w:szCs w:val="22"/>
        </w:rPr>
        <w:t xml:space="preserve"> across all regions</w:t>
      </w:r>
      <w:r w:rsidR="003954DC" w:rsidRPr="00F50A69">
        <w:rPr>
          <w:sz w:val="22"/>
          <w:szCs w:val="22"/>
        </w:rPr>
        <w:t xml:space="preserve"> experience additional barriers, such as </w:t>
      </w:r>
      <w:r w:rsidR="001F78C1">
        <w:rPr>
          <w:sz w:val="22"/>
          <w:szCs w:val="22"/>
        </w:rPr>
        <w:t xml:space="preserve">an expectation that they will help with domestic and care responsibilities, </w:t>
      </w:r>
      <w:r w:rsidR="003954DC" w:rsidRPr="00F50A69">
        <w:rPr>
          <w:sz w:val="22"/>
          <w:szCs w:val="22"/>
        </w:rPr>
        <w:t xml:space="preserve">an increased vulnerability to harassment </w:t>
      </w:r>
      <w:r w:rsidR="001F78C1">
        <w:rPr>
          <w:sz w:val="22"/>
          <w:szCs w:val="22"/>
        </w:rPr>
        <w:t xml:space="preserve">and </w:t>
      </w:r>
      <w:r w:rsidR="001F78C1" w:rsidRPr="001C1359">
        <w:rPr>
          <w:sz w:val="22"/>
          <w:szCs w:val="22"/>
        </w:rPr>
        <w:t xml:space="preserve">sexual violence </w:t>
      </w:r>
      <w:r w:rsidR="003954DC" w:rsidRPr="00F50A69">
        <w:rPr>
          <w:sz w:val="22"/>
          <w:szCs w:val="22"/>
        </w:rPr>
        <w:t>on the</w:t>
      </w:r>
      <w:r w:rsidR="003954DC">
        <w:rPr>
          <w:sz w:val="22"/>
          <w:szCs w:val="22"/>
        </w:rPr>
        <w:t xml:space="preserve"> </w:t>
      </w:r>
      <w:r w:rsidR="003954DC" w:rsidRPr="00F50A69">
        <w:rPr>
          <w:sz w:val="22"/>
          <w:szCs w:val="22"/>
        </w:rPr>
        <w:t>way to school, early marriage and adolescent pregnancy</w:t>
      </w:r>
      <w:r w:rsidR="003954DC">
        <w:rPr>
          <w:sz w:val="22"/>
          <w:szCs w:val="22"/>
        </w:rPr>
        <w:t>.</w:t>
      </w:r>
      <w:r w:rsidR="003954DC">
        <w:rPr>
          <w:rStyle w:val="Fodnotehenvisning"/>
          <w:sz w:val="22"/>
          <w:szCs w:val="22"/>
        </w:rPr>
        <w:footnoteReference w:id="51"/>
      </w:r>
      <w:r w:rsidR="003954DC" w:rsidRPr="001C1359">
        <w:rPr>
          <w:sz w:val="22"/>
          <w:szCs w:val="22"/>
        </w:rPr>
        <w:t xml:space="preserve"> </w:t>
      </w:r>
      <w:r>
        <w:rPr>
          <w:sz w:val="22"/>
          <w:szCs w:val="22"/>
        </w:rPr>
        <w:t xml:space="preserve"> </w:t>
      </w:r>
    </w:p>
    <w:p w14:paraId="096A99F7" w14:textId="77777777" w:rsidR="00412106" w:rsidRDefault="00412106" w:rsidP="00412106">
      <w:pPr>
        <w:ind w:firstLine="360"/>
        <w:jc w:val="both"/>
        <w:rPr>
          <w:sz w:val="22"/>
          <w:szCs w:val="22"/>
        </w:rPr>
      </w:pPr>
    </w:p>
    <w:p w14:paraId="2D03481B" w14:textId="0D7A76D2" w:rsidR="00412106" w:rsidRDefault="007166EE" w:rsidP="00412106">
      <w:pPr>
        <w:ind w:firstLine="360"/>
        <w:jc w:val="both"/>
        <w:rPr>
          <w:sz w:val="22"/>
          <w:szCs w:val="22"/>
        </w:rPr>
      </w:pPr>
      <w:r>
        <w:rPr>
          <w:sz w:val="22"/>
          <w:szCs w:val="22"/>
        </w:rPr>
        <w:t>The banishment or non-recognition of indigenous languages has been a major impediment to indigenous people’s rights to their language and culture.</w:t>
      </w:r>
      <w:r w:rsidRPr="0028482D">
        <w:rPr>
          <w:sz w:val="22"/>
          <w:szCs w:val="22"/>
        </w:rPr>
        <w:t xml:space="preserve"> </w:t>
      </w:r>
      <w:r w:rsidR="003954DC">
        <w:rPr>
          <w:sz w:val="22"/>
          <w:szCs w:val="22"/>
        </w:rPr>
        <w:t xml:space="preserve">Indigenous women in </w:t>
      </w:r>
      <w:r w:rsidR="003954DC" w:rsidRPr="00742E7E">
        <w:rPr>
          <w:sz w:val="22"/>
          <w:szCs w:val="22"/>
        </w:rPr>
        <w:t>Cameroon</w:t>
      </w:r>
      <w:r w:rsidR="003954DC">
        <w:rPr>
          <w:sz w:val="22"/>
          <w:szCs w:val="22"/>
        </w:rPr>
        <w:t xml:space="preserve"> reported that schools were an</w:t>
      </w:r>
      <w:r w:rsidR="003954DC" w:rsidRPr="00742E7E">
        <w:rPr>
          <w:sz w:val="22"/>
          <w:szCs w:val="22"/>
        </w:rPr>
        <w:t xml:space="preserve"> explicit and implicit site of rejection of indigenous knowledge and language</w:t>
      </w:r>
      <w:r w:rsidR="003954DC">
        <w:rPr>
          <w:sz w:val="22"/>
          <w:szCs w:val="22"/>
        </w:rPr>
        <w:t>.</w:t>
      </w:r>
      <w:r w:rsidR="003954DC">
        <w:rPr>
          <w:rStyle w:val="Fodnotehenvisning"/>
          <w:sz w:val="22"/>
          <w:szCs w:val="22"/>
        </w:rPr>
        <w:footnoteReference w:id="52"/>
      </w:r>
      <w:r w:rsidR="003954DC">
        <w:rPr>
          <w:sz w:val="22"/>
          <w:szCs w:val="22"/>
        </w:rPr>
        <w:t xml:space="preserve"> In Nepal, </w:t>
      </w:r>
      <w:r w:rsidR="003954DC" w:rsidRPr="00CA7C23">
        <w:rPr>
          <w:sz w:val="22"/>
          <w:szCs w:val="22"/>
        </w:rPr>
        <w:t>access to and long</w:t>
      </w:r>
      <w:r w:rsidR="003954DC">
        <w:rPr>
          <w:sz w:val="22"/>
          <w:szCs w:val="22"/>
        </w:rPr>
        <w:t>-</w:t>
      </w:r>
      <w:r w:rsidR="003954DC" w:rsidRPr="00CA7C23">
        <w:rPr>
          <w:sz w:val="22"/>
          <w:szCs w:val="22"/>
        </w:rPr>
        <w:t xml:space="preserve">term participation in education </w:t>
      </w:r>
      <w:r w:rsidR="001F78C1">
        <w:rPr>
          <w:sz w:val="22"/>
          <w:szCs w:val="22"/>
        </w:rPr>
        <w:t xml:space="preserve">for indigenous women </w:t>
      </w:r>
      <w:r w:rsidR="003954DC" w:rsidRPr="00CA7C23">
        <w:rPr>
          <w:sz w:val="22"/>
          <w:szCs w:val="22"/>
        </w:rPr>
        <w:t>is made far more difficult by an insistence on Khas Nepali</w:t>
      </w:r>
      <w:r w:rsidR="003954DC">
        <w:rPr>
          <w:sz w:val="22"/>
          <w:szCs w:val="22"/>
        </w:rPr>
        <w:t xml:space="preserve"> </w:t>
      </w:r>
      <w:r w:rsidR="003954DC" w:rsidRPr="00CA7C23">
        <w:rPr>
          <w:sz w:val="22"/>
          <w:szCs w:val="22"/>
        </w:rPr>
        <w:t>as the language of instruction at all levels</w:t>
      </w:r>
      <w:r w:rsidR="003954DC">
        <w:rPr>
          <w:sz w:val="22"/>
          <w:szCs w:val="22"/>
        </w:rPr>
        <w:t>, rather than indigenous languages</w:t>
      </w:r>
      <w:r w:rsidR="003954DC" w:rsidRPr="00CA7C23">
        <w:rPr>
          <w:sz w:val="22"/>
          <w:szCs w:val="22"/>
        </w:rPr>
        <w:t>.</w:t>
      </w:r>
      <w:r w:rsidR="003954DC">
        <w:rPr>
          <w:rStyle w:val="Fodnotehenvisning"/>
          <w:sz w:val="22"/>
          <w:szCs w:val="22"/>
        </w:rPr>
        <w:footnoteReference w:id="53"/>
      </w:r>
      <w:r w:rsidR="003954DC" w:rsidRPr="0028482D">
        <w:rPr>
          <w:sz w:val="22"/>
          <w:szCs w:val="22"/>
        </w:rPr>
        <w:t xml:space="preserve"> </w:t>
      </w:r>
      <w:r w:rsidR="003954DC">
        <w:rPr>
          <w:sz w:val="22"/>
          <w:szCs w:val="22"/>
        </w:rPr>
        <w:t>Indigenous women leaders in Russia also highlighted how a recent law prioritizing the teaching of Russian over other languages had restricted education in the Saami language.</w:t>
      </w:r>
      <w:r w:rsidR="003954DC">
        <w:rPr>
          <w:rStyle w:val="Fodnotehenvisning"/>
          <w:sz w:val="22"/>
          <w:szCs w:val="22"/>
        </w:rPr>
        <w:footnoteReference w:id="54"/>
      </w:r>
      <w:r w:rsidR="003954DC">
        <w:rPr>
          <w:sz w:val="22"/>
          <w:szCs w:val="22"/>
        </w:rPr>
        <w:t xml:space="preserve"> They also denounced the insidious trend of offering indigenous language as an optional second language in competition with other languages such as English, causing parents to reject their indigenous language to offer their children </w:t>
      </w:r>
      <w:r>
        <w:rPr>
          <w:sz w:val="22"/>
          <w:szCs w:val="22"/>
        </w:rPr>
        <w:t>a better future</w:t>
      </w:r>
      <w:r w:rsidR="003954DC">
        <w:rPr>
          <w:sz w:val="22"/>
          <w:szCs w:val="22"/>
        </w:rPr>
        <w:t>.</w:t>
      </w:r>
      <w:r w:rsidR="003954DC">
        <w:rPr>
          <w:rStyle w:val="Fodnotehenvisning"/>
          <w:sz w:val="22"/>
          <w:szCs w:val="22"/>
        </w:rPr>
        <w:footnoteReference w:id="55"/>
      </w:r>
      <w:r w:rsidR="003954DC">
        <w:rPr>
          <w:sz w:val="22"/>
          <w:szCs w:val="22"/>
        </w:rPr>
        <w:t xml:space="preserve">   </w:t>
      </w:r>
    </w:p>
    <w:p w14:paraId="69B29CA3" w14:textId="77777777" w:rsidR="00412106" w:rsidRDefault="00412106" w:rsidP="00412106">
      <w:pPr>
        <w:ind w:firstLine="360"/>
        <w:jc w:val="both"/>
        <w:rPr>
          <w:sz w:val="22"/>
          <w:szCs w:val="22"/>
        </w:rPr>
      </w:pPr>
    </w:p>
    <w:p w14:paraId="44ECB0E2" w14:textId="235F42A9" w:rsidR="00412106" w:rsidRDefault="003954DC" w:rsidP="00412106">
      <w:pPr>
        <w:ind w:firstLine="360"/>
        <w:jc w:val="both"/>
        <w:rPr>
          <w:sz w:val="22"/>
          <w:szCs w:val="22"/>
        </w:rPr>
      </w:pPr>
      <w:r>
        <w:rPr>
          <w:sz w:val="22"/>
          <w:szCs w:val="22"/>
        </w:rPr>
        <w:t xml:space="preserve">Low levels of educational attainment </w:t>
      </w:r>
      <w:r w:rsidR="00611ED3">
        <w:rPr>
          <w:sz w:val="22"/>
          <w:szCs w:val="22"/>
        </w:rPr>
        <w:t>influence</w:t>
      </w:r>
      <w:r>
        <w:rPr>
          <w:sz w:val="22"/>
          <w:szCs w:val="22"/>
        </w:rPr>
        <w:t xml:space="preserve"> the type of work many indigenous women perform: </w:t>
      </w:r>
      <w:r w:rsidR="00611ED3">
        <w:rPr>
          <w:sz w:val="22"/>
          <w:szCs w:val="22"/>
        </w:rPr>
        <w:t xml:space="preserve">as a result, </w:t>
      </w:r>
      <w:r>
        <w:rPr>
          <w:sz w:val="22"/>
          <w:szCs w:val="22"/>
        </w:rPr>
        <w:t>their participation in the informal economy worldwide is much higher than that of non-indigenous women.</w:t>
      </w:r>
      <w:r>
        <w:rPr>
          <w:rStyle w:val="Fodnotehenvisning"/>
          <w:sz w:val="22"/>
          <w:szCs w:val="22"/>
        </w:rPr>
        <w:footnoteReference w:id="56"/>
      </w:r>
      <w:r>
        <w:rPr>
          <w:sz w:val="22"/>
          <w:szCs w:val="22"/>
        </w:rPr>
        <w:t xml:space="preserve"> This marginalization from the formal economy explains the low incomes they often generate, their lack of social security protections, and their greater vulnerability to abuses in employment.</w:t>
      </w:r>
      <w:r>
        <w:rPr>
          <w:rStyle w:val="Fodnotehenvisning"/>
          <w:sz w:val="22"/>
          <w:szCs w:val="22"/>
        </w:rPr>
        <w:footnoteReference w:id="57"/>
      </w:r>
      <w:r w:rsidRPr="00526999">
        <w:rPr>
          <w:sz w:val="22"/>
          <w:szCs w:val="22"/>
        </w:rPr>
        <w:t xml:space="preserve"> Across</w:t>
      </w:r>
      <w:r>
        <w:rPr>
          <w:sz w:val="22"/>
          <w:szCs w:val="22"/>
        </w:rPr>
        <w:t xml:space="preserve"> </w:t>
      </w:r>
      <w:r w:rsidRPr="00526999">
        <w:rPr>
          <w:sz w:val="22"/>
          <w:szCs w:val="22"/>
        </w:rPr>
        <w:t>all regions, indigenous women are more likely to face severe violations of their rights at work</w:t>
      </w:r>
      <w:r>
        <w:rPr>
          <w:sz w:val="22"/>
          <w:szCs w:val="22"/>
        </w:rPr>
        <w:t>. Indigenous women and girls are prey to forced labour, particularly</w:t>
      </w:r>
      <w:r w:rsidRPr="00755D85">
        <w:rPr>
          <w:sz w:val="22"/>
          <w:szCs w:val="22"/>
        </w:rPr>
        <w:t xml:space="preserve"> </w:t>
      </w:r>
      <w:r>
        <w:rPr>
          <w:sz w:val="22"/>
          <w:szCs w:val="22"/>
        </w:rPr>
        <w:t>in housekeeping and commercial plantations.</w:t>
      </w:r>
      <w:r>
        <w:rPr>
          <w:rStyle w:val="Fodnotehenvisning"/>
          <w:sz w:val="22"/>
          <w:szCs w:val="22"/>
        </w:rPr>
        <w:footnoteReference w:id="58"/>
      </w:r>
      <w:r>
        <w:rPr>
          <w:sz w:val="22"/>
          <w:szCs w:val="22"/>
        </w:rPr>
        <w:t xml:space="preserve"> </w:t>
      </w:r>
      <w:r w:rsidR="007166EE">
        <w:rPr>
          <w:sz w:val="22"/>
          <w:szCs w:val="22"/>
        </w:rPr>
        <w:t>NGOs in India have reported a “largescale trafficking of Adivasi girls and women in India” by unregulated placement agencies.</w:t>
      </w:r>
      <w:r w:rsidR="007166EE">
        <w:rPr>
          <w:rStyle w:val="Fodnotehenvisning"/>
          <w:sz w:val="22"/>
          <w:szCs w:val="22"/>
        </w:rPr>
        <w:footnoteReference w:id="59"/>
      </w:r>
      <w:r w:rsidR="007166EE">
        <w:rPr>
          <w:rStyle w:val="FodnotetekstTegn"/>
          <w:sz w:val="22"/>
          <w:szCs w:val="22"/>
        </w:rPr>
        <w:t xml:space="preserve"> </w:t>
      </w:r>
      <w:r>
        <w:rPr>
          <w:sz w:val="22"/>
          <w:szCs w:val="22"/>
        </w:rPr>
        <w:t xml:space="preserve">In Nepal, although the </w:t>
      </w:r>
      <w:proofErr w:type="spellStart"/>
      <w:r>
        <w:rPr>
          <w:sz w:val="22"/>
          <w:szCs w:val="22"/>
        </w:rPr>
        <w:t>Kamaiya</w:t>
      </w:r>
      <w:proofErr w:type="spellEnd"/>
      <w:r>
        <w:rPr>
          <w:sz w:val="22"/>
          <w:szCs w:val="22"/>
        </w:rPr>
        <w:t xml:space="preserve"> system of bonded labour ha</w:t>
      </w:r>
      <w:r w:rsidR="007166EE">
        <w:rPr>
          <w:sz w:val="22"/>
          <w:szCs w:val="22"/>
        </w:rPr>
        <w:t>s</w:t>
      </w:r>
      <w:r>
        <w:rPr>
          <w:sz w:val="22"/>
          <w:szCs w:val="22"/>
        </w:rPr>
        <w:t xml:space="preserve"> been outlawed, it persists in practice, </w:t>
      </w:r>
      <w:r w:rsidR="00454219">
        <w:rPr>
          <w:sz w:val="22"/>
          <w:szCs w:val="22"/>
        </w:rPr>
        <w:t>mostly</w:t>
      </w:r>
      <w:r>
        <w:rPr>
          <w:sz w:val="22"/>
          <w:szCs w:val="22"/>
        </w:rPr>
        <w:t xml:space="preserve"> because </w:t>
      </w:r>
      <w:r w:rsidR="00454219">
        <w:rPr>
          <w:sz w:val="22"/>
          <w:szCs w:val="22"/>
        </w:rPr>
        <w:t>a</w:t>
      </w:r>
      <w:r w:rsidR="001F0428">
        <w:rPr>
          <w:sz w:val="22"/>
          <w:szCs w:val="22"/>
        </w:rPr>
        <w:t xml:space="preserve"> </w:t>
      </w:r>
      <w:r>
        <w:rPr>
          <w:sz w:val="22"/>
          <w:szCs w:val="22"/>
        </w:rPr>
        <w:t xml:space="preserve">lack of education and training </w:t>
      </w:r>
      <w:r w:rsidR="007166EE">
        <w:rPr>
          <w:sz w:val="22"/>
          <w:szCs w:val="22"/>
        </w:rPr>
        <w:t>impede</w:t>
      </w:r>
      <w:r w:rsidR="001F0428">
        <w:rPr>
          <w:sz w:val="22"/>
          <w:szCs w:val="22"/>
        </w:rPr>
        <w:t>s</w:t>
      </w:r>
      <w:r w:rsidR="007166EE">
        <w:rPr>
          <w:sz w:val="22"/>
          <w:szCs w:val="22"/>
        </w:rPr>
        <w:t xml:space="preserve"> access to</w:t>
      </w:r>
      <w:r>
        <w:rPr>
          <w:sz w:val="22"/>
          <w:szCs w:val="22"/>
        </w:rPr>
        <w:t xml:space="preserve"> alternative forms of employment.</w:t>
      </w:r>
      <w:r>
        <w:rPr>
          <w:rStyle w:val="Fodnotehenvisning"/>
          <w:sz w:val="22"/>
          <w:szCs w:val="22"/>
        </w:rPr>
        <w:footnoteReference w:id="60"/>
      </w:r>
      <w:r w:rsidR="007166EE">
        <w:rPr>
          <w:sz w:val="22"/>
          <w:szCs w:val="22"/>
        </w:rPr>
        <w:t xml:space="preserve"> I</w:t>
      </w:r>
      <w:r>
        <w:rPr>
          <w:sz w:val="22"/>
          <w:szCs w:val="22"/>
        </w:rPr>
        <w:t xml:space="preserve">ndigenous women are finding a way to improve their socio-economic conditions through entrepreneurship. In the absence of training or knowledge on how to develop their small businesses, some indigenous women nonetheless are </w:t>
      </w:r>
      <w:r w:rsidR="007166EE">
        <w:rPr>
          <w:sz w:val="22"/>
          <w:szCs w:val="22"/>
        </w:rPr>
        <w:t>vulnerable to abuse</w:t>
      </w:r>
      <w:r>
        <w:rPr>
          <w:sz w:val="22"/>
          <w:szCs w:val="22"/>
        </w:rPr>
        <w:t>.</w:t>
      </w:r>
      <w:r>
        <w:rPr>
          <w:rStyle w:val="Fodnotehenvisning"/>
          <w:sz w:val="22"/>
          <w:szCs w:val="22"/>
        </w:rPr>
        <w:footnoteReference w:id="61"/>
      </w:r>
      <w:r>
        <w:rPr>
          <w:sz w:val="22"/>
          <w:szCs w:val="22"/>
        </w:rPr>
        <w:t xml:space="preserve"> </w:t>
      </w:r>
      <w:r w:rsidR="00412106">
        <w:rPr>
          <w:sz w:val="22"/>
          <w:szCs w:val="22"/>
        </w:rPr>
        <w:tab/>
      </w:r>
      <w:r w:rsidR="00412106">
        <w:rPr>
          <w:sz w:val="22"/>
          <w:szCs w:val="22"/>
        </w:rPr>
        <w:br/>
      </w:r>
    </w:p>
    <w:p w14:paraId="2B4E5725" w14:textId="19D3ED8C" w:rsidR="00EB7381" w:rsidRDefault="003954DC" w:rsidP="00412106">
      <w:pPr>
        <w:ind w:firstLine="360"/>
        <w:jc w:val="both"/>
        <w:rPr>
          <w:sz w:val="22"/>
          <w:szCs w:val="22"/>
        </w:rPr>
      </w:pPr>
      <w:r w:rsidRPr="00B137AF">
        <w:rPr>
          <w:sz w:val="22"/>
          <w:szCs w:val="22"/>
        </w:rPr>
        <w:t xml:space="preserve">Indigenous peoples </w:t>
      </w:r>
      <w:r>
        <w:rPr>
          <w:sz w:val="22"/>
          <w:szCs w:val="22"/>
        </w:rPr>
        <w:t xml:space="preserve">generally are confronted to </w:t>
      </w:r>
      <w:r w:rsidRPr="00B137AF">
        <w:rPr>
          <w:sz w:val="22"/>
          <w:szCs w:val="22"/>
        </w:rPr>
        <w:t>obstacles in accessing health services</w:t>
      </w:r>
      <w:r w:rsidR="001F0428">
        <w:rPr>
          <w:sz w:val="22"/>
          <w:szCs w:val="22"/>
        </w:rPr>
        <w:t>, medical treatment</w:t>
      </w:r>
      <w:r w:rsidRPr="00B137AF">
        <w:rPr>
          <w:sz w:val="22"/>
          <w:szCs w:val="22"/>
        </w:rPr>
        <w:t xml:space="preserve"> and</w:t>
      </w:r>
      <w:r>
        <w:rPr>
          <w:sz w:val="22"/>
          <w:szCs w:val="22"/>
        </w:rPr>
        <w:t xml:space="preserve"> </w:t>
      </w:r>
      <w:r w:rsidRPr="00B137AF">
        <w:rPr>
          <w:sz w:val="22"/>
          <w:szCs w:val="22"/>
        </w:rPr>
        <w:t>medication</w:t>
      </w:r>
      <w:r>
        <w:rPr>
          <w:sz w:val="22"/>
          <w:szCs w:val="22"/>
        </w:rPr>
        <w:t>. Many</w:t>
      </w:r>
      <w:r w:rsidRPr="00B137AF">
        <w:rPr>
          <w:sz w:val="22"/>
          <w:szCs w:val="22"/>
        </w:rPr>
        <w:t xml:space="preserve"> </w:t>
      </w:r>
      <w:r>
        <w:rPr>
          <w:sz w:val="22"/>
          <w:szCs w:val="22"/>
        </w:rPr>
        <w:t>remote</w:t>
      </w:r>
      <w:r w:rsidRPr="00B137AF">
        <w:rPr>
          <w:sz w:val="22"/>
          <w:szCs w:val="22"/>
        </w:rPr>
        <w:t xml:space="preserve"> indigenous </w:t>
      </w:r>
      <w:r>
        <w:rPr>
          <w:sz w:val="22"/>
          <w:szCs w:val="22"/>
        </w:rPr>
        <w:t>communities do not have their own health-care systems and are located</w:t>
      </w:r>
      <w:r w:rsidRPr="00B137AF">
        <w:rPr>
          <w:sz w:val="22"/>
          <w:szCs w:val="22"/>
        </w:rPr>
        <w:t xml:space="preserve"> </w:t>
      </w:r>
      <w:r w:rsidR="00454219">
        <w:rPr>
          <w:sz w:val="22"/>
          <w:szCs w:val="22"/>
        </w:rPr>
        <w:t>far</w:t>
      </w:r>
      <w:r w:rsidRPr="00B137AF">
        <w:rPr>
          <w:sz w:val="22"/>
          <w:szCs w:val="22"/>
        </w:rPr>
        <w:t xml:space="preserve"> </w:t>
      </w:r>
      <w:r>
        <w:rPr>
          <w:sz w:val="22"/>
          <w:szCs w:val="22"/>
        </w:rPr>
        <w:t xml:space="preserve">away </w:t>
      </w:r>
      <w:r w:rsidRPr="00B137AF">
        <w:rPr>
          <w:sz w:val="22"/>
          <w:szCs w:val="22"/>
        </w:rPr>
        <w:t>from h</w:t>
      </w:r>
      <w:r>
        <w:rPr>
          <w:sz w:val="22"/>
          <w:szCs w:val="22"/>
        </w:rPr>
        <w:t xml:space="preserve">ospitals and clinics. </w:t>
      </w:r>
      <w:r w:rsidR="00412106">
        <w:rPr>
          <w:sz w:val="22"/>
          <w:szCs w:val="22"/>
        </w:rPr>
        <w:t>T</w:t>
      </w:r>
      <w:r>
        <w:rPr>
          <w:sz w:val="22"/>
          <w:szCs w:val="22"/>
        </w:rPr>
        <w:t>he p</w:t>
      </w:r>
      <w:r w:rsidRPr="00B137AF">
        <w:rPr>
          <w:sz w:val="22"/>
          <w:szCs w:val="22"/>
        </w:rPr>
        <w:t xml:space="preserve">ublic health care </w:t>
      </w:r>
      <w:r>
        <w:rPr>
          <w:sz w:val="22"/>
          <w:szCs w:val="22"/>
        </w:rPr>
        <w:t>institutions that are established in closer proximity to indigenous communities</w:t>
      </w:r>
      <w:r w:rsidRPr="00B137AF">
        <w:rPr>
          <w:sz w:val="22"/>
          <w:szCs w:val="22"/>
        </w:rPr>
        <w:t xml:space="preserve"> </w:t>
      </w:r>
      <w:r>
        <w:rPr>
          <w:sz w:val="22"/>
          <w:szCs w:val="22"/>
        </w:rPr>
        <w:t xml:space="preserve">are </w:t>
      </w:r>
      <w:r w:rsidRPr="00B137AF">
        <w:rPr>
          <w:sz w:val="22"/>
          <w:szCs w:val="22"/>
        </w:rPr>
        <w:t>insufficiently equipped</w:t>
      </w:r>
      <w:r>
        <w:rPr>
          <w:sz w:val="22"/>
          <w:szCs w:val="22"/>
        </w:rPr>
        <w:t>, and quality services can only be obtained after driving for many hours and up to entire days</w:t>
      </w:r>
      <w:r w:rsidRPr="00B137AF">
        <w:rPr>
          <w:sz w:val="22"/>
          <w:szCs w:val="22"/>
        </w:rPr>
        <w:t>.</w:t>
      </w:r>
      <w:r>
        <w:rPr>
          <w:rStyle w:val="Fodnotehenvisning"/>
          <w:sz w:val="22"/>
          <w:szCs w:val="22"/>
        </w:rPr>
        <w:footnoteReference w:id="62"/>
      </w:r>
      <w:r>
        <w:rPr>
          <w:sz w:val="22"/>
          <w:szCs w:val="22"/>
        </w:rPr>
        <w:t xml:space="preserve"> </w:t>
      </w:r>
      <w:r w:rsidR="007166EE">
        <w:rPr>
          <w:sz w:val="22"/>
          <w:szCs w:val="22"/>
        </w:rPr>
        <w:t>T</w:t>
      </w:r>
      <w:r>
        <w:rPr>
          <w:sz w:val="22"/>
          <w:szCs w:val="22"/>
        </w:rPr>
        <w:t>he situation for indigenous peoples living in urban areas is not much better</w:t>
      </w:r>
      <w:r w:rsidR="007166EE">
        <w:rPr>
          <w:sz w:val="22"/>
          <w:szCs w:val="22"/>
        </w:rPr>
        <w:t>: o</w:t>
      </w:r>
      <w:r>
        <w:rPr>
          <w:sz w:val="22"/>
          <w:szCs w:val="22"/>
        </w:rPr>
        <w:t xml:space="preserve">ften, they </w:t>
      </w:r>
      <w:r w:rsidRPr="00B137AF">
        <w:rPr>
          <w:sz w:val="22"/>
          <w:szCs w:val="22"/>
        </w:rPr>
        <w:t>cannot afford the cost of consultations and treatment</w:t>
      </w:r>
      <w:r>
        <w:rPr>
          <w:sz w:val="22"/>
          <w:szCs w:val="22"/>
        </w:rPr>
        <w:t xml:space="preserve">, and very few are medically insured. Indigenous peoples </w:t>
      </w:r>
      <w:r w:rsidRPr="00B137AF">
        <w:rPr>
          <w:sz w:val="22"/>
          <w:szCs w:val="22"/>
        </w:rPr>
        <w:t>are</w:t>
      </w:r>
      <w:r>
        <w:rPr>
          <w:sz w:val="22"/>
          <w:szCs w:val="22"/>
        </w:rPr>
        <w:t xml:space="preserve"> also</w:t>
      </w:r>
      <w:r w:rsidRPr="00B137AF">
        <w:rPr>
          <w:sz w:val="22"/>
          <w:szCs w:val="22"/>
        </w:rPr>
        <w:t xml:space="preserve"> denied the right to </w:t>
      </w:r>
      <w:r>
        <w:rPr>
          <w:sz w:val="22"/>
          <w:szCs w:val="22"/>
        </w:rPr>
        <w:t>be treated</w:t>
      </w:r>
      <w:r w:rsidRPr="00B137AF">
        <w:rPr>
          <w:sz w:val="22"/>
          <w:szCs w:val="22"/>
        </w:rPr>
        <w:t xml:space="preserve"> in their own language or to receive care that </w:t>
      </w:r>
      <w:r w:rsidR="00EB7381" w:rsidRPr="00B137AF">
        <w:rPr>
          <w:sz w:val="22"/>
          <w:szCs w:val="22"/>
        </w:rPr>
        <w:t>considers</w:t>
      </w:r>
      <w:r w:rsidRPr="00B137AF">
        <w:rPr>
          <w:sz w:val="22"/>
          <w:szCs w:val="22"/>
        </w:rPr>
        <w:t xml:space="preserve"> their cultural </w:t>
      </w:r>
      <w:r>
        <w:rPr>
          <w:sz w:val="22"/>
          <w:szCs w:val="22"/>
        </w:rPr>
        <w:t>beliefs and practices, which often leads to distrust and a reluctance to access public health care services</w:t>
      </w:r>
      <w:r w:rsidRPr="00B137AF">
        <w:rPr>
          <w:sz w:val="22"/>
          <w:szCs w:val="22"/>
        </w:rPr>
        <w:t>.</w:t>
      </w:r>
      <w:r>
        <w:rPr>
          <w:sz w:val="22"/>
          <w:szCs w:val="22"/>
        </w:rPr>
        <w:t xml:space="preserve"> They</w:t>
      </w:r>
      <w:r w:rsidR="00EB7381">
        <w:rPr>
          <w:sz w:val="22"/>
          <w:szCs w:val="22"/>
        </w:rPr>
        <w:t xml:space="preserve"> also</w:t>
      </w:r>
      <w:r w:rsidRPr="00B137AF">
        <w:rPr>
          <w:sz w:val="22"/>
          <w:szCs w:val="22"/>
        </w:rPr>
        <w:t xml:space="preserve"> face discriminatory attitudes</w:t>
      </w:r>
      <w:r>
        <w:rPr>
          <w:sz w:val="22"/>
          <w:szCs w:val="22"/>
        </w:rPr>
        <w:t>, prejudice and humiliation</w:t>
      </w:r>
      <w:r w:rsidR="001F0428">
        <w:rPr>
          <w:sz w:val="22"/>
          <w:szCs w:val="22"/>
        </w:rPr>
        <w:t>. T</w:t>
      </w:r>
      <w:r>
        <w:rPr>
          <w:sz w:val="22"/>
          <w:szCs w:val="22"/>
        </w:rPr>
        <w:t xml:space="preserve">he recent case of Joyce </w:t>
      </w:r>
      <w:proofErr w:type="spellStart"/>
      <w:r>
        <w:rPr>
          <w:sz w:val="22"/>
          <w:szCs w:val="22"/>
        </w:rPr>
        <w:t>Echaquan</w:t>
      </w:r>
      <w:proofErr w:type="spellEnd"/>
      <w:r>
        <w:rPr>
          <w:sz w:val="22"/>
          <w:szCs w:val="22"/>
        </w:rPr>
        <w:t>, an Atikamekw woman from Canada</w:t>
      </w:r>
      <w:r w:rsidR="00BB08A7">
        <w:rPr>
          <w:sz w:val="22"/>
          <w:szCs w:val="22"/>
        </w:rPr>
        <w:t>,</w:t>
      </w:r>
      <w:r>
        <w:rPr>
          <w:sz w:val="22"/>
          <w:szCs w:val="22"/>
        </w:rPr>
        <w:t xml:space="preserve"> who</w:t>
      </w:r>
      <w:r w:rsidRPr="00404052">
        <w:rPr>
          <w:sz w:val="22"/>
          <w:szCs w:val="22"/>
        </w:rPr>
        <w:t xml:space="preserve"> </w:t>
      </w:r>
      <w:r>
        <w:rPr>
          <w:sz w:val="22"/>
          <w:szCs w:val="22"/>
        </w:rPr>
        <w:t>livestreamed the racist abuse and dismissive behaviour she was subjected to from nurses as she plead for help and eventually died, brought racism in public health services to public attention.</w:t>
      </w:r>
      <w:r>
        <w:rPr>
          <w:rStyle w:val="Fodnotehenvisning"/>
          <w:sz w:val="22"/>
          <w:szCs w:val="22"/>
        </w:rPr>
        <w:footnoteReference w:id="63"/>
      </w:r>
      <w:r>
        <w:rPr>
          <w:sz w:val="22"/>
          <w:szCs w:val="22"/>
        </w:rPr>
        <w:t xml:space="preserve"> </w:t>
      </w:r>
    </w:p>
    <w:p w14:paraId="6AA445C9" w14:textId="77777777" w:rsidR="00EB7381" w:rsidRDefault="00EB7381" w:rsidP="00412106">
      <w:pPr>
        <w:ind w:firstLine="360"/>
        <w:jc w:val="both"/>
        <w:rPr>
          <w:sz w:val="22"/>
          <w:szCs w:val="22"/>
        </w:rPr>
      </w:pPr>
    </w:p>
    <w:p w14:paraId="5BDE432F" w14:textId="19A63BEE" w:rsidR="003954DC" w:rsidRPr="0048198D" w:rsidRDefault="003954DC" w:rsidP="00412106">
      <w:pPr>
        <w:ind w:firstLine="360"/>
        <w:jc w:val="both"/>
        <w:rPr>
          <w:sz w:val="22"/>
          <w:szCs w:val="22"/>
        </w:rPr>
      </w:pPr>
      <w:r>
        <w:rPr>
          <w:sz w:val="22"/>
          <w:szCs w:val="22"/>
        </w:rPr>
        <w:t xml:space="preserve">Indigenous women who cannot have access to medical treatment generally must contend with worse health conditions than other non-indigenous women. In India for instance, maternal death rates are </w:t>
      </w:r>
      <w:r w:rsidRPr="00FD1C7B">
        <w:rPr>
          <w:sz w:val="22"/>
          <w:szCs w:val="22"/>
        </w:rPr>
        <w:t xml:space="preserve">higher among </w:t>
      </w:r>
      <w:r w:rsidR="00EB7381">
        <w:rPr>
          <w:sz w:val="22"/>
          <w:szCs w:val="22"/>
        </w:rPr>
        <w:t>A</w:t>
      </w:r>
      <w:r w:rsidRPr="00FD1C7B">
        <w:rPr>
          <w:sz w:val="22"/>
          <w:szCs w:val="22"/>
        </w:rPr>
        <w:t>divasi/tribal women</w:t>
      </w:r>
      <w:r>
        <w:rPr>
          <w:sz w:val="22"/>
          <w:szCs w:val="22"/>
        </w:rPr>
        <w:t xml:space="preserve"> than others, and malnutrition rates</w:t>
      </w:r>
      <w:r w:rsidRPr="00FD1C7B">
        <w:rPr>
          <w:sz w:val="22"/>
          <w:szCs w:val="22"/>
        </w:rPr>
        <w:t xml:space="preserve"> </w:t>
      </w:r>
      <w:r>
        <w:rPr>
          <w:sz w:val="22"/>
          <w:szCs w:val="22"/>
        </w:rPr>
        <w:t>are</w:t>
      </w:r>
      <w:r w:rsidRPr="00FD1C7B">
        <w:rPr>
          <w:sz w:val="22"/>
          <w:szCs w:val="22"/>
        </w:rPr>
        <w:t xml:space="preserve"> higher among </w:t>
      </w:r>
      <w:r>
        <w:rPr>
          <w:sz w:val="22"/>
          <w:szCs w:val="22"/>
        </w:rPr>
        <w:t xml:space="preserve">Adivasi </w:t>
      </w:r>
      <w:r w:rsidRPr="00FD1C7B">
        <w:rPr>
          <w:sz w:val="22"/>
          <w:szCs w:val="22"/>
        </w:rPr>
        <w:t>girls</w:t>
      </w:r>
      <w:r>
        <w:rPr>
          <w:sz w:val="22"/>
          <w:szCs w:val="22"/>
        </w:rPr>
        <w:t xml:space="preserve"> than others</w:t>
      </w:r>
      <w:r w:rsidRPr="00FD1C7B">
        <w:rPr>
          <w:sz w:val="22"/>
          <w:szCs w:val="22"/>
        </w:rPr>
        <w:t>.</w:t>
      </w:r>
      <w:r>
        <w:rPr>
          <w:rStyle w:val="Fodnotehenvisning"/>
          <w:sz w:val="22"/>
          <w:szCs w:val="22"/>
        </w:rPr>
        <w:footnoteReference w:id="64"/>
      </w:r>
      <w:r>
        <w:rPr>
          <w:sz w:val="22"/>
          <w:szCs w:val="22"/>
        </w:rPr>
        <w:t xml:space="preserve"> The </w:t>
      </w:r>
      <w:r w:rsidR="003832BD">
        <w:rPr>
          <w:sz w:val="22"/>
          <w:szCs w:val="22"/>
        </w:rPr>
        <w:t>ECLAC</w:t>
      </w:r>
      <w:r>
        <w:rPr>
          <w:sz w:val="22"/>
          <w:szCs w:val="22"/>
        </w:rPr>
        <w:t xml:space="preserve"> </w:t>
      </w:r>
      <w:r w:rsidRPr="00907429">
        <w:rPr>
          <w:sz w:val="22"/>
          <w:szCs w:val="22"/>
        </w:rPr>
        <w:t xml:space="preserve">reports that </w:t>
      </w:r>
      <w:r>
        <w:rPr>
          <w:sz w:val="22"/>
          <w:szCs w:val="22"/>
        </w:rPr>
        <w:t>maternal mortality</w:t>
      </w:r>
      <w:r w:rsidRPr="00907429">
        <w:rPr>
          <w:sz w:val="22"/>
          <w:szCs w:val="22"/>
        </w:rPr>
        <w:t xml:space="preserve"> of</w:t>
      </w:r>
      <w:r>
        <w:rPr>
          <w:sz w:val="22"/>
          <w:szCs w:val="22"/>
        </w:rPr>
        <w:t xml:space="preserve"> </w:t>
      </w:r>
      <w:r w:rsidRPr="00907429">
        <w:rPr>
          <w:sz w:val="22"/>
          <w:szCs w:val="22"/>
        </w:rPr>
        <w:t xml:space="preserve">indigenous women </w:t>
      </w:r>
      <w:r w:rsidR="00C72DC7">
        <w:rPr>
          <w:sz w:val="22"/>
          <w:szCs w:val="22"/>
        </w:rPr>
        <w:t>while</w:t>
      </w:r>
      <w:r w:rsidRPr="00907429">
        <w:rPr>
          <w:sz w:val="22"/>
          <w:szCs w:val="22"/>
        </w:rPr>
        <w:t xml:space="preserve"> giving birth in Mexico is nine times higher in</w:t>
      </w:r>
      <w:r>
        <w:rPr>
          <w:sz w:val="22"/>
          <w:szCs w:val="22"/>
        </w:rPr>
        <w:t xml:space="preserve"> highly</w:t>
      </w:r>
      <w:r w:rsidRPr="00907429">
        <w:rPr>
          <w:sz w:val="22"/>
          <w:szCs w:val="22"/>
        </w:rPr>
        <w:t xml:space="preserve"> marginaliz</w:t>
      </w:r>
      <w:r>
        <w:rPr>
          <w:sz w:val="22"/>
          <w:szCs w:val="22"/>
        </w:rPr>
        <w:t>ed</w:t>
      </w:r>
      <w:r w:rsidRPr="00907429">
        <w:rPr>
          <w:sz w:val="22"/>
          <w:szCs w:val="22"/>
        </w:rPr>
        <w:t xml:space="preserve"> and</w:t>
      </w:r>
      <w:r>
        <w:rPr>
          <w:sz w:val="22"/>
          <w:szCs w:val="22"/>
        </w:rPr>
        <w:t xml:space="preserve"> </w:t>
      </w:r>
      <w:r w:rsidRPr="00907429">
        <w:rPr>
          <w:sz w:val="22"/>
          <w:szCs w:val="22"/>
        </w:rPr>
        <w:t>geographic</w:t>
      </w:r>
      <w:r>
        <w:rPr>
          <w:sz w:val="22"/>
          <w:szCs w:val="22"/>
        </w:rPr>
        <w:t>ally</w:t>
      </w:r>
      <w:r w:rsidRPr="00907429">
        <w:rPr>
          <w:sz w:val="22"/>
          <w:szCs w:val="22"/>
        </w:rPr>
        <w:t xml:space="preserve"> isolat</w:t>
      </w:r>
      <w:r>
        <w:rPr>
          <w:sz w:val="22"/>
          <w:szCs w:val="22"/>
        </w:rPr>
        <w:t>ed</w:t>
      </w:r>
      <w:r w:rsidRPr="00907429">
        <w:rPr>
          <w:sz w:val="22"/>
          <w:szCs w:val="22"/>
        </w:rPr>
        <w:t xml:space="preserve"> predominantly indigenous municipalities as compared to </w:t>
      </w:r>
      <w:r>
        <w:rPr>
          <w:sz w:val="22"/>
          <w:szCs w:val="22"/>
        </w:rPr>
        <w:t xml:space="preserve">more central areas with better access to health care services; that it was almost five times higher in indigenous communities in Panama as compared to the rest of the population; and was three times higher in Guatemala; with </w:t>
      </w:r>
      <w:r w:rsidRPr="00907429">
        <w:rPr>
          <w:sz w:val="22"/>
          <w:szCs w:val="22"/>
        </w:rPr>
        <w:t xml:space="preserve">similar rates </w:t>
      </w:r>
      <w:r>
        <w:rPr>
          <w:sz w:val="22"/>
          <w:szCs w:val="22"/>
        </w:rPr>
        <w:t>throughout</w:t>
      </w:r>
      <w:r w:rsidRPr="00907429">
        <w:rPr>
          <w:sz w:val="22"/>
          <w:szCs w:val="22"/>
        </w:rPr>
        <w:t xml:space="preserve"> Latin America.</w:t>
      </w:r>
      <w:r>
        <w:rPr>
          <w:rStyle w:val="Fodnotehenvisning"/>
          <w:sz w:val="22"/>
          <w:szCs w:val="22"/>
        </w:rPr>
        <w:footnoteReference w:id="65"/>
      </w:r>
      <w:r w:rsidRPr="00907429">
        <w:rPr>
          <w:sz w:val="22"/>
          <w:szCs w:val="22"/>
        </w:rPr>
        <w:t xml:space="preserve"> </w:t>
      </w:r>
    </w:p>
    <w:p w14:paraId="78C45A1B" w14:textId="77777777" w:rsidR="003954DC" w:rsidRPr="0048198D" w:rsidRDefault="003954DC" w:rsidP="003954DC">
      <w:pPr>
        <w:jc w:val="both"/>
        <w:rPr>
          <w:b/>
          <w:bCs/>
          <w:sz w:val="22"/>
          <w:szCs w:val="22"/>
        </w:rPr>
      </w:pPr>
    </w:p>
    <w:p w14:paraId="1FC1BD90" w14:textId="77777777" w:rsidR="003954DC" w:rsidRDefault="003954DC" w:rsidP="003954DC">
      <w:pPr>
        <w:pStyle w:val="Listeafsnit"/>
        <w:numPr>
          <w:ilvl w:val="0"/>
          <w:numId w:val="6"/>
        </w:numPr>
        <w:rPr>
          <w:b/>
          <w:bCs/>
          <w:sz w:val="22"/>
          <w:szCs w:val="22"/>
        </w:rPr>
      </w:pPr>
      <w:r w:rsidRPr="0048198D">
        <w:rPr>
          <w:b/>
          <w:bCs/>
          <w:sz w:val="22"/>
          <w:szCs w:val="22"/>
        </w:rPr>
        <w:t xml:space="preserve">Specific Impacts of COVID-19 on Indigenous Women </w:t>
      </w:r>
    </w:p>
    <w:p w14:paraId="66920B9C" w14:textId="77777777" w:rsidR="003954DC" w:rsidRDefault="003954DC" w:rsidP="003954DC">
      <w:pPr>
        <w:rPr>
          <w:b/>
          <w:bCs/>
          <w:sz w:val="22"/>
          <w:szCs w:val="22"/>
        </w:rPr>
      </w:pPr>
    </w:p>
    <w:p w14:paraId="68AF55ED" w14:textId="668A4A0D" w:rsidR="00EB7381" w:rsidRDefault="003954DC" w:rsidP="00EB7381">
      <w:pPr>
        <w:ind w:firstLine="360"/>
        <w:jc w:val="both"/>
        <w:rPr>
          <w:sz w:val="22"/>
          <w:szCs w:val="22"/>
        </w:rPr>
      </w:pPr>
      <w:r w:rsidRPr="00081791">
        <w:rPr>
          <w:sz w:val="22"/>
          <w:szCs w:val="22"/>
        </w:rPr>
        <w:t xml:space="preserve">The COVID-19 pandemic has </w:t>
      </w:r>
      <w:r w:rsidR="00BB08A7">
        <w:rPr>
          <w:sz w:val="22"/>
          <w:szCs w:val="22"/>
        </w:rPr>
        <w:t>worsened the</w:t>
      </w:r>
      <w:r w:rsidRPr="00081791">
        <w:rPr>
          <w:sz w:val="22"/>
          <w:szCs w:val="22"/>
        </w:rPr>
        <w:t xml:space="preserve"> challenges </w:t>
      </w:r>
      <w:r w:rsidR="00C72DC7">
        <w:rPr>
          <w:sz w:val="22"/>
          <w:szCs w:val="22"/>
        </w:rPr>
        <w:t>faced by</w:t>
      </w:r>
      <w:r w:rsidRPr="00081791">
        <w:rPr>
          <w:sz w:val="22"/>
          <w:szCs w:val="22"/>
        </w:rPr>
        <w:t xml:space="preserve"> indigenous women around the world</w:t>
      </w:r>
      <w:r>
        <w:rPr>
          <w:sz w:val="22"/>
          <w:szCs w:val="22"/>
        </w:rPr>
        <w:t xml:space="preserve">. </w:t>
      </w:r>
      <w:r w:rsidRPr="00081791">
        <w:rPr>
          <w:sz w:val="22"/>
          <w:szCs w:val="22"/>
          <w:lang w:val="en-US"/>
        </w:rPr>
        <w:t xml:space="preserve">Pre-existing issues like rates of domestic violence have been </w:t>
      </w:r>
      <w:r w:rsidRPr="005317EE">
        <w:rPr>
          <w:sz w:val="22"/>
          <w:szCs w:val="22"/>
          <w:lang w:val="en-US"/>
        </w:rPr>
        <w:t>magnified</w:t>
      </w:r>
      <w:r w:rsidRPr="00081791">
        <w:rPr>
          <w:sz w:val="22"/>
          <w:szCs w:val="22"/>
          <w:lang w:val="en-US"/>
        </w:rPr>
        <w:t xml:space="preserve"> by the pandemic. </w:t>
      </w:r>
      <w:r>
        <w:rPr>
          <w:sz w:val="22"/>
          <w:szCs w:val="22"/>
        </w:rPr>
        <w:t>Reports from the Americas, Asia</w:t>
      </w:r>
      <w:r w:rsidR="00BB08A7">
        <w:rPr>
          <w:sz w:val="22"/>
          <w:szCs w:val="22"/>
        </w:rPr>
        <w:t>,</w:t>
      </w:r>
      <w:r>
        <w:rPr>
          <w:sz w:val="22"/>
          <w:szCs w:val="22"/>
        </w:rPr>
        <w:t xml:space="preserve"> and Africa</w:t>
      </w:r>
      <w:r w:rsidRPr="00081791">
        <w:rPr>
          <w:sz w:val="22"/>
          <w:szCs w:val="22"/>
        </w:rPr>
        <w:t xml:space="preserve"> </w:t>
      </w:r>
      <w:r>
        <w:rPr>
          <w:sz w:val="22"/>
          <w:szCs w:val="22"/>
        </w:rPr>
        <w:t xml:space="preserve">have demonstrated </w:t>
      </w:r>
      <w:r w:rsidRPr="00081791">
        <w:rPr>
          <w:sz w:val="22"/>
          <w:szCs w:val="22"/>
        </w:rPr>
        <w:t xml:space="preserve">a </w:t>
      </w:r>
      <w:r w:rsidRPr="00BD4142">
        <w:rPr>
          <w:sz w:val="22"/>
          <w:szCs w:val="22"/>
        </w:rPr>
        <w:t>direct correlation between confinement and a rise in domestic and other violence</w:t>
      </w:r>
      <w:r w:rsidRPr="00081791">
        <w:rPr>
          <w:sz w:val="22"/>
          <w:szCs w:val="22"/>
        </w:rPr>
        <w:t xml:space="preserve"> against indigenous women and children, in both urban environments and</w:t>
      </w:r>
      <w:r w:rsidR="00A42933">
        <w:rPr>
          <w:sz w:val="22"/>
          <w:szCs w:val="22"/>
        </w:rPr>
        <w:t xml:space="preserve"> within indigenous</w:t>
      </w:r>
      <w:r w:rsidRPr="00081791">
        <w:rPr>
          <w:sz w:val="22"/>
          <w:szCs w:val="22"/>
        </w:rPr>
        <w:t xml:space="preserve"> communities.</w:t>
      </w:r>
      <w:r>
        <w:rPr>
          <w:rStyle w:val="Fodnotehenvisning"/>
          <w:sz w:val="22"/>
          <w:szCs w:val="22"/>
        </w:rPr>
        <w:footnoteReference w:id="66"/>
      </w:r>
      <w:r>
        <w:rPr>
          <w:sz w:val="22"/>
          <w:szCs w:val="22"/>
        </w:rPr>
        <w:t xml:space="preserve"> </w:t>
      </w:r>
      <w:r w:rsidRPr="00081791">
        <w:rPr>
          <w:sz w:val="22"/>
          <w:szCs w:val="22"/>
          <w:lang w:val="en-US"/>
        </w:rPr>
        <w:t>In</w:t>
      </w:r>
      <w:r w:rsidR="00BB08A7">
        <w:rPr>
          <w:sz w:val="22"/>
          <w:szCs w:val="22"/>
          <w:lang w:val="en-US"/>
        </w:rPr>
        <w:t xml:space="preserve"> fact</w:t>
      </w:r>
      <w:r w:rsidRPr="00081791">
        <w:rPr>
          <w:sz w:val="22"/>
          <w:szCs w:val="22"/>
          <w:lang w:val="en-US"/>
        </w:rPr>
        <w:t xml:space="preserve">, </w:t>
      </w:r>
      <w:r w:rsidRPr="00081791">
        <w:rPr>
          <w:sz w:val="22"/>
          <w:szCs w:val="22"/>
          <w:lang w:val="en-GB"/>
        </w:rPr>
        <w:t>some measures like curfews, quarantines, lockdowns, and travel restrictions imposed to limit outbreaks of the virus have also meant restrictions for survivors of abuse from getting help, reaching shelters, and distancing themselves from abusers.</w:t>
      </w:r>
      <w:r>
        <w:rPr>
          <w:sz w:val="22"/>
          <w:szCs w:val="22"/>
          <w:lang w:val="en-GB"/>
        </w:rPr>
        <w:t xml:space="preserve"> </w:t>
      </w:r>
      <w:r w:rsidRPr="00081791">
        <w:rPr>
          <w:sz w:val="22"/>
          <w:szCs w:val="22"/>
        </w:rPr>
        <w:t xml:space="preserve">Rates of maternal mortality </w:t>
      </w:r>
      <w:r w:rsidR="00A42933">
        <w:rPr>
          <w:sz w:val="22"/>
          <w:szCs w:val="22"/>
        </w:rPr>
        <w:t>are reported to have risen</w:t>
      </w:r>
      <w:r w:rsidRPr="00081791">
        <w:rPr>
          <w:sz w:val="22"/>
          <w:szCs w:val="22"/>
        </w:rPr>
        <w:t xml:space="preserve"> as a result of </w:t>
      </w:r>
      <w:r w:rsidR="00A42933">
        <w:rPr>
          <w:sz w:val="22"/>
          <w:szCs w:val="22"/>
        </w:rPr>
        <w:t xml:space="preserve">a </w:t>
      </w:r>
      <w:r w:rsidRPr="00081791">
        <w:rPr>
          <w:sz w:val="22"/>
          <w:szCs w:val="22"/>
        </w:rPr>
        <w:t>deprioritizing</w:t>
      </w:r>
      <w:r w:rsidR="00A42933">
        <w:rPr>
          <w:sz w:val="22"/>
          <w:szCs w:val="22"/>
        </w:rPr>
        <w:t xml:space="preserve"> of</w:t>
      </w:r>
      <w:r w:rsidRPr="00081791">
        <w:rPr>
          <w:sz w:val="22"/>
          <w:szCs w:val="22"/>
        </w:rPr>
        <w:t xml:space="preserve"> non-COVID-related treatments.</w:t>
      </w:r>
      <w:r>
        <w:rPr>
          <w:rStyle w:val="Fodnotehenvisning"/>
          <w:sz w:val="22"/>
          <w:szCs w:val="22"/>
        </w:rPr>
        <w:footnoteReference w:id="67"/>
      </w:r>
      <w:r w:rsidRPr="00081791">
        <w:rPr>
          <w:sz w:val="22"/>
          <w:szCs w:val="22"/>
        </w:rPr>
        <w:t xml:space="preserve">  </w:t>
      </w:r>
    </w:p>
    <w:p w14:paraId="0D550D79" w14:textId="77777777" w:rsidR="00EB7381" w:rsidRDefault="00EB7381" w:rsidP="00EB7381">
      <w:pPr>
        <w:ind w:firstLine="360"/>
        <w:jc w:val="both"/>
        <w:rPr>
          <w:sz w:val="22"/>
          <w:szCs w:val="22"/>
        </w:rPr>
      </w:pPr>
    </w:p>
    <w:p w14:paraId="546542BA" w14:textId="52CBD974" w:rsidR="002A3CEF" w:rsidRDefault="00EB7381" w:rsidP="002A3CEF">
      <w:pPr>
        <w:ind w:firstLine="360"/>
        <w:jc w:val="both"/>
        <w:rPr>
          <w:sz w:val="22"/>
          <w:szCs w:val="22"/>
        </w:rPr>
      </w:pPr>
      <w:r>
        <w:rPr>
          <w:sz w:val="22"/>
          <w:szCs w:val="22"/>
        </w:rPr>
        <w:t>I</w:t>
      </w:r>
      <w:r w:rsidR="003954DC" w:rsidRPr="00081791">
        <w:rPr>
          <w:sz w:val="22"/>
          <w:szCs w:val="22"/>
        </w:rPr>
        <w:t>ndigenous women</w:t>
      </w:r>
      <w:r w:rsidR="00A42933">
        <w:rPr>
          <w:sz w:val="22"/>
          <w:szCs w:val="22"/>
        </w:rPr>
        <w:t>, who are</w:t>
      </w:r>
      <w:r w:rsidR="003954DC" w:rsidRPr="00081791">
        <w:rPr>
          <w:sz w:val="22"/>
          <w:szCs w:val="22"/>
        </w:rPr>
        <w:t xml:space="preserve"> often </w:t>
      </w:r>
      <w:r w:rsidR="003954DC" w:rsidRPr="000C0D3A">
        <w:rPr>
          <w:sz w:val="22"/>
          <w:szCs w:val="22"/>
        </w:rPr>
        <w:t>employed in the informal sector</w:t>
      </w:r>
      <w:r w:rsidR="00A42933">
        <w:rPr>
          <w:sz w:val="22"/>
          <w:szCs w:val="22"/>
        </w:rPr>
        <w:t>,</w:t>
      </w:r>
      <w:r w:rsidR="00B149AD">
        <w:rPr>
          <w:sz w:val="22"/>
          <w:szCs w:val="22"/>
        </w:rPr>
        <w:t xml:space="preserve"> were</w:t>
      </w:r>
      <w:r>
        <w:rPr>
          <w:sz w:val="22"/>
          <w:szCs w:val="22"/>
        </w:rPr>
        <w:t xml:space="preserve"> particularly </w:t>
      </w:r>
      <w:r w:rsidR="00BB08A7">
        <w:rPr>
          <w:sz w:val="22"/>
          <w:szCs w:val="22"/>
        </w:rPr>
        <w:t xml:space="preserve">negatively </w:t>
      </w:r>
      <w:r>
        <w:rPr>
          <w:sz w:val="22"/>
          <w:szCs w:val="22"/>
        </w:rPr>
        <w:t>affected</w:t>
      </w:r>
      <w:r w:rsidR="003954DC" w:rsidRPr="00081791">
        <w:rPr>
          <w:i/>
          <w:iCs/>
          <w:sz w:val="22"/>
          <w:szCs w:val="22"/>
        </w:rPr>
        <w:t>.</w:t>
      </w:r>
      <w:r w:rsidR="003954DC" w:rsidRPr="00081791">
        <w:rPr>
          <w:sz w:val="22"/>
          <w:szCs w:val="22"/>
        </w:rPr>
        <w:t xml:space="preserve"> </w:t>
      </w:r>
      <w:r w:rsidR="00A42933">
        <w:rPr>
          <w:sz w:val="22"/>
          <w:szCs w:val="22"/>
        </w:rPr>
        <w:t>For instance</w:t>
      </w:r>
      <w:r w:rsidR="003954DC" w:rsidRPr="00081791">
        <w:rPr>
          <w:sz w:val="22"/>
          <w:szCs w:val="22"/>
        </w:rPr>
        <w:t xml:space="preserve">, </w:t>
      </w:r>
      <w:r w:rsidR="0004213C">
        <w:rPr>
          <w:sz w:val="22"/>
          <w:szCs w:val="22"/>
        </w:rPr>
        <w:t>d</w:t>
      </w:r>
      <w:r w:rsidR="0004213C" w:rsidRPr="00081791">
        <w:rPr>
          <w:sz w:val="22"/>
          <w:szCs w:val="22"/>
        </w:rPr>
        <w:t xml:space="preserve">omestic workers </w:t>
      </w:r>
      <w:r w:rsidR="0004213C">
        <w:rPr>
          <w:sz w:val="22"/>
          <w:szCs w:val="22"/>
        </w:rPr>
        <w:t xml:space="preserve">lost their </w:t>
      </w:r>
      <w:r w:rsidR="003832BD">
        <w:rPr>
          <w:sz w:val="22"/>
          <w:szCs w:val="22"/>
        </w:rPr>
        <w:t>jobs</w:t>
      </w:r>
      <w:r w:rsidR="0004213C" w:rsidRPr="00081791">
        <w:rPr>
          <w:sz w:val="22"/>
          <w:szCs w:val="22"/>
        </w:rPr>
        <w:t xml:space="preserve"> </w:t>
      </w:r>
      <w:r w:rsidR="003832BD">
        <w:rPr>
          <w:sz w:val="22"/>
          <w:szCs w:val="22"/>
        </w:rPr>
        <w:t>because of the fear of</w:t>
      </w:r>
      <w:r w:rsidR="0004213C" w:rsidRPr="00081791">
        <w:rPr>
          <w:sz w:val="22"/>
          <w:szCs w:val="22"/>
        </w:rPr>
        <w:t xml:space="preserve"> virus transmission</w:t>
      </w:r>
      <w:r w:rsidR="0004213C">
        <w:rPr>
          <w:sz w:val="22"/>
          <w:szCs w:val="22"/>
        </w:rPr>
        <w:t>;</w:t>
      </w:r>
      <w:r w:rsidR="00B149AD">
        <w:rPr>
          <w:rStyle w:val="Fodnotehenvisning"/>
          <w:sz w:val="22"/>
          <w:szCs w:val="22"/>
        </w:rPr>
        <w:footnoteReference w:id="68"/>
      </w:r>
      <w:r w:rsidR="00B149AD">
        <w:rPr>
          <w:sz w:val="22"/>
          <w:szCs w:val="22"/>
        </w:rPr>
        <w:t xml:space="preserve"> </w:t>
      </w:r>
      <w:r w:rsidR="00B149AD" w:rsidRPr="00081791">
        <w:rPr>
          <w:sz w:val="22"/>
          <w:szCs w:val="22"/>
        </w:rPr>
        <w:t xml:space="preserve">police </w:t>
      </w:r>
      <w:r w:rsidR="00B149AD">
        <w:rPr>
          <w:sz w:val="22"/>
          <w:szCs w:val="22"/>
        </w:rPr>
        <w:t>repressed indigenous</w:t>
      </w:r>
      <w:r w:rsidR="00B149AD" w:rsidRPr="00081791">
        <w:rPr>
          <w:sz w:val="22"/>
          <w:szCs w:val="22"/>
        </w:rPr>
        <w:t xml:space="preserve"> women seeking to sell items in the street</w:t>
      </w:r>
      <w:r w:rsidR="00B149AD">
        <w:rPr>
          <w:sz w:val="22"/>
          <w:szCs w:val="22"/>
        </w:rPr>
        <w:t>;</w:t>
      </w:r>
      <w:r w:rsidR="00B149AD">
        <w:rPr>
          <w:rStyle w:val="Fodnotehenvisning"/>
          <w:sz w:val="22"/>
          <w:szCs w:val="22"/>
        </w:rPr>
        <w:footnoteReference w:id="69"/>
      </w:r>
      <w:r w:rsidR="00B149AD" w:rsidRPr="00081791">
        <w:rPr>
          <w:sz w:val="22"/>
          <w:szCs w:val="22"/>
        </w:rPr>
        <w:t xml:space="preserve"> </w:t>
      </w:r>
      <w:r w:rsidR="0004213C">
        <w:rPr>
          <w:sz w:val="22"/>
          <w:szCs w:val="22"/>
        </w:rPr>
        <w:t>s</w:t>
      </w:r>
      <w:r w:rsidR="0004213C" w:rsidRPr="00081791">
        <w:rPr>
          <w:sz w:val="22"/>
          <w:szCs w:val="22"/>
        </w:rPr>
        <w:t xml:space="preserve">treet vendors and </w:t>
      </w:r>
      <w:r w:rsidR="00163BD3">
        <w:rPr>
          <w:sz w:val="22"/>
          <w:szCs w:val="22"/>
        </w:rPr>
        <w:t xml:space="preserve">the </w:t>
      </w:r>
      <w:r w:rsidR="0004213C" w:rsidRPr="00081791">
        <w:rPr>
          <w:sz w:val="22"/>
          <w:szCs w:val="22"/>
        </w:rPr>
        <w:t xml:space="preserve">homeless </w:t>
      </w:r>
      <w:r w:rsidR="0004213C">
        <w:rPr>
          <w:sz w:val="22"/>
          <w:szCs w:val="22"/>
        </w:rPr>
        <w:t>were b</w:t>
      </w:r>
      <w:r w:rsidR="0004213C" w:rsidRPr="00081791">
        <w:rPr>
          <w:sz w:val="22"/>
          <w:szCs w:val="22"/>
        </w:rPr>
        <w:t>anned from the streets as a result of lockdowns and curfews</w:t>
      </w:r>
      <w:r w:rsidR="0004213C">
        <w:rPr>
          <w:sz w:val="22"/>
          <w:szCs w:val="22"/>
        </w:rPr>
        <w:t>;</w:t>
      </w:r>
      <w:r w:rsidR="00B149AD">
        <w:rPr>
          <w:rStyle w:val="Fodnotehenvisning"/>
          <w:sz w:val="22"/>
          <w:szCs w:val="22"/>
        </w:rPr>
        <w:footnoteReference w:id="70"/>
      </w:r>
      <w:r w:rsidR="00B149AD" w:rsidRPr="00081791">
        <w:rPr>
          <w:sz w:val="22"/>
          <w:szCs w:val="22"/>
        </w:rPr>
        <w:t xml:space="preserve"> </w:t>
      </w:r>
      <w:r w:rsidR="0004213C">
        <w:rPr>
          <w:sz w:val="22"/>
          <w:szCs w:val="22"/>
        </w:rPr>
        <w:t>and t</w:t>
      </w:r>
      <w:r w:rsidR="003954DC" w:rsidRPr="00081791">
        <w:rPr>
          <w:sz w:val="22"/>
          <w:szCs w:val="22"/>
        </w:rPr>
        <w:t xml:space="preserve">he abrupt halt to tourism </w:t>
      </w:r>
      <w:r w:rsidR="00E80392">
        <w:rPr>
          <w:sz w:val="22"/>
          <w:szCs w:val="22"/>
        </w:rPr>
        <w:t xml:space="preserve">affected </w:t>
      </w:r>
      <w:r w:rsidR="003954DC">
        <w:rPr>
          <w:sz w:val="22"/>
          <w:szCs w:val="22"/>
        </w:rPr>
        <w:t>i</w:t>
      </w:r>
      <w:r w:rsidR="003954DC" w:rsidRPr="00081791">
        <w:rPr>
          <w:sz w:val="22"/>
          <w:szCs w:val="22"/>
        </w:rPr>
        <w:t xml:space="preserve">ndigenous </w:t>
      </w:r>
      <w:r w:rsidR="00E80392">
        <w:rPr>
          <w:sz w:val="22"/>
          <w:szCs w:val="22"/>
        </w:rPr>
        <w:t>women</w:t>
      </w:r>
      <w:r w:rsidR="003954DC" w:rsidRPr="00081791">
        <w:rPr>
          <w:sz w:val="22"/>
          <w:szCs w:val="22"/>
        </w:rPr>
        <w:t xml:space="preserve"> selling artwork or earning income through cultural performances.</w:t>
      </w:r>
      <w:r>
        <w:rPr>
          <w:rStyle w:val="Fodnotehenvisning"/>
          <w:sz w:val="22"/>
          <w:szCs w:val="22"/>
        </w:rPr>
        <w:footnoteReference w:id="71"/>
      </w:r>
      <w:r w:rsidR="003954DC" w:rsidRPr="00081791">
        <w:rPr>
          <w:sz w:val="22"/>
          <w:szCs w:val="22"/>
        </w:rPr>
        <w:t xml:space="preserve"> </w:t>
      </w:r>
      <w:r w:rsidR="00A42933">
        <w:rPr>
          <w:sz w:val="22"/>
          <w:szCs w:val="22"/>
          <w:lang w:val="en-US"/>
        </w:rPr>
        <w:t>Working outside the home also proved increasingly difficult for indigenous women, as their</w:t>
      </w:r>
      <w:r w:rsidR="003954DC" w:rsidRPr="00893548">
        <w:rPr>
          <w:sz w:val="22"/>
          <w:szCs w:val="22"/>
        </w:rPr>
        <w:t xml:space="preserve"> workload increased when families were confined at home</w:t>
      </w:r>
      <w:r w:rsidR="003954DC">
        <w:rPr>
          <w:sz w:val="22"/>
          <w:szCs w:val="22"/>
        </w:rPr>
        <w:t>. To their usual tasks, they now added responsibility</w:t>
      </w:r>
      <w:r w:rsidR="003954DC" w:rsidRPr="00081791">
        <w:rPr>
          <w:sz w:val="22"/>
          <w:szCs w:val="22"/>
        </w:rPr>
        <w:t xml:space="preserve"> </w:t>
      </w:r>
      <w:r w:rsidR="003954DC">
        <w:rPr>
          <w:sz w:val="22"/>
          <w:szCs w:val="22"/>
        </w:rPr>
        <w:t xml:space="preserve">to care for the sick - at the risk of their own </w:t>
      </w:r>
      <w:r w:rsidR="003832BD">
        <w:rPr>
          <w:sz w:val="22"/>
          <w:szCs w:val="22"/>
        </w:rPr>
        <w:t>health</w:t>
      </w:r>
      <w:r w:rsidR="003954DC">
        <w:rPr>
          <w:rStyle w:val="Fodnotehenvisning"/>
          <w:sz w:val="22"/>
          <w:szCs w:val="22"/>
        </w:rPr>
        <w:footnoteReference w:id="72"/>
      </w:r>
      <w:r w:rsidR="003954DC">
        <w:rPr>
          <w:sz w:val="22"/>
          <w:szCs w:val="22"/>
        </w:rPr>
        <w:t>, home schooling, and</w:t>
      </w:r>
      <w:r w:rsidR="003954DC" w:rsidRPr="00081791">
        <w:rPr>
          <w:sz w:val="22"/>
          <w:szCs w:val="22"/>
        </w:rPr>
        <w:t xml:space="preserve"> safe water collect</w:t>
      </w:r>
      <w:r w:rsidR="003954DC">
        <w:rPr>
          <w:sz w:val="22"/>
          <w:szCs w:val="22"/>
        </w:rPr>
        <w:t>ion</w:t>
      </w:r>
      <w:r w:rsidR="003954DC" w:rsidRPr="00081791">
        <w:rPr>
          <w:sz w:val="22"/>
          <w:szCs w:val="22"/>
        </w:rPr>
        <w:t>.</w:t>
      </w:r>
      <w:r w:rsidR="003954DC">
        <w:rPr>
          <w:rStyle w:val="Fodnotehenvisning"/>
          <w:sz w:val="22"/>
          <w:szCs w:val="22"/>
        </w:rPr>
        <w:footnoteReference w:id="73"/>
      </w:r>
      <w:r w:rsidR="003954DC">
        <w:rPr>
          <w:sz w:val="22"/>
          <w:szCs w:val="22"/>
        </w:rPr>
        <w:t xml:space="preserve"> </w:t>
      </w:r>
    </w:p>
    <w:p w14:paraId="4BD61132" w14:textId="77777777" w:rsidR="00B149AD" w:rsidRDefault="00B149AD" w:rsidP="002A3CEF">
      <w:pPr>
        <w:ind w:firstLine="360"/>
        <w:jc w:val="both"/>
        <w:rPr>
          <w:sz w:val="22"/>
          <w:szCs w:val="22"/>
        </w:rPr>
      </w:pPr>
    </w:p>
    <w:p w14:paraId="0AB34F52" w14:textId="2142C7DD" w:rsidR="003954DC" w:rsidRDefault="003954DC" w:rsidP="002A3CEF">
      <w:pPr>
        <w:ind w:firstLine="360"/>
        <w:jc w:val="both"/>
        <w:rPr>
          <w:sz w:val="22"/>
          <w:szCs w:val="22"/>
        </w:rPr>
      </w:pPr>
      <w:r w:rsidRPr="002107AA">
        <w:rPr>
          <w:sz w:val="22"/>
          <w:szCs w:val="22"/>
        </w:rPr>
        <w:t xml:space="preserve">However, </w:t>
      </w:r>
      <w:r w:rsidR="003832BD">
        <w:rPr>
          <w:sz w:val="22"/>
          <w:szCs w:val="22"/>
        </w:rPr>
        <w:t xml:space="preserve">indigenous </w:t>
      </w:r>
      <w:r w:rsidRPr="002107AA">
        <w:rPr>
          <w:sz w:val="22"/>
          <w:szCs w:val="22"/>
        </w:rPr>
        <w:t xml:space="preserve">women </w:t>
      </w:r>
      <w:r>
        <w:rPr>
          <w:sz w:val="22"/>
          <w:szCs w:val="22"/>
        </w:rPr>
        <w:t>have</w:t>
      </w:r>
      <w:r w:rsidRPr="002107AA">
        <w:rPr>
          <w:sz w:val="22"/>
          <w:szCs w:val="22"/>
        </w:rPr>
        <w:t xml:space="preserve"> also </w:t>
      </w:r>
      <w:r>
        <w:rPr>
          <w:sz w:val="22"/>
          <w:szCs w:val="22"/>
        </w:rPr>
        <w:t>demonstrated extraordinary leadership</w:t>
      </w:r>
      <w:r w:rsidRPr="002107AA">
        <w:rPr>
          <w:sz w:val="22"/>
          <w:szCs w:val="22"/>
        </w:rPr>
        <w:t xml:space="preserve"> in building </w:t>
      </w:r>
      <w:r>
        <w:rPr>
          <w:sz w:val="22"/>
          <w:szCs w:val="22"/>
        </w:rPr>
        <w:t>a community</w:t>
      </w:r>
      <w:r w:rsidRPr="002107AA">
        <w:rPr>
          <w:sz w:val="22"/>
          <w:szCs w:val="22"/>
        </w:rPr>
        <w:t xml:space="preserve"> response</w:t>
      </w:r>
      <w:r>
        <w:rPr>
          <w:sz w:val="22"/>
          <w:szCs w:val="22"/>
        </w:rPr>
        <w:t xml:space="preserve">: they have been at the forefront of communal lockdown initiatives and demands for more culturally appropriate COVID </w:t>
      </w:r>
      <w:proofErr w:type="gramStart"/>
      <w:r>
        <w:rPr>
          <w:sz w:val="22"/>
          <w:szCs w:val="22"/>
        </w:rPr>
        <w:t>responses, and</w:t>
      </w:r>
      <w:proofErr w:type="gramEnd"/>
      <w:r>
        <w:rPr>
          <w:sz w:val="22"/>
          <w:szCs w:val="22"/>
        </w:rPr>
        <w:t xml:space="preserve"> deserve to be </w:t>
      </w:r>
      <w:r w:rsidRPr="002107AA">
        <w:rPr>
          <w:sz w:val="22"/>
          <w:szCs w:val="22"/>
        </w:rPr>
        <w:t>included in the entire decision-making process</w:t>
      </w:r>
      <w:r>
        <w:rPr>
          <w:sz w:val="22"/>
          <w:szCs w:val="22"/>
        </w:rPr>
        <w:t xml:space="preserve"> related to COVID management.</w:t>
      </w:r>
      <w:r>
        <w:rPr>
          <w:rStyle w:val="Fodnotehenvisning"/>
          <w:sz w:val="22"/>
          <w:szCs w:val="22"/>
        </w:rPr>
        <w:footnoteReference w:id="74"/>
      </w:r>
    </w:p>
    <w:p w14:paraId="58BF6F8A" w14:textId="77777777" w:rsidR="003832BD" w:rsidRPr="002A3CEF" w:rsidRDefault="003832BD" w:rsidP="002A3CEF">
      <w:pPr>
        <w:ind w:firstLine="360"/>
        <w:jc w:val="both"/>
        <w:rPr>
          <w:sz w:val="22"/>
          <w:szCs w:val="22"/>
          <w:lang w:val="en-US"/>
        </w:rPr>
      </w:pPr>
    </w:p>
    <w:p w14:paraId="64D18FF9" w14:textId="40F3D5C3" w:rsidR="003954DC" w:rsidRDefault="003954DC" w:rsidP="003954DC">
      <w:pPr>
        <w:pStyle w:val="Listeafsnit"/>
        <w:numPr>
          <w:ilvl w:val="0"/>
          <w:numId w:val="6"/>
        </w:numPr>
        <w:rPr>
          <w:b/>
          <w:bCs/>
          <w:sz w:val="22"/>
          <w:szCs w:val="22"/>
        </w:rPr>
      </w:pPr>
      <w:r w:rsidRPr="0048198D">
        <w:rPr>
          <w:b/>
          <w:bCs/>
          <w:sz w:val="22"/>
          <w:szCs w:val="22"/>
        </w:rPr>
        <w:t xml:space="preserve">Lack of </w:t>
      </w:r>
      <w:r w:rsidR="00C72DC7">
        <w:rPr>
          <w:b/>
          <w:bCs/>
          <w:sz w:val="22"/>
          <w:szCs w:val="22"/>
        </w:rPr>
        <w:t>D</w:t>
      </w:r>
      <w:r w:rsidRPr="0048198D">
        <w:rPr>
          <w:b/>
          <w:bCs/>
          <w:sz w:val="22"/>
          <w:szCs w:val="22"/>
        </w:rPr>
        <w:t xml:space="preserve">isaggregated </w:t>
      </w:r>
      <w:r w:rsidR="00C72DC7">
        <w:rPr>
          <w:b/>
          <w:bCs/>
          <w:sz w:val="22"/>
          <w:szCs w:val="22"/>
        </w:rPr>
        <w:t>Da</w:t>
      </w:r>
      <w:r w:rsidRPr="0048198D">
        <w:rPr>
          <w:b/>
          <w:bCs/>
          <w:sz w:val="22"/>
          <w:szCs w:val="22"/>
        </w:rPr>
        <w:t xml:space="preserve">ta to </w:t>
      </w:r>
      <w:r w:rsidR="00C72DC7">
        <w:rPr>
          <w:b/>
          <w:bCs/>
          <w:sz w:val="22"/>
          <w:szCs w:val="22"/>
        </w:rPr>
        <w:t>D</w:t>
      </w:r>
      <w:r w:rsidRPr="0048198D">
        <w:rPr>
          <w:b/>
          <w:bCs/>
          <w:sz w:val="22"/>
          <w:szCs w:val="22"/>
        </w:rPr>
        <w:t xml:space="preserve">evelop </w:t>
      </w:r>
      <w:r w:rsidR="00C72DC7">
        <w:rPr>
          <w:b/>
          <w:bCs/>
          <w:sz w:val="22"/>
          <w:szCs w:val="22"/>
        </w:rPr>
        <w:t>P</w:t>
      </w:r>
      <w:r w:rsidRPr="0048198D">
        <w:rPr>
          <w:b/>
          <w:bCs/>
          <w:sz w:val="22"/>
          <w:szCs w:val="22"/>
        </w:rPr>
        <w:t xml:space="preserve">ublic </w:t>
      </w:r>
      <w:r w:rsidR="00C72DC7">
        <w:rPr>
          <w:b/>
          <w:bCs/>
          <w:sz w:val="22"/>
          <w:szCs w:val="22"/>
        </w:rPr>
        <w:t>P</w:t>
      </w:r>
      <w:r w:rsidRPr="0048198D">
        <w:rPr>
          <w:b/>
          <w:bCs/>
          <w:sz w:val="22"/>
          <w:szCs w:val="22"/>
        </w:rPr>
        <w:t xml:space="preserve">olicies </w:t>
      </w:r>
      <w:r w:rsidR="00163BD3">
        <w:rPr>
          <w:b/>
          <w:bCs/>
          <w:sz w:val="22"/>
          <w:szCs w:val="22"/>
        </w:rPr>
        <w:t xml:space="preserve">for </w:t>
      </w:r>
      <w:r w:rsidRPr="0048198D">
        <w:rPr>
          <w:b/>
          <w:bCs/>
          <w:sz w:val="22"/>
          <w:szCs w:val="22"/>
        </w:rPr>
        <w:t xml:space="preserve">Indigenous Women and Girls </w:t>
      </w:r>
    </w:p>
    <w:p w14:paraId="010B22DE" w14:textId="4A469C0A" w:rsidR="003954DC" w:rsidRDefault="00466576" w:rsidP="002A3CEF">
      <w:pPr>
        <w:ind w:firstLine="360"/>
        <w:jc w:val="both"/>
        <w:rPr>
          <w:sz w:val="22"/>
          <w:szCs w:val="22"/>
        </w:rPr>
      </w:pPr>
      <w:r>
        <w:rPr>
          <w:sz w:val="22"/>
          <w:szCs w:val="22"/>
        </w:rPr>
        <w:t>Indigenous women across the board have highlighted the need for disaggregated data to develop effective public policies aimed at indigenous women and girls. Indeed, d</w:t>
      </w:r>
      <w:r w:rsidR="00677FE1" w:rsidRPr="00C4309B">
        <w:rPr>
          <w:sz w:val="22"/>
          <w:szCs w:val="22"/>
        </w:rPr>
        <w:t xml:space="preserve">isaggregated data is generally lacking with regards to the human rights </w:t>
      </w:r>
      <w:r w:rsidR="00267A38">
        <w:rPr>
          <w:sz w:val="22"/>
          <w:szCs w:val="22"/>
        </w:rPr>
        <w:t xml:space="preserve">situation </w:t>
      </w:r>
      <w:r w:rsidR="00677FE1" w:rsidRPr="00C4309B">
        <w:rPr>
          <w:sz w:val="22"/>
          <w:szCs w:val="22"/>
        </w:rPr>
        <w:t>of indigenous women and girls</w:t>
      </w:r>
      <w:r>
        <w:rPr>
          <w:sz w:val="22"/>
          <w:szCs w:val="22"/>
        </w:rPr>
        <w:t xml:space="preserve">, which </w:t>
      </w:r>
      <w:r w:rsidR="00BB08A7">
        <w:rPr>
          <w:sz w:val="22"/>
          <w:szCs w:val="22"/>
        </w:rPr>
        <w:t>prevent</w:t>
      </w:r>
      <w:r w:rsidR="00677FE1" w:rsidRPr="00C4309B">
        <w:rPr>
          <w:sz w:val="22"/>
          <w:szCs w:val="22"/>
        </w:rPr>
        <w:t xml:space="preserve">s an accurate understanding of </w:t>
      </w:r>
      <w:r w:rsidR="00267A38">
        <w:rPr>
          <w:sz w:val="22"/>
          <w:szCs w:val="22"/>
        </w:rPr>
        <w:t>their</w:t>
      </w:r>
      <w:r w:rsidR="00677FE1" w:rsidRPr="00C4309B">
        <w:rPr>
          <w:sz w:val="22"/>
          <w:szCs w:val="22"/>
        </w:rPr>
        <w:t xml:space="preserve"> needs</w:t>
      </w:r>
      <w:r w:rsidR="00267A38">
        <w:rPr>
          <w:sz w:val="22"/>
          <w:szCs w:val="22"/>
        </w:rPr>
        <w:t xml:space="preserve"> and realities and</w:t>
      </w:r>
      <w:r w:rsidR="00677FE1" w:rsidRPr="00C4309B">
        <w:rPr>
          <w:sz w:val="22"/>
          <w:szCs w:val="22"/>
        </w:rPr>
        <w:t xml:space="preserve"> is an obstacle to crafting policies and programs t</w:t>
      </w:r>
      <w:r w:rsidR="00267A38">
        <w:rPr>
          <w:sz w:val="22"/>
          <w:szCs w:val="22"/>
        </w:rPr>
        <w:t>o</w:t>
      </w:r>
      <w:r w:rsidR="00677FE1" w:rsidRPr="00C4309B">
        <w:rPr>
          <w:sz w:val="22"/>
          <w:szCs w:val="22"/>
        </w:rPr>
        <w:t xml:space="preserve"> </w:t>
      </w:r>
      <w:r w:rsidR="00267A38">
        <w:rPr>
          <w:sz w:val="22"/>
          <w:szCs w:val="22"/>
        </w:rPr>
        <w:t xml:space="preserve">adequately </w:t>
      </w:r>
      <w:r w:rsidR="00677FE1" w:rsidRPr="00C4309B">
        <w:rPr>
          <w:sz w:val="22"/>
          <w:szCs w:val="22"/>
        </w:rPr>
        <w:t xml:space="preserve">address </w:t>
      </w:r>
      <w:r w:rsidR="00267A38">
        <w:rPr>
          <w:sz w:val="22"/>
          <w:szCs w:val="22"/>
        </w:rPr>
        <w:t>them</w:t>
      </w:r>
      <w:r w:rsidR="00677FE1" w:rsidRPr="00C4309B">
        <w:rPr>
          <w:sz w:val="22"/>
          <w:szCs w:val="22"/>
        </w:rPr>
        <w:t>.</w:t>
      </w:r>
      <w:r w:rsidR="00267A38">
        <w:rPr>
          <w:sz w:val="22"/>
          <w:szCs w:val="22"/>
        </w:rPr>
        <w:t xml:space="preserve"> For example, i</w:t>
      </w:r>
      <w:r w:rsidR="00614768">
        <w:rPr>
          <w:sz w:val="22"/>
          <w:szCs w:val="22"/>
        </w:rPr>
        <w:t>ndigenous women in the Arctic region reported that violence was one of the most compelling issues affecting Indigenous Women in all states in the Arctic region, but that the availability of data on violence varied greatly from one country to another.</w:t>
      </w:r>
      <w:r w:rsidR="00614768">
        <w:rPr>
          <w:rStyle w:val="Fodnotehenvisning"/>
          <w:sz w:val="22"/>
          <w:szCs w:val="22"/>
        </w:rPr>
        <w:footnoteReference w:id="75"/>
      </w:r>
      <w:r w:rsidR="00614768">
        <w:rPr>
          <w:sz w:val="22"/>
          <w:szCs w:val="22"/>
        </w:rPr>
        <w:t xml:space="preserve"> </w:t>
      </w:r>
      <w:r w:rsidR="003954DC" w:rsidRPr="0028482D">
        <w:rPr>
          <w:sz w:val="22"/>
          <w:szCs w:val="22"/>
        </w:rPr>
        <w:t>Indigenous women in Nepal have brought up the fact that there is “very little clear statistical data regarding health, access to education, and other quality-of-life indicators specifically for indigenous peoples and more so for indigenous women</w:t>
      </w:r>
      <w:r w:rsidR="003954DC">
        <w:rPr>
          <w:sz w:val="22"/>
          <w:szCs w:val="22"/>
        </w:rPr>
        <w:t>.</w:t>
      </w:r>
      <w:r w:rsidR="003954DC" w:rsidRPr="0028482D">
        <w:rPr>
          <w:sz w:val="22"/>
          <w:szCs w:val="22"/>
        </w:rPr>
        <w:t>”</w:t>
      </w:r>
      <w:r w:rsidR="003954DC">
        <w:rPr>
          <w:rStyle w:val="Fodnotehenvisning"/>
          <w:sz w:val="22"/>
          <w:szCs w:val="22"/>
        </w:rPr>
        <w:footnoteReference w:id="76"/>
      </w:r>
      <w:r w:rsidR="003954DC" w:rsidRPr="0028482D">
        <w:rPr>
          <w:sz w:val="22"/>
          <w:szCs w:val="22"/>
        </w:rPr>
        <w:t xml:space="preserve"> </w:t>
      </w:r>
      <w:r w:rsidR="003954DC">
        <w:rPr>
          <w:sz w:val="22"/>
          <w:szCs w:val="22"/>
        </w:rPr>
        <w:t xml:space="preserve">Indigenous women in India have stressed that </w:t>
      </w:r>
      <w:r w:rsidR="002A3CEF">
        <w:rPr>
          <w:sz w:val="22"/>
          <w:szCs w:val="22"/>
        </w:rPr>
        <w:t>disaggregated data</w:t>
      </w:r>
      <w:r w:rsidR="00677FE1">
        <w:rPr>
          <w:sz w:val="22"/>
          <w:szCs w:val="22"/>
        </w:rPr>
        <w:t xml:space="preserve"> is</w:t>
      </w:r>
      <w:r w:rsidR="002A3CEF">
        <w:rPr>
          <w:sz w:val="22"/>
          <w:szCs w:val="22"/>
        </w:rPr>
        <w:t xml:space="preserve"> </w:t>
      </w:r>
      <w:r w:rsidR="003954DC">
        <w:rPr>
          <w:sz w:val="22"/>
          <w:szCs w:val="22"/>
        </w:rPr>
        <w:t>“</w:t>
      </w:r>
      <w:r w:rsidR="003954DC" w:rsidRPr="00D8503D">
        <w:rPr>
          <w:sz w:val="22"/>
          <w:szCs w:val="22"/>
        </w:rPr>
        <w:t>urgently needed in order to ensure that the extreme</w:t>
      </w:r>
      <w:r w:rsidR="003954DC">
        <w:rPr>
          <w:sz w:val="22"/>
          <w:szCs w:val="22"/>
        </w:rPr>
        <w:t xml:space="preserve"> </w:t>
      </w:r>
      <w:r w:rsidR="003954DC" w:rsidRPr="00D8503D">
        <w:rPr>
          <w:sz w:val="22"/>
          <w:szCs w:val="22"/>
        </w:rPr>
        <w:t>marginalization and discrimination of</w:t>
      </w:r>
      <w:r w:rsidR="002A3CEF">
        <w:rPr>
          <w:sz w:val="22"/>
          <w:szCs w:val="22"/>
        </w:rPr>
        <w:t xml:space="preserve"> A</w:t>
      </w:r>
      <w:r w:rsidR="003954DC" w:rsidRPr="00D8503D">
        <w:rPr>
          <w:sz w:val="22"/>
          <w:szCs w:val="22"/>
        </w:rPr>
        <w:t>divasi/tribal women is being addressed</w:t>
      </w:r>
      <w:r w:rsidR="003954DC">
        <w:rPr>
          <w:sz w:val="22"/>
          <w:szCs w:val="22"/>
        </w:rPr>
        <w:t xml:space="preserve"> </w:t>
      </w:r>
      <w:r w:rsidR="003954DC" w:rsidRPr="00D8503D">
        <w:rPr>
          <w:sz w:val="22"/>
          <w:szCs w:val="22"/>
        </w:rPr>
        <w:t>in a more targeted manner and their needs are prioritized by appropriate</w:t>
      </w:r>
      <w:r w:rsidR="003954DC">
        <w:rPr>
          <w:sz w:val="22"/>
          <w:szCs w:val="22"/>
        </w:rPr>
        <w:t xml:space="preserve"> </w:t>
      </w:r>
      <w:r w:rsidR="003954DC" w:rsidRPr="00D8503D">
        <w:rPr>
          <w:sz w:val="22"/>
          <w:szCs w:val="22"/>
        </w:rPr>
        <w:t>state interventions</w:t>
      </w:r>
      <w:r w:rsidR="00677FE1">
        <w:rPr>
          <w:sz w:val="22"/>
          <w:szCs w:val="22"/>
        </w:rPr>
        <w:t>.</w:t>
      </w:r>
      <w:r w:rsidR="003954DC">
        <w:rPr>
          <w:sz w:val="22"/>
          <w:szCs w:val="22"/>
        </w:rPr>
        <w:t>”</w:t>
      </w:r>
      <w:r w:rsidR="003954DC">
        <w:rPr>
          <w:rStyle w:val="Fodnotehenvisning"/>
          <w:sz w:val="22"/>
          <w:szCs w:val="22"/>
        </w:rPr>
        <w:footnoteReference w:id="77"/>
      </w:r>
      <w:r w:rsidR="003954DC">
        <w:rPr>
          <w:rStyle w:val="FodnotetekstTegn"/>
          <w:sz w:val="22"/>
          <w:szCs w:val="22"/>
        </w:rPr>
        <w:t xml:space="preserve"> </w:t>
      </w:r>
      <w:r w:rsidR="006443D0">
        <w:rPr>
          <w:rStyle w:val="FodnotetekstTegn"/>
          <w:sz w:val="22"/>
          <w:szCs w:val="22"/>
        </w:rPr>
        <w:t>The former UN Special Rapporteur on the Rights of Indigenous Peoples</w:t>
      </w:r>
      <w:r w:rsidR="00A3393A">
        <w:rPr>
          <w:rStyle w:val="FodnotetekstTegn"/>
          <w:sz w:val="22"/>
          <w:szCs w:val="22"/>
        </w:rPr>
        <w:t xml:space="preserve"> highlighted the lack of disaggregated statistics to document the problems faced by indigenous women in Brazil, and recommended to the State that it ensure comprehensive and disaggregated statistics are produced.</w:t>
      </w:r>
      <w:r w:rsidR="00A3393A">
        <w:rPr>
          <w:rStyle w:val="Fodnotehenvisning"/>
          <w:sz w:val="22"/>
          <w:szCs w:val="22"/>
        </w:rPr>
        <w:footnoteReference w:id="78"/>
      </w:r>
      <w:r w:rsidR="003954DC">
        <w:rPr>
          <w:sz w:val="22"/>
          <w:szCs w:val="22"/>
        </w:rPr>
        <w:t xml:space="preserve"> </w:t>
      </w:r>
      <w:r w:rsidR="002A3CEF">
        <w:rPr>
          <w:sz w:val="22"/>
          <w:szCs w:val="22"/>
        </w:rPr>
        <w:t xml:space="preserve"> </w:t>
      </w:r>
    </w:p>
    <w:p w14:paraId="2F1C1BEF" w14:textId="77777777" w:rsidR="00967A54" w:rsidRDefault="00967A54" w:rsidP="00967A54">
      <w:pPr>
        <w:pStyle w:val="NormalWeb"/>
        <w:spacing w:before="0" w:beforeAutospacing="0" w:after="0" w:afterAutospacing="0"/>
        <w:rPr>
          <w:rFonts w:ascii="Cambria" w:hAnsi="Cambria"/>
          <w:b/>
          <w:bCs/>
          <w:i/>
          <w:iCs/>
          <w:sz w:val="22"/>
          <w:szCs w:val="22"/>
        </w:rPr>
      </w:pPr>
    </w:p>
    <w:p w14:paraId="36A89913" w14:textId="4BAC6143" w:rsidR="003954DC" w:rsidRDefault="003954DC" w:rsidP="00967A54">
      <w:pPr>
        <w:pStyle w:val="NormalWeb"/>
        <w:spacing w:before="0" w:beforeAutospacing="0" w:after="0" w:afterAutospacing="0"/>
        <w:rPr>
          <w:rFonts w:ascii="Cambria" w:hAnsi="Cambria"/>
          <w:b/>
          <w:bCs/>
          <w:i/>
          <w:iCs/>
          <w:sz w:val="22"/>
          <w:szCs w:val="22"/>
        </w:rPr>
      </w:pPr>
      <w:r w:rsidRPr="00D013B2">
        <w:rPr>
          <w:rFonts w:ascii="Cambria" w:hAnsi="Cambria"/>
          <w:b/>
          <w:bCs/>
          <w:i/>
          <w:iCs/>
          <w:sz w:val="22"/>
          <w:szCs w:val="22"/>
        </w:rPr>
        <w:t xml:space="preserve">Recommendations </w:t>
      </w:r>
    </w:p>
    <w:p w14:paraId="3C6AB33A" w14:textId="716F0445" w:rsidR="000D4A96" w:rsidRDefault="00C4309B" w:rsidP="00967A54">
      <w:pPr>
        <w:ind w:firstLine="360"/>
        <w:jc w:val="both"/>
        <w:rPr>
          <w:sz w:val="22"/>
          <w:szCs w:val="22"/>
        </w:rPr>
      </w:pPr>
      <w:r>
        <w:rPr>
          <w:sz w:val="22"/>
          <w:szCs w:val="22"/>
        </w:rPr>
        <w:t>As briefly discussed above, f</w:t>
      </w:r>
      <w:r w:rsidR="00A905AF">
        <w:rPr>
          <w:sz w:val="22"/>
          <w:szCs w:val="22"/>
        </w:rPr>
        <w:t xml:space="preserve">ormidable barriers continue to exist to the realization of indigenous women’s rights. </w:t>
      </w:r>
      <w:r w:rsidR="00E32F9C">
        <w:rPr>
          <w:sz w:val="22"/>
          <w:szCs w:val="22"/>
        </w:rPr>
        <w:t>A first set of recommendations are address</w:t>
      </w:r>
      <w:r w:rsidR="00D25BAE">
        <w:rPr>
          <w:sz w:val="22"/>
          <w:szCs w:val="22"/>
        </w:rPr>
        <w:t>ed</w:t>
      </w:r>
      <w:r w:rsidR="00E32F9C">
        <w:rPr>
          <w:sz w:val="22"/>
          <w:szCs w:val="22"/>
        </w:rPr>
        <w:t xml:space="preserve"> </w:t>
      </w:r>
      <w:r w:rsidR="007924DF">
        <w:rPr>
          <w:sz w:val="22"/>
          <w:szCs w:val="22"/>
        </w:rPr>
        <w:t>to the Committee itself</w:t>
      </w:r>
      <w:r w:rsidR="00D25BAE">
        <w:rPr>
          <w:sz w:val="22"/>
          <w:szCs w:val="22"/>
        </w:rPr>
        <w:t xml:space="preserve">: </w:t>
      </w:r>
    </w:p>
    <w:p w14:paraId="1C5C1FBB" w14:textId="77777777" w:rsidR="00D25BAE" w:rsidRDefault="00D25BAE" w:rsidP="00A905AF">
      <w:pPr>
        <w:ind w:firstLine="360"/>
        <w:jc w:val="both"/>
        <w:rPr>
          <w:sz w:val="22"/>
          <w:szCs w:val="22"/>
        </w:rPr>
      </w:pPr>
    </w:p>
    <w:p w14:paraId="769359A4" w14:textId="20FFB148" w:rsidR="007924DF" w:rsidRDefault="008E2D9D" w:rsidP="007924DF">
      <w:pPr>
        <w:pStyle w:val="Listeafsnit"/>
        <w:numPr>
          <w:ilvl w:val="0"/>
          <w:numId w:val="9"/>
        </w:numPr>
        <w:jc w:val="both"/>
        <w:rPr>
          <w:sz w:val="22"/>
          <w:szCs w:val="22"/>
        </w:rPr>
      </w:pPr>
      <w:r>
        <w:rPr>
          <w:sz w:val="22"/>
          <w:szCs w:val="22"/>
        </w:rPr>
        <w:t>R</w:t>
      </w:r>
      <w:r w:rsidR="007924DF">
        <w:rPr>
          <w:sz w:val="22"/>
          <w:szCs w:val="22"/>
        </w:rPr>
        <w:t>equire that</w:t>
      </w:r>
      <w:r w:rsidR="007924DF" w:rsidRPr="00AC0116">
        <w:rPr>
          <w:sz w:val="22"/>
          <w:szCs w:val="22"/>
        </w:rPr>
        <w:t xml:space="preserve"> States</w:t>
      </w:r>
      <w:r w:rsidR="007924DF">
        <w:rPr>
          <w:sz w:val="22"/>
          <w:szCs w:val="22"/>
        </w:rPr>
        <w:t>, when they report on their compliance with the Convention,</w:t>
      </w:r>
      <w:r w:rsidR="007924DF" w:rsidRPr="00AC0116">
        <w:rPr>
          <w:sz w:val="22"/>
          <w:szCs w:val="22"/>
        </w:rPr>
        <w:t xml:space="preserve"> provide information on legislative, judicial, administrative or other measures </w:t>
      </w:r>
      <w:r>
        <w:rPr>
          <w:sz w:val="22"/>
          <w:szCs w:val="22"/>
        </w:rPr>
        <w:t>specific to</w:t>
      </w:r>
      <w:r w:rsidRPr="00645C01">
        <w:rPr>
          <w:sz w:val="22"/>
          <w:szCs w:val="22"/>
        </w:rPr>
        <w:t xml:space="preserve"> </w:t>
      </w:r>
      <w:r>
        <w:rPr>
          <w:sz w:val="22"/>
          <w:szCs w:val="22"/>
        </w:rPr>
        <w:t>i</w:t>
      </w:r>
      <w:r w:rsidRPr="00645C01">
        <w:rPr>
          <w:sz w:val="22"/>
          <w:szCs w:val="22"/>
        </w:rPr>
        <w:t xml:space="preserve">ndigenous </w:t>
      </w:r>
      <w:r>
        <w:rPr>
          <w:sz w:val="22"/>
          <w:szCs w:val="22"/>
        </w:rPr>
        <w:t>w</w:t>
      </w:r>
      <w:r w:rsidRPr="00645C01">
        <w:rPr>
          <w:sz w:val="22"/>
          <w:szCs w:val="22"/>
        </w:rPr>
        <w:t>omen</w:t>
      </w:r>
      <w:r>
        <w:rPr>
          <w:sz w:val="22"/>
          <w:szCs w:val="22"/>
        </w:rPr>
        <w:t xml:space="preserve"> and girls </w:t>
      </w:r>
      <w:r w:rsidR="007924DF" w:rsidRPr="00AC0116">
        <w:rPr>
          <w:sz w:val="22"/>
          <w:szCs w:val="22"/>
        </w:rPr>
        <w:t>they have implement</w:t>
      </w:r>
      <w:r>
        <w:rPr>
          <w:sz w:val="22"/>
          <w:szCs w:val="22"/>
        </w:rPr>
        <w:t>ed</w:t>
      </w:r>
      <w:r w:rsidR="007924DF" w:rsidRPr="00AC0116">
        <w:rPr>
          <w:sz w:val="22"/>
          <w:szCs w:val="22"/>
        </w:rPr>
        <w:t xml:space="preserve"> </w:t>
      </w:r>
      <w:r>
        <w:rPr>
          <w:sz w:val="22"/>
          <w:szCs w:val="22"/>
        </w:rPr>
        <w:t>to comply with the obligations in</w:t>
      </w:r>
      <w:r w:rsidR="007924DF" w:rsidRPr="00AC0116">
        <w:rPr>
          <w:sz w:val="22"/>
          <w:szCs w:val="22"/>
        </w:rPr>
        <w:t xml:space="preserve"> the Convention. </w:t>
      </w:r>
    </w:p>
    <w:p w14:paraId="34ACE6FE" w14:textId="77777777" w:rsidR="00D25BAE" w:rsidRDefault="00D25BAE" w:rsidP="00AC0116">
      <w:pPr>
        <w:pStyle w:val="Listeafsnit"/>
        <w:jc w:val="both"/>
        <w:rPr>
          <w:sz w:val="22"/>
          <w:szCs w:val="22"/>
        </w:rPr>
      </w:pPr>
    </w:p>
    <w:p w14:paraId="67E2DF4A" w14:textId="513BE260" w:rsidR="00D25BAE" w:rsidRDefault="00E61FF4" w:rsidP="007924DF">
      <w:pPr>
        <w:pStyle w:val="Listeafsnit"/>
        <w:numPr>
          <w:ilvl w:val="0"/>
          <w:numId w:val="9"/>
        </w:numPr>
        <w:jc w:val="both"/>
        <w:rPr>
          <w:sz w:val="22"/>
          <w:szCs w:val="22"/>
        </w:rPr>
      </w:pPr>
      <w:r>
        <w:rPr>
          <w:sz w:val="22"/>
          <w:szCs w:val="22"/>
        </w:rPr>
        <w:t>Ensure specific references to i</w:t>
      </w:r>
      <w:r w:rsidRPr="00906574">
        <w:rPr>
          <w:sz w:val="22"/>
          <w:szCs w:val="22"/>
        </w:rPr>
        <w:t xml:space="preserve">ndigenous </w:t>
      </w:r>
      <w:r>
        <w:rPr>
          <w:sz w:val="22"/>
          <w:szCs w:val="22"/>
        </w:rPr>
        <w:t>w</w:t>
      </w:r>
      <w:r w:rsidRPr="00906574">
        <w:rPr>
          <w:sz w:val="22"/>
          <w:szCs w:val="22"/>
        </w:rPr>
        <w:t>omen</w:t>
      </w:r>
      <w:r>
        <w:rPr>
          <w:sz w:val="22"/>
          <w:szCs w:val="22"/>
        </w:rPr>
        <w:t xml:space="preserve"> and girls’ rights are included in CEDAW</w:t>
      </w:r>
      <w:r w:rsidR="00D25BAE">
        <w:rPr>
          <w:sz w:val="22"/>
          <w:szCs w:val="22"/>
        </w:rPr>
        <w:t xml:space="preserve"> guidelines </w:t>
      </w:r>
      <w:r>
        <w:rPr>
          <w:sz w:val="22"/>
          <w:szCs w:val="22"/>
        </w:rPr>
        <w:t xml:space="preserve">and recommendations </w:t>
      </w:r>
      <w:r w:rsidR="00D25BAE">
        <w:rPr>
          <w:sz w:val="22"/>
          <w:szCs w:val="22"/>
        </w:rPr>
        <w:t xml:space="preserve">to States. </w:t>
      </w:r>
    </w:p>
    <w:p w14:paraId="51C94601" w14:textId="77777777" w:rsidR="00D25BAE" w:rsidRPr="00AC0116" w:rsidRDefault="00D25BAE" w:rsidP="00AC0116">
      <w:pPr>
        <w:pStyle w:val="Listeafsnit"/>
        <w:rPr>
          <w:sz w:val="22"/>
          <w:szCs w:val="22"/>
        </w:rPr>
      </w:pPr>
    </w:p>
    <w:p w14:paraId="6C0CD8C9" w14:textId="4BB9E940" w:rsidR="00D25BAE" w:rsidRPr="00AC0116" w:rsidRDefault="00E61FF4" w:rsidP="00AC0116">
      <w:pPr>
        <w:pStyle w:val="Listeafsnit"/>
        <w:numPr>
          <w:ilvl w:val="0"/>
          <w:numId w:val="9"/>
        </w:numPr>
        <w:jc w:val="both"/>
        <w:rPr>
          <w:sz w:val="22"/>
          <w:szCs w:val="22"/>
        </w:rPr>
      </w:pPr>
      <w:r>
        <w:rPr>
          <w:sz w:val="22"/>
          <w:szCs w:val="22"/>
        </w:rPr>
        <w:t>Organize</w:t>
      </w:r>
      <w:r w:rsidR="00A078AB" w:rsidRPr="00A078AB">
        <w:rPr>
          <w:sz w:val="22"/>
          <w:szCs w:val="22"/>
        </w:rPr>
        <w:t xml:space="preserve"> </w:t>
      </w:r>
      <w:r w:rsidR="00A078AB">
        <w:rPr>
          <w:sz w:val="22"/>
          <w:szCs w:val="22"/>
        </w:rPr>
        <w:t>a workshop with i</w:t>
      </w:r>
      <w:r w:rsidR="00A078AB" w:rsidRPr="00906574">
        <w:rPr>
          <w:sz w:val="22"/>
          <w:szCs w:val="22"/>
        </w:rPr>
        <w:t xml:space="preserve">ndigenous </w:t>
      </w:r>
      <w:r w:rsidR="00A078AB">
        <w:rPr>
          <w:sz w:val="22"/>
          <w:szCs w:val="22"/>
        </w:rPr>
        <w:t>w</w:t>
      </w:r>
      <w:r w:rsidR="00A078AB" w:rsidRPr="00906574">
        <w:rPr>
          <w:sz w:val="22"/>
          <w:szCs w:val="22"/>
        </w:rPr>
        <w:t>omen</w:t>
      </w:r>
      <w:r w:rsidR="00A078AB">
        <w:rPr>
          <w:sz w:val="22"/>
          <w:szCs w:val="22"/>
        </w:rPr>
        <w:t xml:space="preserve"> and girls</w:t>
      </w:r>
      <w:r>
        <w:rPr>
          <w:sz w:val="22"/>
          <w:szCs w:val="22"/>
        </w:rPr>
        <w:t>, i</w:t>
      </w:r>
      <w:r w:rsidR="00D25BAE">
        <w:rPr>
          <w:sz w:val="22"/>
          <w:szCs w:val="22"/>
        </w:rPr>
        <w:t xml:space="preserve">n preparation for the </w:t>
      </w:r>
      <w:r w:rsidR="00D25BAE" w:rsidRPr="00AC0116">
        <w:rPr>
          <w:sz w:val="22"/>
          <w:szCs w:val="22"/>
        </w:rPr>
        <w:t>General Recommendation</w:t>
      </w:r>
      <w:r w:rsidR="00D25BAE">
        <w:rPr>
          <w:sz w:val="22"/>
          <w:szCs w:val="22"/>
        </w:rPr>
        <w:t>,</w:t>
      </w:r>
      <w:r w:rsidR="00D25BAE" w:rsidRPr="00D25BAE">
        <w:rPr>
          <w:sz w:val="22"/>
          <w:szCs w:val="22"/>
        </w:rPr>
        <w:t xml:space="preserve"> </w:t>
      </w:r>
      <w:r w:rsidR="00D25BAE" w:rsidRPr="007924DF">
        <w:rPr>
          <w:sz w:val="22"/>
          <w:szCs w:val="22"/>
        </w:rPr>
        <w:t xml:space="preserve">to </w:t>
      </w:r>
      <w:r w:rsidR="00A078AB">
        <w:rPr>
          <w:sz w:val="22"/>
          <w:szCs w:val="22"/>
        </w:rPr>
        <w:t xml:space="preserve">discuss </w:t>
      </w:r>
      <w:r w:rsidR="00D25BAE" w:rsidRPr="007924DF">
        <w:rPr>
          <w:sz w:val="22"/>
          <w:szCs w:val="22"/>
        </w:rPr>
        <w:t>indigenous peoples</w:t>
      </w:r>
      <w:r w:rsidR="00D25BAE">
        <w:rPr>
          <w:sz w:val="22"/>
          <w:szCs w:val="22"/>
        </w:rPr>
        <w:t>’</w:t>
      </w:r>
      <w:r w:rsidR="00D25BAE" w:rsidRPr="007924DF">
        <w:rPr>
          <w:sz w:val="22"/>
          <w:szCs w:val="22"/>
        </w:rPr>
        <w:t xml:space="preserve"> traditional practices that violate women’s rights</w:t>
      </w:r>
      <w:r w:rsidR="00A078AB">
        <w:rPr>
          <w:sz w:val="22"/>
          <w:szCs w:val="22"/>
        </w:rPr>
        <w:t xml:space="preserve"> and </w:t>
      </w:r>
      <w:r w:rsidR="00A078AB" w:rsidRPr="007924DF">
        <w:rPr>
          <w:sz w:val="22"/>
          <w:szCs w:val="22"/>
        </w:rPr>
        <w:t xml:space="preserve">identify </w:t>
      </w:r>
      <w:r w:rsidR="00A078AB">
        <w:rPr>
          <w:sz w:val="22"/>
          <w:szCs w:val="22"/>
        </w:rPr>
        <w:t xml:space="preserve">potential </w:t>
      </w:r>
      <w:r w:rsidR="00A078AB" w:rsidRPr="007924DF">
        <w:rPr>
          <w:sz w:val="22"/>
          <w:szCs w:val="22"/>
        </w:rPr>
        <w:t>measures</w:t>
      </w:r>
      <w:r w:rsidR="00A078AB">
        <w:rPr>
          <w:sz w:val="22"/>
          <w:szCs w:val="22"/>
        </w:rPr>
        <w:t xml:space="preserve"> to remedy these violations</w:t>
      </w:r>
      <w:r w:rsidR="00D25BAE" w:rsidRPr="007924DF">
        <w:rPr>
          <w:sz w:val="22"/>
          <w:szCs w:val="22"/>
        </w:rPr>
        <w:t>.</w:t>
      </w:r>
      <w:r w:rsidR="00A078AB">
        <w:rPr>
          <w:sz w:val="22"/>
          <w:szCs w:val="22"/>
        </w:rPr>
        <w:t xml:space="preserve"> </w:t>
      </w:r>
    </w:p>
    <w:p w14:paraId="0DE2ED94" w14:textId="6FF4755F" w:rsidR="007924DF" w:rsidRPr="007924DF" w:rsidRDefault="00D25BAE" w:rsidP="007924DF">
      <w:pPr>
        <w:ind w:firstLine="360"/>
        <w:jc w:val="both"/>
        <w:rPr>
          <w:sz w:val="22"/>
          <w:szCs w:val="22"/>
        </w:rPr>
      </w:pPr>
      <w:r>
        <w:rPr>
          <w:sz w:val="22"/>
          <w:szCs w:val="22"/>
        </w:rPr>
        <w:t xml:space="preserve">  </w:t>
      </w:r>
    </w:p>
    <w:p w14:paraId="52534275" w14:textId="7C3B67A8" w:rsidR="00A905AF" w:rsidRDefault="00B12469" w:rsidP="00A905AF">
      <w:pPr>
        <w:ind w:firstLine="360"/>
        <w:jc w:val="both"/>
        <w:rPr>
          <w:sz w:val="22"/>
          <w:szCs w:val="22"/>
        </w:rPr>
      </w:pPr>
      <w:r>
        <w:rPr>
          <w:sz w:val="22"/>
          <w:szCs w:val="22"/>
        </w:rPr>
        <w:t>T</w:t>
      </w:r>
      <w:r w:rsidR="00C4309B">
        <w:rPr>
          <w:sz w:val="22"/>
          <w:szCs w:val="22"/>
        </w:rPr>
        <w:t xml:space="preserve">he following recommendations seek to provide guidance to State parties to the Convention on the measures they should adopt to ensure full compliance with their obligations to respect and protect the rights of indigenous women and girls: </w:t>
      </w:r>
    </w:p>
    <w:p w14:paraId="0B4ADED5" w14:textId="77777777" w:rsidR="00A905AF" w:rsidRDefault="00A905AF" w:rsidP="00616284">
      <w:pPr>
        <w:ind w:firstLine="360"/>
        <w:jc w:val="both"/>
        <w:rPr>
          <w:sz w:val="22"/>
          <w:szCs w:val="22"/>
        </w:rPr>
      </w:pPr>
    </w:p>
    <w:p w14:paraId="7117D5B5" w14:textId="3EC16651" w:rsidR="000D4A96" w:rsidRPr="00AC0116" w:rsidRDefault="00E32F9C" w:rsidP="00E32F9C">
      <w:pPr>
        <w:pStyle w:val="Listeafsnit"/>
        <w:numPr>
          <w:ilvl w:val="0"/>
          <w:numId w:val="8"/>
        </w:numPr>
        <w:jc w:val="both"/>
        <w:rPr>
          <w:sz w:val="22"/>
          <w:szCs w:val="22"/>
        </w:rPr>
      </w:pPr>
      <w:r>
        <w:rPr>
          <w:sz w:val="22"/>
          <w:szCs w:val="22"/>
        </w:rPr>
        <w:t xml:space="preserve">States must urgently recognize Indigenous Peoples in their Constitutions, </w:t>
      </w:r>
      <w:r>
        <w:rPr>
          <w:rFonts w:eastAsiaTheme="minorHAnsi"/>
          <w:sz w:val="22"/>
          <w:szCs w:val="22"/>
          <w:lang w:val="en-US"/>
        </w:rPr>
        <w:t>a</w:t>
      </w:r>
      <w:r w:rsidR="00A078AB">
        <w:rPr>
          <w:rFonts w:eastAsiaTheme="minorHAnsi"/>
          <w:sz w:val="22"/>
          <w:szCs w:val="22"/>
          <w:lang w:val="en-US"/>
        </w:rPr>
        <w:t xml:space="preserve">s well as protect and </w:t>
      </w:r>
      <w:r>
        <w:rPr>
          <w:rFonts w:eastAsiaTheme="minorHAnsi"/>
          <w:sz w:val="22"/>
          <w:szCs w:val="22"/>
          <w:lang w:val="en-US"/>
        </w:rPr>
        <w:t>promot</w:t>
      </w:r>
      <w:r w:rsidR="00A078AB">
        <w:rPr>
          <w:rFonts w:eastAsiaTheme="minorHAnsi"/>
          <w:sz w:val="22"/>
          <w:szCs w:val="22"/>
          <w:lang w:val="en-US"/>
        </w:rPr>
        <w:t>e</w:t>
      </w:r>
      <w:r>
        <w:rPr>
          <w:rFonts w:eastAsiaTheme="minorHAnsi"/>
          <w:sz w:val="22"/>
          <w:szCs w:val="22"/>
          <w:lang w:val="en-US"/>
        </w:rPr>
        <w:t xml:space="preserve"> their cultural, economic, and social rights through comprehensive legal frameworks and policy initiatives.</w:t>
      </w:r>
      <w:r w:rsidR="00A078AB">
        <w:rPr>
          <w:rFonts w:eastAsiaTheme="minorHAnsi"/>
          <w:sz w:val="22"/>
          <w:szCs w:val="22"/>
          <w:lang w:val="en-US"/>
        </w:rPr>
        <w:t xml:space="preserve"> </w:t>
      </w:r>
    </w:p>
    <w:p w14:paraId="4353903C" w14:textId="77777777" w:rsidR="000D4A96" w:rsidRDefault="000D4A96" w:rsidP="00AC0116">
      <w:pPr>
        <w:pStyle w:val="Listeafsnit"/>
        <w:jc w:val="both"/>
        <w:rPr>
          <w:sz w:val="22"/>
          <w:szCs w:val="22"/>
        </w:rPr>
      </w:pPr>
    </w:p>
    <w:p w14:paraId="795A035E" w14:textId="492A269B" w:rsidR="002047AE" w:rsidRDefault="002047AE" w:rsidP="002047AE">
      <w:pPr>
        <w:pStyle w:val="Listeafsnit"/>
        <w:numPr>
          <w:ilvl w:val="0"/>
          <w:numId w:val="8"/>
        </w:numPr>
        <w:jc w:val="both"/>
        <w:rPr>
          <w:sz w:val="22"/>
          <w:szCs w:val="22"/>
        </w:rPr>
      </w:pPr>
      <w:r>
        <w:rPr>
          <w:sz w:val="22"/>
          <w:szCs w:val="22"/>
        </w:rPr>
        <w:t>Because indigenous women and girls face these very specific types of human rights abuses as a result of both their gender and ethnicity, among other factors, an intersectional approach which takes into consideration both a gender and an indigenous people’s rights perspective is necessary to appropriately address the human rights situation of indigenous women and girls and should be at the center of any</w:t>
      </w:r>
      <w:r w:rsidR="00677FE1">
        <w:rPr>
          <w:sz w:val="22"/>
          <w:szCs w:val="22"/>
        </w:rPr>
        <w:t xml:space="preserve"> State’s</w:t>
      </w:r>
      <w:r>
        <w:rPr>
          <w:sz w:val="22"/>
          <w:szCs w:val="22"/>
        </w:rPr>
        <w:t xml:space="preserve"> law or policy developed to comply with </w:t>
      </w:r>
      <w:r w:rsidR="00677FE1">
        <w:rPr>
          <w:sz w:val="22"/>
          <w:szCs w:val="22"/>
        </w:rPr>
        <w:t>its</w:t>
      </w:r>
      <w:r>
        <w:rPr>
          <w:sz w:val="22"/>
          <w:szCs w:val="22"/>
        </w:rPr>
        <w:t xml:space="preserve"> obligations under the CEDAW. </w:t>
      </w:r>
    </w:p>
    <w:p w14:paraId="0E52FC96" w14:textId="77777777" w:rsidR="002047AE" w:rsidRPr="00C4309B" w:rsidRDefault="002047AE" w:rsidP="002047AE">
      <w:pPr>
        <w:pStyle w:val="Listeafsnit"/>
        <w:jc w:val="both"/>
        <w:rPr>
          <w:sz w:val="22"/>
          <w:szCs w:val="22"/>
        </w:rPr>
      </w:pPr>
    </w:p>
    <w:p w14:paraId="7D053378" w14:textId="168A6BC6" w:rsidR="003954DC" w:rsidRDefault="003954DC" w:rsidP="00C4309B">
      <w:pPr>
        <w:pStyle w:val="Listeafsnit"/>
        <w:numPr>
          <w:ilvl w:val="0"/>
          <w:numId w:val="8"/>
        </w:numPr>
        <w:jc w:val="both"/>
        <w:rPr>
          <w:sz w:val="22"/>
          <w:szCs w:val="22"/>
        </w:rPr>
      </w:pPr>
      <w:r w:rsidRPr="00C4309B">
        <w:rPr>
          <w:sz w:val="22"/>
          <w:szCs w:val="22"/>
        </w:rPr>
        <w:t xml:space="preserve">States must </w:t>
      </w:r>
      <w:r w:rsidR="008E151D">
        <w:rPr>
          <w:sz w:val="22"/>
          <w:szCs w:val="22"/>
        </w:rPr>
        <w:t xml:space="preserve">periodically </w:t>
      </w:r>
      <w:r w:rsidRPr="00C4309B">
        <w:rPr>
          <w:sz w:val="22"/>
          <w:szCs w:val="22"/>
        </w:rPr>
        <w:t xml:space="preserve">undertake data collection, disaggregated by gender and ethnicity, </w:t>
      </w:r>
      <w:r w:rsidR="008E151D">
        <w:rPr>
          <w:sz w:val="22"/>
          <w:szCs w:val="22"/>
        </w:rPr>
        <w:t xml:space="preserve">on discrimination against indigenous women, access to justice and their access to their civil, political, economic, social and cultural rights, </w:t>
      </w:r>
      <w:r w:rsidRPr="00C4309B">
        <w:rPr>
          <w:sz w:val="22"/>
          <w:szCs w:val="22"/>
        </w:rPr>
        <w:t>and use the collected information to design better tailored and more efficient public policies and programs</w:t>
      </w:r>
      <w:r w:rsidR="000B7649">
        <w:rPr>
          <w:sz w:val="22"/>
          <w:szCs w:val="22"/>
        </w:rPr>
        <w:t xml:space="preserve"> aimed at indigenous women and girls</w:t>
      </w:r>
      <w:r w:rsidRPr="00C4309B">
        <w:rPr>
          <w:sz w:val="22"/>
          <w:szCs w:val="22"/>
        </w:rPr>
        <w:t xml:space="preserve">.  </w:t>
      </w:r>
    </w:p>
    <w:p w14:paraId="67F5D711" w14:textId="77777777" w:rsidR="00591837" w:rsidRPr="00591837" w:rsidRDefault="00591837" w:rsidP="00591837">
      <w:pPr>
        <w:pStyle w:val="Listeafsnit"/>
        <w:rPr>
          <w:sz w:val="22"/>
          <w:szCs w:val="22"/>
        </w:rPr>
      </w:pPr>
    </w:p>
    <w:p w14:paraId="39ED8436" w14:textId="27D6D3B0" w:rsidR="00591837" w:rsidRDefault="00591837" w:rsidP="00C4309B">
      <w:pPr>
        <w:pStyle w:val="Listeafsnit"/>
        <w:numPr>
          <w:ilvl w:val="0"/>
          <w:numId w:val="8"/>
        </w:numPr>
        <w:jc w:val="both"/>
        <w:rPr>
          <w:sz w:val="22"/>
          <w:szCs w:val="22"/>
        </w:rPr>
      </w:pPr>
      <w:r>
        <w:rPr>
          <w:sz w:val="22"/>
          <w:szCs w:val="22"/>
        </w:rPr>
        <w:t xml:space="preserve">The design and implementation of all </w:t>
      </w:r>
      <w:r w:rsidR="00677FE1">
        <w:rPr>
          <w:sz w:val="22"/>
          <w:szCs w:val="22"/>
        </w:rPr>
        <w:t xml:space="preserve">laws, </w:t>
      </w:r>
      <w:r>
        <w:rPr>
          <w:sz w:val="22"/>
          <w:szCs w:val="22"/>
        </w:rPr>
        <w:t xml:space="preserve">public policies and programs that address indigenous women and </w:t>
      </w:r>
      <w:r w:rsidR="00033973">
        <w:rPr>
          <w:sz w:val="22"/>
          <w:szCs w:val="22"/>
        </w:rPr>
        <w:t>girls’</w:t>
      </w:r>
      <w:r>
        <w:rPr>
          <w:sz w:val="22"/>
          <w:szCs w:val="22"/>
        </w:rPr>
        <w:t xml:space="preserve"> issues must include a full and effective participation of indigenous women.  </w:t>
      </w:r>
    </w:p>
    <w:p w14:paraId="7A4FEAB1" w14:textId="77777777" w:rsidR="00591837" w:rsidRPr="00591837" w:rsidRDefault="00591837" w:rsidP="00591837">
      <w:pPr>
        <w:pStyle w:val="Listeafsnit"/>
        <w:rPr>
          <w:sz w:val="22"/>
          <w:szCs w:val="22"/>
        </w:rPr>
      </w:pPr>
    </w:p>
    <w:p w14:paraId="5AFB6B4A" w14:textId="3465DAEA" w:rsidR="00591837" w:rsidRDefault="00591837" w:rsidP="00C4309B">
      <w:pPr>
        <w:pStyle w:val="Listeafsnit"/>
        <w:numPr>
          <w:ilvl w:val="0"/>
          <w:numId w:val="8"/>
        </w:numPr>
        <w:jc w:val="both"/>
        <w:rPr>
          <w:sz w:val="22"/>
          <w:szCs w:val="22"/>
        </w:rPr>
      </w:pPr>
      <w:r w:rsidRPr="00C96349">
        <w:rPr>
          <w:sz w:val="22"/>
          <w:szCs w:val="22"/>
        </w:rPr>
        <w:t>Empowering indigenous women is a vital element</w:t>
      </w:r>
      <w:r>
        <w:rPr>
          <w:sz w:val="22"/>
          <w:szCs w:val="22"/>
        </w:rPr>
        <w:t xml:space="preserve"> to combat violence and discrimination. </w:t>
      </w:r>
      <w:r w:rsidR="00E54902">
        <w:rPr>
          <w:sz w:val="22"/>
          <w:szCs w:val="22"/>
        </w:rPr>
        <w:t xml:space="preserve">Policies and programs must be set in place to develop the skills, abilities and confidence of indigenous women to participate in decision-making instances. </w:t>
      </w:r>
      <w:r>
        <w:rPr>
          <w:sz w:val="22"/>
          <w:szCs w:val="22"/>
        </w:rPr>
        <w:t>S</w:t>
      </w:r>
      <w:r w:rsidRPr="00C96349">
        <w:rPr>
          <w:sz w:val="22"/>
          <w:szCs w:val="22"/>
        </w:rPr>
        <w:t>upport and assistance</w:t>
      </w:r>
      <w:r>
        <w:rPr>
          <w:sz w:val="22"/>
          <w:szCs w:val="22"/>
        </w:rPr>
        <w:t xml:space="preserve"> must be </w:t>
      </w:r>
      <w:r w:rsidRPr="00C96349">
        <w:rPr>
          <w:sz w:val="22"/>
          <w:szCs w:val="22"/>
        </w:rPr>
        <w:t>provided to indigenous women’s organizations and groups to enable them to</w:t>
      </w:r>
      <w:r w:rsidR="00E54902">
        <w:rPr>
          <w:sz w:val="22"/>
          <w:szCs w:val="22"/>
        </w:rPr>
        <w:t xml:space="preserve"> earn access to the political spheres and</w:t>
      </w:r>
      <w:r w:rsidRPr="00C96349">
        <w:rPr>
          <w:sz w:val="22"/>
          <w:szCs w:val="22"/>
        </w:rPr>
        <w:t xml:space="preserve"> </w:t>
      </w:r>
      <w:r>
        <w:rPr>
          <w:sz w:val="22"/>
          <w:szCs w:val="22"/>
        </w:rPr>
        <w:t>have their voices heard at</w:t>
      </w:r>
      <w:r w:rsidRPr="00C96349">
        <w:rPr>
          <w:sz w:val="22"/>
          <w:szCs w:val="22"/>
        </w:rPr>
        <w:t xml:space="preserve"> the local, national and international </w:t>
      </w:r>
      <w:r w:rsidR="00033973">
        <w:rPr>
          <w:sz w:val="22"/>
          <w:szCs w:val="22"/>
        </w:rPr>
        <w:t>levels</w:t>
      </w:r>
      <w:r w:rsidRPr="00C96349">
        <w:rPr>
          <w:sz w:val="22"/>
          <w:szCs w:val="22"/>
        </w:rPr>
        <w:t>.</w:t>
      </w:r>
      <w:r w:rsidR="00E54902">
        <w:rPr>
          <w:sz w:val="22"/>
          <w:szCs w:val="22"/>
        </w:rPr>
        <w:t xml:space="preserve"> </w:t>
      </w:r>
      <w:r w:rsidR="00766F6B">
        <w:rPr>
          <w:sz w:val="22"/>
          <w:szCs w:val="22"/>
        </w:rPr>
        <w:t>S</w:t>
      </w:r>
      <w:r w:rsidR="00E54902">
        <w:rPr>
          <w:sz w:val="22"/>
          <w:szCs w:val="22"/>
        </w:rPr>
        <w:t xml:space="preserve">pecific </w:t>
      </w:r>
      <w:r w:rsidR="00766F6B">
        <w:rPr>
          <w:sz w:val="22"/>
          <w:szCs w:val="22"/>
        </w:rPr>
        <w:t xml:space="preserve">quotas </w:t>
      </w:r>
      <w:r w:rsidR="00E54902">
        <w:rPr>
          <w:sz w:val="22"/>
          <w:szCs w:val="22"/>
        </w:rPr>
        <w:t>for indigenous women should be set in place to guarantee their participation in these forums.</w:t>
      </w:r>
    </w:p>
    <w:p w14:paraId="72E8B3A6" w14:textId="77777777" w:rsidR="002047AE" w:rsidRPr="002047AE" w:rsidRDefault="002047AE" w:rsidP="002047AE">
      <w:pPr>
        <w:pStyle w:val="Listeafsnit"/>
        <w:rPr>
          <w:sz w:val="22"/>
          <w:szCs w:val="22"/>
        </w:rPr>
      </w:pPr>
    </w:p>
    <w:p w14:paraId="4F6AA061" w14:textId="514E8588" w:rsidR="00591837" w:rsidRDefault="002047AE" w:rsidP="00C4309B">
      <w:pPr>
        <w:pStyle w:val="Listeafsnit"/>
        <w:numPr>
          <w:ilvl w:val="0"/>
          <w:numId w:val="8"/>
        </w:numPr>
        <w:jc w:val="both"/>
        <w:rPr>
          <w:sz w:val="22"/>
          <w:szCs w:val="22"/>
        </w:rPr>
      </w:pPr>
      <w:r>
        <w:rPr>
          <w:sz w:val="22"/>
          <w:szCs w:val="22"/>
        </w:rPr>
        <w:t xml:space="preserve">Discrimination is at the center of both the violence towards indigenous women and girls and its acquiescence by state authorities and the greater public. </w:t>
      </w:r>
      <w:r w:rsidR="00591837">
        <w:rPr>
          <w:sz w:val="22"/>
          <w:szCs w:val="22"/>
        </w:rPr>
        <w:t>Adequately funded awareness</w:t>
      </w:r>
      <w:r w:rsidRPr="00C96349">
        <w:rPr>
          <w:sz w:val="22"/>
          <w:szCs w:val="22"/>
        </w:rPr>
        <w:t xml:space="preserve"> campaigns</w:t>
      </w:r>
      <w:r>
        <w:rPr>
          <w:sz w:val="22"/>
          <w:szCs w:val="22"/>
        </w:rPr>
        <w:t xml:space="preserve"> and training</w:t>
      </w:r>
      <w:r w:rsidRPr="00C96349">
        <w:rPr>
          <w:sz w:val="22"/>
          <w:szCs w:val="22"/>
        </w:rPr>
        <w:t xml:space="preserve"> activities</w:t>
      </w:r>
      <w:r w:rsidR="00033973">
        <w:rPr>
          <w:sz w:val="22"/>
          <w:szCs w:val="22"/>
        </w:rPr>
        <w:t xml:space="preserve"> for the general public and for public servants from all sectors of government</w:t>
      </w:r>
      <w:r w:rsidR="00F917FC">
        <w:rPr>
          <w:sz w:val="22"/>
          <w:szCs w:val="22"/>
        </w:rPr>
        <w:t xml:space="preserve"> (including police</w:t>
      </w:r>
      <w:r w:rsidR="006443D0">
        <w:rPr>
          <w:sz w:val="22"/>
          <w:szCs w:val="22"/>
        </w:rPr>
        <w:t xml:space="preserve"> forces</w:t>
      </w:r>
      <w:r w:rsidR="00F917FC">
        <w:rPr>
          <w:sz w:val="22"/>
          <w:szCs w:val="22"/>
        </w:rPr>
        <w:t xml:space="preserve">, </w:t>
      </w:r>
      <w:r w:rsidR="006443D0">
        <w:rPr>
          <w:sz w:val="22"/>
          <w:szCs w:val="22"/>
        </w:rPr>
        <w:t>attorneys</w:t>
      </w:r>
      <w:r w:rsidR="00F917FC">
        <w:rPr>
          <w:sz w:val="22"/>
          <w:szCs w:val="22"/>
        </w:rPr>
        <w:t>, judicial</w:t>
      </w:r>
      <w:r w:rsidR="006443D0">
        <w:rPr>
          <w:sz w:val="22"/>
          <w:szCs w:val="22"/>
        </w:rPr>
        <w:t xml:space="preserve"> system</w:t>
      </w:r>
      <w:r w:rsidR="00F917FC">
        <w:rPr>
          <w:sz w:val="22"/>
          <w:szCs w:val="22"/>
        </w:rPr>
        <w:t>, health</w:t>
      </w:r>
      <w:r w:rsidR="006443D0">
        <w:rPr>
          <w:sz w:val="22"/>
          <w:szCs w:val="22"/>
        </w:rPr>
        <w:t xml:space="preserve"> sector</w:t>
      </w:r>
      <w:r w:rsidR="00F917FC">
        <w:rPr>
          <w:sz w:val="22"/>
          <w:szCs w:val="22"/>
        </w:rPr>
        <w:t>, education</w:t>
      </w:r>
      <w:r w:rsidR="006443D0">
        <w:rPr>
          <w:sz w:val="22"/>
          <w:szCs w:val="22"/>
        </w:rPr>
        <w:t xml:space="preserve"> sector</w:t>
      </w:r>
      <w:r w:rsidR="00F917FC">
        <w:rPr>
          <w:sz w:val="22"/>
          <w:szCs w:val="22"/>
        </w:rPr>
        <w:t>)</w:t>
      </w:r>
      <w:r w:rsidR="00033973">
        <w:rPr>
          <w:sz w:val="22"/>
          <w:szCs w:val="22"/>
        </w:rPr>
        <w:t xml:space="preserve"> should be </w:t>
      </w:r>
      <w:r w:rsidR="00591837">
        <w:rPr>
          <w:sz w:val="22"/>
          <w:szCs w:val="22"/>
        </w:rPr>
        <w:t>developed to dismantle discriminatory beliefs against indigenous women</w:t>
      </w:r>
      <w:r w:rsidR="000E2537">
        <w:rPr>
          <w:sz w:val="22"/>
          <w:szCs w:val="22"/>
        </w:rPr>
        <w:t xml:space="preserve"> as a tool of prevention</w:t>
      </w:r>
      <w:r w:rsidR="00591837">
        <w:rPr>
          <w:sz w:val="22"/>
          <w:szCs w:val="22"/>
        </w:rPr>
        <w:t>.</w:t>
      </w:r>
      <w:r w:rsidR="008B4FC5">
        <w:rPr>
          <w:sz w:val="22"/>
          <w:szCs w:val="22"/>
        </w:rPr>
        <w:t xml:space="preserve"> Special police units trained in gender and ethnic-sensitivity</w:t>
      </w:r>
      <w:r w:rsidR="000E2537">
        <w:rPr>
          <w:sz w:val="22"/>
          <w:szCs w:val="22"/>
        </w:rPr>
        <w:t>, as well as in dealing with trafficking victims,</w:t>
      </w:r>
      <w:r w:rsidR="0091514C">
        <w:rPr>
          <w:sz w:val="22"/>
          <w:szCs w:val="22"/>
        </w:rPr>
        <w:t xml:space="preserve"> should be established to investigate acts of violence, and comprehensive support services such as shelters, </w:t>
      </w:r>
      <w:r w:rsidR="000E2537">
        <w:rPr>
          <w:sz w:val="22"/>
          <w:szCs w:val="22"/>
        </w:rPr>
        <w:t xml:space="preserve">reporting </w:t>
      </w:r>
      <w:r w:rsidR="0091514C">
        <w:rPr>
          <w:sz w:val="22"/>
          <w:szCs w:val="22"/>
        </w:rPr>
        <w:t>helpline</w:t>
      </w:r>
      <w:r w:rsidR="000E2537">
        <w:rPr>
          <w:sz w:val="22"/>
          <w:szCs w:val="22"/>
        </w:rPr>
        <w:t>s</w:t>
      </w:r>
      <w:r w:rsidR="0091514C">
        <w:rPr>
          <w:sz w:val="22"/>
          <w:szCs w:val="22"/>
        </w:rPr>
        <w:t>, and culturally appropriate legal support services, should be set up to guarantee a better access to justice when prevention fails.</w:t>
      </w:r>
    </w:p>
    <w:p w14:paraId="7B4B722F" w14:textId="77777777" w:rsidR="008E151D" w:rsidRPr="008E151D" w:rsidRDefault="008E151D" w:rsidP="008E151D">
      <w:pPr>
        <w:pStyle w:val="Listeafsnit"/>
        <w:rPr>
          <w:sz w:val="22"/>
          <w:szCs w:val="22"/>
        </w:rPr>
      </w:pPr>
    </w:p>
    <w:p w14:paraId="39B8A2D4" w14:textId="19F12525" w:rsidR="008E151D" w:rsidRDefault="00766F6B" w:rsidP="00C4309B">
      <w:pPr>
        <w:pStyle w:val="Listeafsnit"/>
        <w:numPr>
          <w:ilvl w:val="0"/>
          <w:numId w:val="8"/>
        </w:numPr>
        <w:jc w:val="both"/>
        <w:rPr>
          <w:sz w:val="22"/>
          <w:szCs w:val="22"/>
        </w:rPr>
      </w:pPr>
      <w:r>
        <w:rPr>
          <w:sz w:val="22"/>
          <w:szCs w:val="22"/>
        </w:rPr>
        <w:t>States must a</w:t>
      </w:r>
      <w:r w:rsidR="008E151D">
        <w:rPr>
          <w:sz w:val="22"/>
          <w:szCs w:val="22"/>
        </w:rPr>
        <w:t>dopt specific protection measures to guarantee the safety of indigenous women human rights defenders and leaders</w:t>
      </w:r>
      <w:r>
        <w:rPr>
          <w:sz w:val="22"/>
          <w:szCs w:val="22"/>
        </w:rPr>
        <w:t>, and their ability to continue carrying o</w:t>
      </w:r>
      <w:r w:rsidR="006443D0">
        <w:rPr>
          <w:sz w:val="22"/>
          <w:szCs w:val="22"/>
        </w:rPr>
        <w:t>ut</w:t>
      </w:r>
      <w:r>
        <w:rPr>
          <w:sz w:val="22"/>
          <w:szCs w:val="22"/>
        </w:rPr>
        <w:t xml:space="preserve"> their human rights defense work</w:t>
      </w:r>
      <w:r w:rsidR="008E151D">
        <w:rPr>
          <w:sz w:val="22"/>
          <w:szCs w:val="22"/>
        </w:rPr>
        <w:t xml:space="preserve">. </w:t>
      </w:r>
    </w:p>
    <w:p w14:paraId="0F36305C" w14:textId="77777777" w:rsidR="00033973" w:rsidRPr="00033973" w:rsidRDefault="00033973" w:rsidP="00033973">
      <w:pPr>
        <w:pStyle w:val="Listeafsnit"/>
        <w:rPr>
          <w:sz w:val="22"/>
          <w:szCs w:val="22"/>
        </w:rPr>
      </w:pPr>
    </w:p>
    <w:p w14:paraId="5E020993" w14:textId="642CE95D" w:rsidR="00033973" w:rsidRDefault="00033973" w:rsidP="00C4309B">
      <w:pPr>
        <w:pStyle w:val="Listeafsnit"/>
        <w:numPr>
          <w:ilvl w:val="0"/>
          <w:numId w:val="8"/>
        </w:numPr>
        <w:jc w:val="both"/>
        <w:rPr>
          <w:sz w:val="22"/>
          <w:szCs w:val="22"/>
        </w:rPr>
      </w:pPr>
      <w:r>
        <w:rPr>
          <w:sz w:val="22"/>
          <w:szCs w:val="22"/>
        </w:rPr>
        <w:t>Violations of indigenous people</w:t>
      </w:r>
      <w:r w:rsidR="008B4FC5">
        <w:rPr>
          <w:sz w:val="22"/>
          <w:szCs w:val="22"/>
        </w:rPr>
        <w:t>s</w:t>
      </w:r>
      <w:r>
        <w:rPr>
          <w:sz w:val="22"/>
          <w:szCs w:val="22"/>
        </w:rPr>
        <w:t xml:space="preserve">’ rights to land </w:t>
      </w:r>
      <w:r w:rsidR="008B4FC5">
        <w:rPr>
          <w:sz w:val="22"/>
          <w:szCs w:val="22"/>
        </w:rPr>
        <w:t xml:space="preserve">have gendered impacts on </w:t>
      </w:r>
      <w:r w:rsidR="000E2537">
        <w:rPr>
          <w:sz w:val="22"/>
          <w:szCs w:val="22"/>
        </w:rPr>
        <w:t>women and</w:t>
      </w:r>
      <w:r w:rsidR="008B4FC5">
        <w:rPr>
          <w:sz w:val="22"/>
          <w:szCs w:val="22"/>
        </w:rPr>
        <w:t xml:space="preserve"> increase their vulnerability to violence. Legal mechanisms must be set in place urgently to </w:t>
      </w:r>
      <w:r w:rsidR="000E2537">
        <w:rPr>
          <w:sz w:val="22"/>
          <w:szCs w:val="22"/>
        </w:rPr>
        <w:t>recognize indigenous</w:t>
      </w:r>
      <w:r w:rsidR="008B4FC5">
        <w:rPr>
          <w:sz w:val="22"/>
          <w:szCs w:val="22"/>
        </w:rPr>
        <w:t xml:space="preserve"> land rights, </w:t>
      </w:r>
      <w:r w:rsidR="00766F6B">
        <w:rPr>
          <w:sz w:val="22"/>
          <w:szCs w:val="22"/>
        </w:rPr>
        <w:t xml:space="preserve">through titling, delimitation and demarcation, </w:t>
      </w:r>
      <w:r w:rsidR="000E2537">
        <w:rPr>
          <w:sz w:val="22"/>
          <w:szCs w:val="22"/>
        </w:rPr>
        <w:t xml:space="preserve">and to prevent and punish encroachments on their lands. </w:t>
      </w:r>
    </w:p>
    <w:p w14:paraId="52338D14" w14:textId="77777777" w:rsidR="00E54902" w:rsidRPr="00E54902" w:rsidRDefault="00E54902" w:rsidP="00E54902">
      <w:pPr>
        <w:pStyle w:val="Listeafsnit"/>
        <w:rPr>
          <w:sz w:val="22"/>
          <w:szCs w:val="22"/>
        </w:rPr>
      </w:pPr>
    </w:p>
    <w:p w14:paraId="6DF10401" w14:textId="3C5ADAFA" w:rsidR="00E54902" w:rsidRDefault="00E54902" w:rsidP="00C4309B">
      <w:pPr>
        <w:pStyle w:val="Listeafsnit"/>
        <w:numPr>
          <w:ilvl w:val="0"/>
          <w:numId w:val="8"/>
        </w:numPr>
        <w:jc w:val="both"/>
        <w:rPr>
          <w:sz w:val="22"/>
          <w:szCs w:val="22"/>
        </w:rPr>
      </w:pPr>
      <w:r w:rsidRPr="00E627DB">
        <w:rPr>
          <w:sz w:val="22"/>
          <w:szCs w:val="22"/>
        </w:rPr>
        <w:t>Improving indigenous women and girls’ access to culturally adequate education and to vocational training must be made a priority.</w:t>
      </w:r>
      <w:r w:rsidR="00AE55CB">
        <w:rPr>
          <w:sz w:val="22"/>
          <w:szCs w:val="22"/>
        </w:rPr>
        <w:t xml:space="preserve"> B</w:t>
      </w:r>
      <w:r w:rsidR="00AE55CB" w:rsidRPr="00CA7C23">
        <w:rPr>
          <w:sz w:val="22"/>
          <w:szCs w:val="22"/>
        </w:rPr>
        <w:t>ilingual</w:t>
      </w:r>
      <w:r w:rsidR="00AE55CB">
        <w:rPr>
          <w:sz w:val="22"/>
          <w:szCs w:val="22"/>
        </w:rPr>
        <w:t xml:space="preserve"> and intercultural</w:t>
      </w:r>
      <w:r w:rsidR="00AE55CB" w:rsidRPr="00CA7C23">
        <w:rPr>
          <w:sz w:val="22"/>
          <w:szCs w:val="22"/>
        </w:rPr>
        <w:t xml:space="preserve"> education programmes </w:t>
      </w:r>
      <w:r w:rsidR="00AE55CB">
        <w:rPr>
          <w:sz w:val="22"/>
          <w:szCs w:val="22"/>
        </w:rPr>
        <w:t xml:space="preserve">must be </w:t>
      </w:r>
      <w:r w:rsidR="00AE55CB" w:rsidRPr="00CA7C23">
        <w:rPr>
          <w:sz w:val="22"/>
          <w:szCs w:val="22"/>
        </w:rPr>
        <w:t>established to support the growth of literacy rates among indigenous girls</w:t>
      </w:r>
      <w:r w:rsidR="00AE55CB">
        <w:rPr>
          <w:sz w:val="22"/>
          <w:szCs w:val="22"/>
        </w:rPr>
        <w:t>, while protecting and preserving their cultures.</w:t>
      </w:r>
      <w:r w:rsidR="00AE55CB" w:rsidRPr="00E627DB">
        <w:rPr>
          <w:sz w:val="22"/>
          <w:szCs w:val="22"/>
        </w:rPr>
        <w:t xml:space="preserve"> </w:t>
      </w:r>
      <w:r w:rsidR="00AE55CB">
        <w:rPr>
          <w:sz w:val="22"/>
          <w:szCs w:val="22"/>
        </w:rPr>
        <w:t xml:space="preserve">States should </w:t>
      </w:r>
      <w:r w:rsidR="00766F6B">
        <w:rPr>
          <w:sz w:val="22"/>
          <w:szCs w:val="22"/>
        </w:rPr>
        <w:t xml:space="preserve">financially support and legally </w:t>
      </w:r>
      <w:r w:rsidR="00AE55CB">
        <w:rPr>
          <w:sz w:val="22"/>
          <w:szCs w:val="22"/>
        </w:rPr>
        <w:t>recognize i</w:t>
      </w:r>
      <w:r w:rsidRPr="00E627DB">
        <w:rPr>
          <w:sz w:val="22"/>
          <w:szCs w:val="22"/>
        </w:rPr>
        <w:t>ndigenous people’s right to establish and control their own education system and institutions, thereby ensuring access to education</w:t>
      </w:r>
      <w:r w:rsidR="006443D0">
        <w:rPr>
          <w:sz w:val="22"/>
          <w:szCs w:val="22"/>
        </w:rPr>
        <w:t xml:space="preserve"> in closer proximity to the communities,</w:t>
      </w:r>
      <w:r w:rsidRPr="00E627DB">
        <w:rPr>
          <w:sz w:val="22"/>
          <w:szCs w:val="22"/>
        </w:rPr>
        <w:t xml:space="preserve"> in their indigenous languages</w:t>
      </w:r>
      <w:r w:rsidR="00AE55CB">
        <w:rPr>
          <w:sz w:val="22"/>
          <w:szCs w:val="22"/>
        </w:rPr>
        <w:t xml:space="preserve"> and </w:t>
      </w:r>
      <w:r w:rsidR="005124BE">
        <w:rPr>
          <w:sz w:val="22"/>
          <w:szCs w:val="22"/>
        </w:rPr>
        <w:t>in a culturally adequate manner</w:t>
      </w:r>
      <w:r w:rsidRPr="00E627DB">
        <w:rPr>
          <w:sz w:val="22"/>
          <w:szCs w:val="22"/>
        </w:rPr>
        <w:t>.</w:t>
      </w:r>
      <w:r w:rsidR="00AE55CB">
        <w:rPr>
          <w:sz w:val="22"/>
          <w:szCs w:val="22"/>
        </w:rPr>
        <w:t xml:space="preserve"> </w:t>
      </w:r>
    </w:p>
    <w:p w14:paraId="1A4E3D8F" w14:textId="77777777" w:rsidR="006641BA" w:rsidRPr="006641BA" w:rsidRDefault="006641BA" w:rsidP="006641BA">
      <w:pPr>
        <w:pStyle w:val="Listeafsnit"/>
        <w:rPr>
          <w:sz w:val="22"/>
          <w:szCs w:val="22"/>
        </w:rPr>
      </w:pPr>
    </w:p>
    <w:p w14:paraId="0967335F" w14:textId="3F50ABCF" w:rsidR="00815ABB" w:rsidRDefault="006641BA" w:rsidP="00815ABB">
      <w:pPr>
        <w:pStyle w:val="Listeafsnit"/>
        <w:numPr>
          <w:ilvl w:val="0"/>
          <w:numId w:val="8"/>
        </w:numPr>
        <w:jc w:val="both"/>
        <w:rPr>
          <w:sz w:val="22"/>
          <w:szCs w:val="22"/>
        </w:rPr>
      </w:pPr>
      <w:r>
        <w:rPr>
          <w:sz w:val="22"/>
          <w:szCs w:val="22"/>
        </w:rPr>
        <w:t>I</w:t>
      </w:r>
      <w:r w:rsidRPr="00E627DB">
        <w:rPr>
          <w:sz w:val="22"/>
          <w:szCs w:val="22"/>
        </w:rPr>
        <w:t xml:space="preserve">ndigenous women’s rights at work </w:t>
      </w:r>
      <w:r>
        <w:rPr>
          <w:sz w:val="22"/>
          <w:szCs w:val="22"/>
        </w:rPr>
        <w:t xml:space="preserve">are frequently violated. Measures must urgently be taken to train indigenous women for work in the formal economy, to teach them about their </w:t>
      </w:r>
      <w:r w:rsidR="00AE55CB">
        <w:rPr>
          <w:sz w:val="22"/>
          <w:szCs w:val="22"/>
        </w:rPr>
        <w:t xml:space="preserve">labour </w:t>
      </w:r>
      <w:r>
        <w:rPr>
          <w:sz w:val="22"/>
          <w:szCs w:val="22"/>
        </w:rPr>
        <w:t>rights,</w:t>
      </w:r>
      <w:r w:rsidR="00AE55CB">
        <w:rPr>
          <w:sz w:val="22"/>
          <w:szCs w:val="22"/>
        </w:rPr>
        <w:t xml:space="preserve"> and to help them detect potential risks of trafficking</w:t>
      </w:r>
      <w:r>
        <w:rPr>
          <w:sz w:val="22"/>
          <w:szCs w:val="22"/>
        </w:rPr>
        <w:t>. States must support i</w:t>
      </w:r>
      <w:r w:rsidRPr="006641BA">
        <w:rPr>
          <w:sz w:val="22"/>
          <w:szCs w:val="22"/>
        </w:rPr>
        <w:t xml:space="preserve">ndigenous-women-led </w:t>
      </w:r>
      <w:r>
        <w:rPr>
          <w:sz w:val="22"/>
          <w:szCs w:val="22"/>
        </w:rPr>
        <w:t>entrepreneurial activities</w:t>
      </w:r>
      <w:r w:rsidR="00AE55CB">
        <w:rPr>
          <w:sz w:val="22"/>
          <w:szCs w:val="22"/>
        </w:rPr>
        <w:t>, through the granting of loans</w:t>
      </w:r>
      <w:r w:rsidR="00EB5C8D">
        <w:rPr>
          <w:sz w:val="22"/>
          <w:szCs w:val="22"/>
        </w:rPr>
        <w:t xml:space="preserve"> and/or grants,</w:t>
      </w:r>
      <w:r w:rsidR="00AE55CB">
        <w:rPr>
          <w:sz w:val="22"/>
          <w:szCs w:val="22"/>
        </w:rPr>
        <w:t xml:space="preserve"> and provision of training on </w:t>
      </w:r>
      <w:r w:rsidR="008E151D">
        <w:rPr>
          <w:sz w:val="22"/>
          <w:szCs w:val="22"/>
        </w:rPr>
        <w:t>small business development</w:t>
      </w:r>
      <w:r>
        <w:rPr>
          <w:sz w:val="22"/>
          <w:szCs w:val="22"/>
        </w:rPr>
        <w:t xml:space="preserve">.  </w:t>
      </w:r>
      <w:r w:rsidR="008E151D">
        <w:rPr>
          <w:sz w:val="22"/>
          <w:szCs w:val="22"/>
        </w:rPr>
        <w:t xml:space="preserve"> </w:t>
      </w:r>
    </w:p>
    <w:p w14:paraId="572A6B73" w14:textId="77777777" w:rsidR="00815ABB" w:rsidRPr="00815ABB" w:rsidRDefault="00815ABB" w:rsidP="00815ABB">
      <w:pPr>
        <w:pStyle w:val="Listeafsnit"/>
        <w:rPr>
          <w:sz w:val="22"/>
          <w:szCs w:val="22"/>
        </w:rPr>
      </w:pPr>
    </w:p>
    <w:p w14:paraId="34C3530D" w14:textId="08519A86" w:rsidR="00815ABB" w:rsidRDefault="00815ABB" w:rsidP="00F917FC">
      <w:pPr>
        <w:pStyle w:val="Listeafsnit"/>
        <w:numPr>
          <w:ilvl w:val="0"/>
          <w:numId w:val="8"/>
        </w:numPr>
        <w:jc w:val="both"/>
        <w:rPr>
          <w:sz w:val="22"/>
          <w:szCs w:val="22"/>
        </w:rPr>
      </w:pPr>
      <w:r w:rsidRPr="00815ABB">
        <w:rPr>
          <w:sz w:val="22"/>
          <w:szCs w:val="22"/>
        </w:rPr>
        <w:t>S</w:t>
      </w:r>
      <w:r w:rsidR="00766F6B">
        <w:rPr>
          <w:sz w:val="22"/>
          <w:szCs w:val="22"/>
        </w:rPr>
        <w:t>tates must s</w:t>
      </w:r>
      <w:r w:rsidRPr="00815ABB">
        <w:rPr>
          <w:sz w:val="22"/>
          <w:szCs w:val="22"/>
        </w:rPr>
        <w:t>et in place culturally sensitive health care services and make them accessible to indigenous women and girls even in remote areas</w:t>
      </w:r>
      <w:r w:rsidR="00F917FC">
        <w:rPr>
          <w:sz w:val="22"/>
          <w:szCs w:val="22"/>
        </w:rPr>
        <w:t>, to guarantee women feel safe to report illness</w:t>
      </w:r>
      <w:r w:rsidR="005124BE">
        <w:rPr>
          <w:sz w:val="22"/>
          <w:szCs w:val="22"/>
        </w:rPr>
        <w:t>es</w:t>
      </w:r>
      <w:r w:rsidR="00F917FC">
        <w:rPr>
          <w:sz w:val="22"/>
          <w:szCs w:val="22"/>
        </w:rPr>
        <w:t xml:space="preserve"> and treat the</w:t>
      </w:r>
      <w:r w:rsidR="001A610B">
        <w:rPr>
          <w:sz w:val="22"/>
          <w:szCs w:val="22"/>
        </w:rPr>
        <w:t xml:space="preserve">m </w:t>
      </w:r>
      <w:r w:rsidR="00F917FC">
        <w:rPr>
          <w:sz w:val="22"/>
          <w:szCs w:val="22"/>
        </w:rPr>
        <w:t>in a timely manner</w:t>
      </w:r>
      <w:r w:rsidR="00766F6B">
        <w:rPr>
          <w:sz w:val="22"/>
          <w:szCs w:val="22"/>
        </w:rPr>
        <w:t>. P</w:t>
      </w:r>
      <w:r w:rsidR="00F917FC">
        <w:rPr>
          <w:sz w:val="22"/>
          <w:szCs w:val="22"/>
        </w:rPr>
        <w:t xml:space="preserve">articular attention </w:t>
      </w:r>
      <w:r w:rsidR="00766F6B">
        <w:rPr>
          <w:sz w:val="22"/>
          <w:szCs w:val="22"/>
        </w:rPr>
        <w:t xml:space="preserve">must be given </w:t>
      </w:r>
      <w:r w:rsidR="00F917FC">
        <w:rPr>
          <w:sz w:val="22"/>
          <w:szCs w:val="22"/>
        </w:rPr>
        <w:t>to safe and respectful sexual and reproductive health services</w:t>
      </w:r>
      <w:r w:rsidR="00766F6B">
        <w:rPr>
          <w:sz w:val="22"/>
          <w:szCs w:val="22"/>
        </w:rPr>
        <w:t xml:space="preserve"> for indigenous women and girls</w:t>
      </w:r>
      <w:r w:rsidR="00F917FC">
        <w:rPr>
          <w:sz w:val="22"/>
          <w:szCs w:val="22"/>
        </w:rPr>
        <w:t xml:space="preserve">. </w:t>
      </w:r>
      <w:r w:rsidR="00766F6B">
        <w:rPr>
          <w:sz w:val="22"/>
          <w:szCs w:val="22"/>
        </w:rPr>
        <w:t>States should also support</w:t>
      </w:r>
      <w:r>
        <w:rPr>
          <w:sz w:val="22"/>
          <w:szCs w:val="22"/>
        </w:rPr>
        <w:t xml:space="preserve"> traditional health practices of indigenous peoples that have proven to be effective</w:t>
      </w:r>
      <w:r w:rsidR="00766F6B">
        <w:rPr>
          <w:sz w:val="22"/>
          <w:szCs w:val="22"/>
        </w:rPr>
        <w:t>, and combat stereotypes</w:t>
      </w:r>
      <w:r w:rsidR="00B149AD">
        <w:rPr>
          <w:sz w:val="22"/>
          <w:szCs w:val="22"/>
        </w:rPr>
        <w:t xml:space="preserve"> about traditional practices</w:t>
      </w:r>
      <w:r>
        <w:rPr>
          <w:sz w:val="22"/>
          <w:szCs w:val="22"/>
        </w:rPr>
        <w:t xml:space="preserve">. </w:t>
      </w:r>
    </w:p>
    <w:p w14:paraId="557DA080" w14:textId="77777777" w:rsidR="00B149AD" w:rsidRPr="00B149AD" w:rsidRDefault="00B149AD" w:rsidP="00B149AD">
      <w:pPr>
        <w:pStyle w:val="Listeafsnit"/>
        <w:rPr>
          <w:sz w:val="22"/>
          <w:szCs w:val="22"/>
        </w:rPr>
      </w:pPr>
    </w:p>
    <w:p w14:paraId="59AA48DF" w14:textId="3FF13A46" w:rsidR="00171BCB" w:rsidRPr="00B12469" w:rsidRDefault="00B149AD" w:rsidP="0086278F">
      <w:pPr>
        <w:pStyle w:val="Listeafsnit"/>
        <w:numPr>
          <w:ilvl w:val="0"/>
          <w:numId w:val="8"/>
        </w:numPr>
        <w:jc w:val="both"/>
        <w:rPr>
          <w:sz w:val="22"/>
          <w:szCs w:val="22"/>
        </w:rPr>
      </w:pPr>
      <w:r w:rsidRPr="00A8353B">
        <w:rPr>
          <w:sz w:val="22"/>
          <w:szCs w:val="22"/>
        </w:rPr>
        <w:t xml:space="preserve">As the global fight against COVID continues, the </w:t>
      </w:r>
      <w:r w:rsidR="000D61FC">
        <w:rPr>
          <w:sz w:val="22"/>
          <w:szCs w:val="22"/>
        </w:rPr>
        <w:t>specific</w:t>
      </w:r>
      <w:r w:rsidRPr="00A8353B">
        <w:rPr>
          <w:sz w:val="22"/>
          <w:szCs w:val="22"/>
        </w:rPr>
        <w:t xml:space="preserve"> impacts of the pandemic and </w:t>
      </w:r>
      <w:r w:rsidR="000D61FC">
        <w:rPr>
          <w:sz w:val="22"/>
          <w:szCs w:val="22"/>
        </w:rPr>
        <w:t xml:space="preserve">resulting </w:t>
      </w:r>
      <w:r w:rsidRPr="00A8353B">
        <w:rPr>
          <w:sz w:val="22"/>
          <w:szCs w:val="22"/>
        </w:rPr>
        <w:t xml:space="preserve">public health measures </w:t>
      </w:r>
      <w:r w:rsidR="00E32F9C">
        <w:rPr>
          <w:sz w:val="22"/>
          <w:szCs w:val="22"/>
        </w:rPr>
        <w:t xml:space="preserve">and economic recovery plans </w:t>
      </w:r>
      <w:r w:rsidR="00A8353B" w:rsidRPr="00A8353B">
        <w:rPr>
          <w:sz w:val="22"/>
          <w:szCs w:val="22"/>
        </w:rPr>
        <w:t xml:space="preserve">on indigenous women and girls should be taken into consideration when </w:t>
      </w:r>
      <w:r w:rsidR="00E32F9C">
        <w:rPr>
          <w:sz w:val="22"/>
          <w:szCs w:val="22"/>
        </w:rPr>
        <w:t>they</w:t>
      </w:r>
      <w:r w:rsidR="00A8353B" w:rsidRPr="00A8353B">
        <w:rPr>
          <w:sz w:val="22"/>
          <w:szCs w:val="22"/>
        </w:rPr>
        <w:t xml:space="preserve"> are </w:t>
      </w:r>
      <w:r w:rsidRPr="00A8353B">
        <w:rPr>
          <w:sz w:val="22"/>
          <w:szCs w:val="22"/>
        </w:rPr>
        <w:t>adopted by government institutions</w:t>
      </w:r>
      <w:r w:rsidR="00A8353B">
        <w:rPr>
          <w:sz w:val="22"/>
          <w:szCs w:val="22"/>
        </w:rPr>
        <w:t>. Indigenous women should be at the table as these policies are adopted and implemented.</w:t>
      </w:r>
    </w:p>
    <w:p w14:paraId="1984B1DC" w14:textId="77777777" w:rsidR="003954DC" w:rsidRDefault="003954DC" w:rsidP="003954DC">
      <w:pPr>
        <w:jc w:val="both"/>
        <w:rPr>
          <w:sz w:val="22"/>
          <w:szCs w:val="22"/>
        </w:rPr>
      </w:pPr>
    </w:p>
    <w:sectPr w:rsidR="003954DC" w:rsidSect="00C0604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0E4D" w14:textId="77777777" w:rsidR="00C23037" w:rsidRDefault="00C23037" w:rsidP="003954DC">
      <w:r>
        <w:separator/>
      </w:r>
    </w:p>
  </w:endnote>
  <w:endnote w:type="continuationSeparator" w:id="0">
    <w:p w14:paraId="7081D72A" w14:textId="77777777" w:rsidR="00C23037" w:rsidRDefault="00C23037" w:rsidP="003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369391"/>
      <w:docPartObj>
        <w:docPartGallery w:val="Page Numbers (Bottom of Page)"/>
        <w:docPartUnique/>
      </w:docPartObj>
    </w:sdtPr>
    <w:sdtEndPr>
      <w:rPr>
        <w:noProof/>
      </w:rPr>
    </w:sdtEndPr>
    <w:sdtContent>
      <w:p w14:paraId="13F643F4" w14:textId="46E6084B" w:rsidR="00A66C95" w:rsidRDefault="00A66C95">
        <w:pPr>
          <w:pStyle w:val="Sidefod"/>
          <w:jc w:val="right"/>
        </w:pPr>
        <w:r>
          <w:fldChar w:fldCharType="begin"/>
        </w:r>
        <w:r>
          <w:instrText xml:space="preserve"> PAGE   \* MERGEFORMAT </w:instrText>
        </w:r>
        <w:r>
          <w:fldChar w:fldCharType="separate"/>
        </w:r>
        <w:r>
          <w:rPr>
            <w:noProof/>
          </w:rPr>
          <w:t>2</w:t>
        </w:r>
        <w:r>
          <w:rPr>
            <w:noProof/>
          </w:rPr>
          <w:fldChar w:fldCharType="end"/>
        </w:r>
      </w:p>
    </w:sdtContent>
  </w:sdt>
  <w:p w14:paraId="34CCE5A1" w14:textId="77777777" w:rsidR="00A66C95" w:rsidRDefault="00A66C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254A" w14:textId="77777777" w:rsidR="00C23037" w:rsidRDefault="00C23037" w:rsidP="003954DC">
      <w:r>
        <w:separator/>
      </w:r>
    </w:p>
  </w:footnote>
  <w:footnote w:type="continuationSeparator" w:id="0">
    <w:p w14:paraId="34E6C7F0" w14:textId="77777777" w:rsidR="00C23037" w:rsidRDefault="00C23037" w:rsidP="003954DC">
      <w:r>
        <w:continuationSeparator/>
      </w:r>
    </w:p>
  </w:footnote>
  <w:footnote w:id="1">
    <w:p w14:paraId="4F3372C5" w14:textId="277F914F" w:rsidR="00A66C95" w:rsidRPr="00CA566C" w:rsidRDefault="00A66C95" w:rsidP="004707E3">
      <w:pPr>
        <w:pStyle w:val="Fodnotetekst"/>
        <w:jc w:val="both"/>
        <w:rPr>
          <w:sz w:val="16"/>
          <w:szCs w:val="16"/>
        </w:rPr>
      </w:pPr>
      <w:r w:rsidRPr="00CA566C">
        <w:rPr>
          <w:rStyle w:val="Fodnotehenvisning"/>
          <w:rFonts w:cs="Times New Roman"/>
          <w:sz w:val="16"/>
          <w:szCs w:val="16"/>
        </w:rPr>
        <w:footnoteRef/>
      </w:r>
      <w:r w:rsidRPr="00CA566C">
        <w:rPr>
          <w:rFonts w:cs="Times New Roman"/>
          <w:sz w:val="16"/>
          <w:szCs w:val="16"/>
        </w:rPr>
        <w:t xml:space="preserve"> In Thailand, over half a million stateless populations are indigenous people. UN HRC, </w:t>
      </w:r>
      <w:r w:rsidRPr="00CA566C">
        <w:rPr>
          <w:rFonts w:cs="Times New Roman"/>
          <w:i/>
          <w:iCs/>
          <w:sz w:val="16"/>
          <w:szCs w:val="16"/>
        </w:rPr>
        <w:t xml:space="preserve">Report by the Special Rapporteur </w:t>
      </w:r>
      <w:proofErr w:type="gramStart"/>
      <w:r w:rsidRPr="00CA566C">
        <w:rPr>
          <w:rFonts w:cs="Times New Roman"/>
          <w:i/>
          <w:iCs/>
          <w:sz w:val="16"/>
          <w:szCs w:val="16"/>
        </w:rPr>
        <w:t>on the situation of</w:t>
      </w:r>
      <w:proofErr w:type="gramEnd"/>
      <w:r w:rsidRPr="00CA566C">
        <w:rPr>
          <w:rFonts w:cs="Times New Roman"/>
          <w:i/>
          <w:iCs/>
          <w:sz w:val="16"/>
          <w:szCs w:val="16"/>
        </w:rPr>
        <w:t xml:space="preserve"> human rights and fundamental freedom of indigenous people</w:t>
      </w:r>
      <w:r w:rsidRPr="00CA566C">
        <w:rPr>
          <w:rFonts w:cs="Times New Roman"/>
          <w:sz w:val="16"/>
          <w:szCs w:val="16"/>
        </w:rPr>
        <w:t xml:space="preserve">, </w:t>
      </w:r>
      <w:r w:rsidRPr="00CA566C">
        <w:rPr>
          <w:rFonts w:cs="Times New Roman"/>
          <w:i/>
          <w:iCs/>
          <w:sz w:val="16"/>
          <w:szCs w:val="16"/>
        </w:rPr>
        <w:t>James Anaya</w:t>
      </w:r>
      <w:r w:rsidRPr="00CA566C">
        <w:rPr>
          <w:rFonts w:cs="Times New Roman"/>
          <w:sz w:val="16"/>
          <w:szCs w:val="16"/>
        </w:rPr>
        <w:t xml:space="preserve">. A/HRC/15?37/Add.1, par 282-290. </w:t>
      </w:r>
    </w:p>
  </w:footnote>
  <w:footnote w:id="2">
    <w:p w14:paraId="65F304C4"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46. </w:t>
      </w:r>
    </w:p>
  </w:footnote>
  <w:footnote w:id="3">
    <w:p w14:paraId="370ACD69"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46;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para.82-86. </w:t>
      </w:r>
    </w:p>
  </w:footnote>
  <w:footnote w:id="4">
    <w:p w14:paraId="347718CD" w14:textId="77777777" w:rsidR="00A66C95" w:rsidRPr="00CA566C" w:rsidRDefault="00A66C95" w:rsidP="004707E3">
      <w:pPr>
        <w:pStyle w:val="Fodnotetekst"/>
        <w:jc w:val="both"/>
        <w:rPr>
          <w:sz w:val="16"/>
          <w:szCs w:val="16"/>
          <w:lang w:val="en-GB"/>
        </w:rPr>
      </w:pPr>
      <w:r w:rsidRPr="00CA566C">
        <w:rPr>
          <w:rStyle w:val="Fodnotehenvisning"/>
          <w:sz w:val="16"/>
          <w:szCs w:val="16"/>
        </w:rPr>
        <w:footnoteRef/>
      </w:r>
      <w:r w:rsidRPr="00CA566C">
        <w:rPr>
          <w:sz w:val="16"/>
          <w:szCs w:val="16"/>
        </w:rPr>
        <w:t xml:space="preserve"> ISAWN of Mainland India, IWFNEI, AIPP, </w:t>
      </w:r>
      <w:r w:rsidRPr="00CA566C">
        <w:rPr>
          <w:i/>
          <w:iCs/>
          <w:sz w:val="16"/>
          <w:szCs w:val="16"/>
        </w:rPr>
        <w:t>India: NGO CEDAW Shadow Report and status of Adivasi/Tribal Women in India</w:t>
      </w:r>
      <w:r w:rsidRPr="00CA566C">
        <w:rPr>
          <w:sz w:val="16"/>
          <w:szCs w:val="16"/>
        </w:rPr>
        <w:t xml:space="preserve">, June 2014, p.7; </w:t>
      </w:r>
      <w:proofErr w:type="spellStart"/>
      <w:r w:rsidRPr="00CA566C">
        <w:rPr>
          <w:sz w:val="16"/>
          <w:szCs w:val="16"/>
          <w:lang w:val="en-GB"/>
        </w:rPr>
        <w:t>Kapaeeng</w:t>
      </w:r>
      <w:proofErr w:type="spellEnd"/>
      <w:r w:rsidRPr="00CA566C">
        <w:rPr>
          <w:sz w:val="16"/>
          <w:szCs w:val="16"/>
          <w:lang w:val="en-GB"/>
        </w:rPr>
        <w:t xml:space="preserve"> Foundation, Bangladesh Indigenous Women's Network, Bangladesh Indigenous Peoples Forum, Adivasi Nari Parishad, </w:t>
      </w:r>
      <w:proofErr w:type="spellStart"/>
      <w:r w:rsidRPr="00CA566C">
        <w:rPr>
          <w:sz w:val="16"/>
          <w:szCs w:val="16"/>
          <w:lang w:val="en-GB"/>
        </w:rPr>
        <w:t>Achik</w:t>
      </w:r>
      <w:proofErr w:type="spellEnd"/>
      <w:r w:rsidRPr="00CA566C">
        <w:rPr>
          <w:sz w:val="16"/>
          <w:szCs w:val="16"/>
          <w:lang w:val="en-GB"/>
        </w:rPr>
        <w:t xml:space="preserve"> </w:t>
      </w:r>
      <w:proofErr w:type="spellStart"/>
      <w:r w:rsidRPr="00CA566C">
        <w:rPr>
          <w:sz w:val="16"/>
          <w:szCs w:val="16"/>
          <w:lang w:val="en-GB"/>
        </w:rPr>
        <w:t>Michik</w:t>
      </w:r>
      <w:proofErr w:type="spellEnd"/>
      <w:r w:rsidRPr="00CA566C">
        <w:rPr>
          <w:sz w:val="16"/>
          <w:szCs w:val="16"/>
          <w:lang w:val="en-GB"/>
        </w:rPr>
        <w:t xml:space="preserve"> Society, </w:t>
      </w:r>
      <w:r w:rsidRPr="00CA566C">
        <w:rPr>
          <w:i/>
          <w:iCs/>
          <w:sz w:val="16"/>
          <w:szCs w:val="16"/>
          <w:lang w:val="en-GB"/>
        </w:rPr>
        <w:t xml:space="preserve">Bangladesh: </w:t>
      </w:r>
      <w:r w:rsidRPr="00CA566C">
        <w:rPr>
          <w:bCs/>
          <w:i/>
          <w:iCs/>
          <w:sz w:val="16"/>
          <w:szCs w:val="16"/>
          <w:lang w:val="en-GB"/>
        </w:rPr>
        <w:t>A Joint Submission to the United Nations Committee on the Elimination of Discrimination against Women</w:t>
      </w:r>
      <w:r w:rsidRPr="00CA566C">
        <w:rPr>
          <w:bCs/>
          <w:sz w:val="16"/>
          <w:szCs w:val="16"/>
          <w:lang w:val="en-GB"/>
        </w:rPr>
        <w:t xml:space="preserve">, 2016. </w:t>
      </w:r>
    </w:p>
  </w:footnote>
  <w:footnote w:id="5">
    <w:p w14:paraId="57FF3A47"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w:t>
      </w:r>
      <w:proofErr w:type="spellStart"/>
      <w:r w:rsidRPr="00CA566C">
        <w:rPr>
          <w:sz w:val="16"/>
          <w:szCs w:val="16"/>
        </w:rPr>
        <w:t>Kapaeeng</w:t>
      </w:r>
      <w:proofErr w:type="spellEnd"/>
      <w:r w:rsidRPr="00CA566C">
        <w:rPr>
          <w:sz w:val="16"/>
          <w:szCs w:val="16"/>
        </w:rPr>
        <w:t xml:space="preserve"> Foundation, BIWN, IWGIA, </w:t>
      </w:r>
      <w:r w:rsidRPr="00CA566C">
        <w:rPr>
          <w:i/>
          <w:iCs/>
          <w:sz w:val="16"/>
          <w:szCs w:val="16"/>
        </w:rPr>
        <w:t xml:space="preserve">Briefing Paper: State of Indigenous Women and girls in Bangladesh: Issues and Concerns </w:t>
      </w:r>
      <w:proofErr w:type="gramStart"/>
      <w:r w:rsidRPr="00CA566C">
        <w:rPr>
          <w:i/>
          <w:iCs/>
          <w:sz w:val="16"/>
          <w:szCs w:val="16"/>
        </w:rPr>
        <w:t>at a glance</w:t>
      </w:r>
      <w:proofErr w:type="gramEnd"/>
      <w:r w:rsidRPr="00CA566C">
        <w:rPr>
          <w:sz w:val="16"/>
          <w:szCs w:val="16"/>
        </w:rPr>
        <w:t xml:space="preserve">, October 2016; </w:t>
      </w:r>
      <w:r w:rsidRPr="00CA566C">
        <w:rPr>
          <w:sz w:val="16"/>
          <w:szCs w:val="16"/>
          <w:lang w:val="en-AU"/>
        </w:rPr>
        <w:t xml:space="preserve">Chittagong Hill Tracts Commission, </w:t>
      </w:r>
      <w:r w:rsidRPr="00CA566C">
        <w:rPr>
          <w:i/>
          <w:sz w:val="16"/>
          <w:szCs w:val="16"/>
          <w:lang w:val="en-AU"/>
        </w:rPr>
        <w:t xml:space="preserve">Marginalization and Impunity: Violence against Women and Girls in the Chittagong Hill Tract, </w:t>
      </w:r>
      <w:r w:rsidRPr="00CA566C">
        <w:rPr>
          <w:sz w:val="16"/>
          <w:szCs w:val="16"/>
          <w:lang w:val="en-AU"/>
        </w:rPr>
        <w:t xml:space="preserve">Dhaka, 2014. </w:t>
      </w:r>
    </w:p>
  </w:footnote>
  <w:footnote w:id="6">
    <w:p w14:paraId="756B8C68"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Canada, National Inquiry on Murdered and Missing Indigenous Women and Girls, </w:t>
      </w:r>
      <w:hyperlink r:id="rId1" w:history="1">
        <w:r w:rsidRPr="00CA566C">
          <w:rPr>
            <w:rStyle w:val="Hyperlink"/>
            <w:i/>
            <w:iCs/>
            <w:sz w:val="16"/>
            <w:szCs w:val="16"/>
          </w:rPr>
          <w:t>Reclaiming Power and Place: The Final Report of the National Inquiry into Murdered and Missing Aboriginal Women</w:t>
        </w:r>
      </w:hyperlink>
      <w:r w:rsidRPr="00CA566C">
        <w:rPr>
          <w:sz w:val="16"/>
          <w:szCs w:val="16"/>
        </w:rPr>
        <w:t xml:space="preserve">, Vol. 1a, Chapter 8, p.627, 696. </w:t>
      </w:r>
    </w:p>
  </w:footnote>
  <w:footnote w:id="7">
    <w:p w14:paraId="564686A3" w14:textId="158A5782" w:rsidR="00A66C95" w:rsidRPr="00AC0116" w:rsidRDefault="00A66C95" w:rsidP="00AC0116">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46-60;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/V/II., Doc. 44/17, April 17, 2017, para. 87-132</w:t>
      </w:r>
    </w:p>
  </w:footnote>
  <w:footnote w:id="8">
    <w:p w14:paraId="48BF17B2" w14:textId="2045B0DC"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47. </w:t>
      </w:r>
    </w:p>
  </w:footnote>
  <w:footnote w:id="9">
    <w:p w14:paraId="2FCE95C5" w14:textId="67E7501E"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60. </w:t>
      </w:r>
    </w:p>
  </w:footnote>
  <w:footnote w:id="10">
    <w:p w14:paraId="23548594" w14:textId="21C12585"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NIWF, LAHURNIP and FPP, </w:t>
      </w:r>
      <w:r w:rsidRPr="00CA566C">
        <w:rPr>
          <w:i/>
          <w:iCs/>
          <w:sz w:val="16"/>
          <w:szCs w:val="16"/>
        </w:rPr>
        <w:t>The Rights of Indigenous Women in Nepal: Shadow Report for the Combined 4</w:t>
      </w:r>
      <w:r w:rsidRPr="00CA566C">
        <w:rPr>
          <w:i/>
          <w:iCs/>
          <w:sz w:val="16"/>
          <w:szCs w:val="16"/>
          <w:vertAlign w:val="superscript"/>
        </w:rPr>
        <w:t>th</w:t>
      </w:r>
      <w:r w:rsidRPr="00CA566C">
        <w:rPr>
          <w:i/>
          <w:iCs/>
          <w:sz w:val="16"/>
          <w:szCs w:val="16"/>
        </w:rPr>
        <w:t xml:space="preserve"> and 5</w:t>
      </w:r>
      <w:r w:rsidRPr="00CA566C">
        <w:rPr>
          <w:i/>
          <w:iCs/>
          <w:sz w:val="16"/>
          <w:szCs w:val="16"/>
          <w:vertAlign w:val="superscript"/>
        </w:rPr>
        <w:t>th</w:t>
      </w:r>
      <w:r w:rsidRPr="00CA566C">
        <w:rPr>
          <w:i/>
          <w:iCs/>
          <w:sz w:val="16"/>
          <w:szCs w:val="16"/>
        </w:rPr>
        <w:t xml:space="preserve"> Periodic reports of Nepal, </w:t>
      </w:r>
      <w:r w:rsidRPr="00CA566C">
        <w:rPr>
          <w:sz w:val="16"/>
          <w:szCs w:val="16"/>
        </w:rPr>
        <w:t xml:space="preserve">CEDAW/c/NPL/4-5, 11-29 July 2011, para.57.  </w:t>
      </w:r>
    </w:p>
  </w:footnote>
  <w:footnote w:id="11">
    <w:p w14:paraId="7C953E87"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FFA Cameroon, </w:t>
      </w:r>
      <w:hyperlink r:id="rId2" w:history="1">
        <w:r w:rsidRPr="00CA566C">
          <w:rPr>
            <w:rStyle w:val="Hyperlink"/>
            <w:i/>
            <w:iCs/>
            <w:sz w:val="16"/>
            <w:szCs w:val="16"/>
          </w:rPr>
          <w:t>Early and Forced Marriage</w:t>
        </w:r>
      </w:hyperlink>
      <w:r w:rsidRPr="00CA566C">
        <w:rPr>
          <w:i/>
          <w:iCs/>
          <w:sz w:val="16"/>
          <w:szCs w:val="16"/>
        </w:rPr>
        <w:t xml:space="preserve">, </w:t>
      </w:r>
      <w:r w:rsidRPr="00CA566C">
        <w:rPr>
          <w:sz w:val="16"/>
          <w:szCs w:val="16"/>
        </w:rPr>
        <w:t xml:space="preserve">March 20, 2020. </w:t>
      </w:r>
    </w:p>
  </w:footnote>
  <w:footnote w:id="12">
    <w:p w14:paraId="048CB0FD"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Samburu Women Trust, </w:t>
      </w:r>
      <w:hyperlink r:id="rId3" w:history="1">
        <w:r w:rsidRPr="00CA566C">
          <w:rPr>
            <w:rStyle w:val="Hyperlink"/>
            <w:i/>
            <w:iCs/>
            <w:sz w:val="16"/>
            <w:szCs w:val="16"/>
          </w:rPr>
          <w:t>Silent Sacrifice: Girl-Child beading in the Samburu Community of Kenya, A research and human rights report</w:t>
        </w:r>
      </w:hyperlink>
      <w:r w:rsidRPr="00CA566C">
        <w:rPr>
          <w:sz w:val="16"/>
          <w:szCs w:val="16"/>
        </w:rPr>
        <w:t xml:space="preserve">, 2012, p.4; Samburu Women Trust, </w:t>
      </w:r>
      <w:hyperlink r:id="rId4" w:history="1">
        <w:r w:rsidRPr="00CA566C">
          <w:rPr>
            <w:rStyle w:val="Hyperlink"/>
            <w:i/>
            <w:iCs/>
            <w:sz w:val="16"/>
            <w:szCs w:val="16"/>
            <w:lang w:val="en-GB"/>
          </w:rPr>
          <w:t>The Unspoken Vice in Samburu Community</w:t>
        </w:r>
      </w:hyperlink>
      <w:r w:rsidRPr="00CA566C">
        <w:rPr>
          <w:sz w:val="16"/>
          <w:szCs w:val="16"/>
          <w:lang w:val="en-GB"/>
        </w:rPr>
        <w:t xml:space="preserve">, 2016, p.3. </w:t>
      </w:r>
      <w:r w:rsidRPr="00CA566C">
        <w:rPr>
          <w:sz w:val="16"/>
          <w:szCs w:val="16"/>
        </w:rPr>
        <w:t xml:space="preserve"> </w:t>
      </w:r>
    </w:p>
  </w:footnote>
  <w:footnote w:id="13">
    <w:p w14:paraId="246E9BC6"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Samburu Women Trust, </w:t>
      </w:r>
      <w:hyperlink r:id="rId5" w:history="1">
        <w:r w:rsidRPr="00CA566C">
          <w:rPr>
            <w:rStyle w:val="Hyperlink"/>
            <w:i/>
            <w:iCs/>
            <w:sz w:val="16"/>
            <w:szCs w:val="16"/>
          </w:rPr>
          <w:t>Silent Sacrifice: Girl-Child beading in the Samburu Community of Kenya, A research and human rights report</w:t>
        </w:r>
      </w:hyperlink>
      <w:r w:rsidRPr="00CA566C">
        <w:rPr>
          <w:sz w:val="16"/>
          <w:szCs w:val="16"/>
        </w:rPr>
        <w:t xml:space="preserve">, 2012, p.7-8; Samburu Women Trust, </w:t>
      </w:r>
      <w:hyperlink r:id="rId6" w:history="1">
        <w:r w:rsidRPr="00CA566C">
          <w:rPr>
            <w:rStyle w:val="Hyperlink"/>
            <w:i/>
            <w:iCs/>
            <w:sz w:val="16"/>
            <w:szCs w:val="16"/>
            <w:lang w:val="en-GB"/>
          </w:rPr>
          <w:t>The Unspoken Vice in Samburu Community</w:t>
        </w:r>
      </w:hyperlink>
      <w:r w:rsidRPr="00CA566C">
        <w:rPr>
          <w:sz w:val="16"/>
          <w:szCs w:val="16"/>
          <w:lang w:val="en-GB"/>
        </w:rPr>
        <w:t xml:space="preserve">, 2016, p.18-19, 32-33. </w:t>
      </w:r>
      <w:r w:rsidRPr="00CA566C">
        <w:rPr>
          <w:sz w:val="16"/>
          <w:szCs w:val="16"/>
        </w:rPr>
        <w:t xml:space="preserve">  </w:t>
      </w:r>
    </w:p>
  </w:footnote>
  <w:footnote w:id="14">
    <w:p w14:paraId="5450C662" w14:textId="77777777" w:rsidR="00281CC7" w:rsidRPr="00CA566C" w:rsidRDefault="00281CC7" w:rsidP="00281CC7">
      <w:pPr>
        <w:pStyle w:val="Fodnotetekst"/>
        <w:jc w:val="both"/>
        <w:rPr>
          <w:sz w:val="16"/>
          <w:szCs w:val="16"/>
        </w:rPr>
      </w:pPr>
      <w:r w:rsidRPr="00CA566C">
        <w:rPr>
          <w:rStyle w:val="Fodnotehenvisning"/>
          <w:sz w:val="16"/>
          <w:szCs w:val="16"/>
        </w:rPr>
        <w:footnoteRef/>
      </w:r>
      <w:r w:rsidRPr="00CA566C">
        <w:rPr>
          <w:sz w:val="16"/>
          <w:szCs w:val="16"/>
        </w:rPr>
        <w:t xml:space="preserve"> ISAWN of Mainland India, IWFNEI, AIPP, </w:t>
      </w:r>
      <w:r w:rsidRPr="00CA566C">
        <w:rPr>
          <w:i/>
          <w:iCs/>
          <w:sz w:val="16"/>
          <w:szCs w:val="16"/>
        </w:rPr>
        <w:t>India: NGO CEDAW Shadow Report and status of Adivasi/Tribal Women in India</w:t>
      </w:r>
      <w:r w:rsidRPr="00CA566C">
        <w:rPr>
          <w:sz w:val="16"/>
          <w:szCs w:val="16"/>
        </w:rPr>
        <w:t xml:space="preserve">, June 2014, p.10. </w:t>
      </w:r>
    </w:p>
  </w:footnote>
  <w:footnote w:id="15">
    <w:p w14:paraId="425AC7CE" w14:textId="43AC473E"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August 6, 2015, A/HRC/30/41, para. 57.</w:t>
      </w:r>
    </w:p>
  </w:footnote>
  <w:footnote w:id="16">
    <w:p w14:paraId="26EFAE52" w14:textId="5F7F358F"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 117. </w:t>
      </w:r>
    </w:p>
  </w:footnote>
  <w:footnote w:id="17">
    <w:p w14:paraId="2FB0119D"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FFA Cameroon, </w:t>
      </w:r>
      <w:hyperlink r:id="rId7" w:history="1">
        <w:r w:rsidRPr="00CA566C">
          <w:rPr>
            <w:rStyle w:val="Hyperlink"/>
            <w:i/>
            <w:iCs/>
            <w:sz w:val="16"/>
            <w:szCs w:val="16"/>
          </w:rPr>
          <w:t>Violence against Indigenous Women and Girls</w:t>
        </w:r>
      </w:hyperlink>
      <w:r w:rsidRPr="00CA566C">
        <w:rPr>
          <w:sz w:val="16"/>
          <w:szCs w:val="16"/>
        </w:rPr>
        <w:t xml:space="preserve">, March 20, 2020. </w:t>
      </w:r>
    </w:p>
  </w:footnote>
  <w:footnote w:id="18">
    <w:p w14:paraId="19D5A25D" w14:textId="57894048"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August 6, 2015, A/HRC/30/41, para. 57.</w:t>
      </w:r>
    </w:p>
  </w:footnote>
  <w:footnote w:id="19">
    <w:p w14:paraId="766CDA6C" w14:textId="34E1C6D3"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ECLAC, Indigenous Women in Latin America: Demographic and Social Dynamics in the Human Rights </w:t>
      </w:r>
      <w:proofErr w:type="spellStart"/>
      <w:r w:rsidRPr="00CA566C">
        <w:rPr>
          <w:sz w:val="16"/>
          <w:szCs w:val="16"/>
        </w:rPr>
        <w:t>Framewok</w:t>
      </w:r>
      <w:proofErr w:type="spellEnd"/>
      <w:r w:rsidRPr="00CA566C">
        <w:rPr>
          <w:sz w:val="16"/>
          <w:szCs w:val="16"/>
        </w:rPr>
        <w:t xml:space="preserve">, October 2013, p.91. </w:t>
      </w:r>
    </w:p>
  </w:footnote>
  <w:footnote w:id="20">
    <w:p w14:paraId="5F05D33B"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34;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 119. </w:t>
      </w:r>
    </w:p>
  </w:footnote>
  <w:footnote w:id="21">
    <w:p w14:paraId="049B0F13"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 80-81. </w:t>
      </w:r>
    </w:p>
  </w:footnote>
  <w:footnote w:id="22">
    <w:p w14:paraId="77FA185E" w14:textId="1A4E6D8C"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52.  </w:t>
      </w:r>
    </w:p>
  </w:footnote>
  <w:footnote w:id="23">
    <w:p w14:paraId="34999F4E"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para.111. </w:t>
      </w:r>
    </w:p>
  </w:footnote>
  <w:footnote w:id="24">
    <w:p w14:paraId="1A236448" w14:textId="1F23772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53.  </w:t>
      </w:r>
    </w:p>
  </w:footnote>
  <w:footnote w:id="25">
    <w:p w14:paraId="0BFD4160" w14:textId="287F2D29"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Economic and Social Council, </w:t>
      </w:r>
      <w:hyperlink r:id="rId8" w:history="1">
        <w:r w:rsidRPr="00CA566C">
          <w:rPr>
            <w:rStyle w:val="Hyperlink"/>
            <w:i/>
            <w:iCs/>
            <w:sz w:val="16"/>
            <w:szCs w:val="16"/>
          </w:rPr>
          <w:t>Study on the extent of violence against indigenous women and girls in terms of article 22 (2) of the United Nations Declaration on the Rights of Indigenous Peoples</w:t>
        </w:r>
      </w:hyperlink>
      <w:r w:rsidRPr="00CA566C">
        <w:rPr>
          <w:sz w:val="16"/>
          <w:szCs w:val="16"/>
        </w:rPr>
        <w:t xml:space="preserve">, E/C.19/2013/9, February 13, 2013, para.36. </w:t>
      </w:r>
    </w:p>
  </w:footnote>
  <w:footnote w:id="26">
    <w:p w14:paraId="357E64B8"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para.102; </w:t>
      </w:r>
      <w:r w:rsidRPr="00CA566C">
        <w:rPr>
          <w:sz w:val="16"/>
          <w:szCs w:val="16"/>
          <w:lang w:val="en-US"/>
        </w:rPr>
        <w:t xml:space="preserve">IACHR, </w:t>
      </w:r>
      <w:r w:rsidRPr="00CA566C">
        <w:rPr>
          <w:i/>
          <w:iCs/>
          <w:sz w:val="16"/>
          <w:szCs w:val="16"/>
          <w:lang w:val="en-US"/>
        </w:rPr>
        <w:t>Indigenous Peoples, Afro-Descendent Communities and Natural Resources: Human Rights Protection in the Context of Extraction, Exploitation, and Development Activities</w:t>
      </w:r>
      <w:r w:rsidRPr="00CA566C">
        <w:rPr>
          <w:sz w:val="16"/>
          <w:szCs w:val="16"/>
          <w:lang w:val="en-US"/>
        </w:rPr>
        <w:t>, OEA/</w:t>
      </w:r>
      <w:proofErr w:type="spellStart"/>
      <w:r w:rsidRPr="00CA566C">
        <w:rPr>
          <w:sz w:val="16"/>
          <w:szCs w:val="16"/>
          <w:lang w:val="en-US"/>
        </w:rPr>
        <w:t>Ser.L</w:t>
      </w:r>
      <w:proofErr w:type="spellEnd"/>
      <w:r w:rsidRPr="00CA566C">
        <w:rPr>
          <w:sz w:val="16"/>
          <w:szCs w:val="16"/>
          <w:lang w:val="en-US"/>
        </w:rPr>
        <w:t xml:space="preserve">/V/II., Doc. 47/15, December 31, 2015, para. 320. </w:t>
      </w:r>
    </w:p>
  </w:footnote>
  <w:footnote w:id="27">
    <w:p w14:paraId="4CEAC481"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w:t>
      </w:r>
      <w:proofErr w:type="spellStart"/>
      <w:r w:rsidRPr="00CA566C">
        <w:rPr>
          <w:sz w:val="16"/>
          <w:szCs w:val="16"/>
        </w:rPr>
        <w:t>Selkup</w:t>
      </w:r>
      <w:proofErr w:type="spellEnd"/>
      <w:r w:rsidRPr="00CA566C">
        <w:rPr>
          <w:sz w:val="16"/>
          <w:szCs w:val="16"/>
        </w:rPr>
        <w:t xml:space="preserve"> Indigenous woman, June 5, 2021. </w:t>
      </w:r>
    </w:p>
  </w:footnote>
  <w:footnote w:id="28">
    <w:p w14:paraId="658164A6" w14:textId="63F200BC" w:rsidR="00A66C95" w:rsidRPr="00CA566C" w:rsidRDefault="00A66C95" w:rsidP="004707E3">
      <w:pPr>
        <w:pStyle w:val="Fodnotetekst"/>
        <w:jc w:val="both"/>
        <w:rPr>
          <w:bCs/>
          <w:sz w:val="16"/>
          <w:szCs w:val="16"/>
          <w:lang w:val="en-US"/>
        </w:rPr>
      </w:pPr>
      <w:r w:rsidRPr="00CA566C">
        <w:rPr>
          <w:rStyle w:val="Fodnotehenvisning"/>
          <w:sz w:val="16"/>
          <w:szCs w:val="16"/>
        </w:rPr>
        <w:footnoteRef/>
      </w:r>
      <w:r w:rsidRPr="00CA566C">
        <w:rPr>
          <w:sz w:val="16"/>
          <w:szCs w:val="16"/>
        </w:rPr>
        <w:t xml:space="preserve"> </w:t>
      </w:r>
      <w:proofErr w:type="spellStart"/>
      <w:r w:rsidRPr="00CA566C">
        <w:rPr>
          <w:sz w:val="16"/>
          <w:szCs w:val="16"/>
          <w:lang w:val="en-GB"/>
        </w:rPr>
        <w:t>Kapaeeng</w:t>
      </w:r>
      <w:proofErr w:type="spellEnd"/>
      <w:r w:rsidRPr="00CA566C">
        <w:rPr>
          <w:sz w:val="16"/>
          <w:szCs w:val="16"/>
          <w:lang w:val="en-GB"/>
        </w:rPr>
        <w:t xml:space="preserve"> Foundation, Bangladesh Indigenous Women's Network, Bangladesh Indigenous Peoples Forum, Adivasi Nari Parishad, </w:t>
      </w:r>
      <w:proofErr w:type="spellStart"/>
      <w:r w:rsidRPr="00CA566C">
        <w:rPr>
          <w:sz w:val="16"/>
          <w:szCs w:val="16"/>
          <w:lang w:val="en-GB"/>
        </w:rPr>
        <w:t>Achik</w:t>
      </w:r>
      <w:proofErr w:type="spellEnd"/>
      <w:r w:rsidRPr="00CA566C">
        <w:rPr>
          <w:sz w:val="16"/>
          <w:szCs w:val="16"/>
          <w:lang w:val="en-GB"/>
        </w:rPr>
        <w:t xml:space="preserve"> </w:t>
      </w:r>
      <w:proofErr w:type="spellStart"/>
      <w:r w:rsidRPr="00CA566C">
        <w:rPr>
          <w:sz w:val="16"/>
          <w:szCs w:val="16"/>
          <w:lang w:val="en-GB"/>
        </w:rPr>
        <w:t>Michik</w:t>
      </w:r>
      <w:proofErr w:type="spellEnd"/>
      <w:r w:rsidRPr="00CA566C">
        <w:rPr>
          <w:sz w:val="16"/>
          <w:szCs w:val="16"/>
          <w:lang w:val="en-GB"/>
        </w:rPr>
        <w:t xml:space="preserve"> Society, </w:t>
      </w:r>
      <w:r w:rsidRPr="00CA566C">
        <w:rPr>
          <w:i/>
          <w:iCs/>
          <w:sz w:val="16"/>
          <w:szCs w:val="16"/>
          <w:lang w:val="en-GB"/>
        </w:rPr>
        <w:t xml:space="preserve">Bangladesh: </w:t>
      </w:r>
      <w:r w:rsidRPr="00CA566C">
        <w:rPr>
          <w:bCs/>
          <w:i/>
          <w:iCs/>
          <w:sz w:val="16"/>
          <w:szCs w:val="16"/>
          <w:lang w:val="en-GB"/>
        </w:rPr>
        <w:t>A Joint Submission to the United Nations Committee on the Elimination of Discrimination against Women</w:t>
      </w:r>
      <w:r w:rsidRPr="00CA566C">
        <w:rPr>
          <w:bCs/>
          <w:sz w:val="16"/>
          <w:szCs w:val="16"/>
          <w:lang w:val="en-GB"/>
        </w:rPr>
        <w:t xml:space="preserve">, 2016, para.15; IWGIA, Bangladesh: </w:t>
      </w:r>
      <w:hyperlink r:id="rId9" w:history="1">
        <w:r w:rsidRPr="00CA566C">
          <w:rPr>
            <w:rStyle w:val="Hyperlink"/>
            <w:bCs/>
            <w:i/>
            <w:iCs/>
            <w:sz w:val="16"/>
            <w:szCs w:val="16"/>
            <w:lang w:val="en-US"/>
          </w:rPr>
          <w:t xml:space="preserve">If I lose my land, I am no one. I have nothing”: A voice from the Indigenous </w:t>
        </w:r>
        <w:proofErr w:type="spellStart"/>
        <w:r w:rsidRPr="00CA566C">
          <w:rPr>
            <w:rStyle w:val="Hyperlink"/>
            <w:bCs/>
            <w:i/>
            <w:iCs/>
            <w:sz w:val="16"/>
            <w:szCs w:val="16"/>
            <w:lang w:val="en-US"/>
          </w:rPr>
          <w:t>Mro</w:t>
        </w:r>
        <w:proofErr w:type="spellEnd"/>
        <w:r w:rsidRPr="00CA566C">
          <w:rPr>
            <w:rStyle w:val="Hyperlink"/>
            <w:bCs/>
            <w:i/>
            <w:iCs/>
            <w:sz w:val="16"/>
            <w:szCs w:val="16"/>
            <w:lang w:val="en-US"/>
          </w:rPr>
          <w:t xml:space="preserve"> facing eviction from their land</w:t>
        </w:r>
      </w:hyperlink>
      <w:r w:rsidRPr="00CA566C">
        <w:rPr>
          <w:bCs/>
          <w:sz w:val="16"/>
          <w:szCs w:val="16"/>
          <w:lang w:val="en-US"/>
        </w:rPr>
        <w:t>, April 27, 2021</w:t>
      </w:r>
      <w:r w:rsidRPr="00CA566C">
        <w:rPr>
          <w:bCs/>
          <w:sz w:val="16"/>
          <w:szCs w:val="16"/>
          <w:lang w:val="en-GB"/>
        </w:rPr>
        <w:t xml:space="preserve">. </w:t>
      </w:r>
    </w:p>
  </w:footnote>
  <w:footnote w:id="29">
    <w:p w14:paraId="532A5EE7" w14:textId="77777777" w:rsidR="005B4B31" w:rsidRPr="00CA566C" w:rsidRDefault="005B4B31" w:rsidP="005B4B31">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52;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/V/II., Doc. 44/17, April 17, 2017, para.106.</w:t>
      </w:r>
      <w:r w:rsidRPr="00CA566C">
        <w:rPr>
          <w:sz w:val="16"/>
          <w:szCs w:val="16"/>
          <w:lang w:val="en-US"/>
        </w:rPr>
        <w:t xml:space="preserve">   </w:t>
      </w:r>
    </w:p>
  </w:footnote>
  <w:footnote w:id="30">
    <w:p w14:paraId="1B87A16E" w14:textId="36ECCD55" w:rsidR="005B4B31" w:rsidRPr="00CA566C" w:rsidRDefault="005B4B31" w:rsidP="005B4B31">
      <w:pPr>
        <w:pStyle w:val="Fodnotetekst"/>
        <w:jc w:val="both"/>
        <w:rPr>
          <w:sz w:val="16"/>
          <w:szCs w:val="16"/>
          <w:lang w:val="en-US"/>
        </w:rPr>
      </w:pPr>
      <w:r w:rsidRPr="00CA566C">
        <w:rPr>
          <w:rStyle w:val="Fodnotehenvisning"/>
          <w:sz w:val="16"/>
          <w:szCs w:val="16"/>
        </w:rPr>
        <w:footnoteRef/>
      </w:r>
      <w:r w:rsidR="00F81A09">
        <w:rPr>
          <w:sz w:val="16"/>
          <w:szCs w:val="16"/>
        </w:rPr>
        <w:t xml:space="preserve"> </w:t>
      </w:r>
      <w:r w:rsidRPr="00CA566C">
        <w:rPr>
          <w:sz w:val="16"/>
          <w:szCs w:val="16"/>
        </w:rPr>
        <w:t xml:space="preserve">IACHR, </w:t>
      </w:r>
      <w:r w:rsidRPr="00CA566C">
        <w:rPr>
          <w:i/>
          <w:iCs/>
          <w:sz w:val="16"/>
          <w:szCs w:val="16"/>
        </w:rPr>
        <w:t xml:space="preserve">Human rights Situation of the </w:t>
      </w:r>
      <w:proofErr w:type="spellStart"/>
      <w:r w:rsidRPr="00CA566C">
        <w:rPr>
          <w:i/>
          <w:iCs/>
          <w:sz w:val="16"/>
          <w:szCs w:val="16"/>
        </w:rPr>
        <w:t>Apetina</w:t>
      </w:r>
      <w:proofErr w:type="spellEnd"/>
      <w:r w:rsidRPr="00CA566C">
        <w:rPr>
          <w:i/>
          <w:iCs/>
          <w:sz w:val="16"/>
          <w:szCs w:val="16"/>
        </w:rPr>
        <w:t xml:space="preserve"> Indigenous Community in Suriname, </w:t>
      </w:r>
      <w:r w:rsidRPr="00CA566C">
        <w:rPr>
          <w:sz w:val="16"/>
          <w:szCs w:val="16"/>
        </w:rPr>
        <w:t xml:space="preserve">150 POS, March 27, 2014. </w:t>
      </w:r>
    </w:p>
  </w:footnote>
  <w:footnote w:id="31">
    <w:p w14:paraId="6D476FD6"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IACHR, </w:t>
      </w:r>
      <w:r w:rsidRPr="00CA566C">
        <w:rPr>
          <w:i/>
          <w:iCs/>
          <w:sz w:val="16"/>
          <w:szCs w:val="16"/>
        </w:rPr>
        <w:t>Report on Indigenous Women and their Human Rights in the Americas</w:t>
      </w:r>
      <w:r w:rsidRPr="00CA566C">
        <w:rPr>
          <w:sz w:val="16"/>
          <w:szCs w:val="16"/>
        </w:rPr>
        <w:t>, OEA/</w:t>
      </w:r>
      <w:proofErr w:type="spellStart"/>
      <w:r w:rsidRPr="00CA566C">
        <w:rPr>
          <w:sz w:val="16"/>
          <w:szCs w:val="16"/>
        </w:rPr>
        <w:t>Ser.L</w:t>
      </w:r>
      <w:proofErr w:type="spellEnd"/>
      <w:r w:rsidRPr="00CA566C">
        <w:rPr>
          <w:sz w:val="16"/>
          <w:szCs w:val="16"/>
        </w:rPr>
        <w:t xml:space="preserve">/V/II., Doc. 44/17, April 17, 2017, para.123. </w:t>
      </w:r>
    </w:p>
  </w:footnote>
  <w:footnote w:id="32">
    <w:p w14:paraId="1DB01108" w14:textId="19F0675E"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w:t>
      </w:r>
      <w:r w:rsidR="004707E3" w:rsidRPr="00CA566C">
        <w:rPr>
          <w:i/>
          <w:iCs/>
          <w:sz w:val="16"/>
          <w:szCs w:val="16"/>
        </w:rPr>
        <w:t xml:space="preserve"> </w:t>
      </w:r>
      <w:r w:rsidRPr="00CA566C">
        <w:rPr>
          <w:i/>
          <w:iCs/>
          <w:sz w:val="16"/>
          <w:szCs w:val="16"/>
        </w:rPr>
        <w:t>Attacks and criminalization of indigenous human rights defender. Availability of prevention and protection measures</w:t>
      </w:r>
      <w:r w:rsidRPr="00CA566C">
        <w:rPr>
          <w:sz w:val="16"/>
          <w:szCs w:val="16"/>
        </w:rPr>
        <w:t xml:space="preserve">, A/HRC/39/17, August 10, 2018; Abigail </w:t>
      </w:r>
      <w:proofErr w:type="spellStart"/>
      <w:r w:rsidRPr="00CA566C">
        <w:rPr>
          <w:sz w:val="16"/>
          <w:szCs w:val="16"/>
        </w:rPr>
        <w:t>Bengwayan-Anongos</w:t>
      </w:r>
      <w:proofErr w:type="spellEnd"/>
      <w:r w:rsidRPr="00CA566C">
        <w:rPr>
          <w:sz w:val="16"/>
          <w:szCs w:val="16"/>
        </w:rPr>
        <w:t xml:space="preserve">, </w:t>
      </w:r>
      <w:hyperlink r:id="rId10" w:history="1">
        <w:r w:rsidRPr="00CA566C">
          <w:rPr>
            <w:rStyle w:val="Hyperlink"/>
            <w:i/>
            <w:iCs/>
            <w:sz w:val="16"/>
            <w:szCs w:val="16"/>
          </w:rPr>
          <w:t>Philippines: False Accusations, Persecution and Imprisonment of Indigenous Women</w:t>
        </w:r>
      </w:hyperlink>
      <w:r w:rsidRPr="00CA566C">
        <w:rPr>
          <w:sz w:val="16"/>
          <w:szCs w:val="16"/>
        </w:rPr>
        <w:t xml:space="preserve">, Debates </w:t>
      </w:r>
      <w:proofErr w:type="spellStart"/>
      <w:r w:rsidRPr="00CA566C">
        <w:rPr>
          <w:sz w:val="16"/>
          <w:szCs w:val="16"/>
        </w:rPr>
        <w:t>Indigenas</w:t>
      </w:r>
      <w:proofErr w:type="spellEnd"/>
      <w:r w:rsidRPr="00CA566C">
        <w:rPr>
          <w:sz w:val="16"/>
          <w:szCs w:val="16"/>
        </w:rPr>
        <w:t xml:space="preserve"> Blog, April 1, 2021; IACHR, </w:t>
      </w:r>
      <w:hyperlink r:id="rId11" w:history="1">
        <w:r w:rsidRPr="00CA566C">
          <w:rPr>
            <w:rStyle w:val="Hyperlink"/>
            <w:i/>
            <w:iCs/>
            <w:sz w:val="16"/>
            <w:szCs w:val="16"/>
          </w:rPr>
          <w:t>Criminalization of the Work of Human Rights Defenders</w:t>
        </w:r>
      </w:hyperlink>
      <w:r w:rsidRPr="00CA566C">
        <w:rPr>
          <w:sz w:val="16"/>
          <w:szCs w:val="16"/>
        </w:rPr>
        <w:t>, OEA/</w:t>
      </w:r>
      <w:proofErr w:type="spellStart"/>
      <w:r w:rsidRPr="00CA566C">
        <w:rPr>
          <w:sz w:val="16"/>
          <w:szCs w:val="16"/>
        </w:rPr>
        <w:t>Ser.L</w:t>
      </w:r>
      <w:proofErr w:type="spellEnd"/>
      <w:r w:rsidRPr="00CA566C">
        <w:rPr>
          <w:sz w:val="16"/>
          <w:szCs w:val="16"/>
        </w:rPr>
        <w:t xml:space="preserve">/V/II. Doc. 49/15, December 31, 2015.  </w:t>
      </w:r>
    </w:p>
  </w:footnote>
  <w:footnote w:id="33">
    <w:p w14:paraId="66B116AF" w14:textId="00F9D9FE" w:rsidR="0097384E" w:rsidRPr="00906574" w:rsidRDefault="0097384E" w:rsidP="0097384E">
      <w:pPr>
        <w:pStyle w:val="Fodnotetekst"/>
        <w:rPr>
          <w:sz w:val="16"/>
          <w:szCs w:val="16"/>
        </w:rPr>
      </w:pPr>
      <w:r w:rsidRPr="00906574">
        <w:rPr>
          <w:rStyle w:val="Fodnotehenvisning"/>
          <w:sz w:val="16"/>
          <w:szCs w:val="16"/>
        </w:rPr>
        <w:footnoteRef/>
      </w:r>
      <w:r w:rsidRPr="00906574">
        <w:rPr>
          <w:sz w:val="16"/>
          <w:szCs w:val="16"/>
        </w:rPr>
        <w:t xml:space="preserve"> </w:t>
      </w:r>
      <w:r w:rsidRPr="00CA566C">
        <w:rPr>
          <w:sz w:val="16"/>
          <w:szCs w:val="16"/>
        </w:rPr>
        <w:t xml:space="preserve">UN HRC, </w:t>
      </w:r>
      <w:r w:rsidRPr="00906574">
        <w:rPr>
          <w:i/>
          <w:iCs/>
          <w:sz w:val="16"/>
          <w:szCs w:val="16"/>
        </w:rPr>
        <w:t>Report of the Special Rapporteur on the Rights of Indigenous Peoples</w:t>
      </w:r>
      <w:r w:rsidR="00281CC7">
        <w:rPr>
          <w:i/>
          <w:iCs/>
          <w:sz w:val="16"/>
          <w:szCs w:val="16"/>
        </w:rPr>
        <w:t xml:space="preserve"> on</w:t>
      </w:r>
      <w:r w:rsidRPr="00CA566C">
        <w:rPr>
          <w:sz w:val="16"/>
          <w:szCs w:val="16"/>
        </w:rPr>
        <w:t xml:space="preserve"> </w:t>
      </w:r>
      <w:r w:rsidR="00281CC7" w:rsidRPr="00281CC7">
        <w:rPr>
          <w:i/>
          <w:iCs/>
          <w:sz w:val="16"/>
          <w:szCs w:val="16"/>
        </w:rPr>
        <w:t>Climate Change</w:t>
      </w:r>
      <w:r w:rsidRPr="00CA566C">
        <w:rPr>
          <w:sz w:val="16"/>
          <w:szCs w:val="16"/>
        </w:rPr>
        <w:t xml:space="preserve">, A/HRC/36/46, November 1, 2017, para.11. </w:t>
      </w:r>
    </w:p>
  </w:footnote>
  <w:footnote w:id="34">
    <w:p w14:paraId="32C024E5" w14:textId="77777777" w:rsidR="0097384E" w:rsidRPr="00CA566C" w:rsidRDefault="0097384E" w:rsidP="0097384E">
      <w:pPr>
        <w:pStyle w:val="Fodnotetekst"/>
        <w:jc w:val="both"/>
        <w:rPr>
          <w:sz w:val="16"/>
          <w:szCs w:val="16"/>
        </w:rPr>
      </w:pPr>
      <w:r w:rsidRPr="00CA566C">
        <w:rPr>
          <w:rStyle w:val="Fodnotehenvisning"/>
          <w:sz w:val="16"/>
          <w:szCs w:val="16"/>
        </w:rPr>
        <w:footnoteRef/>
      </w:r>
      <w:r w:rsidRPr="00CA566C">
        <w:rPr>
          <w:sz w:val="16"/>
          <w:szCs w:val="16"/>
        </w:rPr>
        <w:t xml:space="preserve"> UN HRC, </w:t>
      </w:r>
      <w:r w:rsidRPr="00CA566C">
        <w:rPr>
          <w:i/>
          <w:iCs/>
          <w:sz w:val="16"/>
          <w:szCs w:val="16"/>
        </w:rPr>
        <w:t>Regional consultation on the rights of indigenous peoples in Asia, Report of the Special Rapporteur on the rights of indigenous peoples</w:t>
      </w:r>
      <w:r w:rsidRPr="00CA566C">
        <w:rPr>
          <w:sz w:val="16"/>
          <w:szCs w:val="16"/>
        </w:rPr>
        <w:t xml:space="preserve">, A/HRC/45/34/Add.3, September 2020, para.35.  </w:t>
      </w:r>
    </w:p>
  </w:footnote>
  <w:footnote w:id="35">
    <w:p w14:paraId="10543F8F" w14:textId="77777777" w:rsidR="0097384E" w:rsidRPr="00CA566C" w:rsidRDefault="0097384E" w:rsidP="0097384E">
      <w:pPr>
        <w:pStyle w:val="Fodnotetekst"/>
        <w:jc w:val="both"/>
        <w:rPr>
          <w:sz w:val="16"/>
          <w:szCs w:val="16"/>
        </w:rPr>
      </w:pPr>
      <w:r w:rsidRPr="00CA566C">
        <w:rPr>
          <w:rStyle w:val="Fodnotehenvisning"/>
          <w:sz w:val="16"/>
          <w:szCs w:val="16"/>
        </w:rPr>
        <w:footnoteRef/>
      </w:r>
      <w:r w:rsidRPr="00CA566C">
        <w:rPr>
          <w:sz w:val="16"/>
          <w:szCs w:val="16"/>
        </w:rPr>
        <w:t xml:space="preserve"> Inclusion y Equidad, </w:t>
      </w:r>
      <w:r w:rsidRPr="00CA566C">
        <w:rPr>
          <w:i/>
          <w:iCs/>
          <w:sz w:val="16"/>
          <w:szCs w:val="16"/>
        </w:rPr>
        <w:t>Regional Study: The situation of Indigenous Women in the Arctic Region in the Framework of the Beijing Declaration</w:t>
      </w:r>
      <w:r w:rsidRPr="00CA566C">
        <w:rPr>
          <w:sz w:val="16"/>
          <w:szCs w:val="16"/>
        </w:rPr>
        <w:t>, 25</w:t>
      </w:r>
      <w:r w:rsidRPr="00CA566C">
        <w:rPr>
          <w:sz w:val="16"/>
          <w:szCs w:val="16"/>
          <w:vertAlign w:val="superscript"/>
        </w:rPr>
        <w:t>th</w:t>
      </w:r>
      <w:r w:rsidRPr="00CA566C">
        <w:rPr>
          <w:sz w:val="16"/>
          <w:szCs w:val="16"/>
        </w:rPr>
        <w:t xml:space="preserve"> Anniversary of the Beijing Declaration and Platform of Action, April 8, 2020, p.25. </w:t>
      </w:r>
    </w:p>
  </w:footnote>
  <w:footnote w:id="36">
    <w:p w14:paraId="0B1706AD" w14:textId="77777777" w:rsidR="0097384E" w:rsidRPr="00906574" w:rsidRDefault="0097384E" w:rsidP="0097384E">
      <w:pPr>
        <w:pStyle w:val="Fodnotetekst"/>
        <w:rPr>
          <w:sz w:val="16"/>
          <w:szCs w:val="16"/>
          <w:lang w:val="en-US"/>
        </w:rPr>
      </w:pPr>
      <w:r w:rsidRPr="00CA566C">
        <w:rPr>
          <w:rStyle w:val="Fodnotehenvisning"/>
          <w:sz w:val="16"/>
          <w:szCs w:val="16"/>
        </w:rPr>
        <w:footnoteRef/>
      </w:r>
      <w:r w:rsidRPr="00CA566C">
        <w:rPr>
          <w:sz w:val="16"/>
          <w:szCs w:val="16"/>
        </w:rPr>
        <w:t xml:space="preserve"> UN HRC, </w:t>
      </w:r>
      <w:r w:rsidRPr="00CA566C">
        <w:rPr>
          <w:i/>
          <w:iCs/>
          <w:sz w:val="16"/>
          <w:szCs w:val="16"/>
        </w:rPr>
        <w:t>Report of the Special Rapporteur on the Rights of Indigenous Peoples,</w:t>
      </w:r>
      <w:r w:rsidRPr="00CA566C">
        <w:rPr>
          <w:sz w:val="16"/>
          <w:szCs w:val="16"/>
        </w:rPr>
        <w:t xml:space="preserve"> </w:t>
      </w:r>
      <w:hyperlink r:id="rId12" w:history="1">
        <w:r w:rsidRPr="00CA566C">
          <w:rPr>
            <w:rStyle w:val="Hyperlink"/>
            <w:sz w:val="16"/>
            <w:szCs w:val="16"/>
          </w:rPr>
          <w:t>Climate change and Climate Finance</w:t>
        </w:r>
      </w:hyperlink>
      <w:r w:rsidRPr="00CA566C">
        <w:rPr>
          <w:sz w:val="16"/>
          <w:szCs w:val="16"/>
        </w:rPr>
        <w:t>, A/HRC/36/46, November 1, 2017, para.12</w:t>
      </w:r>
      <w:r>
        <w:rPr>
          <w:sz w:val="16"/>
          <w:szCs w:val="16"/>
        </w:rPr>
        <w:t xml:space="preserve">; IWGIA, </w:t>
      </w:r>
      <w:hyperlink r:id="rId13" w:history="1">
        <w:r w:rsidRPr="00906574">
          <w:rPr>
            <w:rStyle w:val="Hyperlink"/>
            <w:i/>
            <w:iCs/>
            <w:sz w:val="16"/>
            <w:szCs w:val="16"/>
            <w:lang w:val="en-US"/>
          </w:rPr>
          <w:t>The impact of renewable energy projects on Indigenous communities in Kenya</w:t>
        </w:r>
      </w:hyperlink>
      <w:r>
        <w:rPr>
          <w:sz w:val="16"/>
          <w:szCs w:val="16"/>
          <w:lang w:val="en-US"/>
        </w:rPr>
        <w:t>, December 2019</w:t>
      </w:r>
      <w:r w:rsidRPr="00CA566C">
        <w:rPr>
          <w:sz w:val="16"/>
          <w:szCs w:val="16"/>
        </w:rPr>
        <w:t xml:space="preserve">. </w:t>
      </w:r>
    </w:p>
  </w:footnote>
  <w:footnote w:id="37">
    <w:p w14:paraId="7962DC39" w14:textId="77777777" w:rsidR="0097384E" w:rsidRPr="00CA566C" w:rsidRDefault="0097384E" w:rsidP="0097384E">
      <w:pPr>
        <w:pStyle w:val="Fodnotetekst"/>
        <w:jc w:val="both"/>
        <w:rPr>
          <w:i/>
          <w:iCs/>
          <w:sz w:val="16"/>
          <w:szCs w:val="16"/>
        </w:rPr>
      </w:pPr>
      <w:r w:rsidRPr="00CA566C">
        <w:rPr>
          <w:rStyle w:val="Fodnotehenvisning"/>
          <w:sz w:val="16"/>
          <w:szCs w:val="16"/>
        </w:rPr>
        <w:footnoteRef/>
      </w:r>
      <w:r w:rsidRPr="00CA566C">
        <w:rPr>
          <w:sz w:val="16"/>
          <w:szCs w:val="16"/>
        </w:rPr>
        <w:t xml:space="preserve"> Inclusion y Equidad, </w:t>
      </w:r>
      <w:r w:rsidRPr="00CA566C">
        <w:rPr>
          <w:i/>
          <w:iCs/>
          <w:sz w:val="16"/>
          <w:szCs w:val="16"/>
        </w:rPr>
        <w:t>Regional Study: The situation of Indigenous Women in the Arctic Region in the Framework of the Beijing Declaration</w:t>
      </w:r>
      <w:r w:rsidRPr="00CA566C">
        <w:rPr>
          <w:sz w:val="16"/>
          <w:szCs w:val="16"/>
        </w:rPr>
        <w:t xml:space="preserve"> – 25</w:t>
      </w:r>
      <w:r w:rsidRPr="00CA566C">
        <w:rPr>
          <w:sz w:val="16"/>
          <w:szCs w:val="16"/>
          <w:vertAlign w:val="superscript"/>
        </w:rPr>
        <w:t>th</w:t>
      </w:r>
      <w:r w:rsidRPr="00CA566C">
        <w:rPr>
          <w:sz w:val="16"/>
          <w:szCs w:val="16"/>
        </w:rPr>
        <w:t xml:space="preserve"> Anniversary of the Beijing Declaration and Platform of Action, April 8, 2020, p.26; Agatha Ma and </w:t>
      </w:r>
      <w:proofErr w:type="spellStart"/>
      <w:r w:rsidRPr="00CA566C">
        <w:rPr>
          <w:sz w:val="16"/>
          <w:szCs w:val="16"/>
        </w:rPr>
        <w:t>Nilar</w:t>
      </w:r>
      <w:proofErr w:type="spellEnd"/>
      <w:r w:rsidRPr="00CA566C">
        <w:rPr>
          <w:sz w:val="16"/>
          <w:szCs w:val="16"/>
        </w:rPr>
        <w:t xml:space="preserve"> Tun, “Voices and Choices: Myanmar Indigenous Women in Climate Justice”, in IWGIA, </w:t>
      </w:r>
      <w:hyperlink r:id="rId14" w:history="1">
        <w:r w:rsidRPr="00CA566C">
          <w:rPr>
            <w:rStyle w:val="Hyperlink"/>
            <w:i/>
            <w:iCs/>
            <w:sz w:val="16"/>
            <w:szCs w:val="16"/>
          </w:rPr>
          <w:t>Strong Roots: Understanding the Importance of Myanmar’s Indigenous Women as Leaders in Developing Climate Change Solutions</w:t>
        </w:r>
      </w:hyperlink>
      <w:r w:rsidRPr="00CA566C">
        <w:rPr>
          <w:sz w:val="16"/>
          <w:szCs w:val="16"/>
        </w:rPr>
        <w:t>, August 2020</w:t>
      </w:r>
      <w:r w:rsidRPr="00CA566C">
        <w:rPr>
          <w:i/>
          <w:iCs/>
          <w:sz w:val="16"/>
          <w:szCs w:val="16"/>
        </w:rPr>
        <w:t xml:space="preserve">. </w:t>
      </w:r>
    </w:p>
  </w:footnote>
  <w:footnote w:id="38">
    <w:p w14:paraId="60A77DF3" w14:textId="77777777" w:rsidR="0097384E" w:rsidRPr="00CA566C" w:rsidRDefault="0097384E" w:rsidP="0097384E">
      <w:pPr>
        <w:pStyle w:val="Fodnotetekst"/>
        <w:jc w:val="both"/>
        <w:rPr>
          <w:sz w:val="16"/>
          <w:szCs w:val="16"/>
        </w:rPr>
      </w:pPr>
      <w:r w:rsidRPr="00CA566C">
        <w:rPr>
          <w:rStyle w:val="Fodnotehenvisning"/>
          <w:sz w:val="16"/>
          <w:szCs w:val="16"/>
        </w:rPr>
        <w:footnoteRef/>
      </w:r>
      <w:r w:rsidRPr="00CA566C">
        <w:rPr>
          <w:sz w:val="16"/>
          <w:szCs w:val="16"/>
        </w:rPr>
        <w:t xml:space="preserve"> Abigail </w:t>
      </w:r>
      <w:proofErr w:type="spellStart"/>
      <w:r w:rsidRPr="00CA566C">
        <w:rPr>
          <w:sz w:val="16"/>
          <w:szCs w:val="16"/>
        </w:rPr>
        <w:t>Bengwayan-Anongos</w:t>
      </w:r>
      <w:proofErr w:type="spellEnd"/>
      <w:r w:rsidRPr="00CA566C">
        <w:rPr>
          <w:sz w:val="16"/>
          <w:szCs w:val="16"/>
        </w:rPr>
        <w:t xml:space="preserve">, </w:t>
      </w:r>
      <w:hyperlink r:id="rId15" w:history="1">
        <w:r w:rsidRPr="00CA566C">
          <w:rPr>
            <w:rStyle w:val="Hyperlink"/>
            <w:i/>
            <w:iCs/>
            <w:sz w:val="16"/>
            <w:szCs w:val="16"/>
          </w:rPr>
          <w:t>Philippines: False Accusations, Persecution and Imprisonment of Indigenous Women</w:t>
        </w:r>
      </w:hyperlink>
      <w:r w:rsidRPr="00CA566C">
        <w:rPr>
          <w:sz w:val="16"/>
          <w:szCs w:val="16"/>
        </w:rPr>
        <w:t xml:space="preserve">, Debates </w:t>
      </w:r>
      <w:proofErr w:type="spellStart"/>
      <w:r w:rsidRPr="00CA566C">
        <w:rPr>
          <w:sz w:val="16"/>
          <w:szCs w:val="16"/>
        </w:rPr>
        <w:t>Indigenas</w:t>
      </w:r>
      <w:proofErr w:type="spellEnd"/>
      <w:r w:rsidRPr="00CA566C">
        <w:rPr>
          <w:sz w:val="16"/>
          <w:szCs w:val="16"/>
        </w:rPr>
        <w:t xml:space="preserve"> Blog, April 1, 2021</w:t>
      </w:r>
      <w:r>
        <w:rPr>
          <w:sz w:val="16"/>
          <w:szCs w:val="16"/>
        </w:rPr>
        <w:t>.</w:t>
      </w:r>
    </w:p>
  </w:footnote>
  <w:footnote w:id="39">
    <w:p w14:paraId="701C08D2" w14:textId="7DAF08A2"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16. </w:t>
      </w:r>
    </w:p>
  </w:footnote>
  <w:footnote w:id="40">
    <w:p w14:paraId="00EC1D44"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See Indigenous Navigator: OSAGI, UNFPII 2010. </w:t>
      </w:r>
    </w:p>
  </w:footnote>
  <w:footnote w:id="41">
    <w:p w14:paraId="20F1F219" w14:textId="288861A1"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August 6, 2015, A/HRC/30/41, para. 16.</w:t>
      </w:r>
    </w:p>
  </w:footnote>
  <w:footnote w:id="42">
    <w:p w14:paraId="5FCE0A55" w14:textId="5E1E2147" w:rsidR="00AE17B0" w:rsidRPr="00CA566C" w:rsidRDefault="00AE17B0">
      <w:pPr>
        <w:pStyle w:val="Fodnotetekst"/>
        <w:rPr>
          <w:sz w:val="16"/>
          <w:szCs w:val="16"/>
        </w:rPr>
      </w:pPr>
      <w:r w:rsidRPr="00AC0116">
        <w:rPr>
          <w:rStyle w:val="Fodnotehenvisning"/>
          <w:sz w:val="16"/>
          <w:szCs w:val="16"/>
        </w:rPr>
        <w:footnoteRef/>
      </w:r>
      <w:r w:rsidRPr="00CA566C">
        <w:rPr>
          <w:sz w:val="16"/>
          <w:szCs w:val="16"/>
        </w:rPr>
        <w:t xml:space="preserve"> Indigenous Navigator, </w:t>
      </w:r>
      <w:r w:rsidRPr="00CA566C">
        <w:rPr>
          <w:i/>
          <w:iCs/>
          <w:sz w:val="16"/>
          <w:szCs w:val="16"/>
        </w:rPr>
        <w:t>Indigenous women’s realities: Insights from the Indigenous Navigator</w:t>
      </w:r>
      <w:r w:rsidRPr="00CA566C">
        <w:rPr>
          <w:sz w:val="16"/>
          <w:szCs w:val="16"/>
        </w:rPr>
        <w:t xml:space="preserve">, October 2020, p.26.  </w:t>
      </w:r>
    </w:p>
  </w:footnote>
  <w:footnote w:id="43">
    <w:p w14:paraId="26D9B1B7" w14:textId="237B67D8" w:rsidR="00CA566C" w:rsidRPr="00CA566C" w:rsidRDefault="00CA566C">
      <w:pPr>
        <w:pStyle w:val="Fodnotetekst"/>
        <w:rPr>
          <w:sz w:val="16"/>
          <w:szCs w:val="16"/>
          <w:lang w:val="en-US"/>
        </w:rPr>
      </w:pPr>
      <w:r w:rsidRPr="00CA566C">
        <w:rPr>
          <w:rStyle w:val="Fodnotehenvisning"/>
          <w:sz w:val="16"/>
          <w:szCs w:val="16"/>
        </w:rPr>
        <w:footnoteRef/>
      </w:r>
      <w:r w:rsidRPr="00CA566C">
        <w:rPr>
          <w:sz w:val="16"/>
          <w:szCs w:val="16"/>
        </w:rPr>
        <w:t xml:space="preserve"> </w:t>
      </w:r>
      <w:r>
        <w:rPr>
          <w:sz w:val="16"/>
          <w:szCs w:val="16"/>
        </w:rPr>
        <w:t xml:space="preserve">IWGIA, </w:t>
      </w:r>
      <w:hyperlink r:id="rId16" w:history="1">
        <w:r w:rsidRPr="00CA566C">
          <w:rPr>
            <w:rStyle w:val="Hyperlink"/>
            <w:i/>
            <w:iCs/>
            <w:sz w:val="16"/>
            <w:szCs w:val="16"/>
            <w:lang w:val="en-US"/>
          </w:rPr>
          <w:t>Territorial management in indigenous matrifocal societies: Case studies of the Khasi, Wayuu, Shipibo-</w:t>
        </w:r>
        <w:proofErr w:type="spellStart"/>
        <w:r w:rsidRPr="00CA566C">
          <w:rPr>
            <w:rStyle w:val="Hyperlink"/>
            <w:i/>
            <w:iCs/>
            <w:sz w:val="16"/>
            <w:szCs w:val="16"/>
            <w:lang w:val="en-US"/>
          </w:rPr>
          <w:t>Conibo</w:t>
        </w:r>
        <w:proofErr w:type="spellEnd"/>
        <w:r w:rsidRPr="00CA566C">
          <w:rPr>
            <w:rStyle w:val="Hyperlink"/>
            <w:i/>
            <w:iCs/>
            <w:sz w:val="16"/>
            <w:szCs w:val="16"/>
            <w:lang w:val="en-US"/>
          </w:rPr>
          <w:t xml:space="preserve"> and </w:t>
        </w:r>
        <w:proofErr w:type="spellStart"/>
        <w:r w:rsidRPr="00CA566C">
          <w:rPr>
            <w:rStyle w:val="Hyperlink"/>
            <w:i/>
            <w:iCs/>
            <w:sz w:val="16"/>
            <w:szCs w:val="16"/>
            <w:lang w:val="en-US"/>
          </w:rPr>
          <w:t>Moso</w:t>
        </w:r>
        <w:proofErr w:type="spellEnd"/>
        <w:r w:rsidRPr="00CA566C">
          <w:rPr>
            <w:rStyle w:val="Hyperlink"/>
            <w:i/>
            <w:iCs/>
            <w:sz w:val="16"/>
            <w:szCs w:val="16"/>
            <w:lang w:val="en-US"/>
          </w:rPr>
          <w:t xml:space="preserve"> peoples</w:t>
        </w:r>
      </w:hyperlink>
      <w:r>
        <w:rPr>
          <w:i/>
          <w:iCs/>
          <w:sz w:val="16"/>
          <w:szCs w:val="16"/>
          <w:lang w:val="en-US"/>
        </w:rPr>
        <w:t>,</w:t>
      </w:r>
      <w:r>
        <w:rPr>
          <w:sz w:val="16"/>
          <w:szCs w:val="16"/>
          <w:lang w:val="en-US"/>
        </w:rPr>
        <w:t xml:space="preserve"> July 2020.  </w:t>
      </w:r>
    </w:p>
  </w:footnote>
  <w:footnote w:id="44">
    <w:p w14:paraId="0667421E" w14:textId="4139A73D"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Indigenous Navigator, </w:t>
      </w:r>
      <w:r w:rsidRPr="00CA566C">
        <w:rPr>
          <w:i/>
          <w:iCs/>
          <w:sz w:val="16"/>
          <w:szCs w:val="16"/>
        </w:rPr>
        <w:t>Indigenous women’s realities: Insights from the Indigenous Navigator</w:t>
      </w:r>
      <w:r w:rsidRPr="00CA566C">
        <w:rPr>
          <w:sz w:val="16"/>
          <w:szCs w:val="16"/>
        </w:rPr>
        <w:t xml:space="preserve">, October 2020, p.47. </w:t>
      </w:r>
    </w:p>
  </w:footnote>
  <w:footnote w:id="45">
    <w:p w14:paraId="634F5938"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ISAWN of Mainland India, IWFNEI, AIPP, </w:t>
      </w:r>
      <w:r w:rsidRPr="00CA566C">
        <w:rPr>
          <w:i/>
          <w:iCs/>
          <w:sz w:val="16"/>
          <w:szCs w:val="16"/>
        </w:rPr>
        <w:t>India: NGO CEDAW Shadow Report and status of Adivasi/Tribal Women in India</w:t>
      </w:r>
      <w:r w:rsidRPr="00CA566C">
        <w:rPr>
          <w:sz w:val="16"/>
          <w:szCs w:val="16"/>
        </w:rPr>
        <w:t xml:space="preserve">, June 2014, p.10. </w:t>
      </w:r>
    </w:p>
  </w:footnote>
  <w:footnote w:id="46">
    <w:p w14:paraId="761EB4E6"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Saami Indigenous woman leader in Russia, June 5, 2021. </w:t>
      </w:r>
    </w:p>
  </w:footnote>
  <w:footnote w:id="47">
    <w:p w14:paraId="5DA1096C" w14:textId="77777777" w:rsidR="00E05415" w:rsidRPr="00CA566C" w:rsidRDefault="00E05415" w:rsidP="00E05415">
      <w:pPr>
        <w:pStyle w:val="Fodnotetekst"/>
        <w:jc w:val="both"/>
        <w:rPr>
          <w:sz w:val="16"/>
          <w:szCs w:val="16"/>
        </w:rPr>
      </w:pPr>
      <w:r w:rsidRPr="00CA566C">
        <w:rPr>
          <w:rStyle w:val="Fodnotehenvisning"/>
          <w:sz w:val="16"/>
          <w:szCs w:val="16"/>
        </w:rPr>
        <w:footnoteRef/>
      </w:r>
      <w:r w:rsidRPr="00CA566C">
        <w:rPr>
          <w:sz w:val="16"/>
          <w:szCs w:val="16"/>
        </w:rPr>
        <w:t xml:space="preserve"> </w:t>
      </w:r>
      <w:proofErr w:type="spellStart"/>
      <w:r w:rsidRPr="00CA566C">
        <w:rPr>
          <w:sz w:val="16"/>
          <w:szCs w:val="16"/>
        </w:rPr>
        <w:t>Kapaeeng</w:t>
      </w:r>
      <w:proofErr w:type="spellEnd"/>
      <w:r w:rsidRPr="00CA566C">
        <w:rPr>
          <w:sz w:val="16"/>
          <w:szCs w:val="16"/>
        </w:rPr>
        <w:t xml:space="preserve"> Foundation, BIWN, IWGIA, </w:t>
      </w:r>
      <w:r w:rsidRPr="00CA566C">
        <w:rPr>
          <w:i/>
          <w:iCs/>
          <w:sz w:val="16"/>
          <w:szCs w:val="16"/>
        </w:rPr>
        <w:t xml:space="preserve">Briefing Paper: State of Indigenous Women and girls in Bangladesh: Issues and Concerns </w:t>
      </w:r>
      <w:proofErr w:type="gramStart"/>
      <w:r w:rsidRPr="00CA566C">
        <w:rPr>
          <w:i/>
          <w:iCs/>
          <w:sz w:val="16"/>
          <w:szCs w:val="16"/>
        </w:rPr>
        <w:t>at a glance</w:t>
      </w:r>
      <w:proofErr w:type="gramEnd"/>
      <w:r w:rsidRPr="00CA566C">
        <w:rPr>
          <w:sz w:val="16"/>
          <w:szCs w:val="16"/>
        </w:rPr>
        <w:t xml:space="preserve">, October 2016; Interview with </w:t>
      </w:r>
      <w:proofErr w:type="spellStart"/>
      <w:r w:rsidRPr="00CA566C">
        <w:rPr>
          <w:sz w:val="16"/>
          <w:szCs w:val="16"/>
        </w:rPr>
        <w:t>Selkup</w:t>
      </w:r>
      <w:proofErr w:type="spellEnd"/>
      <w:r w:rsidRPr="00CA566C">
        <w:rPr>
          <w:sz w:val="16"/>
          <w:szCs w:val="16"/>
        </w:rPr>
        <w:t xml:space="preserve"> Indigenous woman leader in Russia, June 5, 2021. </w:t>
      </w:r>
    </w:p>
  </w:footnote>
  <w:footnote w:id="48">
    <w:p w14:paraId="27E1BFAF" w14:textId="03FE878F" w:rsidR="004A48C3" w:rsidRDefault="004A48C3">
      <w:pPr>
        <w:pStyle w:val="Fodnotetekst"/>
      </w:pPr>
      <w:r w:rsidRPr="004A48C3">
        <w:rPr>
          <w:rStyle w:val="Fodnotehenvisning"/>
          <w:sz w:val="16"/>
          <w:szCs w:val="16"/>
        </w:rPr>
        <w:footnoteRef/>
      </w:r>
      <w:r>
        <w:t xml:space="preserve"> </w:t>
      </w:r>
      <w:r w:rsidRPr="004A48C3">
        <w:rPr>
          <w:sz w:val="16"/>
          <w:szCs w:val="16"/>
        </w:rPr>
        <w:t xml:space="preserve">IACHR, </w:t>
      </w:r>
      <w:r w:rsidRPr="004A48C3">
        <w:rPr>
          <w:i/>
          <w:iCs/>
          <w:sz w:val="16"/>
          <w:szCs w:val="16"/>
        </w:rPr>
        <w:t xml:space="preserve">Report </w:t>
      </w:r>
      <w:proofErr w:type="gramStart"/>
      <w:r w:rsidRPr="004A48C3">
        <w:rPr>
          <w:i/>
          <w:iCs/>
          <w:sz w:val="16"/>
          <w:szCs w:val="16"/>
        </w:rPr>
        <w:t>on the Situation of</w:t>
      </w:r>
      <w:proofErr w:type="gramEnd"/>
      <w:r w:rsidRPr="004A48C3">
        <w:rPr>
          <w:i/>
          <w:iCs/>
          <w:sz w:val="16"/>
          <w:szCs w:val="16"/>
        </w:rPr>
        <w:t xml:space="preserve"> Human Rights in Guatemala: Diversity, Inequality and Exclusion</w:t>
      </w:r>
      <w:r w:rsidRPr="004A48C3">
        <w:rPr>
          <w:sz w:val="16"/>
          <w:szCs w:val="16"/>
        </w:rPr>
        <w:t>, OEA/</w:t>
      </w:r>
      <w:proofErr w:type="spellStart"/>
      <w:r w:rsidRPr="004A48C3">
        <w:rPr>
          <w:sz w:val="16"/>
          <w:szCs w:val="16"/>
        </w:rPr>
        <w:t>Ser.L</w:t>
      </w:r>
      <w:proofErr w:type="spellEnd"/>
      <w:r w:rsidRPr="004A48C3">
        <w:rPr>
          <w:sz w:val="16"/>
          <w:szCs w:val="16"/>
        </w:rPr>
        <w:t>/V/II., Doc.43/15, 31 December 2015, para.</w:t>
      </w:r>
      <w:r>
        <w:rPr>
          <w:sz w:val="16"/>
          <w:szCs w:val="16"/>
        </w:rPr>
        <w:t>247</w:t>
      </w:r>
    </w:p>
  </w:footnote>
  <w:footnote w:id="49">
    <w:p w14:paraId="6FBABB8A" w14:textId="0D13BE1E"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AG, </w:t>
      </w:r>
      <w:r w:rsidRPr="00CA566C">
        <w:rPr>
          <w:i/>
          <w:iCs/>
          <w:sz w:val="16"/>
          <w:szCs w:val="16"/>
        </w:rPr>
        <w:t xml:space="preserve">Report of the Special Rapporteur on the rights of indigenous peoples, Victoria </w:t>
      </w:r>
      <w:proofErr w:type="spellStart"/>
      <w:r w:rsidRPr="00CA566C">
        <w:rPr>
          <w:i/>
          <w:iCs/>
          <w:sz w:val="16"/>
          <w:szCs w:val="16"/>
        </w:rPr>
        <w:t>Tauli</w:t>
      </w:r>
      <w:proofErr w:type="spellEnd"/>
      <w:r w:rsidRPr="00CA566C">
        <w:rPr>
          <w:i/>
          <w:iCs/>
          <w:sz w:val="16"/>
          <w:szCs w:val="16"/>
        </w:rPr>
        <w:t xml:space="preserve"> Corpuz</w:t>
      </w:r>
      <w:r w:rsidRPr="00CA566C">
        <w:rPr>
          <w:sz w:val="16"/>
          <w:szCs w:val="16"/>
        </w:rPr>
        <w:t xml:space="preserve">, August 6, 2015, A/HRC/30/41, para. 24-25. </w:t>
      </w:r>
    </w:p>
  </w:footnote>
  <w:footnote w:id="50">
    <w:p w14:paraId="69B98654" w14:textId="60F008F6"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ECLAC, </w:t>
      </w:r>
      <w:r w:rsidRPr="00CA566C">
        <w:rPr>
          <w:i/>
          <w:iCs/>
          <w:sz w:val="16"/>
          <w:szCs w:val="16"/>
        </w:rPr>
        <w:t>Indigenous Women in Latin America: Demographic and social dynamics in the human rights framework</w:t>
      </w:r>
      <w:r w:rsidRPr="00CA566C">
        <w:rPr>
          <w:sz w:val="16"/>
          <w:szCs w:val="16"/>
        </w:rPr>
        <w:t xml:space="preserve">, October 2013, p. 82-83. </w:t>
      </w:r>
    </w:p>
  </w:footnote>
  <w:footnote w:id="51">
    <w:p w14:paraId="0D63459F" w14:textId="0E8258ED"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Indigenous Navigator, </w:t>
      </w:r>
      <w:r w:rsidRPr="00CA566C">
        <w:rPr>
          <w:i/>
          <w:iCs/>
          <w:sz w:val="16"/>
          <w:szCs w:val="16"/>
        </w:rPr>
        <w:t>Indigenous women’s realities: Insights from the Indigenous Navigator</w:t>
      </w:r>
      <w:r w:rsidRPr="00CA566C">
        <w:rPr>
          <w:sz w:val="16"/>
          <w:szCs w:val="16"/>
        </w:rPr>
        <w:t xml:space="preserve">, October 2020, para.48. </w:t>
      </w:r>
    </w:p>
  </w:footnote>
  <w:footnote w:id="52">
    <w:p w14:paraId="2B165008"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FFA Cameroon, </w:t>
      </w:r>
      <w:hyperlink r:id="rId17" w:history="1">
        <w:r w:rsidRPr="00CA566C">
          <w:rPr>
            <w:rStyle w:val="Hyperlink"/>
            <w:i/>
            <w:iCs/>
            <w:sz w:val="16"/>
            <w:szCs w:val="16"/>
          </w:rPr>
          <w:t>Education</w:t>
        </w:r>
      </w:hyperlink>
      <w:r w:rsidRPr="00CA566C">
        <w:rPr>
          <w:sz w:val="16"/>
          <w:szCs w:val="16"/>
        </w:rPr>
        <w:t xml:space="preserve">, March 20, 2020.  </w:t>
      </w:r>
    </w:p>
  </w:footnote>
  <w:footnote w:id="53">
    <w:p w14:paraId="120915A1" w14:textId="6BDFA9C8"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NIWF, LAHURNIP and FPP, </w:t>
      </w:r>
      <w:r w:rsidRPr="00CA566C">
        <w:rPr>
          <w:i/>
          <w:iCs/>
          <w:sz w:val="16"/>
          <w:szCs w:val="16"/>
        </w:rPr>
        <w:t>The Rights of Indigenous Women in Nepal: Shadow Report for the Combined 4</w:t>
      </w:r>
      <w:r w:rsidRPr="00CA566C">
        <w:rPr>
          <w:i/>
          <w:iCs/>
          <w:sz w:val="16"/>
          <w:szCs w:val="16"/>
          <w:vertAlign w:val="superscript"/>
        </w:rPr>
        <w:t>th</w:t>
      </w:r>
      <w:r w:rsidRPr="00CA566C">
        <w:rPr>
          <w:i/>
          <w:iCs/>
          <w:sz w:val="16"/>
          <w:szCs w:val="16"/>
        </w:rPr>
        <w:t xml:space="preserve"> and 5</w:t>
      </w:r>
      <w:r w:rsidRPr="00CA566C">
        <w:rPr>
          <w:i/>
          <w:iCs/>
          <w:sz w:val="16"/>
          <w:szCs w:val="16"/>
          <w:vertAlign w:val="superscript"/>
        </w:rPr>
        <w:t>th</w:t>
      </w:r>
      <w:r w:rsidRPr="00CA566C">
        <w:rPr>
          <w:i/>
          <w:iCs/>
          <w:sz w:val="16"/>
          <w:szCs w:val="16"/>
        </w:rPr>
        <w:t xml:space="preserve"> Periodic reports of Nepal CEDAW/c/NPL/4-5</w:t>
      </w:r>
      <w:r w:rsidRPr="00CA566C">
        <w:rPr>
          <w:sz w:val="16"/>
          <w:szCs w:val="16"/>
        </w:rPr>
        <w:t xml:space="preserve">, July 11-29, 2011, para.41.   </w:t>
      </w:r>
    </w:p>
  </w:footnote>
  <w:footnote w:id="54">
    <w:p w14:paraId="7A94D639"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Saami Indigenous woman leader of Russia, June 5, 2021. </w:t>
      </w:r>
    </w:p>
  </w:footnote>
  <w:footnote w:id="55">
    <w:p w14:paraId="3AEB4012"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Saami Indigenous woman leader of Russia, June 5, 2021. </w:t>
      </w:r>
    </w:p>
  </w:footnote>
  <w:footnote w:id="56">
    <w:p w14:paraId="6E05BF30" w14:textId="2F6E03A4"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International Labour Organization, </w:t>
      </w:r>
      <w:r w:rsidRPr="00CA566C">
        <w:rPr>
          <w:i/>
          <w:iCs/>
          <w:sz w:val="16"/>
          <w:szCs w:val="16"/>
        </w:rPr>
        <w:t xml:space="preserve">Implementing the ILO Indigenous and Tribal Peoples Convention No. 169: Towards an inclusive, sustainable and just future, </w:t>
      </w:r>
      <w:r w:rsidRPr="00CA566C">
        <w:rPr>
          <w:sz w:val="16"/>
          <w:szCs w:val="16"/>
        </w:rPr>
        <w:t xml:space="preserve">Geneva, 2019. </w:t>
      </w:r>
    </w:p>
  </w:footnote>
  <w:footnote w:id="57">
    <w:p w14:paraId="6D848DAB" w14:textId="70318CC5"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Indigenous Navigator, </w:t>
      </w:r>
      <w:r w:rsidRPr="00CA566C">
        <w:rPr>
          <w:i/>
          <w:iCs/>
          <w:sz w:val="16"/>
          <w:szCs w:val="16"/>
        </w:rPr>
        <w:t>Indigenous women’s realities: Insights from the Indigenous Navigator</w:t>
      </w:r>
      <w:r w:rsidRPr="00CA566C">
        <w:rPr>
          <w:sz w:val="16"/>
          <w:szCs w:val="16"/>
        </w:rPr>
        <w:t xml:space="preserve">, October 2020, p.49. </w:t>
      </w:r>
    </w:p>
  </w:footnote>
  <w:footnote w:id="58">
    <w:p w14:paraId="113BD56E" w14:textId="35C77928"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Indigenous Navigator, </w:t>
      </w:r>
      <w:r w:rsidRPr="00CA566C">
        <w:rPr>
          <w:i/>
          <w:iCs/>
          <w:sz w:val="16"/>
          <w:szCs w:val="16"/>
        </w:rPr>
        <w:t>Indigenous women’s realities: Insights from the Indigenous Navigator</w:t>
      </w:r>
      <w:r w:rsidRPr="00CA566C">
        <w:rPr>
          <w:sz w:val="16"/>
          <w:szCs w:val="16"/>
        </w:rPr>
        <w:t xml:space="preserve">, October 2020, p.26. </w:t>
      </w:r>
    </w:p>
  </w:footnote>
  <w:footnote w:id="59">
    <w:p w14:paraId="0341659A"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ISAWN of Mainland India, IWFNEI, AIPP, “India: NGO CEDAW Shadow Report and status of Adivasi/Tribal Women in India,” CEDAW, 58</w:t>
      </w:r>
      <w:r w:rsidRPr="00CA566C">
        <w:rPr>
          <w:sz w:val="16"/>
          <w:szCs w:val="16"/>
          <w:vertAlign w:val="superscript"/>
        </w:rPr>
        <w:t>th</w:t>
      </w:r>
      <w:r w:rsidRPr="00CA566C">
        <w:rPr>
          <w:sz w:val="16"/>
          <w:szCs w:val="16"/>
        </w:rPr>
        <w:t xml:space="preserve"> session, June 2014, p.9. </w:t>
      </w:r>
    </w:p>
  </w:footnote>
  <w:footnote w:id="60">
    <w:p w14:paraId="3F779DA0"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NIWF, LAHURNIP and FPP, “The Rights of Indigenous Women in Nepal: Shadow Report for the Combined 4</w:t>
      </w:r>
      <w:r w:rsidRPr="00CA566C">
        <w:rPr>
          <w:sz w:val="16"/>
          <w:szCs w:val="16"/>
          <w:vertAlign w:val="superscript"/>
        </w:rPr>
        <w:t>th</w:t>
      </w:r>
      <w:r w:rsidRPr="00CA566C">
        <w:rPr>
          <w:sz w:val="16"/>
          <w:szCs w:val="16"/>
        </w:rPr>
        <w:t xml:space="preserve"> and 5</w:t>
      </w:r>
      <w:r w:rsidRPr="00CA566C">
        <w:rPr>
          <w:sz w:val="16"/>
          <w:szCs w:val="16"/>
          <w:vertAlign w:val="superscript"/>
        </w:rPr>
        <w:t>th</w:t>
      </w:r>
      <w:r w:rsidRPr="00CA566C">
        <w:rPr>
          <w:sz w:val="16"/>
          <w:szCs w:val="16"/>
        </w:rPr>
        <w:t xml:space="preserve"> Periodic reports of Nepal CEDAW/c/NPL/4-5,” CEDAW, 49</w:t>
      </w:r>
      <w:r w:rsidRPr="00CA566C">
        <w:rPr>
          <w:sz w:val="16"/>
          <w:szCs w:val="16"/>
          <w:vertAlign w:val="superscript"/>
        </w:rPr>
        <w:t>th</w:t>
      </w:r>
      <w:r w:rsidRPr="00CA566C">
        <w:rPr>
          <w:sz w:val="16"/>
          <w:szCs w:val="16"/>
        </w:rPr>
        <w:t xml:space="preserve"> session, 11-29 July 2011, para.52-54.  </w:t>
      </w:r>
    </w:p>
  </w:footnote>
  <w:footnote w:id="61">
    <w:p w14:paraId="34507192"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w:t>
      </w:r>
      <w:proofErr w:type="spellStart"/>
      <w:r w:rsidRPr="00CA566C">
        <w:rPr>
          <w:sz w:val="16"/>
          <w:szCs w:val="16"/>
        </w:rPr>
        <w:t>Selkup</w:t>
      </w:r>
      <w:proofErr w:type="spellEnd"/>
      <w:r w:rsidRPr="00CA566C">
        <w:rPr>
          <w:sz w:val="16"/>
          <w:szCs w:val="16"/>
        </w:rPr>
        <w:t xml:space="preserve"> Indigenous Woman Leader of Russia, June 5, 2021. </w:t>
      </w:r>
    </w:p>
  </w:footnote>
  <w:footnote w:id="62">
    <w:p w14:paraId="0D21B18E"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w:t>
      </w:r>
      <w:proofErr w:type="spellStart"/>
      <w:r w:rsidRPr="00CA566C">
        <w:rPr>
          <w:sz w:val="16"/>
          <w:szCs w:val="16"/>
        </w:rPr>
        <w:t>Selkup</w:t>
      </w:r>
      <w:proofErr w:type="spellEnd"/>
      <w:r w:rsidRPr="00CA566C">
        <w:rPr>
          <w:sz w:val="16"/>
          <w:szCs w:val="16"/>
        </w:rPr>
        <w:t xml:space="preserve"> Indigenous woman leader in Russia, June 5, 2021. </w:t>
      </w:r>
    </w:p>
  </w:footnote>
  <w:footnote w:id="63">
    <w:p w14:paraId="60A53AF3"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CBC News, </w:t>
      </w:r>
      <w:hyperlink r:id="rId18" w:history="1">
        <w:r w:rsidRPr="00CA566C">
          <w:rPr>
            <w:rStyle w:val="Hyperlink"/>
            <w:i/>
            <w:iCs/>
            <w:sz w:val="16"/>
            <w:szCs w:val="16"/>
          </w:rPr>
          <w:t>Indigenous woman records racist abuse in her dying moments</w:t>
        </w:r>
      </w:hyperlink>
      <w:r w:rsidRPr="00CA566C">
        <w:rPr>
          <w:sz w:val="16"/>
          <w:szCs w:val="16"/>
        </w:rPr>
        <w:t xml:space="preserve">, October 1, 2020; APTN, </w:t>
      </w:r>
      <w:hyperlink r:id="rId19" w:history="1">
        <w:r w:rsidRPr="00CA566C">
          <w:rPr>
            <w:rStyle w:val="Hyperlink"/>
            <w:i/>
            <w:iCs/>
            <w:sz w:val="16"/>
            <w:szCs w:val="16"/>
          </w:rPr>
          <w:t>Quebec promises investigation after Atikamekw mother live-streams moments before her death</w:t>
        </w:r>
      </w:hyperlink>
      <w:r w:rsidRPr="00CA566C">
        <w:rPr>
          <w:sz w:val="16"/>
          <w:szCs w:val="16"/>
        </w:rPr>
        <w:t xml:space="preserve">, September 29, 2020; Maclean’s, </w:t>
      </w:r>
      <w:hyperlink r:id="rId20" w:history="1">
        <w:r w:rsidRPr="00CA566C">
          <w:rPr>
            <w:rStyle w:val="Hyperlink"/>
            <w:i/>
            <w:iCs/>
            <w:sz w:val="16"/>
            <w:szCs w:val="16"/>
          </w:rPr>
          <w:t xml:space="preserve">Opinion by Pam </w:t>
        </w:r>
        <w:proofErr w:type="spellStart"/>
        <w:r w:rsidRPr="00CA566C">
          <w:rPr>
            <w:rStyle w:val="Hyperlink"/>
            <w:i/>
            <w:iCs/>
            <w:sz w:val="16"/>
            <w:szCs w:val="16"/>
          </w:rPr>
          <w:t>Palmater</w:t>
        </w:r>
        <w:proofErr w:type="spellEnd"/>
        <w:r w:rsidRPr="00CA566C">
          <w:rPr>
            <w:rStyle w:val="Hyperlink"/>
            <w:i/>
            <w:iCs/>
            <w:sz w:val="16"/>
            <w:szCs w:val="16"/>
          </w:rPr>
          <w:t xml:space="preserve">: What Joyce </w:t>
        </w:r>
        <w:proofErr w:type="spellStart"/>
        <w:r w:rsidRPr="00CA566C">
          <w:rPr>
            <w:rStyle w:val="Hyperlink"/>
            <w:i/>
            <w:iCs/>
            <w:sz w:val="16"/>
            <w:szCs w:val="16"/>
          </w:rPr>
          <w:t>Echaquan</w:t>
        </w:r>
        <w:proofErr w:type="spellEnd"/>
        <w:r w:rsidRPr="00CA566C">
          <w:rPr>
            <w:rStyle w:val="Hyperlink"/>
            <w:i/>
            <w:iCs/>
            <w:sz w:val="16"/>
            <w:szCs w:val="16"/>
          </w:rPr>
          <w:t xml:space="preserve"> Knew</w:t>
        </w:r>
      </w:hyperlink>
      <w:r w:rsidRPr="00CA566C">
        <w:rPr>
          <w:sz w:val="16"/>
          <w:szCs w:val="16"/>
        </w:rPr>
        <w:t xml:space="preserve">, June 3, 2021. </w:t>
      </w:r>
    </w:p>
  </w:footnote>
  <w:footnote w:id="64">
    <w:p w14:paraId="6F9B8E91"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ISAWN of Mainland India, IWFNEI, AIPP, “India: NGO CEDAW Shadow Report and status of Adivasi/Tribal Women in India,” CEDAW, 58</w:t>
      </w:r>
      <w:r w:rsidRPr="00CA566C">
        <w:rPr>
          <w:sz w:val="16"/>
          <w:szCs w:val="16"/>
          <w:vertAlign w:val="superscript"/>
        </w:rPr>
        <w:t>th</w:t>
      </w:r>
      <w:r w:rsidRPr="00CA566C">
        <w:rPr>
          <w:sz w:val="16"/>
          <w:szCs w:val="16"/>
        </w:rPr>
        <w:t xml:space="preserve"> session, June 2014, p.11-12. </w:t>
      </w:r>
    </w:p>
  </w:footnote>
  <w:footnote w:id="65">
    <w:p w14:paraId="3DB9506E" w14:textId="72051AAF" w:rsidR="00A66C95" w:rsidRPr="00CA566C" w:rsidRDefault="00A66C95" w:rsidP="004707E3">
      <w:pPr>
        <w:pStyle w:val="Fodnotetekst"/>
        <w:jc w:val="both"/>
        <w:rPr>
          <w:sz w:val="16"/>
          <w:szCs w:val="16"/>
          <w:lang w:val="en-US"/>
        </w:rPr>
      </w:pPr>
      <w:r w:rsidRPr="00CA566C">
        <w:rPr>
          <w:rStyle w:val="Fodnotehenvisning"/>
          <w:sz w:val="16"/>
          <w:szCs w:val="16"/>
        </w:rPr>
        <w:footnoteRef/>
      </w:r>
      <w:r w:rsidRPr="00CA566C">
        <w:rPr>
          <w:sz w:val="16"/>
          <w:szCs w:val="16"/>
        </w:rPr>
        <w:t xml:space="preserve"> ECLAC, </w:t>
      </w:r>
      <w:r w:rsidRPr="00CA566C">
        <w:rPr>
          <w:i/>
          <w:iCs/>
          <w:sz w:val="16"/>
          <w:szCs w:val="16"/>
          <w:lang w:val="en-US"/>
        </w:rPr>
        <w:t>Maternal Mortality in Indigenous Peoples and Data Sources: Scope and Challenges for Measurement in Latin American Countries</w:t>
      </w:r>
      <w:r w:rsidRPr="00CA566C">
        <w:rPr>
          <w:i/>
          <w:iCs/>
          <w:sz w:val="16"/>
          <w:szCs w:val="16"/>
        </w:rPr>
        <w:t xml:space="preserve">, </w:t>
      </w:r>
      <w:r w:rsidRPr="00CA566C">
        <w:rPr>
          <w:sz w:val="16"/>
          <w:szCs w:val="16"/>
        </w:rPr>
        <w:t xml:space="preserve">August 2017, p. 8, Table 1. </w:t>
      </w:r>
    </w:p>
  </w:footnote>
  <w:footnote w:id="66">
    <w:p w14:paraId="094F5A44" w14:textId="1DA52CC4"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xml:space="preserve">, A/75/185, July 20, 2020, para.65. See submissions by the Native Women’s Association of Canada, Asia Indigenous Peoples Pact, Nepalese Indigenous Women’s Organizations, Joint Submissions by Moroccan Amazigh organizations, and submissions by Minority Rights Group International and partners. </w:t>
      </w:r>
    </w:p>
  </w:footnote>
  <w:footnote w:id="67">
    <w:p w14:paraId="44468F10" w14:textId="2ED79373"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xml:space="preserve">, A/75/185, July 20, 2020, para.65. </w:t>
      </w:r>
    </w:p>
  </w:footnote>
  <w:footnote w:id="68">
    <w:p w14:paraId="1A4160EB" w14:textId="34914B0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xml:space="preserve">, A/75/185, July 20, 2020. </w:t>
      </w:r>
    </w:p>
  </w:footnote>
  <w:footnote w:id="69">
    <w:p w14:paraId="3A47BB6F"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A/75/185, July 20, 2020, para.68; See Asia Indigenous Peoples Pact, “</w:t>
      </w:r>
      <w:hyperlink r:id="rId21" w:history="1">
        <w:r w:rsidRPr="00CA566C">
          <w:rPr>
            <w:rStyle w:val="Hyperlink"/>
            <w:sz w:val="16"/>
            <w:szCs w:val="16"/>
          </w:rPr>
          <w:t>COVID-19 and humanity: human rights in peril</w:t>
        </w:r>
      </w:hyperlink>
      <w:r w:rsidRPr="00CA566C">
        <w:rPr>
          <w:sz w:val="16"/>
          <w:szCs w:val="16"/>
        </w:rPr>
        <w:t xml:space="preserve">”, May 2020, and submission by Action pour la promotion des </w:t>
      </w:r>
      <w:proofErr w:type="spellStart"/>
      <w:r w:rsidRPr="00CA566C">
        <w:rPr>
          <w:sz w:val="16"/>
          <w:szCs w:val="16"/>
        </w:rPr>
        <w:t>minorités</w:t>
      </w:r>
      <w:proofErr w:type="spellEnd"/>
      <w:r w:rsidRPr="00CA566C">
        <w:rPr>
          <w:sz w:val="16"/>
          <w:szCs w:val="16"/>
        </w:rPr>
        <w:t xml:space="preserve"> </w:t>
      </w:r>
      <w:proofErr w:type="spellStart"/>
      <w:r w:rsidRPr="00CA566C">
        <w:rPr>
          <w:sz w:val="16"/>
          <w:szCs w:val="16"/>
        </w:rPr>
        <w:t>autochtones</w:t>
      </w:r>
      <w:proofErr w:type="spellEnd"/>
      <w:r w:rsidRPr="00CA566C">
        <w:rPr>
          <w:sz w:val="16"/>
          <w:szCs w:val="16"/>
        </w:rPr>
        <w:t xml:space="preserve"> </w:t>
      </w:r>
      <w:proofErr w:type="spellStart"/>
      <w:r w:rsidRPr="00CA566C">
        <w:rPr>
          <w:sz w:val="16"/>
          <w:szCs w:val="16"/>
        </w:rPr>
        <w:t>en</w:t>
      </w:r>
      <w:proofErr w:type="spellEnd"/>
      <w:r w:rsidRPr="00CA566C">
        <w:rPr>
          <w:sz w:val="16"/>
          <w:szCs w:val="16"/>
        </w:rPr>
        <w:t xml:space="preserve"> Afrique Centrale. </w:t>
      </w:r>
    </w:p>
  </w:footnote>
  <w:footnote w:id="70">
    <w:p w14:paraId="1CFD79CE"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xml:space="preserve">, A/75/185, July 20, 2020, para.68. </w:t>
      </w:r>
    </w:p>
  </w:footnote>
  <w:footnote w:id="71">
    <w:p w14:paraId="22976502" w14:textId="00C3FFB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w:t>
      </w:r>
      <w:r w:rsidRPr="00CA566C">
        <w:rPr>
          <w:i/>
          <w:iCs/>
          <w:sz w:val="16"/>
          <w:szCs w:val="16"/>
        </w:rPr>
        <w:t>Idem.</w:t>
      </w:r>
      <w:r w:rsidRPr="00CA566C">
        <w:rPr>
          <w:sz w:val="16"/>
          <w:szCs w:val="16"/>
        </w:rPr>
        <w:t xml:space="preserve"> </w:t>
      </w:r>
    </w:p>
  </w:footnote>
  <w:footnote w:id="72">
    <w:p w14:paraId="14512162"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Interview with </w:t>
      </w:r>
      <w:proofErr w:type="spellStart"/>
      <w:r w:rsidRPr="00CA566C">
        <w:rPr>
          <w:sz w:val="16"/>
          <w:szCs w:val="16"/>
        </w:rPr>
        <w:t>Selkup</w:t>
      </w:r>
      <w:proofErr w:type="spellEnd"/>
      <w:r w:rsidRPr="00CA566C">
        <w:rPr>
          <w:sz w:val="16"/>
          <w:szCs w:val="16"/>
        </w:rPr>
        <w:t xml:space="preserve"> Indigenous woman leader in Russia, June 5, 2021. </w:t>
      </w:r>
    </w:p>
  </w:footnote>
  <w:footnote w:id="73">
    <w:p w14:paraId="077A573D" w14:textId="344766F8"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UN GA, </w:t>
      </w:r>
      <w:r w:rsidRPr="00CA566C">
        <w:rPr>
          <w:i/>
          <w:iCs/>
          <w:sz w:val="16"/>
          <w:szCs w:val="16"/>
        </w:rPr>
        <w:t xml:space="preserve">Report of the Special Rapporteur on the rights of indigenous peoples, José Francisco </w:t>
      </w:r>
      <w:proofErr w:type="spellStart"/>
      <w:r w:rsidRPr="00CA566C">
        <w:rPr>
          <w:i/>
          <w:iCs/>
          <w:sz w:val="16"/>
          <w:szCs w:val="16"/>
        </w:rPr>
        <w:t>Calí</w:t>
      </w:r>
      <w:proofErr w:type="spellEnd"/>
      <w:r w:rsidRPr="00CA566C">
        <w:rPr>
          <w:i/>
          <w:iCs/>
          <w:sz w:val="16"/>
          <w:szCs w:val="16"/>
        </w:rPr>
        <w:t xml:space="preserve"> </w:t>
      </w:r>
      <w:proofErr w:type="spellStart"/>
      <w:r w:rsidRPr="00CA566C">
        <w:rPr>
          <w:i/>
          <w:iCs/>
          <w:sz w:val="16"/>
          <w:szCs w:val="16"/>
        </w:rPr>
        <w:t>Tzay</w:t>
      </w:r>
      <w:proofErr w:type="spellEnd"/>
      <w:r w:rsidRPr="00CA566C">
        <w:rPr>
          <w:sz w:val="16"/>
          <w:szCs w:val="16"/>
        </w:rPr>
        <w:t xml:space="preserve">, A/75/185, July 20, 2020, para.66. </w:t>
      </w:r>
    </w:p>
  </w:footnote>
  <w:footnote w:id="74">
    <w:p w14:paraId="7B718032" w14:textId="7465E665" w:rsidR="00A66C95" w:rsidRPr="00D363B8" w:rsidRDefault="00A66C95" w:rsidP="004707E3">
      <w:pPr>
        <w:pStyle w:val="Fodnotetekst"/>
        <w:jc w:val="both"/>
        <w:rPr>
          <w:sz w:val="16"/>
          <w:szCs w:val="16"/>
          <w:lang w:val="es-ES"/>
        </w:rPr>
      </w:pPr>
      <w:r w:rsidRPr="00CA566C">
        <w:rPr>
          <w:rStyle w:val="Fodnotehenvisning"/>
          <w:sz w:val="16"/>
          <w:szCs w:val="16"/>
        </w:rPr>
        <w:footnoteRef/>
      </w:r>
      <w:r w:rsidRPr="00D363B8">
        <w:rPr>
          <w:sz w:val="16"/>
          <w:szCs w:val="16"/>
          <w:lang w:val="es-ES"/>
        </w:rPr>
        <w:t xml:space="preserve"> Organización Nacional de Mujeres Indígenas Andinas y Amazónicas del Perú (ONAMIAP), </w:t>
      </w:r>
      <w:r w:rsidR="00C23037">
        <w:fldChar w:fldCharType="begin"/>
      </w:r>
      <w:r w:rsidR="00C23037" w:rsidRPr="00D363B8">
        <w:rPr>
          <w:lang w:val="es-ES"/>
        </w:rPr>
        <w:instrText xml:space="preserve"> HYPERLINK "http://onamiap.org/2020/06/on</w:instrText>
      </w:r>
      <w:r w:rsidR="00C23037" w:rsidRPr="00D363B8">
        <w:rPr>
          <w:lang w:val="es-ES"/>
        </w:rPr>
        <w:instrText xml:space="preserve">amiap-inicia-accion-judicial-contra-el-gobierno-por-poner-en-riesgo-a-los-pueblos-indigenas-durante-la-pandemia-del-covid-19/" </w:instrText>
      </w:r>
      <w:r w:rsidR="00C23037">
        <w:fldChar w:fldCharType="separate"/>
      </w:r>
      <w:r w:rsidRPr="00D363B8">
        <w:rPr>
          <w:rStyle w:val="Hyperlink"/>
          <w:i/>
          <w:iCs/>
          <w:sz w:val="16"/>
          <w:szCs w:val="16"/>
          <w:lang w:val="es-ES"/>
        </w:rPr>
        <w:t>ONAMIAP inicia acción judicial contra el Gobierno por poner en riesgo a los pueblos indígenas durante la pandemia del COVID-19</w:t>
      </w:r>
      <w:r w:rsidR="00C23037">
        <w:rPr>
          <w:rStyle w:val="Hyperlink"/>
          <w:i/>
          <w:iCs/>
          <w:sz w:val="16"/>
          <w:szCs w:val="16"/>
        </w:rPr>
        <w:fldChar w:fldCharType="end"/>
      </w:r>
      <w:r w:rsidRPr="00D363B8">
        <w:rPr>
          <w:sz w:val="16"/>
          <w:szCs w:val="16"/>
          <w:lang w:val="es-ES"/>
        </w:rPr>
        <w:t>, June 30, 2020; Pratima Gurung,</w:t>
      </w:r>
      <w:r w:rsidRPr="00D363B8">
        <w:rPr>
          <w:i/>
          <w:iCs/>
          <w:sz w:val="16"/>
          <w:szCs w:val="16"/>
          <w:lang w:val="es-ES"/>
        </w:rPr>
        <w:t xml:space="preserve"> </w:t>
      </w:r>
      <w:r w:rsidRPr="00D363B8">
        <w:rPr>
          <w:sz w:val="16"/>
          <w:szCs w:val="16"/>
          <w:lang w:val="es-ES"/>
        </w:rPr>
        <w:t>“Include indigenous people in COVID-19 response”</w:t>
      </w:r>
      <w:r w:rsidRPr="00D363B8">
        <w:rPr>
          <w:i/>
          <w:iCs/>
          <w:sz w:val="16"/>
          <w:szCs w:val="16"/>
          <w:lang w:val="es-ES"/>
        </w:rPr>
        <w:t>, Work in Progress Blog,</w:t>
      </w:r>
      <w:r w:rsidRPr="00D363B8">
        <w:rPr>
          <w:sz w:val="16"/>
          <w:szCs w:val="16"/>
          <w:lang w:val="es-ES"/>
        </w:rPr>
        <w:t xml:space="preserve"> 2020.</w:t>
      </w:r>
    </w:p>
  </w:footnote>
  <w:footnote w:id="75">
    <w:p w14:paraId="4C56035B" w14:textId="72847402" w:rsidR="00614768" w:rsidRPr="00CA566C" w:rsidRDefault="00614768" w:rsidP="004707E3">
      <w:pPr>
        <w:pStyle w:val="Fodnotetekst"/>
        <w:jc w:val="both"/>
        <w:rPr>
          <w:sz w:val="16"/>
          <w:szCs w:val="16"/>
        </w:rPr>
      </w:pPr>
      <w:r w:rsidRPr="00CA566C">
        <w:rPr>
          <w:rStyle w:val="Fodnotehenvisning"/>
          <w:sz w:val="16"/>
          <w:szCs w:val="16"/>
        </w:rPr>
        <w:footnoteRef/>
      </w:r>
      <w:r w:rsidRPr="00CA566C">
        <w:rPr>
          <w:sz w:val="16"/>
          <w:szCs w:val="16"/>
        </w:rPr>
        <w:t xml:space="preserve"> Inclusion y Equidad, </w:t>
      </w:r>
      <w:r w:rsidRPr="00CA566C">
        <w:rPr>
          <w:i/>
          <w:iCs/>
          <w:sz w:val="16"/>
          <w:szCs w:val="16"/>
        </w:rPr>
        <w:t>Regional Study: The situation of Indigenous Women in the Arctic Region in the Framework of the Beijing Declaration</w:t>
      </w:r>
      <w:r w:rsidRPr="00CA566C">
        <w:rPr>
          <w:sz w:val="16"/>
          <w:szCs w:val="16"/>
        </w:rPr>
        <w:t xml:space="preserve"> – 25</w:t>
      </w:r>
      <w:r w:rsidRPr="00CA566C">
        <w:rPr>
          <w:sz w:val="16"/>
          <w:szCs w:val="16"/>
          <w:vertAlign w:val="superscript"/>
        </w:rPr>
        <w:t>th</w:t>
      </w:r>
      <w:r w:rsidRPr="00CA566C">
        <w:rPr>
          <w:sz w:val="16"/>
          <w:szCs w:val="16"/>
        </w:rPr>
        <w:t xml:space="preserve"> Anniversary of the Beijing Declaration and Platform of Action, April 8, 2020, p.19. </w:t>
      </w:r>
    </w:p>
  </w:footnote>
  <w:footnote w:id="76">
    <w:p w14:paraId="4C4FF17A" w14:textId="77777777"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NIWF, LAHURNIP and FPP, “The Rights of Indigenous Women in Nepal: Shadow Report for the Combined 4</w:t>
      </w:r>
      <w:r w:rsidRPr="00CA566C">
        <w:rPr>
          <w:sz w:val="16"/>
          <w:szCs w:val="16"/>
          <w:vertAlign w:val="superscript"/>
        </w:rPr>
        <w:t>th</w:t>
      </w:r>
      <w:r w:rsidRPr="00CA566C">
        <w:rPr>
          <w:sz w:val="16"/>
          <w:szCs w:val="16"/>
        </w:rPr>
        <w:t xml:space="preserve"> and 5</w:t>
      </w:r>
      <w:r w:rsidRPr="00CA566C">
        <w:rPr>
          <w:sz w:val="16"/>
          <w:szCs w:val="16"/>
          <w:vertAlign w:val="superscript"/>
        </w:rPr>
        <w:t>th</w:t>
      </w:r>
      <w:r w:rsidRPr="00CA566C">
        <w:rPr>
          <w:sz w:val="16"/>
          <w:szCs w:val="16"/>
        </w:rPr>
        <w:t xml:space="preserve"> Periodic reports of Nepal CEDAW/c/NPL/4-5,” CEDAW, 49</w:t>
      </w:r>
      <w:r w:rsidRPr="00CA566C">
        <w:rPr>
          <w:sz w:val="16"/>
          <w:szCs w:val="16"/>
          <w:vertAlign w:val="superscript"/>
        </w:rPr>
        <w:t>th</w:t>
      </w:r>
      <w:r w:rsidRPr="00CA566C">
        <w:rPr>
          <w:sz w:val="16"/>
          <w:szCs w:val="16"/>
        </w:rPr>
        <w:t xml:space="preserve"> session, 11-29 July 2011, para.13.  </w:t>
      </w:r>
    </w:p>
  </w:footnote>
  <w:footnote w:id="77">
    <w:p w14:paraId="31EFC424" w14:textId="786E40CD" w:rsidR="00A66C95" w:rsidRPr="00CA566C" w:rsidRDefault="00A66C95" w:rsidP="004707E3">
      <w:pPr>
        <w:pStyle w:val="Fodnotetekst"/>
        <w:jc w:val="both"/>
        <w:rPr>
          <w:sz w:val="16"/>
          <w:szCs w:val="16"/>
        </w:rPr>
      </w:pPr>
      <w:r w:rsidRPr="00CA566C">
        <w:rPr>
          <w:rStyle w:val="Fodnotehenvisning"/>
          <w:sz w:val="16"/>
          <w:szCs w:val="16"/>
        </w:rPr>
        <w:footnoteRef/>
      </w:r>
      <w:r w:rsidRPr="00CA566C">
        <w:rPr>
          <w:sz w:val="16"/>
          <w:szCs w:val="16"/>
        </w:rPr>
        <w:t xml:space="preserve"> ISAWN of Mainland India, IWFNEI, AIPP, </w:t>
      </w:r>
      <w:r w:rsidRPr="00CA566C">
        <w:rPr>
          <w:i/>
          <w:iCs/>
          <w:sz w:val="16"/>
          <w:szCs w:val="16"/>
        </w:rPr>
        <w:t>India: NGO CEDAW Shadow Report and status of Adivasi/Tribal Women in India</w:t>
      </w:r>
      <w:r w:rsidRPr="00CA566C">
        <w:rPr>
          <w:sz w:val="16"/>
          <w:szCs w:val="16"/>
        </w:rPr>
        <w:t xml:space="preserve">, June 2014, p.7. </w:t>
      </w:r>
    </w:p>
  </w:footnote>
  <w:footnote w:id="78">
    <w:p w14:paraId="1D1511EB" w14:textId="5F665A1E" w:rsidR="00A66C95" w:rsidRPr="00CA566C" w:rsidRDefault="00A66C95" w:rsidP="004707E3">
      <w:pPr>
        <w:pStyle w:val="Fodnotetekst"/>
        <w:jc w:val="both"/>
        <w:rPr>
          <w:sz w:val="16"/>
          <w:szCs w:val="16"/>
          <w:lang w:val="fr-CA"/>
        </w:rPr>
      </w:pPr>
      <w:r w:rsidRPr="00CA566C">
        <w:rPr>
          <w:rStyle w:val="Fodnotehenvisning"/>
          <w:sz w:val="16"/>
          <w:szCs w:val="16"/>
        </w:rPr>
        <w:footnoteRef/>
      </w:r>
      <w:r w:rsidRPr="00CA566C">
        <w:rPr>
          <w:sz w:val="16"/>
          <w:szCs w:val="16"/>
          <w:lang w:val="fr-CA"/>
        </w:rPr>
        <w:t xml:space="preserve"> UN </w:t>
      </w:r>
      <w:proofErr w:type="spellStart"/>
      <w:r w:rsidRPr="00CA566C">
        <w:rPr>
          <w:sz w:val="16"/>
          <w:szCs w:val="16"/>
          <w:lang w:val="fr-CA"/>
        </w:rPr>
        <w:t>Women</w:t>
      </w:r>
      <w:proofErr w:type="spellEnd"/>
      <w:r w:rsidRPr="00CA566C">
        <w:rPr>
          <w:sz w:val="16"/>
          <w:szCs w:val="16"/>
          <w:lang w:val="fr-CA"/>
        </w:rPr>
        <w:t xml:space="preserve"> Brazil, </w:t>
      </w:r>
      <w:r w:rsidR="00C23037">
        <w:fldChar w:fldCharType="begin"/>
      </w:r>
      <w:r w:rsidR="00C23037" w:rsidRPr="00D363B8">
        <w:rPr>
          <w:lang w:val="es-ES"/>
        </w:rPr>
        <w:instrText xml:space="preserve"> HYPERL</w:instrText>
      </w:r>
      <w:r w:rsidR="00C23037" w:rsidRPr="00D363B8">
        <w:rPr>
          <w:lang w:val="es-ES"/>
        </w:rPr>
        <w:instrText xml:space="preserve">INK "http://www.onumulheres.org.br/noticias/relatora-especial-da-onu-sobre-os-direitos-dos-povos-indigenas-recomenda-maior-documentacao-dos-problemas-enfrentados-pelas-mulheres-indigenas-do-brasil/" </w:instrText>
      </w:r>
      <w:r w:rsidR="00C23037">
        <w:fldChar w:fldCharType="separate"/>
      </w:r>
      <w:proofErr w:type="spellStart"/>
      <w:r w:rsidRPr="00CA566C">
        <w:rPr>
          <w:rStyle w:val="Hyperlink"/>
          <w:i/>
          <w:iCs/>
          <w:sz w:val="16"/>
          <w:szCs w:val="16"/>
          <w:lang w:val="fr-CA"/>
        </w:rPr>
        <w:t>Relatora</w:t>
      </w:r>
      <w:proofErr w:type="spellEnd"/>
      <w:r w:rsidRPr="00CA566C">
        <w:rPr>
          <w:rStyle w:val="Hyperlink"/>
          <w:i/>
          <w:iCs/>
          <w:sz w:val="16"/>
          <w:szCs w:val="16"/>
          <w:lang w:val="fr-CA"/>
        </w:rPr>
        <w:t xml:space="preserve"> </w:t>
      </w:r>
      <w:proofErr w:type="spellStart"/>
      <w:r w:rsidRPr="00CA566C">
        <w:rPr>
          <w:rStyle w:val="Hyperlink"/>
          <w:i/>
          <w:iCs/>
          <w:sz w:val="16"/>
          <w:szCs w:val="16"/>
          <w:lang w:val="fr-CA"/>
        </w:rPr>
        <w:t>Especial</w:t>
      </w:r>
      <w:proofErr w:type="spellEnd"/>
      <w:r w:rsidRPr="00CA566C">
        <w:rPr>
          <w:rStyle w:val="Hyperlink"/>
          <w:i/>
          <w:iCs/>
          <w:sz w:val="16"/>
          <w:szCs w:val="16"/>
          <w:lang w:val="fr-CA"/>
        </w:rPr>
        <w:t xml:space="preserve"> da ONU sobre os Direitos dos Povos Indígenas recomenda maior documentação dos problemas enfrentados pelas mulheres indígenas do Brasil</w:t>
      </w:r>
      <w:r w:rsidR="00C23037">
        <w:rPr>
          <w:rStyle w:val="Hyperlink"/>
          <w:i/>
          <w:iCs/>
          <w:sz w:val="16"/>
          <w:szCs w:val="16"/>
          <w:lang w:val="fr-CA"/>
        </w:rPr>
        <w:fldChar w:fldCharType="end"/>
      </w:r>
      <w:r w:rsidRPr="00CA566C">
        <w:rPr>
          <w:sz w:val="16"/>
          <w:szCs w:val="16"/>
          <w:lang w:val="fr-CA"/>
        </w:rPr>
        <w:t xml:space="preserve">, March 18,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2BB"/>
    <w:multiLevelType w:val="hybridMultilevel"/>
    <w:tmpl w:val="779C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4D72"/>
    <w:multiLevelType w:val="hybridMultilevel"/>
    <w:tmpl w:val="B9A6A8DC"/>
    <w:lvl w:ilvl="0" w:tplc="9B767EC2">
      <w:start w:val="1"/>
      <w:numFmt w:val="lowerLetter"/>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D1A"/>
    <w:multiLevelType w:val="multilevel"/>
    <w:tmpl w:val="0F581552"/>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7315F"/>
    <w:multiLevelType w:val="multilevel"/>
    <w:tmpl w:val="728604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A7F7B"/>
    <w:multiLevelType w:val="multilevel"/>
    <w:tmpl w:val="F162F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070DF"/>
    <w:multiLevelType w:val="multilevel"/>
    <w:tmpl w:val="388480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23A3A"/>
    <w:multiLevelType w:val="multilevel"/>
    <w:tmpl w:val="3884806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9064B3"/>
    <w:multiLevelType w:val="multilevel"/>
    <w:tmpl w:val="FC6EC25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501649"/>
    <w:multiLevelType w:val="hybridMultilevel"/>
    <w:tmpl w:val="EB2C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2"/>
  </w:num>
  <w:num w:numId="6">
    <w:abstractNumId w:val="1"/>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DC"/>
    <w:rsid w:val="00033973"/>
    <w:rsid w:val="0004213C"/>
    <w:rsid w:val="00082999"/>
    <w:rsid w:val="00083C5B"/>
    <w:rsid w:val="000B7649"/>
    <w:rsid w:val="000C2183"/>
    <w:rsid w:val="000D1EE5"/>
    <w:rsid w:val="000D4A96"/>
    <w:rsid w:val="000D61FC"/>
    <w:rsid w:val="000E2537"/>
    <w:rsid w:val="000F6C25"/>
    <w:rsid w:val="001512FF"/>
    <w:rsid w:val="00163BD3"/>
    <w:rsid w:val="001677CC"/>
    <w:rsid w:val="00171BCB"/>
    <w:rsid w:val="001A1412"/>
    <w:rsid w:val="001A610B"/>
    <w:rsid w:val="001D40E0"/>
    <w:rsid w:val="001E16C9"/>
    <w:rsid w:val="001F0428"/>
    <w:rsid w:val="001F1B17"/>
    <w:rsid w:val="001F377C"/>
    <w:rsid w:val="001F78C1"/>
    <w:rsid w:val="002047AE"/>
    <w:rsid w:val="00233B53"/>
    <w:rsid w:val="00245938"/>
    <w:rsid w:val="00256CED"/>
    <w:rsid w:val="00267A38"/>
    <w:rsid w:val="00281CC7"/>
    <w:rsid w:val="002A3CEF"/>
    <w:rsid w:val="002B16BC"/>
    <w:rsid w:val="002C4993"/>
    <w:rsid w:val="00322BCA"/>
    <w:rsid w:val="00324D60"/>
    <w:rsid w:val="0033798A"/>
    <w:rsid w:val="0034185B"/>
    <w:rsid w:val="00345C91"/>
    <w:rsid w:val="003762AD"/>
    <w:rsid w:val="003832BD"/>
    <w:rsid w:val="003954DC"/>
    <w:rsid w:val="003C7FD9"/>
    <w:rsid w:val="003F0623"/>
    <w:rsid w:val="003F390C"/>
    <w:rsid w:val="00412106"/>
    <w:rsid w:val="004171E8"/>
    <w:rsid w:val="00454219"/>
    <w:rsid w:val="0046037F"/>
    <w:rsid w:val="00461C92"/>
    <w:rsid w:val="00466576"/>
    <w:rsid w:val="004707E3"/>
    <w:rsid w:val="004A48C3"/>
    <w:rsid w:val="005124BE"/>
    <w:rsid w:val="00516D79"/>
    <w:rsid w:val="0052170C"/>
    <w:rsid w:val="00521A7C"/>
    <w:rsid w:val="00523B70"/>
    <w:rsid w:val="00527700"/>
    <w:rsid w:val="00591837"/>
    <w:rsid w:val="005B4B31"/>
    <w:rsid w:val="006073BE"/>
    <w:rsid w:val="00611ED3"/>
    <w:rsid w:val="00614768"/>
    <w:rsid w:val="00615508"/>
    <w:rsid w:val="00616284"/>
    <w:rsid w:val="006443D0"/>
    <w:rsid w:val="006641BA"/>
    <w:rsid w:val="00677FE1"/>
    <w:rsid w:val="0069215A"/>
    <w:rsid w:val="006951B4"/>
    <w:rsid w:val="006978B1"/>
    <w:rsid w:val="006D1368"/>
    <w:rsid w:val="006F6444"/>
    <w:rsid w:val="00703564"/>
    <w:rsid w:val="007166EE"/>
    <w:rsid w:val="00743DDF"/>
    <w:rsid w:val="00766F6B"/>
    <w:rsid w:val="00774D48"/>
    <w:rsid w:val="00785F37"/>
    <w:rsid w:val="007924DF"/>
    <w:rsid w:val="00796065"/>
    <w:rsid w:val="007B1B64"/>
    <w:rsid w:val="007B207A"/>
    <w:rsid w:val="007D5676"/>
    <w:rsid w:val="007E3B14"/>
    <w:rsid w:val="008011D5"/>
    <w:rsid w:val="0080644A"/>
    <w:rsid w:val="00815ABB"/>
    <w:rsid w:val="00827877"/>
    <w:rsid w:val="00847892"/>
    <w:rsid w:val="00862014"/>
    <w:rsid w:val="0086278F"/>
    <w:rsid w:val="00885A0B"/>
    <w:rsid w:val="00894CC4"/>
    <w:rsid w:val="008A3A98"/>
    <w:rsid w:val="008B4FC5"/>
    <w:rsid w:val="008D2A68"/>
    <w:rsid w:val="008E151D"/>
    <w:rsid w:val="008E2D9D"/>
    <w:rsid w:val="009015EE"/>
    <w:rsid w:val="00902DB8"/>
    <w:rsid w:val="00903F77"/>
    <w:rsid w:val="00913C6D"/>
    <w:rsid w:val="0091514C"/>
    <w:rsid w:val="009302D1"/>
    <w:rsid w:val="00943CCD"/>
    <w:rsid w:val="009647B8"/>
    <w:rsid w:val="00967A54"/>
    <w:rsid w:val="0097384E"/>
    <w:rsid w:val="009A20AA"/>
    <w:rsid w:val="00A078AB"/>
    <w:rsid w:val="00A24F38"/>
    <w:rsid w:val="00A3393A"/>
    <w:rsid w:val="00A42933"/>
    <w:rsid w:val="00A45093"/>
    <w:rsid w:val="00A66C95"/>
    <w:rsid w:val="00A8353B"/>
    <w:rsid w:val="00A905AF"/>
    <w:rsid w:val="00AA0C11"/>
    <w:rsid w:val="00AB7A7E"/>
    <w:rsid w:val="00AC0116"/>
    <w:rsid w:val="00AD20BC"/>
    <w:rsid w:val="00AD7DF8"/>
    <w:rsid w:val="00AE17B0"/>
    <w:rsid w:val="00AE483D"/>
    <w:rsid w:val="00AE55CB"/>
    <w:rsid w:val="00AF2438"/>
    <w:rsid w:val="00B12469"/>
    <w:rsid w:val="00B149AD"/>
    <w:rsid w:val="00B309E3"/>
    <w:rsid w:val="00B34F62"/>
    <w:rsid w:val="00B51FDD"/>
    <w:rsid w:val="00B566EF"/>
    <w:rsid w:val="00BA37DB"/>
    <w:rsid w:val="00BB032A"/>
    <w:rsid w:val="00BB08A7"/>
    <w:rsid w:val="00BB4503"/>
    <w:rsid w:val="00C0083E"/>
    <w:rsid w:val="00C06045"/>
    <w:rsid w:val="00C23037"/>
    <w:rsid w:val="00C27D29"/>
    <w:rsid w:val="00C34223"/>
    <w:rsid w:val="00C4309B"/>
    <w:rsid w:val="00C72DC7"/>
    <w:rsid w:val="00C751CB"/>
    <w:rsid w:val="00C83745"/>
    <w:rsid w:val="00CA226A"/>
    <w:rsid w:val="00CA47F8"/>
    <w:rsid w:val="00CA566C"/>
    <w:rsid w:val="00D07E8B"/>
    <w:rsid w:val="00D25BAE"/>
    <w:rsid w:val="00D363B8"/>
    <w:rsid w:val="00D85D2C"/>
    <w:rsid w:val="00DA05C9"/>
    <w:rsid w:val="00DA4399"/>
    <w:rsid w:val="00DE4CA0"/>
    <w:rsid w:val="00E05415"/>
    <w:rsid w:val="00E15FF3"/>
    <w:rsid w:val="00E32F9C"/>
    <w:rsid w:val="00E34F2C"/>
    <w:rsid w:val="00E54902"/>
    <w:rsid w:val="00E57C6A"/>
    <w:rsid w:val="00E61FF4"/>
    <w:rsid w:val="00E6502F"/>
    <w:rsid w:val="00E75E85"/>
    <w:rsid w:val="00E80392"/>
    <w:rsid w:val="00EA7649"/>
    <w:rsid w:val="00EB5C8D"/>
    <w:rsid w:val="00EB7381"/>
    <w:rsid w:val="00EE4D5C"/>
    <w:rsid w:val="00F24F60"/>
    <w:rsid w:val="00F411EB"/>
    <w:rsid w:val="00F65CB0"/>
    <w:rsid w:val="00F81A09"/>
    <w:rsid w:val="00F917FC"/>
    <w:rsid w:val="00F93D63"/>
    <w:rsid w:val="00FC7C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BB97"/>
  <w15:chartTrackingRefBased/>
  <w15:docId w15:val="{6DE1A8A5-0586-4759-A188-A6692B3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BA"/>
    <w:pPr>
      <w:spacing w:after="0" w:line="240" w:lineRule="auto"/>
    </w:pPr>
    <w:rPr>
      <w:rFonts w:eastAsiaTheme="minorEastAsia"/>
      <w:sz w:val="24"/>
      <w:szCs w:val="24"/>
      <w:lang w:val="en-CA" w:eastAsia="zh-CN"/>
    </w:rPr>
  </w:style>
  <w:style w:type="paragraph" w:styleId="Overskrift1">
    <w:name w:val="heading 1"/>
    <w:basedOn w:val="Normal"/>
    <w:next w:val="Normal"/>
    <w:link w:val="Overskrift1Tegn"/>
    <w:uiPriority w:val="9"/>
    <w:qFormat/>
    <w:rsid w:val="003954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D363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54DC"/>
    <w:rPr>
      <w:rFonts w:asciiTheme="majorHAnsi" w:eastAsiaTheme="majorEastAsia" w:hAnsiTheme="majorHAnsi" w:cstheme="majorBidi"/>
      <w:color w:val="2F5496" w:themeColor="accent1" w:themeShade="BF"/>
      <w:sz w:val="32"/>
      <w:szCs w:val="32"/>
      <w:lang w:val="en-CA" w:eastAsia="zh-CN"/>
    </w:rPr>
  </w:style>
  <w:style w:type="paragraph" w:styleId="NormalWeb">
    <w:name w:val="Normal (Web)"/>
    <w:basedOn w:val="Normal"/>
    <w:uiPriority w:val="99"/>
    <w:unhideWhenUsed/>
    <w:rsid w:val="003954DC"/>
    <w:pPr>
      <w:spacing w:before="100" w:beforeAutospacing="1" w:after="100" w:afterAutospacing="1"/>
    </w:pPr>
    <w:rPr>
      <w:rFonts w:ascii="Times New Roman" w:eastAsia="Times New Roman" w:hAnsi="Times New Roman" w:cs="Times New Roman"/>
    </w:rPr>
  </w:style>
  <w:style w:type="paragraph" w:styleId="Fodnotetekst">
    <w:name w:val="footnote text"/>
    <w:aliases w:val="5_G"/>
    <w:basedOn w:val="Normal"/>
    <w:link w:val="FodnotetekstTegn"/>
    <w:uiPriority w:val="99"/>
    <w:unhideWhenUsed/>
    <w:qFormat/>
    <w:rsid w:val="003954DC"/>
    <w:rPr>
      <w:sz w:val="20"/>
      <w:szCs w:val="20"/>
    </w:rPr>
  </w:style>
  <w:style w:type="character" w:customStyle="1" w:styleId="FodnotetekstTegn">
    <w:name w:val="Fodnotetekst Tegn"/>
    <w:aliases w:val="5_G Tegn"/>
    <w:basedOn w:val="Standardskrifttypeiafsnit"/>
    <w:link w:val="Fodnotetekst"/>
    <w:uiPriority w:val="99"/>
    <w:rsid w:val="003954DC"/>
    <w:rPr>
      <w:rFonts w:eastAsiaTheme="minorEastAsia"/>
      <w:sz w:val="20"/>
      <w:szCs w:val="20"/>
      <w:lang w:val="en-CA" w:eastAsia="zh-CN"/>
    </w:rPr>
  </w:style>
  <w:style w:type="character" w:styleId="Fodnotehenvisning">
    <w:name w:val="footnote reference"/>
    <w:aliases w:val="4_G"/>
    <w:basedOn w:val="Standardskrifttypeiafsnit"/>
    <w:uiPriority w:val="99"/>
    <w:unhideWhenUsed/>
    <w:qFormat/>
    <w:rsid w:val="003954DC"/>
    <w:rPr>
      <w:vertAlign w:val="superscript"/>
    </w:rPr>
  </w:style>
  <w:style w:type="paragraph" w:styleId="Listeafsnit">
    <w:name w:val="List Paragraph"/>
    <w:basedOn w:val="Normal"/>
    <w:uiPriority w:val="34"/>
    <w:qFormat/>
    <w:rsid w:val="003954DC"/>
    <w:pPr>
      <w:ind w:left="720"/>
      <w:contextualSpacing/>
    </w:pPr>
  </w:style>
  <w:style w:type="paragraph" w:styleId="Markeringsbobletekst">
    <w:name w:val="Balloon Text"/>
    <w:basedOn w:val="Normal"/>
    <w:link w:val="MarkeringsbobletekstTegn"/>
    <w:uiPriority w:val="99"/>
    <w:semiHidden/>
    <w:unhideWhenUsed/>
    <w:rsid w:val="003954D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954DC"/>
    <w:rPr>
      <w:rFonts w:ascii="Segoe UI" w:eastAsiaTheme="minorEastAsia" w:hAnsi="Segoe UI" w:cs="Segoe UI"/>
      <w:sz w:val="18"/>
      <w:szCs w:val="18"/>
      <w:lang w:val="en-CA" w:eastAsia="zh-CN"/>
    </w:rPr>
  </w:style>
  <w:style w:type="character" w:customStyle="1" w:styleId="fontstyle01">
    <w:name w:val="fontstyle01"/>
    <w:basedOn w:val="Standardskrifttypeiafsnit"/>
    <w:rsid w:val="003954DC"/>
    <w:rPr>
      <w:rFonts w:ascii="Cambria" w:hAnsi="Cambria" w:hint="default"/>
      <w:b w:val="0"/>
      <w:bCs w:val="0"/>
      <w:i w:val="0"/>
      <w:iCs w:val="0"/>
      <w:color w:val="000000"/>
      <w:sz w:val="22"/>
      <w:szCs w:val="22"/>
    </w:rPr>
  </w:style>
  <w:style w:type="character" w:styleId="Hyperlink">
    <w:name w:val="Hyperlink"/>
    <w:basedOn w:val="Standardskrifttypeiafsnit"/>
    <w:uiPriority w:val="99"/>
    <w:unhideWhenUsed/>
    <w:rsid w:val="003954DC"/>
    <w:rPr>
      <w:color w:val="0563C1" w:themeColor="hyperlink"/>
      <w:u w:val="single"/>
    </w:rPr>
  </w:style>
  <w:style w:type="character" w:styleId="Ulstomtale">
    <w:name w:val="Unresolved Mention"/>
    <w:basedOn w:val="Standardskrifttypeiafsnit"/>
    <w:uiPriority w:val="99"/>
    <w:semiHidden/>
    <w:unhideWhenUsed/>
    <w:rsid w:val="003954DC"/>
    <w:rPr>
      <w:color w:val="605E5C"/>
      <w:shd w:val="clear" w:color="auto" w:fill="E1DFDD"/>
    </w:rPr>
  </w:style>
  <w:style w:type="paragraph" w:styleId="Slutnotetekst">
    <w:name w:val="endnote text"/>
    <w:basedOn w:val="Normal"/>
    <w:link w:val="SlutnotetekstTegn"/>
    <w:uiPriority w:val="99"/>
    <w:unhideWhenUsed/>
    <w:rsid w:val="003954DC"/>
    <w:rPr>
      <w:rFonts w:ascii="Calibri" w:eastAsia="Calibri" w:hAnsi="Calibri" w:cs="Vrinda"/>
      <w:sz w:val="20"/>
      <w:szCs w:val="20"/>
      <w:lang w:val="en-US" w:eastAsia="en-US"/>
    </w:rPr>
  </w:style>
  <w:style w:type="character" w:customStyle="1" w:styleId="SlutnotetekstTegn">
    <w:name w:val="Slutnotetekst Tegn"/>
    <w:basedOn w:val="Standardskrifttypeiafsnit"/>
    <w:link w:val="Slutnotetekst"/>
    <w:uiPriority w:val="99"/>
    <w:rsid w:val="003954DC"/>
    <w:rPr>
      <w:rFonts w:ascii="Calibri" w:eastAsia="Calibri" w:hAnsi="Calibri" w:cs="Vrinda"/>
      <w:sz w:val="20"/>
      <w:szCs w:val="20"/>
    </w:rPr>
  </w:style>
  <w:style w:type="character" w:styleId="Slutnotehenvisning">
    <w:name w:val="endnote reference"/>
    <w:uiPriority w:val="99"/>
    <w:unhideWhenUsed/>
    <w:rsid w:val="003954DC"/>
    <w:rPr>
      <w:vertAlign w:val="superscript"/>
    </w:rPr>
  </w:style>
  <w:style w:type="character" w:styleId="BesgtLink">
    <w:name w:val="FollowedHyperlink"/>
    <w:basedOn w:val="Standardskrifttypeiafsnit"/>
    <w:uiPriority w:val="99"/>
    <w:semiHidden/>
    <w:unhideWhenUsed/>
    <w:rsid w:val="003954DC"/>
    <w:rPr>
      <w:color w:val="954F72" w:themeColor="followedHyperlink"/>
      <w:u w:val="single"/>
    </w:rPr>
  </w:style>
  <w:style w:type="character" w:styleId="Kommentarhenvisning">
    <w:name w:val="annotation reference"/>
    <w:basedOn w:val="Standardskrifttypeiafsnit"/>
    <w:uiPriority w:val="99"/>
    <w:semiHidden/>
    <w:unhideWhenUsed/>
    <w:rsid w:val="00E75E85"/>
    <w:rPr>
      <w:sz w:val="16"/>
      <w:szCs w:val="16"/>
    </w:rPr>
  </w:style>
  <w:style w:type="paragraph" w:styleId="Kommentartekst">
    <w:name w:val="annotation text"/>
    <w:basedOn w:val="Normal"/>
    <w:link w:val="KommentartekstTegn"/>
    <w:uiPriority w:val="99"/>
    <w:unhideWhenUsed/>
    <w:rsid w:val="00E75E85"/>
    <w:rPr>
      <w:sz w:val="20"/>
      <w:szCs w:val="20"/>
    </w:rPr>
  </w:style>
  <w:style w:type="character" w:customStyle="1" w:styleId="KommentartekstTegn">
    <w:name w:val="Kommentartekst Tegn"/>
    <w:basedOn w:val="Standardskrifttypeiafsnit"/>
    <w:link w:val="Kommentartekst"/>
    <w:uiPriority w:val="99"/>
    <w:rsid w:val="00E75E85"/>
    <w:rPr>
      <w:rFonts w:eastAsiaTheme="minorEastAsia"/>
      <w:sz w:val="20"/>
      <w:szCs w:val="20"/>
      <w:lang w:val="en-CA" w:eastAsia="zh-CN"/>
    </w:rPr>
  </w:style>
  <w:style w:type="paragraph" w:styleId="Kommentaremne">
    <w:name w:val="annotation subject"/>
    <w:basedOn w:val="Kommentartekst"/>
    <w:next w:val="Kommentartekst"/>
    <w:link w:val="KommentaremneTegn"/>
    <w:uiPriority w:val="99"/>
    <w:semiHidden/>
    <w:unhideWhenUsed/>
    <w:rsid w:val="00E75E85"/>
    <w:rPr>
      <w:b/>
      <w:bCs/>
    </w:rPr>
  </w:style>
  <w:style w:type="character" w:customStyle="1" w:styleId="KommentaremneTegn">
    <w:name w:val="Kommentaremne Tegn"/>
    <w:basedOn w:val="KommentartekstTegn"/>
    <w:link w:val="Kommentaremne"/>
    <w:uiPriority w:val="99"/>
    <w:semiHidden/>
    <w:rsid w:val="00E75E85"/>
    <w:rPr>
      <w:rFonts w:eastAsiaTheme="minorEastAsia"/>
      <w:b/>
      <w:bCs/>
      <w:sz w:val="20"/>
      <w:szCs w:val="20"/>
      <w:lang w:val="en-CA" w:eastAsia="zh-CN"/>
    </w:rPr>
  </w:style>
  <w:style w:type="paragraph" w:styleId="Sidehoved">
    <w:name w:val="header"/>
    <w:basedOn w:val="Normal"/>
    <w:link w:val="SidehovedTegn"/>
    <w:uiPriority w:val="99"/>
    <w:unhideWhenUsed/>
    <w:rsid w:val="001A1412"/>
    <w:pPr>
      <w:tabs>
        <w:tab w:val="center" w:pos="4680"/>
        <w:tab w:val="right" w:pos="9360"/>
      </w:tabs>
    </w:pPr>
  </w:style>
  <w:style w:type="character" w:customStyle="1" w:styleId="SidehovedTegn">
    <w:name w:val="Sidehoved Tegn"/>
    <w:basedOn w:val="Standardskrifttypeiafsnit"/>
    <w:link w:val="Sidehoved"/>
    <w:uiPriority w:val="99"/>
    <w:rsid w:val="001A1412"/>
    <w:rPr>
      <w:rFonts w:eastAsiaTheme="minorEastAsia"/>
      <w:sz w:val="24"/>
      <w:szCs w:val="24"/>
      <w:lang w:val="en-CA" w:eastAsia="zh-CN"/>
    </w:rPr>
  </w:style>
  <w:style w:type="paragraph" w:styleId="Sidefod">
    <w:name w:val="footer"/>
    <w:basedOn w:val="Normal"/>
    <w:link w:val="SidefodTegn"/>
    <w:uiPriority w:val="99"/>
    <w:unhideWhenUsed/>
    <w:rsid w:val="001A1412"/>
    <w:pPr>
      <w:tabs>
        <w:tab w:val="center" w:pos="4680"/>
        <w:tab w:val="right" w:pos="9360"/>
      </w:tabs>
    </w:pPr>
  </w:style>
  <w:style w:type="character" w:customStyle="1" w:styleId="SidefodTegn">
    <w:name w:val="Sidefod Tegn"/>
    <w:basedOn w:val="Standardskrifttypeiafsnit"/>
    <w:link w:val="Sidefod"/>
    <w:uiPriority w:val="99"/>
    <w:rsid w:val="001A1412"/>
    <w:rPr>
      <w:rFonts w:eastAsiaTheme="minorEastAsia"/>
      <w:sz w:val="24"/>
      <w:szCs w:val="24"/>
      <w:lang w:val="en-CA" w:eastAsia="zh-CN"/>
    </w:rPr>
  </w:style>
  <w:style w:type="paragraph" w:customStyle="1" w:styleId="SingleTxtG">
    <w:name w:val="_ Single Txt_G"/>
    <w:basedOn w:val="Normal"/>
    <w:link w:val="SingleTxtGChar"/>
    <w:rsid w:val="00AD7DF8"/>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locked/>
    <w:rsid w:val="00AD7DF8"/>
    <w:rPr>
      <w:rFonts w:ascii="Times New Roman" w:eastAsia="Times New Roman" w:hAnsi="Times New Roman" w:cs="Times New Roman"/>
      <w:sz w:val="20"/>
      <w:szCs w:val="20"/>
      <w:lang w:val="en-GB"/>
    </w:rPr>
  </w:style>
  <w:style w:type="paragraph" w:customStyle="1" w:styleId="pf0">
    <w:name w:val="pf0"/>
    <w:basedOn w:val="Normal"/>
    <w:rsid w:val="00AD7DF8"/>
    <w:pPr>
      <w:spacing w:before="100" w:beforeAutospacing="1" w:after="100" w:afterAutospacing="1"/>
    </w:pPr>
    <w:rPr>
      <w:rFonts w:ascii="Times New Roman" w:eastAsia="Times New Roman" w:hAnsi="Times New Roman" w:cs="Times New Roman"/>
      <w:lang w:val="da-DK" w:eastAsia="zh-TW"/>
    </w:rPr>
  </w:style>
  <w:style w:type="character" w:customStyle="1" w:styleId="cf01">
    <w:name w:val="cf01"/>
    <w:basedOn w:val="Standardskrifttypeiafsnit"/>
    <w:rsid w:val="00AD7DF8"/>
    <w:rPr>
      <w:rFonts w:ascii="Segoe UI" w:hAnsi="Segoe UI" w:cs="Segoe UI" w:hint="default"/>
      <w:sz w:val="18"/>
      <w:szCs w:val="18"/>
    </w:rPr>
  </w:style>
  <w:style w:type="paragraph" w:styleId="Korrektur">
    <w:name w:val="Revision"/>
    <w:hidden/>
    <w:uiPriority w:val="99"/>
    <w:semiHidden/>
    <w:rsid w:val="001677CC"/>
    <w:pPr>
      <w:spacing w:after="0" w:line="240" w:lineRule="auto"/>
    </w:pPr>
    <w:rPr>
      <w:rFonts w:eastAsiaTheme="minorEastAsia"/>
      <w:sz w:val="24"/>
      <w:szCs w:val="24"/>
      <w:lang w:val="en-CA" w:eastAsia="zh-CN"/>
    </w:rPr>
  </w:style>
  <w:style w:type="character" w:customStyle="1" w:styleId="Overskrift2Tegn">
    <w:name w:val="Overskrift 2 Tegn"/>
    <w:basedOn w:val="Standardskrifttypeiafsnit"/>
    <w:link w:val="Overskrift2"/>
    <w:uiPriority w:val="9"/>
    <w:semiHidden/>
    <w:rsid w:val="00D363B8"/>
    <w:rPr>
      <w:rFonts w:asciiTheme="majorHAnsi" w:eastAsiaTheme="majorEastAsia" w:hAnsiTheme="majorHAnsi" w:cstheme="majorBidi"/>
      <w:color w:val="2F5496" w:themeColor="accent1" w:themeShade="BF"/>
      <w:sz w:val="26"/>
      <w:szCs w:val="26"/>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8684">
      <w:bodyDiv w:val="1"/>
      <w:marLeft w:val="0"/>
      <w:marRight w:val="0"/>
      <w:marTop w:val="0"/>
      <w:marBottom w:val="0"/>
      <w:divBdr>
        <w:top w:val="none" w:sz="0" w:space="0" w:color="auto"/>
        <w:left w:val="none" w:sz="0" w:space="0" w:color="auto"/>
        <w:bottom w:val="none" w:sz="0" w:space="0" w:color="auto"/>
        <w:right w:val="none" w:sz="0" w:space="0" w:color="auto"/>
      </w:divBdr>
    </w:div>
    <w:div w:id="476145084">
      <w:bodyDiv w:val="1"/>
      <w:marLeft w:val="0"/>
      <w:marRight w:val="0"/>
      <w:marTop w:val="0"/>
      <w:marBottom w:val="0"/>
      <w:divBdr>
        <w:top w:val="none" w:sz="0" w:space="0" w:color="auto"/>
        <w:left w:val="none" w:sz="0" w:space="0" w:color="auto"/>
        <w:bottom w:val="none" w:sz="0" w:space="0" w:color="auto"/>
        <w:right w:val="none" w:sz="0" w:space="0" w:color="auto"/>
      </w:divBdr>
    </w:div>
    <w:div w:id="565720383">
      <w:bodyDiv w:val="1"/>
      <w:marLeft w:val="0"/>
      <w:marRight w:val="0"/>
      <w:marTop w:val="0"/>
      <w:marBottom w:val="0"/>
      <w:divBdr>
        <w:top w:val="none" w:sz="0" w:space="0" w:color="auto"/>
        <w:left w:val="none" w:sz="0" w:space="0" w:color="auto"/>
        <w:bottom w:val="none" w:sz="0" w:space="0" w:color="auto"/>
        <w:right w:val="none" w:sz="0" w:space="0" w:color="auto"/>
      </w:divBdr>
    </w:div>
    <w:div w:id="781413606">
      <w:bodyDiv w:val="1"/>
      <w:marLeft w:val="0"/>
      <w:marRight w:val="0"/>
      <w:marTop w:val="0"/>
      <w:marBottom w:val="0"/>
      <w:divBdr>
        <w:top w:val="none" w:sz="0" w:space="0" w:color="auto"/>
        <w:left w:val="none" w:sz="0" w:space="0" w:color="auto"/>
        <w:bottom w:val="none" w:sz="0" w:space="0" w:color="auto"/>
        <w:right w:val="none" w:sz="0" w:space="0" w:color="auto"/>
      </w:divBdr>
    </w:div>
    <w:div w:id="1487042825">
      <w:bodyDiv w:val="1"/>
      <w:marLeft w:val="0"/>
      <w:marRight w:val="0"/>
      <w:marTop w:val="0"/>
      <w:marBottom w:val="0"/>
      <w:divBdr>
        <w:top w:val="none" w:sz="0" w:space="0" w:color="auto"/>
        <w:left w:val="none" w:sz="0" w:space="0" w:color="auto"/>
        <w:bottom w:val="none" w:sz="0" w:space="0" w:color="auto"/>
        <w:right w:val="none" w:sz="0" w:space="0" w:color="auto"/>
      </w:divBdr>
    </w:div>
    <w:div w:id="1543636133">
      <w:bodyDiv w:val="1"/>
      <w:marLeft w:val="0"/>
      <w:marRight w:val="0"/>
      <w:marTop w:val="0"/>
      <w:marBottom w:val="0"/>
      <w:divBdr>
        <w:top w:val="none" w:sz="0" w:space="0" w:color="auto"/>
        <w:left w:val="none" w:sz="0" w:space="0" w:color="auto"/>
        <w:bottom w:val="none" w:sz="0" w:space="0" w:color="auto"/>
        <w:right w:val="none" w:sz="0" w:space="0" w:color="auto"/>
      </w:divBdr>
    </w:div>
    <w:div w:id="1740519313">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 w:id="1894805503">
      <w:bodyDiv w:val="1"/>
      <w:marLeft w:val="0"/>
      <w:marRight w:val="0"/>
      <w:marTop w:val="0"/>
      <w:marBottom w:val="0"/>
      <w:divBdr>
        <w:top w:val="none" w:sz="0" w:space="0" w:color="auto"/>
        <w:left w:val="none" w:sz="0" w:space="0" w:color="auto"/>
        <w:bottom w:val="none" w:sz="0" w:space="0" w:color="auto"/>
        <w:right w:val="none" w:sz="0" w:space="0" w:color="auto"/>
      </w:divBdr>
    </w:div>
    <w:div w:id="21347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E/C.19/2013/9" TargetMode="External"/><Relationship Id="rId13" Type="http://schemas.openxmlformats.org/officeDocument/2006/relationships/hyperlink" Target="https://www.iwgia.org/en/resources/publications/3535-the-impact-of-renewable-energy-project-on-indigenous-communities-in-kenya.html?highlight=WyJ3aW5kIl0=" TargetMode="External"/><Relationship Id="rId18" Type="http://schemas.openxmlformats.org/officeDocument/2006/relationships/hyperlink" Target="https://www.cbc.ca/radio/frontburner/indigenous-woman-records-racist-abuse-in-her-dying-moments-1.5747174" TargetMode="External"/><Relationship Id="rId3" Type="http://schemas.openxmlformats.org/officeDocument/2006/relationships/hyperlink" Target="https://www.iwgia.org/images/publications/0607_SEEDO_research_report.pdf" TargetMode="External"/><Relationship Id="rId21" Type="http://schemas.openxmlformats.org/officeDocument/2006/relationships/hyperlink" Target="https://aippnet.org/wp-content/uploads/2020/05/AIPPs-flash-update-3.pdf" TargetMode="External"/><Relationship Id="rId7" Type="http://schemas.openxmlformats.org/officeDocument/2006/relationships/hyperlink" Target="https://ffacameroon.org/activities/gender-based-violence-against-indigenous-women-and-girls-gbv/" TargetMode="External"/><Relationship Id="rId12" Type="http://schemas.openxmlformats.org/officeDocument/2006/relationships/hyperlink" Target="https://undocs.org/A/HRC/36/46" TargetMode="External"/><Relationship Id="rId17" Type="http://schemas.openxmlformats.org/officeDocument/2006/relationships/hyperlink" Target="https://ffacameroon.org/activities/education/" TargetMode="External"/><Relationship Id="rId2" Type="http://schemas.openxmlformats.org/officeDocument/2006/relationships/hyperlink" Target="https://ffacameroon.org/activities/early-and-force-marriage/" TargetMode="External"/><Relationship Id="rId16" Type="http://schemas.openxmlformats.org/officeDocument/2006/relationships/hyperlink" Target="https://www.iwgia.org/en/resources/publications/3865-territorial-management-indigenous-matrifocal-societies.html?highlight=WyJtYXRyaWZvY2FsIl0=" TargetMode="External"/><Relationship Id="rId20" Type="http://schemas.openxmlformats.org/officeDocument/2006/relationships/hyperlink" Target="https://www.macleans.ca/opinion/what-joyce-echaquan-knew/" TargetMode="External"/><Relationship Id="rId1" Type="http://schemas.openxmlformats.org/officeDocument/2006/relationships/hyperlink" Target="https://www.mmiwg-ffada.ca/wp-content/uploads/2019/06/Final_Report_Vol_1a-1.pdf" TargetMode="External"/><Relationship Id="rId6" Type="http://schemas.openxmlformats.org/officeDocument/2006/relationships/hyperlink" Target="https://www.iwgia.org/images/publications/0752_ST_Girl-Child_beading_Research_in_Laikipia_Samburu_and_Marsabit_Counties.pdf" TargetMode="External"/><Relationship Id="rId11" Type="http://schemas.openxmlformats.org/officeDocument/2006/relationships/hyperlink" Target="http://www.oas.org/en/iachr/reports/pdfs/criminalization2016.pdf" TargetMode="External"/><Relationship Id="rId5" Type="http://schemas.openxmlformats.org/officeDocument/2006/relationships/hyperlink" Target="https://www.iwgia.org/images/publications/0607_SEEDO_research_report.pdf" TargetMode="External"/><Relationship Id="rId15" Type="http://schemas.openxmlformats.org/officeDocument/2006/relationships/hyperlink" Target="https://debatesindigenas.org/ENG/ns/100-Philippines-accusations-persecution-imprisionment.html" TargetMode="External"/><Relationship Id="rId10" Type="http://schemas.openxmlformats.org/officeDocument/2006/relationships/hyperlink" Target="https://debatesindigenas.org/ENG/ns/100-Philippines-accusations-persecution-imprisionment.html" TargetMode="External"/><Relationship Id="rId19" Type="http://schemas.openxmlformats.org/officeDocument/2006/relationships/hyperlink" Target="https://www.aptnnews.ca/national-news/quebec-promises-investigation-after-atikamekw-mother-live-streams-moments-before-her-death/" TargetMode="External"/><Relationship Id="rId4" Type="http://schemas.openxmlformats.org/officeDocument/2006/relationships/hyperlink" Target="https://www.iwgia.org/images/publications/0752_ST_Girl-Child_beading_Research_in_Laikipia_Samburu_and_Marsabit_Counties.pdf" TargetMode="External"/><Relationship Id="rId9" Type="http://schemas.openxmlformats.org/officeDocument/2006/relationships/hyperlink" Target="https://www.iwgia.org/en/bangladesh/4352-%E2%80%9Cif-i-lose-my-land,-i-am-no-one-i-have-nothing%E2%80%9D-a-desperate-plea-of-the-indigenous-mro-facing-eviction-from-their-land.html" TargetMode="External"/><Relationship Id="rId14" Type="http://schemas.openxmlformats.org/officeDocument/2006/relationships/hyperlink" Target="https://www.iwgia.org/doclink/iwgia-report-strong-roots-eng-2020/eyJ0eXAiOiJKV1QiLCJhbGciOiJIUzI1NiJ9.eyJzdWIiOiJpd2dpYS1yZXBvcnQtc3Ryb25nLXJvb3RzLWVuZy0yMDIwIiwiaWF0IjoxNjE0MDc5MDc5LCJleHAiOjE2MTQxNjU0Nzl9.3a-N5XnyF13l2wsJnOcoyvKYPb0PV_MPMxsKgDBkH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EACAFE-A44A-47B5-BE0A-D054D5243D51}">
  <ds:schemaRefs>
    <ds:schemaRef ds:uri="http://schemas.openxmlformats.org/officeDocument/2006/bibliography"/>
  </ds:schemaRefs>
</ds:datastoreItem>
</file>

<file path=customXml/itemProps2.xml><?xml version="1.0" encoding="utf-8"?>
<ds:datastoreItem xmlns:ds="http://schemas.openxmlformats.org/officeDocument/2006/customXml" ds:itemID="{39B2138D-A1F1-4652-99A7-272D28E125EB}"/>
</file>

<file path=customXml/itemProps3.xml><?xml version="1.0" encoding="utf-8"?>
<ds:datastoreItem xmlns:ds="http://schemas.openxmlformats.org/officeDocument/2006/customXml" ds:itemID="{D398C923-EC69-45DE-8534-141491C10E44}"/>
</file>

<file path=customXml/itemProps4.xml><?xml version="1.0" encoding="utf-8"?>
<ds:datastoreItem xmlns:ds="http://schemas.openxmlformats.org/officeDocument/2006/customXml" ds:itemID="{D2F350C2-9CF0-4AE9-A14C-0BD2630ED812}"/>
</file>

<file path=docProps/app.xml><?xml version="1.0" encoding="utf-8"?>
<Properties xmlns="http://schemas.openxmlformats.org/officeDocument/2006/extended-properties" xmlns:vt="http://schemas.openxmlformats.org/officeDocument/2006/docPropsVTypes">
  <Template>Normal</Template>
  <TotalTime>5</TotalTime>
  <Pages>11</Pages>
  <Words>4340</Words>
  <Characters>26477</Characters>
  <Application>Microsoft Office Word</Application>
  <DocSecurity>0</DocSecurity>
  <Lines>220</Lines>
  <Paragraphs>61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Olwell, Marjolaine</dc:creator>
  <cp:keywords/>
  <dc:description/>
  <cp:lastModifiedBy>Lola Garcia aLIX</cp:lastModifiedBy>
  <cp:revision>2</cp:revision>
  <dcterms:created xsi:type="dcterms:W3CDTF">2021-06-16T11:01:00Z</dcterms:created>
  <dcterms:modified xsi:type="dcterms:W3CDTF">2021-06-16T11:01:00Z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