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25EC" w14:textId="77777777" w:rsidR="001D42AA" w:rsidRDefault="001D42AA" w:rsidP="005D3DB9">
      <w:pPr>
        <w:autoSpaceDE w:val="0"/>
        <w:autoSpaceDN w:val="0"/>
        <w:adjustRightInd w:val="0"/>
        <w:spacing w:after="0" w:line="240" w:lineRule="auto"/>
        <w:rPr>
          <w:rFonts w:ascii="Times New Roman" w:eastAsia="Arial" w:hAnsi="Times New Roman" w:cs="Times New Roman"/>
          <w:b/>
          <w:smallCaps/>
          <w:u w:val="single"/>
          <w:lang w:val="es-ES" w:eastAsia="zh-CN"/>
        </w:rPr>
      </w:pPr>
    </w:p>
    <w:p w14:paraId="2760E99D" w14:textId="6CADD05B" w:rsidR="005D3DB9" w:rsidRPr="007775CE" w:rsidRDefault="00D23AA8" w:rsidP="00F0111D">
      <w:pPr>
        <w:autoSpaceDE w:val="0"/>
        <w:autoSpaceDN w:val="0"/>
        <w:adjustRightInd w:val="0"/>
        <w:spacing w:after="0" w:line="276" w:lineRule="auto"/>
        <w:contextualSpacing/>
        <w:jc w:val="both"/>
        <w:rPr>
          <w:rFonts w:ascii="Arial" w:eastAsia="Arial" w:hAnsi="Arial" w:cs="Arial"/>
          <w:b/>
          <w:smallCaps/>
          <w:sz w:val="24"/>
          <w:szCs w:val="24"/>
          <w:u w:val="single"/>
          <w:lang w:val="es-ES" w:eastAsia="zh-CN"/>
        </w:rPr>
      </w:pPr>
      <w:r w:rsidRPr="007775CE">
        <w:rPr>
          <w:rFonts w:ascii="Arial" w:eastAsia="Arial" w:hAnsi="Arial" w:cs="Arial"/>
          <w:b/>
          <w:smallCaps/>
          <w:sz w:val="24"/>
          <w:szCs w:val="24"/>
          <w:u w:val="single"/>
          <w:lang w:val="es-ES" w:eastAsia="zh-CN"/>
        </w:rPr>
        <w:t>antecedentes</w:t>
      </w:r>
    </w:p>
    <w:p w14:paraId="383178B6" w14:textId="77777777" w:rsidR="00455BF8" w:rsidRPr="007775CE" w:rsidRDefault="00455BF8" w:rsidP="00F0111D">
      <w:pPr>
        <w:autoSpaceDE w:val="0"/>
        <w:autoSpaceDN w:val="0"/>
        <w:adjustRightInd w:val="0"/>
        <w:spacing w:after="0" w:line="276" w:lineRule="auto"/>
        <w:contextualSpacing/>
        <w:jc w:val="both"/>
        <w:rPr>
          <w:rFonts w:ascii="Arial" w:eastAsia="Arial" w:hAnsi="Arial" w:cs="Arial"/>
          <w:sz w:val="24"/>
          <w:szCs w:val="24"/>
          <w:lang w:val="es-ES" w:eastAsia="zh-CN"/>
        </w:rPr>
      </w:pPr>
    </w:p>
    <w:p w14:paraId="42223090" w14:textId="0A27B143" w:rsidR="000F16EF" w:rsidRPr="007775CE" w:rsidRDefault="00455BF8" w:rsidP="00F0111D">
      <w:pPr>
        <w:autoSpaceDE w:val="0"/>
        <w:autoSpaceDN w:val="0"/>
        <w:adjustRightInd w:val="0"/>
        <w:spacing w:after="0" w:line="276" w:lineRule="auto"/>
        <w:contextualSpacing/>
        <w:jc w:val="both"/>
        <w:rPr>
          <w:rFonts w:ascii="Arial" w:eastAsia="Helvetica Neue" w:hAnsi="Arial" w:cs="Arial"/>
          <w:sz w:val="24"/>
          <w:szCs w:val="24"/>
          <w:lang w:val="es-ES" w:eastAsia="zh-CN"/>
        </w:rPr>
      </w:pPr>
      <w:r w:rsidRPr="007775CE">
        <w:rPr>
          <w:rFonts w:ascii="Arial" w:eastAsia="Helvetica Neue" w:hAnsi="Arial" w:cs="Arial"/>
          <w:sz w:val="24"/>
          <w:szCs w:val="24"/>
          <w:lang w:val="es-ES" w:eastAsia="zh-CN"/>
        </w:rPr>
        <w:t xml:space="preserve">El Comité para la eliminación de la discriminación contra la mujer (CEDAW, por sus siglas en inglés), en su sesión 79 </w:t>
      </w:r>
      <w:r w:rsidR="00162DFC" w:rsidRPr="007775CE">
        <w:rPr>
          <w:rFonts w:ascii="Arial" w:eastAsia="Helvetica Neue" w:hAnsi="Arial" w:cs="Arial"/>
          <w:sz w:val="24"/>
          <w:szCs w:val="24"/>
          <w:lang w:val="es-ES" w:eastAsia="zh-CN"/>
        </w:rPr>
        <w:t xml:space="preserve">que se llevará a cabo </w:t>
      </w:r>
      <w:r w:rsidRPr="007775CE">
        <w:rPr>
          <w:rFonts w:ascii="Arial" w:eastAsia="Helvetica Neue" w:hAnsi="Arial" w:cs="Arial"/>
          <w:sz w:val="24"/>
          <w:szCs w:val="24"/>
          <w:lang w:val="es-ES" w:eastAsia="zh-CN"/>
        </w:rPr>
        <w:t>del 21 de junio al 1 de julio de 2021</w:t>
      </w:r>
      <w:r w:rsidR="00162DFC" w:rsidRPr="007775CE">
        <w:rPr>
          <w:rFonts w:ascii="Arial" w:eastAsia="Helvetica Neue" w:hAnsi="Arial" w:cs="Arial"/>
          <w:sz w:val="24"/>
          <w:szCs w:val="24"/>
          <w:lang w:val="es-ES" w:eastAsia="zh-CN"/>
        </w:rPr>
        <w:t>, tendrá</w:t>
      </w:r>
      <w:r w:rsidR="007A40C1" w:rsidRPr="007775CE">
        <w:rPr>
          <w:rFonts w:ascii="Arial" w:eastAsia="Helvetica Neue" w:hAnsi="Arial" w:cs="Arial"/>
          <w:sz w:val="24"/>
          <w:szCs w:val="24"/>
          <w:lang w:val="es-ES" w:eastAsia="zh-CN"/>
        </w:rPr>
        <w:t xml:space="preserve"> un día de discusión general sobre los derechos de las mujeres y niñas indígenas</w:t>
      </w:r>
      <w:r w:rsidR="00C04194" w:rsidRPr="007775CE">
        <w:rPr>
          <w:rFonts w:ascii="Arial" w:eastAsia="Helvetica Neue" w:hAnsi="Arial" w:cs="Arial"/>
          <w:sz w:val="24"/>
          <w:szCs w:val="24"/>
          <w:lang w:val="es-ES" w:eastAsia="zh-CN"/>
        </w:rPr>
        <w:t xml:space="preserve">. </w:t>
      </w:r>
      <w:r w:rsidR="00F96CA5" w:rsidRPr="007775CE">
        <w:rPr>
          <w:rFonts w:ascii="Arial" w:eastAsia="Helvetica Neue" w:hAnsi="Arial" w:cs="Arial"/>
          <w:sz w:val="24"/>
          <w:szCs w:val="24"/>
          <w:lang w:val="es-ES" w:eastAsia="zh-CN"/>
        </w:rPr>
        <w:t>A continuación</w:t>
      </w:r>
      <w:r w:rsidR="00351E64" w:rsidRPr="007775CE">
        <w:rPr>
          <w:rFonts w:ascii="Arial" w:eastAsia="Helvetica Neue" w:hAnsi="Arial" w:cs="Arial"/>
          <w:sz w:val="24"/>
          <w:szCs w:val="24"/>
          <w:lang w:val="es-ES" w:eastAsia="zh-CN"/>
        </w:rPr>
        <w:t>,</w:t>
      </w:r>
      <w:r w:rsidR="00F96CA5" w:rsidRPr="007775CE">
        <w:rPr>
          <w:rFonts w:ascii="Arial" w:eastAsia="Helvetica Neue" w:hAnsi="Arial" w:cs="Arial"/>
          <w:sz w:val="24"/>
          <w:szCs w:val="24"/>
          <w:lang w:val="es-ES" w:eastAsia="zh-CN"/>
        </w:rPr>
        <w:t xml:space="preserve"> se </w:t>
      </w:r>
      <w:r w:rsidR="00162DFC" w:rsidRPr="007775CE">
        <w:rPr>
          <w:rFonts w:ascii="Arial" w:eastAsia="Helvetica Neue" w:hAnsi="Arial" w:cs="Arial"/>
          <w:sz w:val="24"/>
          <w:szCs w:val="24"/>
          <w:lang w:val="es-ES" w:eastAsia="zh-CN"/>
        </w:rPr>
        <w:t>presenta una contribución escrita</w:t>
      </w:r>
      <w:r w:rsidR="00F96CA5" w:rsidRPr="007775CE">
        <w:rPr>
          <w:rFonts w:ascii="Arial" w:eastAsia="Helvetica Neue" w:hAnsi="Arial" w:cs="Arial"/>
          <w:sz w:val="24"/>
          <w:szCs w:val="24"/>
          <w:lang w:val="es-ES" w:eastAsia="zh-CN"/>
        </w:rPr>
        <w:t xml:space="preserve"> de la Comisión de Derechos Humanos de la Ciudad de México</w:t>
      </w:r>
      <w:r w:rsidR="00ED03EA" w:rsidRPr="007775CE">
        <w:rPr>
          <w:rFonts w:ascii="Arial" w:eastAsia="Helvetica Neue" w:hAnsi="Arial" w:cs="Arial"/>
          <w:sz w:val="24"/>
          <w:szCs w:val="24"/>
          <w:lang w:val="es-ES" w:eastAsia="zh-CN"/>
        </w:rPr>
        <w:t xml:space="preserve"> </w:t>
      </w:r>
      <w:r w:rsidR="001D42AA" w:rsidRPr="007775CE">
        <w:rPr>
          <w:rFonts w:ascii="Arial" w:eastAsia="Helvetica Neue" w:hAnsi="Arial" w:cs="Arial"/>
          <w:sz w:val="24"/>
          <w:szCs w:val="24"/>
          <w:lang w:val="es-ES" w:eastAsia="zh-CN"/>
        </w:rPr>
        <w:t>(CDHCM</w:t>
      </w:r>
      <w:r w:rsidR="00162DFC" w:rsidRPr="007775CE">
        <w:rPr>
          <w:rFonts w:ascii="Arial" w:eastAsia="Helvetica Neue" w:hAnsi="Arial" w:cs="Arial"/>
          <w:sz w:val="24"/>
          <w:szCs w:val="24"/>
          <w:lang w:val="es-ES" w:eastAsia="zh-CN"/>
        </w:rPr>
        <w:t>) para fines de dicha actividad.</w:t>
      </w:r>
    </w:p>
    <w:p w14:paraId="46FE451E" w14:textId="77777777" w:rsidR="00626D06" w:rsidRPr="007775CE" w:rsidRDefault="00626D06" w:rsidP="00F0111D">
      <w:pPr>
        <w:autoSpaceDE w:val="0"/>
        <w:autoSpaceDN w:val="0"/>
        <w:adjustRightInd w:val="0"/>
        <w:spacing w:after="0" w:line="276" w:lineRule="auto"/>
        <w:contextualSpacing/>
        <w:jc w:val="both"/>
        <w:rPr>
          <w:rFonts w:ascii="Arial" w:eastAsia="Helvetica Neue" w:hAnsi="Arial" w:cs="Arial"/>
          <w:sz w:val="24"/>
          <w:szCs w:val="24"/>
          <w:lang w:val="es-ES" w:eastAsia="zh-CN"/>
        </w:rPr>
      </w:pPr>
    </w:p>
    <w:p w14:paraId="34E6F0B7" w14:textId="12F7738C" w:rsidR="000F16EF" w:rsidRPr="00347FAD" w:rsidRDefault="00AE5A41" w:rsidP="00F0111D">
      <w:pPr>
        <w:autoSpaceDE w:val="0"/>
        <w:autoSpaceDN w:val="0"/>
        <w:adjustRightInd w:val="0"/>
        <w:spacing w:after="0" w:line="276" w:lineRule="auto"/>
        <w:jc w:val="both"/>
        <w:rPr>
          <w:rFonts w:ascii="Arial" w:eastAsia="Arial" w:hAnsi="Arial" w:cs="Arial"/>
          <w:b/>
          <w:smallCaps/>
          <w:sz w:val="24"/>
          <w:szCs w:val="24"/>
          <w:u w:val="single"/>
          <w:lang w:val="es-ES" w:eastAsia="zh-CN"/>
        </w:rPr>
      </w:pPr>
      <w:r w:rsidRPr="00347FAD">
        <w:rPr>
          <w:rFonts w:ascii="Arial" w:eastAsia="Arial" w:hAnsi="Arial" w:cs="Arial"/>
          <w:b/>
          <w:smallCaps/>
          <w:sz w:val="24"/>
          <w:szCs w:val="24"/>
          <w:u w:val="single"/>
          <w:lang w:val="es-ES" w:eastAsia="zh-CN"/>
        </w:rPr>
        <w:t>Contribución</w:t>
      </w:r>
    </w:p>
    <w:p w14:paraId="29E2616E" w14:textId="77777777" w:rsidR="00D631F6" w:rsidRPr="007775CE" w:rsidRDefault="00D631F6"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59E27D1D" w14:textId="1A9D27AF" w:rsidR="0018680D" w:rsidRPr="005C2A13" w:rsidRDefault="005C2A13" w:rsidP="005C2A13">
      <w:pPr>
        <w:pStyle w:val="Prrafodelista"/>
        <w:numPr>
          <w:ilvl w:val="0"/>
          <w:numId w:val="22"/>
        </w:numPr>
        <w:pBdr>
          <w:top w:val="nil"/>
          <w:left w:val="nil"/>
          <w:bottom w:val="nil"/>
          <w:right w:val="nil"/>
          <w:between w:val="nil"/>
        </w:pBdr>
        <w:spacing w:after="0" w:line="276" w:lineRule="auto"/>
        <w:jc w:val="both"/>
        <w:rPr>
          <w:rFonts w:ascii="Arial" w:eastAsia="Times New Roman" w:hAnsi="Arial" w:cs="Arial"/>
          <w:b/>
          <w:i/>
          <w:color w:val="000000"/>
          <w:sz w:val="24"/>
          <w:szCs w:val="24"/>
          <w:lang w:val="es-MX"/>
        </w:rPr>
      </w:pPr>
      <w:r w:rsidRPr="005C2A13">
        <w:rPr>
          <w:rFonts w:ascii="Arial" w:eastAsia="Times New Roman" w:hAnsi="Arial" w:cs="Arial"/>
          <w:b/>
          <w:i/>
          <w:color w:val="000000"/>
          <w:sz w:val="24"/>
          <w:szCs w:val="24"/>
          <w:lang w:val="es-MX"/>
        </w:rPr>
        <w:t>Datos demográficos</w:t>
      </w:r>
      <w:r w:rsidR="00CE0C64">
        <w:rPr>
          <w:rFonts w:ascii="Arial" w:eastAsia="Times New Roman" w:hAnsi="Arial" w:cs="Arial"/>
          <w:b/>
          <w:i/>
          <w:color w:val="000000"/>
          <w:sz w:val="24"/>
          <w:szCs w:val="24"/>
          <w:lang w:val="es-MX"/>
        </w:rPr>
        <w:t>, lengua y educación de</w:t>
      </w:r>
      <w:r>
        <w:rPr>
          <w:rFonts w:ascii="Arial" w:eastAsia="Times New Roman" w:hAnsi="Arial" w:cs="Arial"/>
          <w:b/>
          <w:i/>
          <w:color w:val="000000"/>
          <w:sz w:val="24"/>
          <w:szCs w:val="24"/>
          <w:lang w:val="es-MX"/>
        </w:rPr>
        <w:t xml:space="preserve"> mujeres y niñas en la Ciudad de México</w:t>
      </w:r>
      <w:r>
        <w:rPr>
          <w:rStyle w:val="Refdenotaalpie"/>
          <w:rFonts w:ascii="Arial" w:eastAsia="Times New Roman" w:hAnsi="Arial"/>
          <w:b/>
          <w:i/>
          <w:color w:val="000000"/>
          <w:sz w:val="24"/>
          <w:szCs w:val="24"/>
          <w:lang w:val="es-MX"/>
        </w:rPr>
        <w:footnoteReference w:id="1"/>
      </w:r>
      <w:r>
        <w:rPr>
          <w:rFonts w:ascii="Arial" w:eastAsia="Times New Roman" w:hAnsi="Arial" w:cs="Arial"/>
          <w:b/>
          <w:i/>
          <w:color w:val="000000"/>
          <w:sz w:val="24"/>
          <w:szCs w:val="24"/>
          <w:lang w:val="es-MX"/>
        </w:rPr>
        <w:t>.</w:t>
      </w:r>
    </w:p>
    <w:p w14:paraId="7EAB7A8A" w14:textId="1388EEA8" w:rsidR="00E96257" w:rsidRDefault="00E96257"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575514F2" w14:textId="0F1E33F3" w:rsidR="005C2A13" w:rsidRDefault="005C2A13" w:rsidP="005C2A13">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De las 125,153 habitantes de 3 años y más de la Ciudad de México que hablan alguna lengua indígena nacional</w:t>
      </w:r>
      <w:r>
        <w:rPr>
          <w:rFonts w:ascii="Arial" w:eastAsia="Times New Roman" w:hAnsi="Arial" w:cs="Arial"/>
          <w:color w:val="000000"/>
          <w:sz w:val="24"/>
          <w:szCs w:val="24"/>
          <w:lang w:val="es-MX"/>
        </w:rPr>
        <w:t xml:space="preserve">, </w:t>
      </w:r>
      <w:r>
        <w:rPr>
          <w:rFonts w:ascii="Arial" w:eastAsia="Times New Roman" w:hAnsi="Arial" w:cs="Arial"/>
          <w:color w:val="000000"/>
          <w:sz w:val="24"/>
          <w:szCs w:val="24"/>
          <w:lang w:val="es-MX"/>
        </w:rPr>
        <w:t>66,922</w:t>
      </w:r>
      <w:r>
        <w:rPr>
          <w:rFonts w:ascii="Arial" w:eastAsia="Times New Roman" w:hAnsi="Arial" w:cs="Arial"/>
          <w:color w:val="000000"/>
          <w:sz w:val="24"/>
          <w:szCs w:val="24"/>
          <w:lang w:val="es-MX"/>
        </w:rPr>
        <w:t xml:space="preserve"> son mujeres. Del universo total de personas hablantes de lengua indígena,</w:t>
      </w:r>
      <w:r>
        <w:rPr>
          <w:rFonts w:ascii="Arial" w:eastAsia="Times New Roman" w:hAnsi="Arial" w:cs="Arial"/>
          <w:color w:val="000000"/>
          <w:sz w:val="24"/>
          <w:szCs w:val="24"/>
          <w:lang w:val="es-MX"/>
        </w:rPr>
        <w:t xml:space="preserve"> 1% no habla español, lo que significa un incremento con respecto a 2015. Es importante hacer notar que, de éstas el 65.3% son mujeres, por lo que es notoria aún la brecha en la barrera lingüística a la que se enfrentan las mujeres indígenas en un país en el que la lengua nacional dominante es el español. </w:t>
      </w:r>
    </w:p>
    <w:p w14:paraId="761169FE" w14:textId="77777777" w:rsidR="005C2A13" w:rsidRDefault="005C2A13" w:rsidP="005C2A13">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51790ABE" w14:textId="42318B29" w:rsidR="00CE0C64" w:rsidRPr="007775CE" w:rsidRDefault="00CE0C64" w:rsidP="00CE0C64">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El mayor porcentaje de mujeres hablantes de lenguas indígenas están concentradas en el grupo etario de 40 a 59 años de edad, seguido del grupo de 25 a 39 años.</w:t>
      </w:r>
      <w:r>
        <w:rPr>
          <w:rFonts w:ascii="Arial" w:eastAsia="Times New Roman" w:hAnsi="Arial" w:cs="Arial"/>
          <w:color w:val="000000"/>
          <w:sz w:val="24"/>
          <w:szCs w:val="24"/>
          <w:lang w:val="es-MX"/>
        </w:rPr>
        <w:t xml:space="preserve"> </w:t>
      </w:r>
      <w:r w:rsidR="00A419E5">
        <w:rPr>
          <w:rFonts w:ascii="Arial" w:eastAsia="Times New Roman" w:hAnsi="Arial" w:cs="Arial"/>
          <w:color w:val="000000"/>
          <w:sz w:val="24"/>
          <w:szCs w:val="24"/>
          <w:lang w:val="es-MX"/>
        </w:rPr>
        <w:t>Las lenguas n</w:t>
      </w:r>
      <w:r>
        <w:rPr>
          <w:rFonts w:ascii="Arial" w:eastAsia="Times New Roman" w:hAnsi="Arial" w:cs="Arial"/>
          <w:color w:val="000000"/>
          <w:sz w:val="24"/>
          <w:szCs w:val="24"/>
          <w:lang w:val="es-MX"/>
        </w:rPr>
        <w:t>á</w:t>
      </w:r>
      <w:r w:rsidR="00A419E5">
        <w:rPr>
          <w:rFonts w:ascii="Arial" w:eastAsia="Times New Roman" w:hAnsi="Arial" w:cs="Arial"/>
          <w:color w:val="000000"/>
          <w:sz w:val="24"/>
          <w:szCs w:val="24"/>
          <w:lang w:val="es-MX"/>
        </w:rPr>
        <w:t>huatl, mazateca, mixteca y otomí son las que más monolingües hablan en la CDMX.</w:t>
      </w:r>
      <w:r>
        <w:rPr>
          <w:rFonts w:ascii="Arial" w:eastAsia="Times New Roman" w:hAnsi="Arial" w:cs="Arial"/>
          <w:color w:val="000000"/>
          <w:sz w:val="24"/>
          <w:szCs w:val="24"/>
          <w:lang w:val="es-MX"/>
        </w:rPr>
        <w:t xml:space="preserve"> </w:t>
      </w:r>
      <w:r>
        <w:rPr>
          <w:rFonts w:ascii="Arial" w:eastAsia="Times New Roman" w:hAnsi="Arial" w:cs="Arial"/>
          <w:color w:val="000000"/>
          <w:sz w:val="24"/>
          <w:szCs w:val="24"/>
          <w:lang w:val="es-MX"/>
        </w:rPr>
        <w:t>L</w:t>
      </w:r>
      <w:r w:rsidRPr="007775CE">
        <w:rPr>
          <w:rFonts w:ascii="Arial" w:eastAsia="Times New Roman" w:hAnsi="Arial" w:cs="Arial"/>
          <w:color w:val="000000"/>
          <w:sz w:val="24"/>
          <w:szCs w:val="24"/>
          <w:lang w:val="es-MX"/>
        </w:rPr>
        <w:t>a mayoría de las mujeres hablantes de lenguas indígenas en la Ciudad nació en otras entidades federativas: 41% en Oaxaca, 17% en Puebla, 10% en el Estado de México, y 10% en Veracruz.</w:t>
      </w:r>
      <w:r w:rsidRPr="007775CE">
        <w:rPr>
          <w:rStyle w:val="Refdenotaalpie"/>
          <w:rFonts w:ascii="Arial" w:eastAsia="Times New Roman" w:hAnsi="Arial" w:cs="Arial"/>
          <w:color w:val="000000"/>
          <w:sz w:val="24"/>
          <w:szCs w:val="24"/>
          <w:lang w:val="es-MX"/>
        </w:rPr>
        <w:footnoteReference w:id="2"/>
      </w:r>
      <w:r>
        <w:rPr>
          <w:rFonts w:ascii="Arial" w:eastAsia="Times New Roman" w:hAnsi="Arial" w:cs="Arial"/>
          <w:color w:val="000000"/>
          <w:sz w:val="24"/>
          <w:szCs w:val="24"/>
          <w:lang w:val="es-MX"/>
        </w:rPr>
        <w:t xml:space="preserve"> </w:t>
      </w:r>
    </w:p>
    <w:p w14:paraId="0BB12E03" w14:textId="5355E880" w:rsidR="00A419E5" w:rsidRDefault="00A419E5"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5AFF455D" w14:textId="01B4877A" w:rsidR="005C2A13" w:rsidRDefault="00CE0C64"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De acuerdo con el Censo 2020 de INEGI, m</w:t>
      </w:r>
      <w:r w:rsidR="005C2A13">
        <w:rPr>
          <w:rFonts w:ascii="Arial" w:eastAsia="Times New Roman" w:hAnsi="Arial" w:cs="Arial"/>
          <w:color w:val="000000"/>
          <w:sz w:val="24"/>
          <w:szCs w:val="24"/>
          <w:lang w:val="es-MX"/>
        </w:rPr>
        <w:t>ás de la mitad de las mujeres mayores de 15 años de edad hablantes de una lengua indígena nacional</w:t>
      </w:r>
      <w:r>
        <w:rPr>
          <w:rFonts w:ascii="Arial" w:eastAsia="Times New Roman" w:hAnsi="Arial" w:cs="Arial"/>
          <w:color w:val="000000"/>
          <w:sz w:val="24"/>
          <w:szCs w:val="24"/>
          <w:lang w:val="es-MX"/>
        </w:rPr>
        <w:t xml:space="preserve"> en la Ciudad de México</w:t>
      </w:r>
      <w:r w:rsidR="005C2A13">
        <w:rPr>
          <w:rFonts w:ascii="Arial" w:eastAsia="Times New Roman" w:hAnsi="Arial" w:cs="Arial"/>
          <w:color w:val="000000"/>
          <w:sz w:val="24"/>
          <w:szCs w:val="24"/>
          <w:lang w:val="es-MX"/>
        </w:rPr>
        <w:t xml:space="preserve"> estudia hasta secundaria (66.1%), el 12.8% permanece sin educación, el 11.7% cuenta con educación media superior y tan solo 9.4 % cuenta con educación superior. En particular, en la Ciudad de México, 9 de cada 10 niñas que hablan una lengua indígena asisten a la escuela, mientras que una no.</w:t>
      </w:r>
    </w:p>
    <w:p w14:paraId="05BE1629" w14:textId="77777777" w:rsidR="00CE0C64" w:rsidRPr="007775CE" w:rsidRDefault="00CE0C64"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28EAEF32" w14:textId="77777777" w:rsidR="0018680D" w:rsidRPr="007775CE" w:rsidRDefault="0018680D" w:rsidP="00F0111D">
      <w:pPr>
        <w:pBdr>
          <w:top w:val="nil"/>
          <w:left w:val="nil"/>
          <w:bottom w:val="nil"/>
          <w:right w:val="nil"/>
          <w:between w:val="nil"/>
        </w:pBdr>
        <w:spacing w:after="0" w:line="276" w:lineRule="auto"/>
        <w:jc w:val="both"/>
        <w:rPr>
          <w:rFonts w:ascii="Arial" w:eastAsia="Times New Roman" w:hAnsi="Arial" w:cs="Arial"/>
          <w:i/>
          <w:color w:val="000000"/>
          <w:sz w:val="24"/>
          <w:szCs w:val="24"/>
          <w:lang w:val="es-MX"/>
        </w:rPr>
      </w:pPr>
    </w:p>
    <w:p w14:paraId="67CF180A" w14:textId="114C8820" w:rsidR="00740C4E" w:rsidRPr="00740C4E" w:rsidRDefault="00740C4E" w:rsidP="00740C4E">
      <w:pPr>
        <w:pStyle w:val="Prrafodelista"/>
        <w:numPr>
          <w:ilvl w:val="0"/>
          <w:numId w:val="22"/>
        </w:numPr>
        <w:pBdr>
          <w:top w:val="nil"/>
          <w:left w:val="nil"/>
          <w:bottom w:val="nil"/>
          <w:right w:val="nil"/>
          <w:between w:val="nil"/>
        </w:pBdr>
        <w:spacing w:after="0" w:line="276" w:lineRule="auto"/>
        <w:jc w:val="both"/>
        <w:rPr>
          <w:rFonts w:ascii="Arial" w:eastAsia="Times New Roman" w:hAnsi="Arial" w:cs="Arial"/>
          <w:b/>
          <w:color w:val="000000"/>
          <w:sz w:val="24"/>
          <w:szCs w:val="24"/>
          <w:lang w:val="es-MX"/>
        </w:rPr>
      </w:pPr>
      <w:r w:rsidRPr="00740C4E">
        <w:rPr>
          <w:rFonts w:ascii="Arial" w:eastAsia="Times New Roman" w:hAnsi="Arial" w:cs="Arial"/>
          <w:b/>
          <w:color w:val="000000"/>
          <w:sz w:val="24"/>
          <w:szCs w:val="24"/>
          <w:lang w:val="es-MX"/>
        </w:rPr>
        <w:lastRenderedPageBreak/>
        <w:t>Normativa y política pública.</w:t>
      </w:r>
    </w:p>
    <w:p w14:paraId="400EF5F0" w14:textId="77777777" w:rsidR="00740C4E" w:rsidRPr="00740C4E" w:rsidRDefault="00740C4E" w:rsidP="00740C4E">
      <w:pPr>
        <w:pStyle w:val="Prrafodelista"/>
        <w:pBdr>
          <w:top w:val="nil"/>
          <w:left w:val="nil"/>
          <w:bottom w:val="nil"/>
          <w:right w:val="nil"/>
          <w:between w:val="nil"/>
        </w:pBdr>
        <w:spacing w:after="0" w:line="276" w:lineRule="auto"/>
        <w:ind w:left="1080"/>
        <w:jc w:val="both"/>
        <w:rPr>
          <w:rFonts w:ascii="Arial" w:eastAsia="Times New Roman" w:hAnsi="Arial" w:cs="Arial"/>
          <w:color w:val="000000"/>
          <w:sz w:val="24"/>
          <w:szCs w:val="24"/>
          <w:lang w:val="es-MX"/>
        </w:rPr>
      </w:pPr>
    </w:p>
    <w:p w14:paraId="4167FAA8" w14:textId="598053A3" w:rsidR="005C2A13" w:rsidRDefault="005C2A13" w:rsidP="005C2A13">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sidRPr="007775CE">
        <w:rPr>
          <w:rFonts w:ascii="Arial" w:eastAsia="Times New Roman" w:hAnsi="Arial" w:cs="Arial"/>
          <w:color w:val="000000"/>
          <w:sz w:val="24"/>
          <w:szCs w:val="24"/>
          <w:lang w:val="es-MX"/>
        </w:rPr>
        <w:t xml:space="preserve">La Constitución Política de la Ciudad de México reconoce a las personas de identidad indígena como </w:t>
      </w:r>
      <w:r w:rsidRPr="00CA2CDB">
        <w:rPr>
          <w:rFonts w:ascii="Arial" w:eastAsia="Times New Roman" w:hAnsi="Arial" w:cs="Arial"/>
          <w:b/>
          <w:color w:val="000000"/>
          <w:sz w:val="24"/>
          <w:szCs w:val="24"/>
          <w:lang w:val="es-MX"/>
        </w:rPr>
        <w:t>un grupo de atención prioritaria</w:t>
      </w:r>
      <w:r w:rsidRPr="007775CE">
        <w:rPr>
          <w:rFonts w:ascii="Arial" w:eastAsia="Times New Roman" w:hAnsi="Arial" w:cs="Arial"/>
          <w:color w:val="000000"/>
          <w:sz w:val="24"/>
          <w:szCs w:val="24"/>
          <w:lang w:val="es-MX"/>
        </w:rPr>
        <w:t xml:space="preserve"> en su artículo 11, apartado O. Específicamente, garantiza la protección de los derechos de aquellas que habiten o estén de tránsito en la Ciudad, esto en razón de la amplísima población que se traslada todos los días desde la zona conurbada. Para fines del Día de Discusión General, las siguientes consideraciones se centrarán predominantemente en este grupo, que no debe ser confundido con los pueblos y barrios originarios (aquellos asentados históricamente en los territorios de la Ciudad) reconocidos en el artículo 57 de la misma Constitución.</w:t>
      </w:r>
      <w:r w:rsidR="00740C4E">
        <w:rPr>
          <w:rStyle w:val="Refdenotaalpie"/>
          <w:rFonts w:ascii="Arial" w:eastAsia="Times New Roman" w:hAnsi="Arial"/>
          <w:color w:val="000000"/>
          <w:sz w:val="24"/>
          <w:szCs w:val="24"/>
          <w:lang w:val="es-MX"/>
        </w:rPr>
        <w:footnoteReference w:id="3"/>
      </w:r>
    </w:p>
    <w:p w14:paraId="2A1A9985" w14:textId="77777777" w:rsidR="00740C4E" w:rsidRDefault="00740C4E" w:rsidP="005C2A13">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251AF193" w14:textId="77777777" w:rsidR="00740C4E" w:rsidRDefault="00740C4E"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Derivada de la entrada en vigor de la nueva Constitución, </w:t>
      </w:r>
      <w:r w:rsidR="00A14B7B">
        <w:rPr>
          <w:rFonts w:ascii="Arial" w:eastAsia="Times New Roman" w:hAnsi="Arial" w:cs="Arial"/>
          <w:color w:val="000000"/>
          <w:sz w:val="24"/>
          <w:szCs w:val="24"/>
          <w:lang w:val="es-MX"/>
        </w:rPr>
        <w:t xml:space="preserve">el 20 de diciembre de 2019 fue publicada la </w:t>
      </w:r>
      <w:r w:rsidR="00A14B7B" w:rsidRPr="00642F76">
        <w:rPr>
          <w:rFonts w:ascii="Arial" w:eastAsia="Times New Roman" w:hAnsi="Arial" w:cs="Arial"/>
          <w:i/>
          <w:color w:val="000000"/>
          <w:sz w:val="24"/>
          <w:szCs w:val="24"/>
          <w:lang w:val="es-MX"/>
        </w:rPr>
        <w:t>Ley de Derechos de los Pueblos y Barrios Originarios y Comunidades Indígenas Residentes en la Ciudad de México</w:t>
      </w:r>
      <w:r w:rsidR="00A14B7B">
        <w:rPr>
          <w:rFonts w:ascii="Arial" w:eastAsia="Times New Roman" w:hAnsi="Arial" w:cs="Arial"/>
          <w:color w:val="000000"/>
          <w:sz w:val="24"/>
          <w:szCs w:val="24"/>
          <w:lang w:val="es-MX"/>
        </w:rPr>
        <w:t xml:space="preserve">. </w:t>
      </w:r>
    </w:p>
    <w:p w14:paraId="78EB95D0" w14:textId="77777777" w:rsidR="00740C4E" w:rsidRDefault="00740C4E"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243DF747" w14:textId="71000A0A" w:rsidR="00E96257" w:rsidRDefault="00740C4E"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Congruente</w:t>
      </w:r>
      <w:r w:rsidR="00A14B7B">
        <w:rPr>
          <w:rFonts w:ascii="Arial" w:eastAsia="Times New Roman" w:hAnsi="Arial" w:cs="Arial"/>
          <w:color w:val="000000"/>
          <w:sz w:val="24"/>
          <w:szCs w:val="24"/>
          <w:lang w:val="es-MX"/>
        </w:rPr>
        <w:t xml:space="preserve"> con </w:t>
      </w:r>
      <w:r w:rsidR="00545426">
        <w:rPr>
          <w:rFonts w:ascii="Arial" w:eastAsia="Times New Roman" w:hAnsi="Arial" w:cs="Arial"/>
          <w:color w:val="000000"/>
          <w:sz w:val="24"/>
          <w:szCs w:val="24"/>
          <w:lang w:val="es-MX"/>
        </w:rPr>
        <w:t xml:space="preserve">el enfoque diferencial plasmado en el artículo 11 de la Constitución local, la Ley de referencia cataloga, a su vez, a las </w:t>
      </w:r>
      <w:r w:rsidR="00545426" w:rsidRPr="00740C4E">
        <w:rPr>
          <w:rFonts w:ascii="Arial" w:eastAsia="Times New Roman" w:hAnsi="Arial" w:cs="Arial"/>
          <w:b/>
          <w:color w:val="000000"/>
          <w:sz w:val="24"/>
          <w:szCs w:val="24"/>
          <w:lang w:val="es-MX"/>
        </w:rPr>
        <w:t xml:space="preserve">niñas y mujeres indígenas como un grupo </w:t>
      </w:r>
      <w:r w:rsidR="00E96257" w:rsidRPr="00740C4E">
        <w:rPr>
          <w:rFonts w:ascii="Arial" w:eastAsia="Times New Roman" w:hAnsi="Arial" w:cs="Arial"/>
          <w:b/>
          <w:color w:val="000000"/>
          <w:sz w:val="24"/>
          <w:szCs w:val="24"/>
          <w:lang w:val="es-MX"/>
        </w:rPr>
        <w:t xml:space="preserve">indígena </w:t>
      </w:r>
      <w:r w:rsidR="00545426" w:rsidRPr="00740C4E">
        <w:rPr>
          <w:rFonts w:ascii="Arial" w:eastAsia="Times New Roman" w:hAnsi="Arial" w:cs="Arial"/>
          <w:b/>
          <w:color w:val="000000"/>
          <w:sz w:val="24"/>
          <w:szCs w:val="24"/>
          <w:lang w:val="es-MX"/>
        </w:rPr>
        <w:t>de especial atención</w:t>
      </w:r>
      <w:r w:rsidR="00545426">
        <w:rPr>
          <w:rFonts w:ascii="Arial" w:eastAsia="Times New Roman" w:hAnsi="Arial" w:cs="Arial"/>
          <w:color w:val="000000"/>
          <w:sz w:val="24"/>
          <w:szCs w:val="24"/>
          <w:lang w:val="es-MX"/>
        </w:rPr>
        <w:t xml:space="preserve"> con el fin de que sean receptoras de medidas para la eliminación de la discriminación estructural.</w:t>
      </w:r>
    </w:p>
    <w:p w14:paraId="6A438748" w14:textId="77777777" w:rsidR="00E96257" w:rsidRDefault="00E96257"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03BDA40E" w14:textId="77777777" w:rsidR="00740C4E" w:rsidRDefault="00740C4E" w:rsidP="00740C4E">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A partir de 2018, </w:t>
      </w:r>
      <w:r w:rsidRPr="007775CE">
        <w:rPr>
          <w:rFonts w:ascii="Arial" w:eastAsia="Times New Roman" w:hAnsi="Arial" w:cs="Arial"/>
          <w:color w:val="000000"/>
          <w:sz w:val="24"/>
          <w:szCs w:val="24"/>
          <w:lang w:val="es-MX"/>
        </w:rPr>
        <w:t>el Gobierno de la Ciudad de México</w:t>
      </w:r>
      <w:r>
        <w:rPr>
          <w:rFonts w:ascii="Arial" w:eastAsia="Times New Roman" w:hAnsi="Arial" w:cs="Arial"/>
          <w:color w:val="000000"/>
          <w:sz w:val="24"/>
          <w:szCs w:val="24"/>
          <w:lang w:val="es-MX"/>
        </w:rPr>
        <w:t xml:space="preserve"> elevó a rango de Secretaría la materia indígena a través de la creación de la Secretaría de Pueblos Indígenas (SEPI). </w:t>
      </w:r>
    </w:p>
    <w:p w14:paraId="1D4B7133" w14:textId="77777777" w:rsidR="00740C4E" w:rsidRDefault="00740C4E" w:rsidP="00740C4E">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72428044" w14:textId="661725AE" w:rsidR="00740C4E" w:rsidRDefault="00740C4E" w:rsidP="00740C4E">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La SEPI </w:t>
      </w:r>
      <w:r w:rsidRPr="007775CE">
        <w:rPr>
          <w:rFonts w:ascii="Arial" w:eastAsia="Times New Roman" w:hAnsi="Arial" w:cs="Arial"/>
          <w:color w:val="000000"/>
          <w:sz w:val="24"/>
          <w:szCs w:val="24"/>
          <w:lang w:val="es-MX"/>
        </w:rPr>
        <w:t>ha implementado programas sociales específicamente destinados a impulsar el fortalecimiento de la autonomía y el empoderamiento económico de las mujeres de comunidades y pueblos indígenas</w:t>
      </w:r>
      <w:r w:rsidRPr="007775CE">
        <w:rPr>
          <w:rStyle w:val="Refdenotaalpie"/>
          <w:rFonts w:ascii="Arial" w:eastAsia="Times New Roman" w:hAnsi="Arial" w:cs="Arial"/>
          <w:color w:val="000000"/>
          <w:sz w:val="24"/>
          <w:szCs w:val="24"/>
          <w:lang w:val="es-MX"/>
        </w:rPr>
        <w:footnoteReference w:id="4"/>
      </w:r>
      <w:r w:rsidRPr="007775CE">
        <w:rPr>
          <w:rFonts w:ascii="Arial" w:eastAsia="Times New Roman" w:hAnsi="Arial" w:cs="Arial"/>
          <w:color w:val="000000"/>
          <w:sz w:val="24"/>
          <w:szCs w:val="24"/>
          <w:lang w:val="es-MX"/>
        </w:rPr>
        <w:t xml:space="preserve">. </w:t>
      </w:r>
    </w:p>
    <w:p w14:paraId="31AE21C8" w14:textId="6CA9CF9A" w:rsidR="006352E1" w:rsidRDefault="00E96257" w:rsidP="00F0111D">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Trabajo</w:t>
      </w:r>
    </w:p>
    <w:p w14:paraId="726CA412" w14:textId="6025F096" w:rsidR="00642F76" w:rsidRPr="00642F76" w:rsidRDefault="00642F76" w:rsidP="00A80493">
      <w:pPr>
        <w:pStyle w:val="NormalWeb"/>
        <w:numPr>
          <w:ilvl w:val="0"/>
          <w:numId w:val="22"/>
        </w:numPr>
        <w:shd w:val="clear" w:color="auto" w:fill="FFFFFF"/>
        <w:spacing w:before="375" w:after="375" w:line="330" w:lineRule="atLeast"/>
        <w:jc w:val="both"/>
        <w:rPr>
          <w:rFonts w:ascii="Arial" w:hAnsi="Arial" w:cs="Arial"/>
          <w:b/>
        </w:rPr>
      </w:pPr>
      <w:r w:rsidRPr="00642F76">
        <w:rPr>
          <w:rFonts w:ascii="Arial" w:hAnsi="Arial" w:cs="Arial"/>
          <w:b/>
        </w:rPr>
        <w:t xml:space="preserve">Migración </w:t>
      </w:r>
    </w:p>
    <w:p w14:paraId="29CF999F" w14:textId="3416B47E" w:rsidR="00642F76" w:rsidRPr="00642F76" w:rsidRDefault="00642F76" w:rsidP="00642F76">
      <w:pPr>
        <w:pStyle w:val="NormalWeb"/>
        <w:shd w:val="clear" w:color="auto" w:fill="FFFFFF"/>
        <w:spacing w:before="375" w:after="375" w:line="330" w:lineRule="atLeast"/>
        <w:jc w:val="both"/>
        <w:rPr>
          <w:rFonts w:ascii="Arial" w:hAnsi="Arial" w:cs="Arial"/>
        </w:rPr>
      </w:pPr>
      <w:r w:rsidRPr="00642F76">
        <w:rPr>
          <w:rFonts w:ascii="Arial" w:hAnsi="Arial" w:cs="Arial"/>
        </w:rPr>
        <w:t xml:space="preserve">La migración indígena hacia la Ciudad de México desde otras entidades federativas y el papel de las mujeres en ella han sido cambiantes. Según Cárdenas Gómez, “…los trabajos de corte antropológico y cualitativo intentan recalcar que la participación de las mujeres, niños e indígenas en los flujos migratorios no comenzaron específicamente en la década de 1990, sino que se hacía énfasis, en muchas </w:t>
      </w:r>
      <w:r w:rsidRPr="00642F76">
        <w:rPr>
          <w:rFonts w:ascii="Arial" w:hAnsi="Arial" w:cs="Arial"/>
        </w:rPr>
        <w:lastRenderedPageBreak/>
        <w:t xml:space="preserve">ocasiones de manera cualitativa y desde la perspectiva de género, en que en la migración hay nuevas manifestaciones, roles y situaciones. Ya no son esas familias que seguían al padre o jefe de familia. Ahora los indígenas y las mujeres son nuevos personajes que le dan nuevas manifestaciones y rostros al fenómeno migratorio. El hecho de que las mujeres sean madres solteras, divorciadas, jefas de familia, indígenas, etc., significa mucho y los estudios cuantitativos no profundizan en estos aspectos. Consecuentemente, más que contrastar esta divergencia se debe hacer notar la importancia de integrar ambos enfoques: el cuantitativo y el cualitativo.” </w:t>
      </w:r>
    </w:p>
    <w:p w14:paraId="24F6E3B3" w14:textId="77777777" w:rsidR="00642F76" w:rsidRPr="00642F76" w:rsidRDefault="00642F76" w:rsidP="00642F76">
      <w:pPr>
        <w:pStyle w:val="NormalWeb"/>
        <w:shd w:val="clear" w:color="auto" w:fill="FFFFFF"/>
        <w:spacing w:before="375" w:after="375" w:line="330" w:lineRule="atLeast"/>
        <w:jc w:val="both"/>
        <w:rPr>
          <w:rFonts w:ascii="Arial" w:hAnsi="Arial" w:cs="Arial"/>
        </w:rPr>
      </w:pPr>
      <w:r w:rsidRPr="00642F76">
        <w:rPr>
          <w:rFonts w:ascii="Arial" w:hAnsi="Arial" w:cs="Arial"/>
        </w:rPr>
        <w:t xml:space="preserve">En 2000, el INEGI reportó que el entonces Distrito Federal, ahora Ciudad de México, era una de las tres entidades federativas con mayor atracción de personas indígenas no nativas. Mientras que en las otras entidades el porcentaje de hombres indígenas es mayor, en la ahora Ciudad de México, se invertía la situación. </w:t>
      </w:r>
    </w:p>
    <w:p w14:paraId="0452700A" w14:textId="77777777" w:rsidR="00642F76" w:rsidRPr="00642F76" w:rsidRDefault="00642F76" w:rsidP="00642F76">
      <w:pPr>
        <w:pStyle w:val="NormalWeb"/>
        <w:shd w:val="clear" w:color="auto" w:fill="FFFFFF"/>
        <w:spacing w:before="375" w:after="375" w:line="330" w:lineRule="atLeast"/>
        <w:jc w:val="both"/>
        <w:rPr>
          <w:rFonts w:ascii="Arial" w:hAnsi="Arial" w:cs="Arial"/>
        </w:rPr>
      </w:pPr>
      <w:r w:rsidRPr="00642F76">
        <w:rPr>
          <w:rFonts w:ascii="Arial" w:hAnsi="Arial" w:cs="Arial"/>
        </w:rPr>
        <w:t xml:space="preserve">De acuerdo con datos del INEGI, 20 estados del país registraron los mayores flujos migratorios de mujeres indígenas migrantes estatales. Esta tendencia puede variar también según el grupo étnico. Por ejemplo, en 2006 se registró un incremento en la migración de mujeres y familias completas que se desplazaron fuera del estado o del país, aunque señala que la migración de la población masculina es mayor. La presencia de mujeres indígenas en la migración tampoco es registrada en los datos por estado porque las sub registran. Incluso el INEGI no las cuantifica por grupo étnico y con ello limita aún más la medición del fenómeno. Según etnografías realizadas en las zonas indígenas del país, por diversos investigadores, las mujeres que participan en la migración son Mazahuas, Mixtecas, Pimas, Tepehuas, Pames, Otomíes, Nahuas, Amuzgas de Guerrero, </w:t>
      </w:r>
      <w:proofErr w:type="spellStart"/>
      <w:r w:rsidRPr="00642F76">
        <w:rPr>
          <w:rFonts w:ascii="Arial" w:hAnsi="Arial" w:cs="Arial"/>
        </w:rPr>
        <w:t>Popolocas</w:t>
      </w:r>
      <w:proofErr w:type="spellEnd"/>
      <w:r w:rsidRPr="00642F76">
        <w:rPr>
          <w:rFonts w:ascii="Arial" w:hAnsi="Arial" w:cs="Arial"/>
        </w:rPr>
        <w:t xml:space="preserve">, Tojolabales, Zapotecas, Triquis, Yaquis y </w:t>
      </w:r>
      <w:proofErr w:type="spellStart"/>
      <w:r w:rsidRPr="00642F76">
        <w:rPr>
          <w:rFonts w:ascii="Arial" w:hAnsi="Arial" w:cs="Arial"/>
        </w:rPr>
        <w:t>Coras</w:t>
      </w:r>
      <w:proofErr w:type="spellEnd"/>
      <w:r w:rsidRPr="00642F76">
        <w:rPr>
          <w:rFonts w:ascii="Arial" w:hAnsi="Arial" w:cs="Arial"/>
        </w:rPr>
        <w:t>, fenómeno que no se había visibilizado como una tendencia general de la población indígena aun cuando fue registrado en estos estudios.</w:t>
      </w:r>
    </w:p>
    <w:p w14:paraId="08041D24" w14:textId="09C24198" w:rsidR="00221038" w:rsidRDefault="00642F76" w:rsidP="00642F76">
      <w:pPr>
        <w:pStyle w:val="NormalWeb"/>
        <w:shd w:val="clear" w:color="auto" w:fill="FFFFFF"/>
        <w:spacing w:before="375" w:beforeAutospacing="0" w:after="375" w:afterAutospacing="0" w:line="330" w:lineRule="atLeast"/>
        <w:jc w:val="both"/>
        <w:rPr>
          <w:rFonts w:ascii="Arial" w:hAnsi="Arial" w:cs="Arial"/>
        </w:rPr>
      </w:pPr>
      <w:r w:rsidRPr="00642F76">
        <w:rPr>
          <w:rFonts w:ascii="Arial" w:hAnsi="Arial" w:cs="Arial"/>
        </w:rPr>
        <w:t>Las causas de la migración indígena son múltiples. Aún con ello, los factores estructurales son las principales causas que explican la continuidad del fenómeno.</w:t>
      </w:r>
    </w:p>
    <w:p w14:paraId="245B3486" w14:textId="2A8B8981" w:rsidR="003E076F" w:rsidRPr="003E076F" w:rsidRDefault="00A80493" w:rsidP="00642F76">
      <w:pPr>
        <w:pStyle w:val="NormalWeb"/>
        <w:shd w:val="clear" w:color="auto" w:fill="FFFFFF"/>
        <w:spacing w:before="375" w:beforeAutospacing="0" w:after="375" w:afterAutospacing="0" w:line="330" w:lineRule="atLeast"/>
        <w:jc w:val="both"/>
        <w:rPr>
          <w:rFonts w:ascii="Arial" w:hAnsi="Arial" w:cs="Arial"/>
          <w:b/>
        </w:rPr>
      </w:pPr>
      <w:r>
        <w:rPr>
          <w:rFonts w:ascii="Arial" w:hAnsi="Arial" w:cs="Arial"/>
          <w:b/>
        </w:rPr>
        <w:t>I</w:t>
      </w:r>
      <w:r w:rsidR="003E076F">
        <w:rPr>
          <w:rFonts w:ascii="Arial" w:hAnsi="Arial" w:cs="Arial"/>
          <w:b/>
        </w:rPr>
        <w:t>V</w:t>
      </w:r>
      <w:r w:rsidR="003E076F" w:rsidRPr="003E076F">
        <w:rPr>
          <w:rFonts w:ascii="Arial" w:hAnsi="Arial" w:cs="Arial"/>
          <w:b/>
        </w:rPr>
        <w:t xml:space="preserve">. Trabajo </w:t>
      </w:r>
    </w:p>
    <w:p w14:paraId="243257F7" w14:textId="7495729F" w:rsidR="003E076F" w:rsidRPr="00FE3C3A" w:rsidRDefault="003E076F" w:rsidP="003E076F">
      <w:pPr>
        <w:pStyle w:val="NormalWeb"/>
        <w:shd w:val="clear" w:color="auto" w:fill="FFFFFF"/>
        <w:spacing w:before="375" w:beforeAutospacing="0" w:after="375" w:afterAutospacing="0" w:line="330" w:lineRule="atLeast"/>
        <w:jc w:val="both"/>
        <w:rPr>
          <w:rFonts w:ascii="Arial" w:hAnsi="Arial" w:cs="Arial"/>
        </w:rPr>
      </w:pPr>
      <w:r w:rsidRPr="00FE3C3A">
        <w:rPr>
          <w:rFonts w:ascii="Arial" w:hAnsi="Arial" w:cs="Arial"/>
        </w:rPr>
        <w:t>El servicio doméstico, el comercio informal, el trabajo en restaurantes y la maquila, o incluso la mendicidad,</w:t>
      </w:r>
      <w:r w:rsidRPr="00FE3C3A">
        <w:rPr>
          <w:rFonts w:ascii="Arial" w:hAnsi="Arial" w:cs="Arial"/>
          <w:vertAlign w:val="superscript"/>
        </w:rPr>
        <w:t> </w:t>
      </w:r>
      <w:r w:rsidRPr="00FE3C3A">
        <w:rPr>
          <w:rFonts w:ascii="Arial" w:hAnsi="Arial" w:cs="Arial"/>
        </w:rPr>
        <w:t xml:space="preserve">son algunas opciones para que las mujeres indígenas obtengan ingresos en las ciudades. </w:t>
      </w:r>
      <w:r w:rsidRPr="000F54D5">
        <w:rPr>
          <w:rFonts w:ascii="Arial" w:hAnsi="Arial" w:cs="Arial"/>
        </w:rPr>
        <w:t xml:space="preserve">A nivel latinoamericano, el empleo doméstico </w:t>
      </w:r>
      <w:r>
        <w:rPr>
          <w:rFonts w:ascii="Arial" w:hAnsi="Arial" w:cs="Arial"/>
        </w:rPr>
        <w:t>permea en las regiones</w:t>
      </w:r>
      <w:r w:rsidRPr="000F54D5">
        <w:rPr>
          <w:rFonts w:ascii="Arial" w:hAnsi="Arial" w:cs="Arial"/>
        </w:rPr>
        <w:t xml:space="preserve"> urbanas y son las mujeres indígenas quienes </w:t>
      </w:r>
      <w:r>
        <w:rPr>
          <w:rFonts w:ascii="Arial" w:hAnsi="Arial" w:cs="Arial"/>
        </w:rPr>
        <w:t>llevan a cabo este trabajo</w:t>
      </w:r>
      <w:r w:rsidRPr="000F54D5">
        <w:rPr>
          <w:rFonts w:ascii="Arial" w:hAnsi="Arial" w:cs="Arial"/>
        </w:rPr>
        <w:t xml:space="preserve"> en mayor proporción que las no indígenas. </w:t>
      </w:r>
      <w:r>
        <w:rPr>
          <w:rFonts w:ascii="Arial" w:hAnsi="Arial" w:cs="Arial"/>
        </w:rPr>
        <w:t>En México,</w:t>
      </w:r>
      <w:r w:rsidRPr="000F54D5">
        <w:rPr>
          <w:rFonts w:ascii="Arial" w:hAnsi="Arial" w:cs="Arial"/>
        </w:rPr>
        <w:t xml:space="preserve"> las mujeres indígenas duplican y</w:t>
      </w:r>
      <w:r>
        <w:rPr>
          <w:rFonts w:ascii="Arial" w:hAnsi="Arial" w:cs="Arial"/>
        </w:rPr>
        <w:t>, en algunas zonas,</w:t>
      </w:r>
      <w:r w:rsidRPr="000F54D5">
        <w:rPr>
          <w:rFonts w:ascii="Arial" w:hAnsi="Arial" w:cs="Arial"/>
        </w:rPr>
        <w:t xml:space="preserve"> hasta triplican la participación de las no </w:t>
      </w:r>
      <w:r w:rsidRPr="000F54D5">
        <w:rPr>
          <w:rFonts w:ascii="Arial" w:hAnsi="Arial" w:cs="Arial"/>
        </w:rPr>
        <w:lastRenderedPageBreak/>
        <w:t>indígenas en el servicio doméstico en las zonas urbanas (Observatorio de Igualdad de género de América Latina y el Caribe, 2013)</w:t>
      </w:r>
      <w:r>
        <w:rPr>
          <w:rFonts w:ascii="Arial" w:hAnsi="Arial" w:cs="Arial"/>
        </w:rPr>
        <w:t xml:space="preserve">. </w:t>
      </w:r>
      <w:r w:rsidRPr="00FE3C3A">
        <w:rPr>
          <w:rFonts w:ascii="Arial" w:hAnsi="Arial" w:cs="Arial"/>
        </w:rPr>
        <w:t>El trabajo en las zonas agrícolas es otra opción a la que recurren.</w:t>
      </w:r>
      <w:r w:rsidRPr="00FE3C3A">
        <w:rPr>
          <w:rStyle w:val="Refdenotaalpie"/>
          <w:rFonts w:ascii="Arial" w:hAnsi="Arial" w:cs="Arial"/>
        </w:rPr>
        <w:footnoteReference w:id="5"/>
      </w:r>
    </w:p>
    <w:p w14:paraId="3A656071" w14:textId="77777777" w:rsidR="003E076F"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Al respecto, en la Ciudad de México, d</w:t>
      </w:r>
      <w:r w:rsidRPr="007775CE">
        <w:rPr>
          <w:rFonts w:ascii="Arial" w:eastAsia="Times New Roman" w:hAnsi="Arial" w:cs="Arial"/>
          <w:color w:val="000000"/>
          <w:sz w:val="24"/>
          <w:szCs w:val="24"/>
          <w:lang w:val="es-MX"/>
        </w:rPr>
        <w:t xml:space="preserve">e cada 10 mujeres de 12 años o más y hablantes de alguna lengua indígena, 6 tienen un trabajo remunerado y 3 laboran en el hogar. </w:t>
      </w:r>
    </w:p>
    <w:p w14:paraId="5E31B45A" w14:textId="77777777" w:rsidR="003E076F"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33E0D0B7" w14:textId="77777777" w:rsidR="003E076F"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sidRPr="002928F5">
        <w:rPr>
          <w:rFonts w:ascii="Arial" w:eastAsia="Times New Roman" w:hAnsi="Arial" w:cs="Arial"/>
          <w:color w:val="000000"/>
          <w:sz w:val="24"/>
          <w:szCs w:val="24"/>
          <w:lang w:val="es-MX"/>
        </w:rPr>
        <w:t xml:space="preserve">La Coordinación de Educación Digital de El Colegio de México describe, con base en datos del Centro de Apoyo y Capacitación a Empleadas del Hogar, algunas de las situaciones que han enfrentado las mujeres indígenas durante la pandemia en </w:t>
      </w:r>
      <w:r>
        <w:rPr>
          <w:rFonts w:ascii="Arial" w:eastAsia="Times New Roman" w:hAnsi="Arial" w:cs="Arial"/>
          <w:color w:val="000000"/>
          <w:sz w:val="24"/>
          <w:szCs w:val="24"/>
          <w:lang w:val="es-MX"/>
        </w:rPr>
        <w:t xml:space="preserve">lo que se refiere al mundo laboral. </w:t>
      </w:r>
    </w:p>
    <w:p w14:paraId="52B3C529" w14:textId="77777777" w:rsidR="003E076F"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559F9713" w14:textId="77777777" w:rsidR="003E076F" w:rsidRPr="002928F5"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sidRPr="002928F5">
        <w:rPr>
          <w:rFonts w:ascii="Arial" w:eastAsia="Times New Roman" w:hAnsi="Arial" w:cs="Arial"/>
          <w:color w:val="000000"/>
          <w:sz w:val="24"/>
          <w:szCs w:val="24"/>
          <w:lang w:val="es-MX"/>
        </w:rPr>
        <w:t>Hay dos escenarios concretos</w:t>
      </w:r>
      <w:r>
        <w:rPr>
          <w:rFonts w:ascii="Arial" w:eastAsia="Times New Roman" w:hAnsi="Arial" w:cs="Arial"/>
          <w:color w:val="000000"/>
          <w:sz w:val="24"/>
          <w:szCs w:val="24"/>
          <w:lang w:val="es-MX"/>
        </w:rPr>
        <w:t xml:space="preserve">. </w:t>
      </w:r>
      <w:r w:rsidRPr="002928F5">
        <w:rPr>
          <w:rFonts w:ascii="Arial" w:eastAsia="Times New Roman" w:hAnsi="Arial" w:cs="Arial"/>
          <w:color w:val="000000"/>
          <w:sz w:val="24"/>
          <w:szCs w:val="24"/>
          <w:lang w:val="es-MX"/>
        </w:rPr>
        <w:t>En primer lugar, durante algunos periodos de la pandemia sufrieron de altas tasas de despidos o, en otros casos, de “descansos” sin goce de sueldo. En segundo lugar, han tenido que asumir una carga de trabajo doméstico triple en razón de que todas las personas integrantes de sus familias se han quedado en casa durante los periodos de confinamiento y aún prevalecen estereotipos sobre la feminización de esta clase de labores.</w:t>
      </w:r>
    </w:p>
    <w:p w14:paraId="6673A44B" w14:textId="77777777" w:rsidR="003E076F" w:rsidRPr="002928F5"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p>
    <w:p w14:paraId="209E3E02" w14:textId="77777777" w:rsidR="003E076F"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r w:rsidRPr="002928F5">
        <w:rPr>
          <w:rFonts w:ascii="Arial" w:eastAsia="Times New Roman" w:hAnsi="Arial" w:cs="Arial"/>
          <w:color w:val="000000"/>
          <w:sz w:val="24"/>
          <w:szCs w:val="24"/>
          <w:lang w:val="es-MX"/>
        </w:rPr>
        <w:t>En cuanto a las comerciantes de los espacios públicos,</w:t>
      </w:r>
      <w:r>
        <w:rPr>
          <w:rFonts w:ascii="Arial" w:eastAsia="Times New Roman" w:hAnsi="Arial" w:cs="Arial"/>
          <w:color w:val="000000"/>
          <w:sz w:val="24"/>
          <w:szCs w:val="24"/>
          <w:lang w:val="es-MX"/>
        </w:rPr>
        <w:t xml:space="preserve"> se ha registrado que, durante la emergencia sanitaria, han ofrecido </w:t>
      </w:r>
      <w:r w:rsidRPr="002928F5">
        <w:rPr>
          <w:rFonts w:ascii="Arial" w:eastAsia="Times New Roman" w:hAnsi="Arial" w:cs="Arial"/>
          <w:color w:val="000000"/>
          <w:sz w:val="24"/>
          <w:szCs w:val="24"/>
          <w:lang w:val="es-MX"/>
        </w:rPr>
        <w:t>intercambio de productos a cambio de despensas o insumos básicos como pañales.</w:t>
      </w:r>
    </w:p>
    <w:p w14:paraId="7D72BCC4" w14:textId="71BD84A0" w:rsidR="003E076F" w:rsidRPr="007775CE" w:rsidRDefault="003E076F" w:rsidP="003E076F">
      <w:pPr>
        <w:pBdr>
          <w:top w:val="nil"/>
          <w:left w:val="nil"/>
          <w:bottom w:val="nil"/>
          <w:right w:val="nil"/>
          <w:between w:val="nil"/>
        </w:pBdr>
        <w:spacing w:after="0" w:line="276" w:lineRule="auto"/>
        <w:jc w:val="both"/>
        <w:rPr>
          <w:rFonts w:ascii="Arial" w:eastAsia="Times New Roman" w:hAnsi="Arial" w:cs="Arial"/>
          <w:color w:val="000000"/>
          <w:sz w:val="24"/>
          <w:szCs w:val="24"/>
          <w:lang w:val="es-MX"/>
        </w:rPr>
      </w:pPr>
      <w:bookmarkStart w:id="0" w:name="_GoBack"/>
      <w:bookmarkEnd w:id="0"/>
      <w:r w:rsidRPr="002928F5">
        <w:rPr>
          <w:rFonts w:ascii="Arial" w:eastAsia="Times New Roman" w:hAnsi="Arial" w:cs="Arial"/>
          <w:color w:val="000000"/>
          <w:sz w:val="24"/>
          <w:szCs w:val="24"/>
          <w:lang w:val="es-MX"/>
        </w:rPr>
        <w:t xml:space="preserve"> </w:t>
      </w:r>
    </w:p>
    <w:p w14:paraId="506B12F0" w14:textId="441B0A55" w:rsidR="0050651A" w:rsidRPr="007775CE" w:rsidRDefault="003E076F"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En lo que toca al </w:t>
      </w:r>
      <w:r w:rsidR="0050651A" w:rsidRPr="007775CE">
        <w:rPr>
          <w:rFonts w:ascii="Arial" w:eastAsia="Times New Roman" w:hAnsi="Arial" w:cs="Arial"/>
          <w:color w:val="000000"/>
          <w:sz w:val="24"/>
          <w:szCs w:val="24"/>
          <w:lang w:val="es-MX"/>
        </w:rPr>
        <w:t>trabajo infantil entre niñas indígenas</w:t>
      </w:r>
      <w:r w:rsidR="005F2A17" w:rsidRPr="007775CE">
        <w:rPr>
          <w:rFonts w:ascii="Arial" w:eastAsia="Times New Roman" w:hAnsi="Arial" w:cs="Arial"/>
          <w:color w:val="000000"/>
          <w:sz w:val="24"/>
          <w:szCs w:val="24"/>
          <w:lang w:val="es-MX"/>
        </w:rPr>
        <w:t xml:space="preserve"> es elevada y, además, tiende a responder a patrones socioculturales diferenciados</w:t>
      </w:r>
      <w:r w:rsidR="0050651A" w:rsidRPr="007775CE">
        <w:rPr>
          <w:rFonts w:ascii="Arial" w:eastAsia="Times New Roman" w:hAnsi="Arial" w:cs="Arial"/>
          <w:color w:val="000000"/>
          <w:sz w:val="24"/>
          <w:szCs w:val="24"/>
          <w:lang w:val="es-MX"/>
        </w:rPr>
        <w:t xml:space="preserve">. Esto opera en razón de diversos factores económicos y culturales: desde una mayor incidencia de pobreza y discriminación hasta un valor diferenciado que se le da a la participación en actividades formativas en las comunidades indígenas. </w:t>
      </w:r>
      <w:r w:rsidR="005F2A17" w:rsidRPr="007775CE">
        <w:rPr>
          <w:rFonts w:ascii="Arial" w:eastAsia="Times New Roman" w:hAnsi="Arial" w:cs="Arial"/>
          <w:color w:val="000000"/>
          <w:sz w:val="24"/>
          <w:szCs w:val="24"/>
          <w:lang w:val="es-MX"/>
        </w:rPr>
        <w:t xml:space="preserve">Un ejemplo de participación infantil en el sector laboral es la industria </w:t>
      </w:r>
      <w:r w:rsidR="0050651A" w:rsidRPr="007775CE">
        <w:rPr>
          <w:rFonts w:ascii="Arial" w:eastAsia="Times New Roman" w:hAnsi="Arial" w:cs="Arial"/>
          <w:color w:val="000000"/>
          <w:sz w:val="24"/>
          <w:szCs w:val="24"/>
          <w:lang w:val="es-MX"/>
        </w:rPr>
        <w:t xml:space="preserve">agrícola, </w:t>
      </w:r>
      <w:r w:rsidR="005F2A17" w:rsidRPr="007775CE">
        <w:rPr>
          <w:rFonts w:ascii="Arial" w:eastAsia="Times New Roman" w:hAnsi="Arial" w:cs="Arial"/>
          <w:color w:val="000000"/>
          <w:sz w:val="24"/>
          <w:szCs w:val="24"/>
          <w:lang w:val="es-MX"/>
        </w:rPr>
        <w:t>en la que</w:t>
      </w:r>
      <w:r w:rsidR="0050651A" w:rsidRPr="007775CE">
        <w:rPr>
          <w:rFonts w:ascii="Arial" w:eastAsia="Times New Roman" w:hAnsi="Arial" w:cs="Arial"/>
          <w:color w:val="000000"/>
          <w:sz w:val="24"/>
          <w:szCs w:val="24"/>
          <w:lang w:val="es-MX"/>
        </w:rPr>
        <w:t xml:space="preserve"> por lo menos 15% de los niños, niñas y adolescentes jornaleros habla una lengua indígena</w:t>
      </w:r>
      <w:r w:rsidR="006222A8" w:rsidRPr="007775CE">
        <w:rPr>
          <w:rFonts w:ascii="Arial" w:eastAsia="Times New Roman" w:hAnsi="Arial" w:cs="Arial"/>
          <w:color w:val="000000"/>
          <w:sz w:val="24"/>
          <w:szCs w:val="24"/>
          <w:lang w:val="es-MX"/>
        </w:rPr>
        <w:t>; no obstante, hay pocos datos para referir las diferencias por género</w:t>
      </w:r>
      <w:r w:rsidR="0050651A" w:rsidRPr="007775CE">
        <w:rPr>
          <w:rFonts w:ascii="Arial" w:eastAsia="Times New Roman" w:hAnsi="Arial" w:cs="Arial"/>
          <w:color w:val="000000"/>
          <w:sz w:val="24"/>
          <w:szCs w:val="24"/>
          <w:lang w:val="es-MX"/>
        </w:rPr>
        <w:t>.</w:t>
      </w:r>
      <w:r w:rsidR="0050651A" w:rsidRPr="007775CE">
        <w:rPr>
          <w:rStyle w:val="Refdenotaalpie"/>
          <w:rFonts w:ascii="Arial" w:eastAsia="Times New Roman" w:hAnsi="Arial" w:cs="Arial"/>
          <w:color w:val="000000"/>
          <w:sz w:val="24"/>
          <w:szCs w:val="24"/>
          <w:lang w:val="es-MX"/>
        </w:rPr>
        <w:footnoteReference w:id="6"/>
      </w:r>
      <w:r w:rsidR="0050651A" w:rsidRPr="007775CE">
        <w:rPr>
          <w:rFonts w:ascii="Arial" w:eastAsia="Times New Roman" w:hAnsi="Arial" w:cs="Arial"/>
          <w:color w:val="000000"/>
          <w:sz w:val="24"/>
          <w:szCs w:val="24"/>
          <w:lang w:val="es-MX"/>
        </w:rPr>
        <w:t xml:space="preserve"> </w:t>
      </w:r>
    </w:p>
    <w:p w14:paraId="0F845709" w14:textId="77777777" w:rsidR="003E076F" w:rsidRDefault="003E076F"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p>
    <w:p w14:paraId="5F8FC914" w14:textId="77777777" w:rsidR="003E076F" w:rsidRDefault="003E076F"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De manera particular, en la Ciudad de México, una buena parte del trabajo infantil se concentra en el </w:t>
      </w:r>
      <w:r w:rsidR="0050651A" w:rsidRPr="007775CE">
        <w:rPr>
          <w:rFonts w:ascii="Arial" w:eastAsia="Times New Roman" w:hAnsi="Arial" w:cs="Arial"/>
          <w:color w:val="000000"/>
          <w:sz w:val="24"/>
          <w:szCs w:val="24"/>
          <w:lang w:val="es-MX"/>
        </w:rPr>
        <w:t>Sistema de Transporte Colectivo Metro (STC), la Central de Abasto y otros espacios públicos de la Ciudad de México</w:t>
      </w:r>
      <w:r>
        <w:rPr>
          <w:rFonts w:ascii="Arial" w:eastAsia="Times New Roman" w:hAnsi="Arial" w:cs="Arial"/>
          <w:color w:val="000000"/>
          <w:sz w:val="24"/>
          <w:szCs w:val="24"/>
          <w:lang w:val="es-MX"/>
        </w:rPr>
        <w:t xml:space="preserve">. Un estudio de la Comisión de </w:t>
      </w:r>
      <w:r>
        <w:rPr>
          <w:rFonts w:ascii="Arial" w:eastAsia="Times New Roman" w:hAnsi="Arial" w:cs="Arial"/>
          <w:color w:val="000000"/>
          <w:sz w:val="24"/>
          <w:szCs w:val="24"/>
          <w:lang w:val="es-MX"/>
        </w:rPr>
        <w:lastRenderedPageBreak/>
        <w:t xml:space="preserve">Derechos Humanos de la Ciudad de México arroja como resultados que </w:t>
      </w:r>
      <w:r w:rsidR="006222A8" w:rsidRPr="007775CE">
        <w:rPr>
          <w:rStyle w:val="Refdenotaalpie"/>
          <w:rFonts w:ascii="Arial" w:eastAsia="Times New Roman" w:hAnsi="Arial" w:cs="Arial"/>
          <w:color w:val="000000"/>
          <w:sz w:val="24"/>
          <w:szCs w:val="24"/>
          <w:lang w:val="es-MX"/>
        </w:rPr>
        <w:t xml:space="preserve"> </w:t>
      </w:r>
      <w:r w:rsidR="0050651A" w:rsidRPr="007775CE">
        <w:rPr>
          <w:rFonts w:ascii="Arial" w:eastAsia="Times New Roman" w:hAnsi="Arial" w:cs="Arial"/>
          <w:color w:val="000000"/>
          <w:sz w:val="24"/>
          <w:szCs w:val="24"/>
          <w:lang w:val="es-MX"/>
        </w:rPr>
        <w:t xml:space="preserve"> en el STC en 2017, 8.5% de las NNA y que trabajaban ahí formaban parte de un grupo indígena.</w:t>
      </w:r>
      <w:r w:rsidRPr="007775CE">
        <w:rPr>
          <w:rStyle w:val="Refdenotaalpie"/>
          <w:rFonts w:ascii="Arial" w:eastAsia="Times New Roman" w:hAnsi="Arial" w:cs="Arial"/>
          <w:color w:val="000000"/>
          <w:sz w:val="24"/>
          <w:szCs w:val="24"/>
          <w:lang w:val="es-MX"/>
        </w:rPr>
        <w:footnoteReference w:id="7"/>
      </w:r>
      <w:r w:rsidRPr="007775CE">
        <w:rPr>
          <w:rFonts w:ascii="Arial" w:eastAsia="Times New Roman" w:hAnsi="Arial" w:cs="Arial"/>
          <w:color w:val="000000"/>
          <w:sz w:val="24"/>
          <w:szCs w:val="24"/>
          <w:lang w:val="es-MX"/>
        </w:rPr>
        <w:t xml:space="preserve"> </w:t>
      </w:r>
    </w:p>
    <w:p w14:paraId="7506ED4A" w14:textId="77777777" w:rsidR="003E076F" w:rsidRDefault="003E076F"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p>
    <w:p w14:paraId="5C3E89C7" w14:textId="3611F6B9" w:rsidR="0050651A" w:rsidRDefault="003E076F"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El estudio identificó </w:t>
      </w:r>
      <w:r w:rsidR="0050651A" w:rsidRPr="007775CE">
        <w:rPr>
          <w:rFonts w:ascii="Arial" w:eastAsia="Times New Roman" w:hAnsi="Arial" w:cs="Arial"/>
          <w:color w:val="000000"/>
          <w:sz w:val="24"/>
          <w:szCs w:val="24"/>
          <w:lang w:val="es-MX"/>
        </w:rPr>
        <w:t>diferencias significativas en las características del trabajo de niñas y adolescentes mujeres: sufren directamente el acoso y el hostigamiento sexual; enfrentan desigualdad de oportunidades para estudiar por la existencia de valores sociales discriminatorios; asumen la mayor parte de las tareas de cuidado, incluyendo supervisión de integrantes menores de la familia y quehaceres domésticos; tienen más obligaciones en comparación con sus hermanos; suelen dejar la escuela antes que sus contrapartes varones; tienden a ser víctimas de formas de trabajo infantil más clandestinas; sufren invisibilidad debido a la poca presencia física externa en algunos lugares (suelen trabajar en limpieza de verduras, barriendo, en el interior de almacenes, en las cocinas, en cajas debajo de los puestos, al final de los pasillos, detrás de mostradores, y ámbitos similares, en contraste con los niños que son abiertamente expuestos); los pagos a las niñas suelen estar bajo el rubro del ingreso familiar, disponiendo ellas de menos dinero y menores posibilidades para obtenerlo; y tienen que cuidar su imagen en razón de la carga moral discriminatoria que les asignan sus comunidades y familias.</w:t>
      </w:r>
    </w:p>
    <w:p w14:paraId="6A32E0C9" w14:textId="3CE66718" w:rsidR="00642F76" w:rsidRDefault="00642F76"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p>
    <w:p w14:paraId="1F772765" w14:textId="54C1D72F" w:rsidR="00642F76" w:rsidRPr="00A80493" w:rsidRDefault="00642F76" w:rsidP="00A80493">
      <w:pPr>
        <w:pStyle w:val="Prrafodelista"/>
        <w:numPr>
          <w:ilvl w:val="0"/>
          <w:numId w:val="24"/>
        </w:numPr>
        <w:pBdr>
          <w:top w:val="nil"/>
          <w:left w:val="nil"/>
          <w:bottom w:val="nil"/>
          <w:right w:val="nil"/>
          <w:between w:val="nil"/>
        </w:pBdr>
        <w:spacing w:after="0" w:line="276" w:lineRule="auto"/>
        <w:jc w:val="both"/>
        <w:rPr>
          <w:rFonts w:ascii="Arial" w:eastAsia="Times New Roman" w:hAnsi="Arial" w:cs="Arial"/>
          <w:b/>
          <w:color w:val="000000"/>
          <w:sz w:val="24"/>
          <w:szCs w:val="24"/>
          <w:lang w:val="es-MX"/>
        </w:rPr>
      </w:pPr>
      <w:r w:rsidRPr="00A80493">
        <w:rPr>
          <w:rFonts w:ascii="Arial" w:eastAsia="Times New Roman" w:hAnsi="Arial" w:cs="Arial"/>
          <w:b/>
          <w:color w:val="000000"/>
          <w:sz w:val="24"/>
          <w:szCs w:val="24"/>
          <w:lang w:val="es-MX"/>
        </w:rPr>
        <w:t>Quejas ante la Comisión de Derechos Humanos de la Ciudad de México sobre presuntas violaciones a derechos humanos de mujeres y niñas indígenas</w:t>
      </w:r>
    </w:p>
    <w:p w14:paraId="392F21D6" w14:textId="77777777" w:rsidR="00642F76" w:rsidRPr="00740C4E" w:rsidRDefault="00642F76" w:rsidP="00642F76">
      <w:pPr>
        <w:pStyle w:val="Prrafodelista"/>
        <w:pBdr>
          <w:top w:val="nil"/>
          <w:left w:val="nil"/>
          <w:bottom w:val="nil"/>
          <w:right w:val="nil"/>
          <w:between w:val="nil"/>
        </w:pBdr>
        <w:spacing w:after="0" w:line="276" w:lineRule="auto"/>
        <w:ind w:left="1080"/>
        <w:jc w:val="both"/>
        <w:rPr>
          <w:rFonts w:ascii="Arial" w:eastAsia="Times New Roman" w:hAnsi="Arial" w:cs="Arial"/>
          <w:color w:val="000000"/>
          <w:sz w:val="24"/>
          <w:szCs w:val="24"/>
          <w:lang w:val="es-MX"/>
        </w:rPr>
      </w:pPr>
    </w:p>
    <w:p w14:paraId="6031E7E8" w14:textId="77777777" w:rsidR="00642F76" w:rsidRPr="007775CE" w:rsidRDefault="00642F76" w:rsidP="00642F76">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E</w:t>
      </w:r>
      <w:r w:rsidRPr="007775CE">
        <w:rPr>
          <w:rFonts w:ascii="Arial" w:eastAsia="Times New Roman" w:hAnsi="Arial" w:cs="Arial"/>
          <w:color w:val="000000"/>
          <w:sz w:val="24"/>
          <w:szCs w:val="24"/>
          <w:lang w:val="es-MX"/>
        </w:rPr>
        <w:t>n el transcurso de 2020</w:t>
      </w:r>
      <w:r>
        <w:rPr>
          <w:rFonts w:ascii="Arial" w:eastAsia="Times New Roman" w:hAnsi="Arial" w:cs="Arial"/>
          <w:color w:val="000000"/>
          <w:sz w:val="24"/>
          <w:szCs w:val="24"/>
          <w:lang w:val="es-MX"/>
        </w:rPr>
        <w:t>, s</w:t>
      </w:r>
      <w:r w:rsidRPr="007775CE">
        <w:rPr>
          <w:rFonts w:ascii="Arial" w:eastAsia="Times New Roman" w:hAnsi="Arial" w:cs="Arial"/>
          <w:color w:val="000000"/>
          <w:sz w:val="24"/>
          <w:szCs w:val="24"/>
          <w:lang w:val="es-MX"/>
        </w:rPr>
        <w:t>e gestionaron 12 casos en total con mujeres y niñas indígenas como víctimas.</w:t>
      </w:r>
    </w:p>
    <w:tbl>
      <w:tblPr>
        <w:tblStyle w:val="Cuadrculaclara-nfasis6"/>
        <w:tblpPr w:leftFromText="141" w:rightFromText="141" w:vertAnchor="text" w:horzAnchor="page" w:tblpXSpec="center" w:tblpY="201"/>
        <w:tblW w:w="0" w:type="auto"/>
        <w:tblLook w:val="04A0" w:firstRow="1" w:lastRow="0" w:firstColumn="1" w:lastColumn="0" w:noHBand="0" w:noVBand="1"/>
      </w:tblPr>
      <w:tblGrid>
        <w:gridCol w:w="4489"/>
        <w:gridCol w:w="4489"/>
      </w:tblGrid>
      <w:tr w:rsidR="00642F76" w:rsidRPr="007775CE" w14:paraId="45FB5CAF" w14:textId="77777777" w:rsidTr="00A71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759A8EF6"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Mujeres y Niñas o Niños Origen</w:t>
            </w:r>
          </w:p>
        </w:tc>
        <w:tc>
          <w:tcPr>
            <w:tcW w:w="4489" w:type="dxa"/>
          </w:tcPr>
          <w:p w14:paraId="456B71D9" w14:textId="77777777" w:rsidR="00642F76" w:rsidRPr="007775CE" w:rsidRDefault="00642F76" w:rsidP="00A71627">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775CE">
              <w:rPr>
                <w:rFonts w:ascii="Arial" w:hAnsi="Arial" w:cs="Arial"/>
                <w:sz w:val="24"/>
                <w:szCs w:val="24"/>
              </w:rPr>
              <w:t>Menciones</w:t>
            </w:r>
          </w:p>
        </w:tc>
      </w:tr>
      <w:tr w:rsidR="00642F76" w:rsidRPr="007775CE" w14:paraId="5B5A0D68" w14:textId="77777777" w:rsidTr="00A7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571F9105"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Mazahua</w:t>
            </w:r>
          </w:p>
        </w:tc>
        <w:tc>
          <w:tcPr>
            <w:tcW w:w="4489" w:type="dxa"/>
          </w:tcPr>
          <w:p w14:paraId="710B58C9" w14:textId="77777777" w:rsidR="00642F76" w:rsidRPr="007775CE" w:rsidRDefault="00642F76" w:rsidP="00A716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75CE">
              <w:rPr>
                <w:rFonts w:ascii="Arial" w:hAnsi="Arial" w:cs="Arial"/>
                <w:sz w:val="24"/>
                <w:szCs w:val="24"/>
              </w:rPr>
              <w:t>2</w:t>
            </w:r>
          </w:p>
        </w:tc>
      </w:tr>
      <w:tr w:rsidR="00642F76" w:rsidRPr="007775CE" w14:paraId="21022D27" w14:textId="77777777" w:rsidTr="00A71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28C12853"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Nahuas</w:t>
            </w:r>
          </w:p>
        </w:tc>
        <w:tc>
          <w:tcPr>
            <w:tcW w:w="4489" w:type="dxa"/>
          </w:tcPr>
          <w:p w14:paraId="1534ADF4" w14:textId="77777777" w:rsidR="00642F76" w:rsidRPr="007775CE" w:rsidRDefault="00642F76" w:rsidP="00A716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r w:rsidR="00642F76" w:rsidRPr="007775CE" w14:paraId="4B7C48A7" w14:textId="77777777" w:rsidTr="00A7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6B8AFDE4"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 xml:space="preserve">Santa María </w:t>
            </w:r>
            <w:proofErr w:type="spellStart"/>
            <w:r w:rsidRPr="007775CE">
              <w:rPr>
                <w:rFonts w:ascii="Arial" w:hAnsi="Arial" w:cs="Arial"/>
                <w:sz w:val="24"/>
                <w:szCs w:val="24"/>
              </w:rPr>
              <w:t>Teopuzco</w:t>
            </w:r>
            <w:proofErr w:type="spellEnd"/>
            <w:r w:rsidRPr="007775CE">
              <w:rPr>
                <w:rFonts w:ascii="Arial" w:hAnsi="Arial" w:cs="Arial"/>
                <w:sz w:val="24"/>
                <w:szCs w:val="24"/>
              </w:rPr>
              <w:t>, Oaxaca</w:t>
            </w:r>
          </w:p>
        </w:tc>
        <w:tc>
          <w:tcPr>
            <w:tcW w:w="4489" w:type="dxa"/>
          </w:tcPr>
          <w:p w14:paraId="4E3B1408" w14:textId="77777777" w:rsidR="00642F76" w:rsidRPr="007775CE" w:rsidRDefault="00642F76" w:rsidP="00A716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r w:rsidR="00642F76" w:rsidRPr="007775CE" w14:paraId="0BEB3183" w14:textId="77777777" w:rsidTr="00A71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79FC0F06"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Triqui</w:t>
            </w:r>
          </w:p>
        </w:tc>
        <w:tc>
          <w:tcPr>
            <w:tcW w:w="4489" w:type="dxa"/>
          </w:tcPr>
          <w:p w14:paraId="55D949A5" w14:textId="77777777" w:rsidR="00642F76" w:rsidRPr="007775CE" w:rsidRDefault="00642F76" w:rsidP="00A716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r w:rsidR="00642F76" w:rsidRPr="007775CE" w14:paraId="4A585A6B" w14:textId="77777777" w:rsidTr="00A7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58D717A6"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Tzotzil</w:t>
            </w:r>
          </w:p>
        </w:tc>
        <w:tc>
          <w:tcPr>
            <w:tcW w:w="4489" w:type="dxa"/>
          </w:tcPr>
          <w:p w14:paraId="4EB329D3" w14:textId="77777777" w:rsidR="00642F76" w:rsidRPr="007775CE" w:rsidRDefault="00642F76" w:rsidP="00A716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r w:rsidR="00642F76" w:rsidRPr="007775CE" w14:paraId="4292A6BF" w14:textId="77777777" w:rsidTr="00A71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3A91A1C0"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No especifica</w:t>
            </w:r>
          </w:p>
        </w:tc>
        <w:tc>
          <w:tcPr>
            <w:tcW w:w="4489" w:type="dxa"/>
          </w:tcPr>
          <w:p w14:paraId="7FF70548" w14:textId="77777777" w:rsidR="00642F76" w:rsidRPr="007775CE" w:rsidRDefault="00642F76" w:rsidP="00A716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75CE">
              <w:rPr>
                <w:rFonts w:ascii="Arial" w:hAnsi="Arial" w:cs="Arial"/>
                <w:sz w:val="24"/>
                <w:szCs w:val="24"/>
              </w:rPr>
              <w:t>6</w:t>
            </w:r>
          </w:p>
        </w:tc>
      </w:tr>
    </w:tbl>
    <w:p w14:paraId="0F13D684" w14:textId="77777777" w:rsidR="00642F76" w:rsidRDefault="00642F76" w:rsidP="00642F76">
      <w:pPr>
        <w:tabs>
          <w:tab w:val="left" w:pos="5025"/>
        </w:tabs>
        <w:jc w:val="both"/>
        <w:rPr>
          <w:rFonts w:ascii="Arial" w:hAnsi="Arial" w:cs="Arial"/>
          <w:sz w:val="24"/>
          <w:szCs w:val="24"/>
        </w:rPr>
      </w:pPr>
    </w:p>
    <w:p w14:paraId="0719335D" w14:textId="77777777" w:rsidR="00642F76" w:rsidRPr="007775CE" w:rsidRDefault="00642F76" w:rsidP="00642F76">
      <w:pPr>
        <w:tabs>
          <w:tab w:val="left" w:pos="5025"/>
        </w:tabs>
        <w:jc w:val="both"/>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temáticas</w:t>
      </w:r>
      <w:proofErr w:type="spellEnd"/>
      <w:r>
        <w:rPr>
          <w:rFonts w:ascii="Arial" w:hAnsi="Arial" w:cs="Arial"/>
          <w:sz w:val="24"/>
          <w:szCs w:val="24"/>
        </w:rPr>
        <w:t xml:space="preserve"> </w:t>
      </w:r>
      <w:proofErr w:type="spellStart"/>
      <w:r>
        <w:rPr>
          <w:rFonts w:ascii="Arial" w:hAnsi="Arial" w:cs="Arial"/>
          <w:sz w:val="24"/>
          <w:szCs w:val="24"/>
        </w:rPr>
        <w:t>más</w:t>
      </w:r>
      <w:proofErr w:type="spellEnd"/>
      <w:r>
        <w:rPr>
          <w:rFonts w:ascii="Arial" w:hAnsi="Arial" w:cs="Arial"/>
          <w:sz w:val="24"/>
          <w:szCs w:val="24"/>
        </w:rPr>
        <w:t xml:space="preserve"> </w:t>
      </w:r>
      <w:proofErr w:type="spellStart"/>
      <w:r>
        <w:rPr>
          <w:rFonts w:ascii="Arial" w:hAnsi="Arial" w:cs="Arial"/>
          <w:sz w:val="24"/>
          <w:szCs w:val="24"/>
        </w:rPr>
        <w:t>recurrentes</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estas</w:t>
      </w:r>
      <w:proofErr w:type="spellEnd"/>
      <w:r>
        <w:rPr>
          <w:rFonts w:ascii="Arial" w:hAnsi="Arial" w:cs="Arial"/>
          <w:sz w:val="24"/>
          <w:szCs w:val="24"/>
        </w:rPr>
        <w:t xml:space="preserve"> </w:t>
      </w:r>
      <w:proofErr w:type="spellStart"/>
      <w:r>
        <w:rPr>
          <w:rFonts w:ascii="Arial" w:hAnsi="Arial" w:cs="Arial"/>
          <w:sz w:val="24"/>
          <w:szCs w:val="24"/>
        </w:rPr>
        <w:t>quejas</w:t>
      </w:r>
      <w:proofErr w:type="spellEnd"/>
      <w:r>
        <w:rPr>
          <w:rFonts w:ascii="Arial" w:hAnsi="Arial" w:cs="Arial"/>
          <w:sz w:val="24"/>
          <w:szCs w:val="24"/>
        </w:rPr>
        <w:t xml:space="preserve"> </w:t>
      </w:r>
      <w:proofErr w:type="spellStart"/>
      <w:r>
        <w:rPr>
          <w:rFonts w:ascii="Arial" w:hAnsi="Arial" w:cs="Arial"/>
          <w:sz w:val="24"/>
          <w:szCs w:val="24"/>
        </w:rPr>
        <w:t>fueron</w:t>
      </w:r>
      <w:proofErr w:type="spellEnd"/>
      <w:r>
        <w:rPr>
          <w:rFonts w:ascii="Arial" w:hAnsi="Arial" w:cs="Arial"/>
          <w:sz w:val="24"/>
          <w:szCs w:val="24"/>
        </w:rPr>
        <w:t xml:space="preserve"> las </w:t>
      </w:r>
      <w:proofErr w:type="spellStart"/>
      <w:r>
        <w:rPr>
          <w:rFonts w:ascii="Arial" w:hAnsi="Arial" w:cs="Arial"/>
          <w:sz w:val="24"/>
          <w:szCs w:val="24"/>
        </w:rPr>
        <w:t>siguientes</w:t>
      </w:r>
      <w:proofErr w:type="spellEnd"/>
      <w:r>
        <w:rPr>
          <w:rFonts w:ascii="Arial" w:hAnsi="Arial" w:cs="Arial"/>
          <w:sz w:val="24"/>
          <w:szCs w:val="24"/>
        </w:rPr>
        <w:t>:</w:t>
      </w:r>
      <w:r w:rsidRPr="007775CE">
        <w:rPr>
          <w:rFonts w:ascii="Arial" w:hAnsi="Arial" w:cs="Arial"/>
          <w:sz w:val="24"/>
          <w:szCs w:val="24"/>
        </w:rPr>
        <w:tab/>
      </w:r>
    </w:p>
    <w:tbl>
      <w:tblPr>
        <w:tblStyle w:val="Cuadrculaclara-nfasis3"/>
        <w:tblpPr w:leftFromText="141" w:rightFromText="141" w:vertAnchor="text" w:horzAnchor="page" w:tblpXSpec="center" w:tblpY="201"/>
        <w:tblW w:w="0" w:type="auto"/>
        <w:tblLook w:val="04A0" w:firstRow="1" w:lastRow="0" w:firstColumn="1" w:lastColumn="0" w:noHBand="0" w:noVBand="1"/>
      </w:tblPr>
      <w:tblGrid>
        <w:gridCol w:w="4489"/>
        <w:gridCol w:w="4489"/>
      </w:tblGrid>
      <w:tr w:rsidR="00642F76" w:rsidRPr="007775CE" w14:paraId="210DEA54" w14:textId="77777777" w:rsidTr="00A71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6CD42D1B"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Mujeres y Niñas o Niños Temática general/específica</w:t>
            </w:r>
          </w:p>
        </w:tc>
        <w:tc>
          <w:tcPr>
            <w:tcW w:w="4489" w:type="dxa"/>
          </w:tcPr>
          <w:p w14:paraId="22D35919" w14:textId="77777777" w:rsidR="00642F76" w:rsidRPr="007775CE" w:rsidRDefault="00642F76" w:rsidP="00A71627">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775CE">
              <w:rPr>
                <w:rFonts w:ascii="Arial" w:hAnsi="Arial" w:cs="Arial"/>
                <w:sz w:val="24"/>
                <w:szCs w:val="24"/>
              </w:rPr>
              <w:t>Menciones</w:t>
            </w:r>
          </w:p>
        </w:tc>
      </w:tr>
      <w:tr w:rsidR="00642F76" w:rsidRPr="007775CE" w14:paraId="68883779" w14:textId="77777777" w:rsidTr="00A7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2DE34E9E"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lastRenderedPageBreak/>
              <w:t xml:space="preserve">Debido proceso/ Falta de intérprete / Falta de medidas/ Falta de atención/ medidas/ asesor jurídico </w:t>
            </w:r>
          </w:p>
        </w:tc>
        <w:tc>
          <w:tcPr>
            <w:tcW w:w="4489" w:type="dxa"/>
          </w:tcPr>
          <w:p w14:paraId="044BBC6C" w14:textId="77777777" w:rsidR="00642F76" w:rsidRPr="007775CE" w:rsidRDefault="00642F76" w:rsidP="00A716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75CE">
              <w:rPr>
                <w:rFonts w:ascii="Arial" w:hAnsi="Arial" w:cs="Arial"/>
                <w:sz w:val="24"/>
                <w:szCs w:val="24"/>
              </w:rPr>
              <w:t>4</w:t>
            </w:r>
          </w:p>
        </w:tc>
      </w:tr>
      <w:tr w:rsidR="00642F76" w:rsidRPr="007775CE" w14:paraId="4F36FCE1" w14:textId="77777777" w:rsidTr="00A71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4CC51EA8"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Apoyo económico/ Solicitud de espacios de venta/ Solicitud de programas</w:t>
            </w:r>
          </w:p>
        </w:tc>
        <w:tc>
          <w:tcPr>
            <w:tcW w:w="4489" w:type="dxa"/>
          </w:tcPr>
          <w:p w14:paraId="4135FCFB" w14:textId="77777777" w:rsidR="00642F76" w:rsidRPr="007775CE" w:rsidRDefault="00642F76" w:rsidP="00A716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75CE">
              <w:rPr>
                <w:rFonts w:ascii="Arial" w:hAnsi="Arial" w:cs="Arial"/>
                <w:sz w:val="24"/>
                <w:szCs w:val="24"/>
              </w:rPr>
              <w:t>3</w:t>
            </w:r>
          </w:p>
        </w:tc>
      </w:tr>
      <w:tr w:rsidR="00642F76" w:rsidRPr="007775CE" w14:paraId="141D4A18" w14:textId="77777777" w:rsidTr="00A7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0B901976"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Discriminación/ Dilación/ Falta de información</w:t>
            </w:r>
          </w:p>
        </w:tc>
        <w:tc>
          <w:tcPr>
            <w:tcW w:w="4489" w:type="dxa"/>
          </w:tcPr>
          <w:p w14:paraId="322D6F8D" w14:textId="77777777" w:rsidR="00642F76" w:rsidRPr="007775CE" w:rsidRDefault="00642F76" w:rsidP="00A716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75CE">
              <w:rPr>
                <w:rFonts w:ascii="Arial" w:hAnsi="Arial" w:cs="Arial"/>
                <w:sz w:val="24"/>
                <w:szCs w:val="24"/>
              </w:rPr>
              <w:t>2</w:t>
            </w:r>
          </w:p>
        </w:tc>
      </w:tr>
      <w:tr w:rsidR="00642F76" w:rsidRPr="007775CE" w14:paraId="081FA72B" w14:textId="77777777" w:rsidTr="00A71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42B03457"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Detención arbitraria/ Desaparición</w:t>
            </w:r>
          </w:p>
        </w:tc>
        <w:tc>
          <w:tcPr>
            <w:tcW w:w="4489" w:type="dxa"/>
          </w:tcPr>
          <w:p w14:paraId="7CD4BB3A" w14:textId="77777777" w:rsidR="00642F76" w:rsidRPr="007775CE" w:rsidRDefault="00642F76" w:rsidP="00A716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r w:rsidR="00642F76" w:rsidRPr="007775CE" w14:paraId="33674983" w14:textId="77777777" w:rsidTr="00A7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415CE347"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Decomiso/ Discriminación/ Violencia/ Agresiones físicas</w:t>
            </w:r>
          </w:p>
        </w:tc>
        <w:tc>
          <w:tcPr>
            <w:tcW w:w="4489" w:type="dxa"/>
          </w:tcPr>
          <w:p w14:paraId="2387FFA6" w14:textId="77777777" w:rsidR="00642F76" w:rsidRPr="007775CE" w:rsidRDefault="00642F76" w:rsidP="00A716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r w:rsidR="00642F76" w:rsidRPr="007775CE" w14:paraId="395BE033" w14:textId="77777777" w:rsidTr="00A71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1C7C0800" w14:textId="77777777" w:rsidR="00642F76" w:rsidRPr="007775CE" w:rsidRDefault="00642F76" w:rsidP="00A71627">
            <w:pPr>
              <w:jc w:val="both"/>
              <w:rPr>
                <w:rFonts w:ascii="Arial" w:hAnsi="Arial" w:cs="Arial"/>
                <w:sz w:val="24"/>
                <w:szCs w:val="24"/>
              </w:rPr>
            </w:pPr>
            <w:r w:rsidRPr="007775CE">
              <w:rPr>
                <w:rFonts w:ascii="Arial" w:hAnsi="Arial" w:cs="Arial"/>
                <w:sz w:val="24"/>
                <w:szCs w:val="24"/>
              </w:rPr>
              <w:t>Desalojo/ Violencia/ Agresiones físicas</w:t>
            </w:r>
          </w:p>
        </w:tc>
        <w:tc>
          <w:tcPr>
            <w:tcW w:w="4489" w:type="dxa"/>
          </w:tcPr>
          <w:p w14:paraId="5D4BA092" w14:textId="77777777" w:rsidR="00642F76" w:rsidRPr="007775CE" w:rsidRDefault="00642F76" w:rsidP="00A716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75CE">
              <w:rPr>
                <w:rFonts w:ascii="Arial" w:hAnsi="Arial" w:cs="Arial"/>
                <w:sz w:val="24"/>
                <w:szCs w:val="24"/>
              </w:rPr>
              <w:t>1</w:t>
            </w:r>
          </w:p>
        </w:tc>
      </w:tr>
    </w:tbl>
    <w:p w14:paraId="14B4D23B" w14:textId="77777777" w:rsidR="00642F76" w:rsidRPr="007775CE" w:rsidRDefault="00642F76" w:rsidP="00642F76">
      <w:pPr>
        <w:jc w:val="both"/>
        <w:rPr>
          <w:rFonts w:ascii="Arial" w:hAnsi="Arial" w:cs="Arial"/>
          <w:sz w:val="24"/>
          <w:szCs w:val="24"/>
        </w:rPr>
      </w:pPr>
    </w:p>
    <w:p w14:paraId="6E0DE905" w14:textId="77777777" w:rsidR="00642F76" w:rsidRPr="007775CE" w:rsidRDefault="00642F76"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p>
    <w:p w14:paraId="66388669" w14:textId="77777777" w:rsidR="0050651A" w:rsidRPr="007775CE" w:rsidRDefault="0050651A" w:rsidP="00F0111D">
      <w:pPr>
        <w:pBdr>
          <w:top w:val="nil"/>
          <w:left w:val="nil"/>
          <w:bottom w:val="nil"/>
          <w:right w:val="nil"/>
          <w:between w:val="nil"/>
        </w:pBdr>
        <w:spacing w:after="0" w:line="276" w:lineRule="auto"/>
        <w:contextualSpacing/>
        <w:jc w:val="both"/>
        <w:rPr>
          <w:rFonts w:ascii="Arial" w:eastAsia="Times New Roman" w:hAnsi="Arial" w:cs="Arial"/>
          <w:color w:val="000000"/>
          <w:sz w:val="24"/>
          <w:szCs w:val="24"/>
          <w:lang w:val="es-MX"/>
        </w:rPr>
      </w:pPr>
    </w:p>
    <w:sectPr w:rsidR="0050651A" w:rsidRPr="007775CE" w:rsidSect="009D11B4">
      <w:headerReference w:type="default" r:id="rId11"/>
      <w:footerReference w:type="default" r:id="rId12"/>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3132" w14:textId="77777777" w:rsidR="00563AA4" w:rsidRDefault="00563AA4" w:rsidP="001F72BE">
      <w:pPr>
        <w:spacing w:after="0" w:line="240" w:lineRule="auto"/>
      </w:pPr>
      <w:r>
        <w:separator/>
      </w:r>
    </w:p>
  </w:endnote>
  <w:endnote w:type="continuationSeparator" w:id="0">
    <w:p w14:paraId="7BDDE569" w14:textId="77777777" w:rsidR="00563AA4" w:rsidRDefault="00563AA4" w:rsidP="001F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12960"/>
      <w:docPartObj>
        <w:docPartGallery w:val="Page Numbers (Bottom of Page)"/>
        <w:docPartUnique/>
      </w:docPartObj>
    </w:sdtPr>
    <w:sdtEndPr/>
    <w:sdtContent>
      <w:p w14:paraId="0C3C1C70" w14:textId="365C95EE" w:rsidR="00D631F6" w:rsidRDefault="00D631F6">
        <w:pPr>
          <w:pStyle w:val="Piedepgina"/>
          <w:jc w:val="center"/>
        </w:pPr>
        <w:r>
          <w:fldChar w:fldCharType="begin"/>
        </w:r>
        <w:r>
          <w:instrText>PAGE   \* MERGEFORMAT</w:instrText>
        </w:r>
        <w:r>
          <w:fldChar w:fldCharType="separate"/>
        </w:r>
        <w:r w:rsidR="000D1561" w:rsidRPr="000D1561">
          <w:rPr>
            <w:noProof/>
            <w:lang w:val="es-ES"/>
          </w:rPr>
          <w:t>4</w:t>
        </w:r>
        <w:r>
          <w:fldChar w:fldCharType="end"/>
        </w:r>
      </w:p>
    </w:sdtContent>
  </w:sdt>
  <w:p w14:paraId="39E8EC70" w14:textId="77777777" w:rsidR="00D631F6" w:rsidRDefault="00D631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6A95" w14:textId="77777777" w:rsidR="00563AA4" w:rsidRDefault="00563AA4" w:rsidP="001F72BE">
      <w:pPr>
        <w:spacing w:after="0" w:line="240" w:lineRule="auto"/>
      </w:pPr>
      <w:r>
        <w:separator/>
      </w:r>
    </w:p>
  </w:footnote>
  <w:footnote w:type="continuationSeparator" w:id="0">
    <w:p w14:paraId="35036247" w14:textId="77777777" w:rsidR="00563AA4" w:rsidRDefault="00563AA4" w:rsidP="001F72BE">
      <w:pPr>
        <w:spacing w:after="0" w:line="240" w:lineRule="auto"/>
      </w:pPr>
      <w:r>
        <w:continuationSeparator/>
      </w:r>
    </w:p>
  </w:footnote>
  <w:footnote w:id="1">
    <w:p w14:paraId="1789D9D0" w14:textId="727AA675" w:rsidR="005C2A13" w:rsidRPr="005C2A13" w:rsidRDefault="005C2A13">
      <w:pPr>
        <w:pStyle w:val="Textonotapie"/>
        <w:rPr>
          <w:lang w:val="es-MX"/>
        </w:rPr>
      </w:pPr>
      <w:r>
        <w:rPr>
          <w:rStyle w:val="Refdenotaalpie"/>
        </w:rPr>
        <w:footnoteRef/>
      </w:r>
      <w:r>
        <w:t xml:space="preserve"> </w:t>
      </w:r>
      <w:r w:rsidRPr="005C2A13">
        <w:t>https://sepi.cdmx.gob.mx/storage/app/media/PDFs%20informativos%20SEPI/CENSO2020/MAPAS%20SEXO%20Y%20EDAD.pdf</w:t>
      </w:r>
    </w:p>
  </w:footnote>
  <w:footnote w:id="2">
    <w:p w14:paraId="2B9DF923" w14:textId="77777777" w:rsidR="00CE0C64" w:rsidRPr="00F10D0C" w:rsidRDefault="00CE0C64" w:rsidP="00CE0C64">
      <w:pPr>
        <w:pStyle w:val="Textonotapie"/>
        <w:jc w:val="both"/>
        <w:rPr>
          <w:lang w:val="es-MX"/>
        </w:rPr>
      </w:pPr>
      <w:r>
        <w:rPr>
          <w:rStyle w:val="Refdenotaalpie"/>
        </w:rPr>
        <w:footnoteRef/>
      </w:r>
      <w:r w:rsidRPr="00CE0E12">
        <w:rPr>
          <w:lang w:val="es-MX"/>
        </w:rPr>
        <w:t xml:space="preserve"> </w:t>
      </w:r>
      <w:r w:rsidRPr="00CE0E12">
        <w:rPr>
          <w:i/>
          <w:lang w:val="es-MX"/>
        </w:rPr>
        <w:t>Cfr</w:t>
      </w:r>
      <w:r w:rsidRPr="00CE0E12">
        <w:rPr>
          <w:lang w:val="es-MX"/>
        </w:rPr>
        <w:t xml:space="preserve">. Gobierno de la Ciudad de México. </w:t>
      </w:r>
      <w:r w:rsidRPr="00CE0E12">
        <w:rPr>
          <w:i/>
          <w:lang w:val="es-MX"/>
        </w:rPr>
        <w:t>Diagnóstico sobre la población indígena de la Ciudad de México</w:t>
      </w:r>
      <w:r w:rsidRPr="00CE0E12">
        <w:rPr>
          <w:lang w:val="es-MX"/>
        </w:rPr>
        <w:t xml:space="preserve">, </w:t>
      </w:r>
      <w:hyperlink r:id="rId1" w:history="1">
        <w:r w:rsidRPr="00CE0E12">
          <w:rPr>
            <w:rStyle w:val="Hipervnculo"/>
            <w:lang w:val="es-MX"/>
          </w:rPr>
          <w:t>5b916c736f902459118382.pdf (cdmx.gob.mx)</w:t>
        </w:r>
      </w:hyperlink>
    </w:p>
  </w:footnote>
  <w:footnote w:id="3">
    <w:p w14:paraId="2B1589A1" w14:textId="4F6C9F77" w:rsidR="00740C4E" w:rsidRPr="00740C4E" w:rsidRDefault="00740C4E">
      <w:pPr>
        <w:pStyle w:val="Textonotapie"/>
        <w:rPr>
          <w:lang w:val="es-MX"/>
        </w:rPr>
      </w:pPr>
      <w:r>
        <w:rPr>
          <w:rStyle w:val="Refdenotaalpie"/>
        </w:rPr>
        <w:footnoteRef/>
      </w:r>
      <w:r>
        <w:t xml:space="preserve"> </w:t>
      </w:r>
      <w:r>
        <w:rPr>
          <w:lang w:val="es-MX"/>
        </w:rPr>
        <w:t>La Constitución Política de la Ciudad de México fue promulgada en febrero de 2017.</w:t>
      </w:r>
    </w:p>
  </w:footnote>
  <w:footnote w:id="4">
    <w:p w14:paraId="7C3F9DFC" w14:textId="77777777" w:rsidR="00740C4E" w:rsidRPr="00B01835" w:rsidRDefault="00740C4E" w:rsidP="00740C4E">
      <w:pPr>
        <w:pStyle w:val="Textonotapie"/>
        <w:jc w:val="both"/>
        <w:rPr>
          <w:lang w:val="es-MX"/>
        </w:rPr>
      </w:pPr>
      <w:r>
        <w:rPr>
          <w:rStyle w:val="Refdenotaalpie"/>
        </w:rPr>
        <w:footnoteRef/>
      </w:r>
      <w:r w:rsidRPr="00CE0E12">
        <w:rPr>
          <w:lang w:val="es-MX"/>
        </w:rPr>
        <w:t xml:space="preserve"> </w:t>
      </w:r>
      <w:hyperlink r:id="rId2" w:history="1">
        <w:r w:rsidRPr="00CE0E12">
          <w:rPr>
            <w:rStyle w:val="Hipervnculo"/>
            <w:lang w:val="es-MX"/>
          </w:rPr>
          <w:t>Programa para el Fortalecimiento de la Autonomía y Empoderamiento Económico de las Mujeres de Comunidades y Pueblos Indígenas de la Ciudad de México (cdmx.gob.mx)</w:t>
        </w:r>
      </w:hyperlink>
    </w:p>
  </w:footnote>
  <w:footnote w:id="5">
    <w:p w14:paraId="35C09E25" w14:textId="77777777" w:rsidR="003E076F" w:rsidRPr="00DE7469" w:rsidRDefault="003E076F" w:rsidP="003E076F">
      <w:pPr>
        <w:pStyle w:val="Textonotapie"/>
        <w:rPr>
          <w:lang w:val="es-MX"/>
        </w:rPr>
      </w:pPr>
      <w:r>
        <w:rPr>
          <w:rStyle w:val="Refdenotaalpie"/>
        </w:rPr>
        <w:footnoteRef/>
      </w:r>
      <w:r>
        <w:t xml:space="preserve"> </w:t>
      </w:r>
      <w:r w:rsidRPr="00DE7469">
        <w:t>https://www.iwgia.org/es/mexico/3745-mi-2020-mexico.html</w:t>
      </w:r>
    </w:p>
  </w:footnote>
  <w:footnote w:id="6">
    <w:p w14:paraId="2C26F385" w14:textId="77777777" w:rsidR="0050651A" w:rsidRPr="002C2663" w:rsidRDefault="0050651A" w:rsidP="0050651A">
      <w:pPr>
        <w:pStyle w:val="Textonotapie"/>
        <w:jc w:val="both"/>
        <w:rPr>
          <w:lang w:val="es-MX"/>
        </w:rPr>
      </w:pPr>
      <w:r>
        <w:rPr>
          <w:rStyle w:val="Refdenotaalpie"/>
        </w:rPr>
        <w:footnoteRef/>
      </w:r>
      <w:r w:rsidRPr="00CE0E12">
        <w:rPr>
          <w:lang w:val="es-MX"/>
        </w:rPr>
        <w:t xml:space="preserve"> Organización Internacional del Trabajo. </w:t>
      </w:r>
      <w:r w:rsidRPr="00CE0E12">
        <w:rPr>
          <w:i/>
          <w:lang w:val="es-MX"/>
        </w:rPr>
        <w:t xml:space="preserve">El trabajo infantil y el derecho a la educación en México, </w:t>
      </w:r>
      <w:hyperlink r:id="rId3" w:history="1">
        <w:r w:rsidRPr="00CE0E12">
          <w:rPr>
            <w:rStyle w:val="Hipervnculo"/>
            <w:lang w:val="es-MX"/>
          </w:rPr>
          <w:t>trabajo_infantil.pdf (uam.mx)</w:t>
        </w:r>
      </w:hyperlink>
    </w:p>
  </w:footnote>
  <w:footnote w:id="7">
    <w:p w14:paraId="53D6AB83" w14:textId="77777777" w:rsidR="003E076F" w:rsidRPr="005A006A" w:rsidRDefault="003E076F" w:rsidP="003E076F">
      <w:pPr>
        <w:pStyle w:val="Textonotapie"/>
        <w:rPr>
          <w:lang w:val="es-MX"/>
        </w:rPr>
      </w:pPr>
      <w:r>
        <w:rPr>
          <w:rStyle w:val="Refdenotaalpie"/>
        </w:rPr>
        <w:footnoteRef/>
      </w:r>
      <w:r w:rsidRPr="00CE0E12">
        <w:rPr>
          <w:lang w:val="es-MX"/>
        </w:rPr>
        <w:t xml:space="preserve"> </w:t>
      </w:r>
      <w:r>
        <w:rPr>
          <w:lang w:val="es-MX"/>
        </w:rPr>
        <w:t xml:space="preserve">Comisión de Derechos Humanos de la Ciudad de México, </w:t>
      </w:r>
      <w:hyperlink r:id="rId4" w:history="1">
        <w:r w:rsidRPr="00CE0E12">
          <w:rPr>
            <w:rStyle w:val="Hipervnculo"/>
            <w:lang w:val="es-MX"/>
          </w:rPr>
          <w:t>Informe_trabajo_infantil_mod.pdf (cdhdf.org.mx)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09A7" w14:textId="77777777" w:rsidR="00D631F6" w:rsidRDefault="00D631F6" w:rsidP="001D42AA">
    <w:pPr>
      <w:pBdr>
        <w:top w:val="nil"/>
        <w:left w:val="nil"/>
        <w:bottom w:val="nil"/>
        <w:right w:val="nil"/>
        <w:between w:val="nil"/>
      </w:pBdr>
      <w:tabs>
        <w:tab w:val="center" w:pos="4419"/>
        <w:tab w:val="right" w:pos="8838"/>
      </w:tabs>
      <w:spacing w:after="0" w:line="240" w:lineRule="auto"/>
      <w:jc w:val="right"/>
      <w:rPr>
        <w:rFonts w:ascii="Arial" w:eastAsia="Calibri" w:hAnsi="Arial" w:cs="Times New Roman"/>
        <w:b/>
        <w:color w:val="000000"/>
        <w:sz w:val="24"/>
        <w:szCs w:val="24"/>
        <w:lang w:eastAsia="ja-JP"/>
      </w:rPr>
    </w:pPr>
    <w:r w:rsidRPr="00990300">
      <w:rPr>
        <w:rFonts w:ascii="Arial" w:eastAsia="Calibri" w:hAnsi="Arial" w:cs="Times New Roman"/>
        <w:noProof/>
        <w:sz w:val="24"/>
        <w:szCs w:val="24"/>
        <w:lang w:val="en-US"/>
      </w:rPr>
      <w:drawing>
        <wp:anchor distT="0" distB="0" distL="114300" distR="114300" simplePos="0" relativeHeight="251663360" behindDoc="1" locked="0" layoutInCell="1" allowOverlap="1" wp14:anchorId="33EEBD72" wp14:editId="68E680A6">
          <wp:simplePos x="0" y="0"/>
          <wp:positionH relativeFrom="margin">
            <wp:align>left</wp:align>
          </wp:positionH>
          <wp:positionV relativeFrom="paragraph">
            <wp:posOffset>-79466</wp:posOffset>
          </wp:positionV>
          <wp:extent cx="990600" cy="990600"/>
          <wp:effectExtent l="0" t="0" r="0" b="0"/>
          <wp:wrapThrough wrapText="bothSides">
            <wp:wrapPolygon edited="0">
              <wp:start x="6646" y="0"/>
              <wp:lineTo x="4154" y="1246"/>
              <wp:lineTo x="0" y="5400"/>
              <wp:lineTo x="0" y="15785"/>
              <wp:lineTo x="4154" y="19938"/>
              <wp:lineTo x="7062" y="21185"/>
              <wp:lineTo x="14123" y="21185"/>
              <wp:lineTo x="17031" y="19938"/>
              <wp:lineTo x="21185" y="15785"/>
              <wp:lineTo x="21185" y="5400"/>
              <wp:lineTo x="17031" y="1246"/>
              <wp:lineTo x="14538" y="0"/>
              <wp:lineTo x="6646" y="0"/>
            </wp:wrapPolygon>
          </wp:wrapThrough>
          <wp:docPr id="2" name="Imagen 2" descr="C:\Users\David Adrian\AppData\Local\Microsoft\Windows\INetCache\Content.Word\Logosímbolo CD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 Adrian\AppData\Local\Microsoft\Windows\INetCache\Content.Word\Logosímbolo CDHC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3231C" w14:textId="77777777" w:rsidR="00D631F6" w:rsidRPr="001D42AA" w:rsidRDefault="00D631F6" w:rsidP="001D42AA">
    <w:pPr>
      <w:pBdr>
        <w:top w:val="nil"/>
        <w:left w:val="nil"/>
        <w:bottom w:val="nil"/>
        <w:right w:val="nil"/>
        <w:between w:val="nil"/>
      </w:pBdr>
      <w:tabs>
        <w:tab w:val="center" w:pos="4419"/>
        <w:tab w:val="right" w:pos="8838"/>
      </w:tabs>
      <w:spacing w:after="0" w:line="240" w:lineRule="auto"/>
      <w:contextualSpacing/>
      <w:jc w:val="right"/>
      <w:rPr>
        <w:rFonts w:ascii="Arial" w:eastAsia="Calibri" w:hAnsi="Arial" w:cs="Times New Roman"/>
        <w:b/>
        <w:lang w:val="es-MX" w:eastAsia="ja-JP"/>
      </w:rPr>
    </w:pPr>
    <w:r w:rsidRPr="001D42AA">
      <w:rPr>
        <w:rFonts w:ascii="Arial" w:eastAsia="Calibri" w:hAnsi="Arial" w:cs="Times New Roman"/>
        <w:b/>
        <w:lang w:val="es-MX" w:eastAsia="ja-JP"/>
      </w:rPr>
      <w:t>COMISIÓN DE DERECHOS HUMANOS DE LA CIUDAD DE MÉXICO</w:t>
    </w:r>
  </w:p>
  <w:p w14:paraId="5226C209" w14:textId="77777777" w:rsidR="00D631F6" w:rsidRPr="001D42AA" w:rsidRDefault="00D631F6" w:rsidP="001D42AA">
    <w:pPr>
      <w:pBdr>
        <w:top w:val="nil"/>
        <w:left w:val="nil"/>
        <w:bottom w:val="nil"/>
        <w:right w:val="nil"/>
        <w:between w:val="nil"/>
      </w:pBdr>
      <w:tabs>
        <w:tab w:val="center" w:pos="4419"/>
        <w:tab w:val="right" w:pos="8838"/>
      </w:tabs>
      <w:spacing w:after="0" w:line="240" w:lineRule="auto"/>
      <w:contextualSpacing/>
      <w:jc w:val="right"/>
      <w:rPr>
        <w:rFonts w:ascii="Arial" w:eastAsia="Calibri" w:hAnsi="Arial" w:cs="Times New Roman"/>
        <w:b/>
        <w:smallCaps/>
        <w:sz w:val="24"/>
        <w:szCs w:val="24"/>
        <w:lang w:val="es-MX" w:eastAsia="ja-JP"/>
      </w:rPr>
    </w:pPr>
  </w:p>
  <w:p w14:paraId="4E32E588" w14:textId="4F5D1DE0" w:rsidR="00D631F6" w:rsidRDefault="00814246" w:rsidP="001D42AA">
    <w:pPr>
      <w:spacing w:after="0" w:line="240" w:lineRule="auto"/>
      <w:contextualSpacing/>
      <w:jc w:val="right"/>
      <w:rPr>
        <w:rFonts w:ascii="Arial Narrow" w:hAnsi="Arial Narrow"/>
        <w:b/>
        <w:smallCaps/>
        <w:sz w:val="24"/>
        <w:lang w:val="es-MX"/>
      </w:rPr>
    </w:pPr>
    <w:r>
      <w:rPr>
        <w:rFonts w:ascii="Arial Narrow" w:hAnsi="Arial Narrow"/>
        <w:b/>
        <w:smallCaps/>
        <w:sz w:val="24"/>
        <w:lang w:val="es-MX"/>
      </w:rPr>
      <w:t>Contribución escrita para el Día de Discusión General sobre derechos de las mujeres y niñas indígenas en el Comité CEDAW</w:t>
    </w:r>
  </w:p>
  <w:p w14:paraId="12C85A52" w14:textId="6D86A1FD" w:rsidR="00D631F6" w:rsidRPr="001D42AA" w:rsidRDefault="00814246" w:rsidP="001D42AA">
    <w:pPr>
      <w:spacing w:after="0" w:line="240" w:lineRule="auto"/>
      <w:contextualSpacing/>
      <w:jc w:val="right"/>
      <w:rPr>
        <w:rFonts w:ascii="Arial Narrow" w:hAnsi="Arial Narrow"/>
        <w:b/>
        <w:smallCaps/>
        <w:sz w:val="24"/>
        <w:lang w:val="es-MX"/>
      </w:rPr>
    </w:pPr>
    <w:r>
      <w:rPr>
        <w:rFonts w:ascii="Arial Narrow" w:hAnsi="Arial Narrow"/>
        <w:b/>
        <w:smallCaps/>
        <w:sz w:val="24"/>
        <w:lang w:val="es-MX"/>
      </w:rPr>
      <w:t>Junio</w:t>
    </w:r>
    <w:r w:rsidR="00D631F6">
      <w:rPr>
        <w:rFonts w:ascii="Arial Narrow" w:hAnsi="Arial Narrow"/>
        <w:b/>
        <w:smallCaps/>
        <w:sz w:val="24"/>
        <w:lang w:val="es-MX"/>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2EC"/>
    <w:multiLevelType w:val="hybridMultilevel"/>
    <w:tmpl w:val="4CFA76D2"/>
    <w:lvl w:ilvl="0" w:tplc="8B54A5E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570DD"/>
    <w:multiLevelType w:val="hybridMultilevel"/>
    <w:tmpl w:val="C4EC4C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C2EF9"/>
    <w:multiLevelType w:val="hybridMultilevel"/>
    <w:tmpl w:val="A5985242"/>
    <w:lvl w:ilvl="0" w:tplc="2A184E7A">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25B0"/>
    <w:multiLevelType w:val="hybridMultilevel"/>
    <w:tmpl w:val="00E2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0757E"/>
    <w:multiLevelType w:val="hybridMultilevel"/>
    <w:tmpl w:val="795428C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2AAA64F1"/>
    <w:multiLevelType w:val="hybridMultilevel"/>
    <w:tmpl w:val="4FDE6D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244572"/>
    <w:multiLevelType w:val="hybridMultilevel"/>
    <w:tmpl w:val="730E7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87969"/>
    <w:multiLevelType w:val="hybridMultilevel"/>
    <w:tmpl w:val="4E72CBBA"/>
    <w:lvl w:ilvl="0" w:tplc="5600BEB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AB74FC"/>
    <w:multiLevelType w:val="hybridMultilevel"/>
    <w:tmpl w:val="286ABF56"/>
    <w:lvl w:ilvl="0" w:tplc="40C8A9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8739CB"/>
    <w:multiLevelType w:val="hybridMultilevel"/>
    <w:tmpl w:val="CC9C381E"/>
    <w:lvl w:ilvl="0" w:tplc="85047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F7511B"/>
    <w:multiLevelType w:val="hybridMultilevel"/>
    <w:tmpl w:val="0018D498"/>
    <w:lvl w:ilvl="0" w:tplc="2A184E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8580E9D"/>
    <w:multiLevelType w:val="hybridMultilevel"/>
    <w:tmpl w:val="AC84DADE"/>
    <w:lvl w:ilvl="0" w:tplc="8016421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9A6015"/>
    <w:multiLevelType w:val="hybridMultilevel"/>
    <w:tmpl w:val="A7864C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B533B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3E6239"/>
    <w:multiLevelType w:val="hybridMultilevel"/>
    <w:tmpl w:val="493ACCDE"/>
    <w:lvl w:ilvl="0" w:tplc="5600BE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9D33C5"/>
    <w:multiLevelType w:val="hybridMultilevel"/>
    <w:tmpl w:val="85964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3547F1"/>
    <w:multiLevelType w:val="hybridMultilevel"/>
    <w:tmpl w:val="BEE6EF36"/>
    <w:lvl w:ilvl="0" w:tplc="08090019">
      <w:start w:val="1"/>
      <w:numFmt w:val="lowerLetter"/>
      <w:lvlText w:val="%1."/>
      <w:lvlJc w:val="left"/>
      <w:pPr>
        <w:ind w:left="72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68FA0A4A"/>
    <w:multiLevelType w:val="hybridMultilevel"/>
    <w:tmpl w:val="FA648E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9C5F62"/>
    <w:multiLevelType w:val="hybridMultilevel"/>
    <w:tmpl w:val="E392E1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2D56ED"/>
    <w:multiLevelType w:val="hybridMultilevel"/>
    <w:tmpl w:val="61B6F55C"/>
    <w:lvl w:ilvl="0" w:tplc="E2DA5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F01595"/>
    <w:multiLevelType w:val="hybridMultilevel"/>
    <w:tmpl w:val="E8A20B86"/>
    <w:lvl w:ilvl="0" w:tplc="5600BE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467E0C"/>
    <w:multiLevelType w:val="hybridMultilevel"/>
    <w:tmpl w:val="D5D628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B7790F"/>
    <w:multiLevelType w:val="hybridMultilevel"/>
    <w:tmpl w:val="21AC2C0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22"/>
  </w:num>
  <w:num w:numId="3">
    <w:abstractNumId w:val="9"/>
  </w:num>
  <w:num w:numId="4">
    <w:abstractNumId w:val="23"/>
  </w:num>
  <w:num w:numId="5">
    <w:abstractNumId w:val="19"/>
  </w:num>
  <w:num w:numId="6">
    <w:abstractNumId w:val="13"/>
  </w:num>
  <w:num w:numId="7">
    <w:abstractNumId w:val="10"/>
  </w:num>
  <w:num w:numId="8">
    <w:abstractNumId w:val="2"/>
  </w:num>
  <w:num w:numId="9">
    <w:abstractNumId w:val="17"/>
  </w:num>
  <w:num w:numId="10">
    <w:abstractNumId w:val="16"/>
  </w:num>
  <w:num w:numId="11">
    <w:abstractNumId w:val="6"/>
  </w:num>
  <w:num w:numId="12">
    <w:abstractNumId w:val="3"/>
  </w:num>
  <w:num w:numId="13">
    <w:abstractNumId w:val="18"/>
  </w:num>
  <w:num w:numId="14">
    <w:abstractNumId w:val="1"/>
  </w:num>
  <w:num w:numId="15">
    <w:abstractNumId w:val="14"/>
  </w:num>
  <w:num w:numId="16">
    <w:abstractNumId w:val="0"/>
  </w:num>
  <w:num w:numId="17">
    <w:abstractNumId w:val="5"/>
  </w:num>
  <w:num w:numId="18">
    <w:abstractNumId w:val="11"/>
  </w:num>
  <w:num w:numId="19">
    <w:abstractNumId w:val="20"/>
  </w:num>
  <w:num w:numId="20">
    <w:abstractNumId w:val="4"/>
  </w:num>
  <w:num w:numId="21">
    <w:abstractNumId w:val="8"/>
  </w:num>
  <w:num w:numId="22">
    <w:abstractNumId w:val="15"/>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MDExNzAwNjKxNLFU0lEKTi0uzszPAykwqwUAmTK4sCwAAAA="/>
  </w:docVars>
  <w:rsids>
    <w:rsidRoot w:val="001F72BE"/>
    <w:rsid w:val="00020BDE"/>
    <w:rsid w:val="00020FB1"/>
    <w:rsid w:val="00021381"/>
    <w:rsid w:val="000240F9"/>
    <w:rsid w:val="00035408"/>
    <w:rsid w:val="000425EC"/>
    <w:rsid w:val="00043D38"/>
    <w:rsid w:val="000512EE"/>
    <w:rsid w:val="00053623"/>
    <w:rsid w:val="00054001"/>
    <w:rsid w:val="00067231"/>
    <w:rsid w:val="000707D8"/>
    <w:rsid w:val="00071495"/>
    <w:rsid w:val="00071623"/>
    <w:rsid w:val="0007319C"/>
    <w:rsid w:val="0007346A"/>
    <w:rsid w:val="00075B22"/>
    <w:rsid w:val="00081DD3"/>
    <w:rsid w:val="0008462F"/>
    <w:rsid w:val="00086A89"/>
    <w:rsid w:val="000938B3"/>
    <w:rsid w:val="000A2565"/>
    <w:rsid w:val="000A7453"/>
    <w:rsid w:val="000B3C8F"/>
    <w:rsid w:val="000B735C"/>
    <w:rsid w:val="000B7BA1"/>
    <w:rsid w:val="000C0CEE"/>
    <w:rsid w:val="000C3F3A"/>
    <w:rsid w:val="000C7D30"/>
    <w:rsid w:val="000D1561"/>
    <w:rsid w:val="000D4E4C"/>
    <w:rsid w:val="000F0591"/>
    <w:rsid w:val="000F16EF"/>
    <w:rsid w:val="000F54D5"/>
    <w:rsid w:val="00105B05"/>
    <w:rsid w:val="001064CF"/>
    <w:rsid w:val="0010753C"/>
    <w:rsid w:val="00110159"/>
    <w:rsid w:val="001111A9"/>
    <w:rsid w:val="001126B4"/>
    <w:rsid w:val="0011395E"/>
    <w:rsid w:val="00114A63"/>
    <w:rsid w:val="001207BB"/>
    <w:rsid w:val="00127436"/>
    <w:rsid w:val="00130ADD"/>
    <w:rsid w:val="001403E9"/>
    <w:rsid w:val="001417DA"/>
    <w:rsid w:val="00143613"/>
    <w:rsid w:val="0014482A"/>
    <w:rsid w:val="001477AA"/>
    <w:rsid w:val="00147A9B"/>
    <w:rsid w:val="00151C56"/>
    <w:rsid w:val="00152F54"/>
    <w:rsid w:val="00155546"/>
    <w:rsid w:val="00162DFC"/>
    <w:rsid w:val="00174746"/>
    <w:rsid w:val="001751CC"/>
    <w:rsid w:val="00185BE7"/>
    <w:rsid w:val="0018680D"/>
    <w:rsid w:val="001920C2"/>
    <w:rsid w:val="00192FCE"/>
    <w:rsid w:val="00197410"/>
    <w:rsid w:val="001A53F5"/>
    <w:rsid w:val="001A7497"/>
    <w:rsid w:val="001B28C5"/>
    <w:rsid w:val="001B5F05"/>
    <w:rsid w:val="001D3729"/>
    <w:rsid w:val="001D42AA"/>
    <w:rsid w:val="001D524E"/>
    <w:rsid w:val="001E44E7"/>
    <w:rsid w:val="001F082D"/>
    <w:rsid w:val="001F445A"/>
    <w:rsid w:val="001F52F8"/>
    <w:rsid w:val="001F72BE"/>
    <w:rsid w:val="00201470"/>
    <w:rsid w:val="00201749"/>
    <w:rsid w:val="00204489"/>
    <w:rsid w:val="0020557E"/>
    <w:rsid w:val="00205DAA"/>
    <w:rsid w:val="00210ADA"/>
    <w:rsid w:val="002176E7"/>
    <w:rsid w:val="00221038"/>
    <w:rsid w:val="00224509"/>
    <w:rsid w:val="002261E8"/>
    <w:rsid w:val="00227D00"/>
    <w:rsid w:val="002338C4"/>
    <w:rsid w:val="0023511E"/>
    <w:rsid w:val="00242AB5"/>
    <w:rsid w:val="00251DF1"/>
    <w:rsid w:val="0025464F"/>
    <w:rsid w:val="00256DF5"/>
    <w:rsid w:val="0025736A"/>
    <w:rsid w:val="00263701"/>
    <w:rsid w:val="0026799C"/>
    <w:rsid w:val="0027340F"/>
    <w:rsid w:val="00274044"/>
    <w:rsid w:val="00284A59"/>
    <w:rsid w:val="00292230"/>
    <w:rsid w:val="002928F5"/>
    <w:rsid w:val="00293400"/>
    <w:rsid w:val="00294791"/>
    <w:rsid w:val="002B10A5"/>
    <w:rsid w:val="002B17BC"/>
    <w:rsid w:val="002B20B5"/>
    <w:rsid w:val="002C2663"/>
    <w:rsid w:val="002C3BDF"/>
    <w:rsid w:val="002C7F6F"/>
    <w:rsid w:val="002D1BDD"/>
    <w:rsid w:val="002D4407"/>
    <w:rsid w:val="002E0A06"/>
    <w:rsid w:val="002E56C7"/>
    <w:rsid w:val="002F3ED8"/>
    <w:rsid w:val="002F5FA1"/>
    <w:rsid w:val="002F658A"/>
    <w:rsid w:val="00301390"/>
    <w:rsid w:val="00301AE3"/>
    <w:rsid w:val="00320E4A"/>
    <w:rsid w:val="00321D40"/>
    <w:rsid w:val="0032328C"/>
    <w:rsid w:val="003235C9"/>
    <w:rsid w:val="00324024"/>
    <w:rsid w:val="00324C33"/>
    <w:rsid w:val="00327B45"/>
    <w:rsid w:val="00333AA9"/>
    <w:rsid w:val="003416D6"/>
    <w:rsid w:val="00346183"/>
    <w:rsid w:val="00347C04"/>
    <w:rsid w:val="00347FAD"/>
    <w:rsid w:val="0035027B"/>
    <w:rsid w:val="00351A12"/>
    <w:rsid w:val="00351E64"/>
    <w:rsid w:val="00360606"/>
    <w:rsid w:val="00364235"/>
    <w:rsid w:val="00370291"/>
    <w:rsid w:val="00371AD8"/>
    <w:rsid w:val="00371F34"/>
    <w:rsid w:val="003759E3"/>
    <w:rsid w:val="003809FA"/>
    <w:rsid w:val="00383B8F"/>
    <w:rsid w:val="00387E5F"/>
    <w:rsid w:val="00387E6E"/>
    <w:rsid w:val="00387F2D"/>
    <w:rsid w:val="003904B1"/>
    <w:rsid w:val="00390DB8"/>
    <w:rsid w:val="00394873"/>
    <w:rsid w:val="0039572F"/>
    <w:rsid w:val="0039605A"/>
    <w:rsid w:val="0039775F"/>
    <w:rsid w:val="00397B69"/>
    <w:rsid w:val="003B7E7B"/>
    <w:rsid w:val="003C373B"/>
    <w:rsid w:val="003E076F"/>
    <w:rsid w:val="003E3D21"/>
    <w:rsid w:val="003E730F"/>
    <w:rsid w:val="003F0537"/>
    <w:rsid w:val="003F49B7"/>
    <w:rsid w:val="003F61A9"/>
    <w:rsid w:val="00403EE6"/>
    <w:rsid w:val="00412372"/>
    <w:rsid w:val="00424655"/>
    <w:rsid w:val="00426A2D"/>
    <w:rsid w:val="004368F8"/>
    <w:rsid w:val="00436F04"/>
    <w:rsid w:val="004404E1"/>
    <w:rsid w:val="004406BF"/>
    <w:rsid w:val="00450CC8"/>
    <w:rsid w:val="00454C1E"/>
    <w:rsid w:val="00455BF8"/>
    <w:rsid w:val="0045635F"/>
    <w:rsid w:val="00460EAA"/>
    <w:rsid w:val="00460EFF"/>
    <w:rsid w:val="00461737"/>
    <w:rsid w:val="004628D0"/>
    <w:rsid w:val="00474494"/>
    <w:rsid w:val="00475A16"/>
    <w:rsid w:val="00476508"/>
    <w:rsid w:val="004839D7"/>
    <w:rsid w:val="00485D5B"/>
    <w:rsid w:val="00486298"/>
    <w:rsid w:val="00487074"/>
    <w:rsid w:val="00494120"/>
    <w:rsid w:val="00494556"/>
    <w:rsid w:val="004A0461"/>
    <w:rsid w:val="004A1D99"/>
    <w:rsid w:val="004A3316"/>
    <w:rsid w:val="004A3407"/>
    <w:rsid w:val="004B4434"/>
    <w:rsid w:val="004B6149"/>
    <w:rsid w:val="004C0922"/>
    <w:rsid w:val="004D1357"/>
    <w:rsid w:val="004D2E6A"/>
    <w:rsid w:val="004D5372"/>
    <w:rsid w:val="004D7B0A"/>
    <w:rsid w:val="004E11E6"/>
    <w:rsid w:val="004E1E94"/>
    <w:rsid w:val="004E38D7"/>
    <w:rsid w:val="004E3A1A"/>
    <w:rsid w:val="004E5ECC"/>
    <w:rsid w:val="004E68FB"/>
    <w:rsid w:val="004E75F3"/>
    <w:rsid w:val="004F3848"/>
    <w:rsid w:val="004F530F"/>
    <w:rsid w:val="004F53E4"/>
    <w:rsid w:val="00501317"/>
    <w:rsid w:val="00502699"/>
    <w:rsid w:val="00505AAA"/>
    <w:rsid w:val="0050651A"/>
    <w:rsid w:val="005117EF"/>
    <w:rsid w:val="005207A2"/>
    <w:rsid w:val="00521C35"/>
    <w:rsid w:val="00523F5A"/>
    <w:rsid w:val="00524413"/>
    <w:rsid w:val="0053745B"/>
    <w:rsid w:val="0054529D"/>
    <w:rsid w:val="00545426"/>
    <w:rsid w:val="00554453"/>
    <w:rsid w:val="00560F54"/>
    <w:rsid w:val="00563AA4"/>
    <w:rsid w:val="00565745"/>
    <w:rsid w:val="0057569C"/>
    <w:rsid w:val="00576568"/>
    <w:rsid w:val="00576CBC"/>
    <w:rsid w:val="00580220"/>
    <w:rsid w:val="00585F4B"/>
    <w:rsid w:val="0059260C"/>
    <w:rsid w:val="005A006A"/>
    <w:rsid w:val="005A103E"/>
    <w:rsid w:val="005A75F1"/>
    <w:rsid w:val="005B09B4"/>
    <w:rsid w:val="005B0C1E"/>
    <w:rsid w:val="005C175A"/>
    <w:rsid w:val="005C2A13"/>
    <w:rsid w:val="005C3EF7"/>
    <w:rsid w:val="005C41AE"/>
    <w:rsid w:val="005C7B75"/>
    <w:rsid w:val="005D0ABB"/>
    <w:rsid w:val="005D3DB9"/>
    <w:rsid w:val="005D4C43"/>
    <w:rsid w:val="005F133B"/>
    <w:rsid w:val="005F151D"/>
    <w:rsid w:val="005F2A17"/>
    <w:rsid w:val="005F2BF9"/>
    <w:rsid w:val="005F57EC"/>
    <w:rsid w:val="006007A4"/>
    <w:rsid w:val="006059F8"/>
    <w:rsid w:val="0060711C"/>
    <w:rsid w:val="006110F9"/>
    <w:rsid w:val="0062122F"/>
    <w:rsid w:val="006216B9"/>
    <w:rsid w:val="006222A8"/>
    <w:rsid w:val="00626D06"/>
    <w:rsid w:val="00627EBF"/>
    <w:rsid w:val="006352E1"/>
    <w:rsid w:val="00642F76"/>
    <w:rsid w:val="00645405"/>
    <w:rsid w:val="00657B3A"/>
    <w:rsid w:val="00663188"/>
    <w:rsid w:val="006642D0"/>
    <w:rsid w:val="00671577"/>
    <w:rsid w:val="00677E19"/>
    <w:rsid w:val="00682797"/>
    <w:rsid w:val="00685DE5"/>
    <w:rsid w:val="00686CFC"/>
    <w:rsid w:val="00694B5D"/>
    <w:rsid w:val="00695813"/>
    <w:rsid w:val="006A4576"/>
    <w:rsid w:val="006A5533"/>
    <w:rsid w:val="006A78E4"/>
    <w:rsid w:val="006B678E"/>
    <w:rsid w:val="006B7FC3"/>
    <w:rsid w:val="006C26E0"/>
    <w:rsid w:val="006C2A7B"/>
    <w:rsid w:val="006C4BD0"/>
    <w:rsid w:val="006D104A"/>
    <w:rsid w:val="006D4C7D"/>
    <w:rsid w:val="006D669D"/>
    <w:rsid w:val="006E13A8"/>
    <w:rsid w:val="006E7FC2"/>
    <w:rsid w:val="006F082E"/>
    <w:rsid w:val="006F40E5"/>
    <w:rsid w:val="006F50CA"/>
    <w:rsid w:val="00701089"/>
    <w:rsid w:val="00705512"/>
    <w:rsid w:val="00707763"/>
    <w:rsid w:val="00710467"/>
    <w:rsid w:val="0071627E"/>
    <w:rsid w:val="00721041"/>
    <w:rsid w:val="00723527"/>
    <w:rsid w:val="00732299"/>
    <w:rsid w:val="0073724E"/>
    <w:rsid w:val="00740C4E"/>
    <w:rsid w:val="007478A7"/>
    <w:rsid w:val="007531C4"/>
    <w:rsid w:val="007550CD"/>
    <w:rsid w:val="00763C7A"/>
    <w:rsid w:val="00763E9B"/>
    <w:rsid w:val="00764477"/>
    <w:rsid w:val="00770225"/>
    <w:rsid w:val="007702C5"/>
    <w:rsid w:val="00772655"/>
    <w:rsid w:val="0077640A"/>
    <w:rsid w:val="00776ABB"/>
    <w:rsid w:val="007775CE"/>
    <w:rsid w:val="00781C4A"/>
    <w:rsid w:val="00786288"/>
    <w:rsid w:val="007864C5"/>
    <w:rsid w:val="00791F88"/>
    <w:rsid w:val="00795436"/>
    <w:rsid w:val="007A40C1"/>
    <w:rsid w:val="007A43EC"/>
    <w:rsid w:val="007B1873"/>
    <w:rsid w:val="007B498D"/>
    <w:rsid w:val="007D109F"/>
    <w:rsid w:val="007D6501"/>
    <w:rsid w:val="007E1BA2"/>
    <w:rsid w:val="007E3BA1"/>
    <w:rsid w:val="007F1685"/>
    <w:rsid w:val="007F1B35"/>
    <w:rsid w:val="00803AFD"/>
    <w:rsid w:val="00807959"/>
    <w:rsid w:val="0081008D"/>
    <w:rsid w:val="008100CB"/>
    <w:rsid w:val="00811779"/>
    <w:rsid w:val="00811B2E"/>
    <w:rsid w:val="00814246"/>
    <w:rsid w:val="00822370"/>
    <w:rsid w:val="0082612A"/>
    <w:rsid w:val="008277F8"/>
    <w:rsid w:val="00832E2B"/>
    <w:rsid w:val="0083384F"/>
    <w:rsid w:val="008343C3"/>
    <w:rsid w:val="008435BA"/>
    <w:rsid w:val="00843E27"/>
    <w:rsid w:val="00843F4A"/>
    <w:rsid w:val="00844C12"/>
    <w:rsid w:val="00855B6A"/>
    <w:rsid w:val="00860176"/>
    <w:rsid w:val="00860C4B"/>
    <w:rsid w:val="008668BA"/>
    <w:rsid w:val="00875E53"/>
    <w:rsid w:val="00877836"/>
    <w:rsid w:val="00880F79"/>
    <w:rsid w:val="008A20C9"/>
    <w:rsid w:val="008A705E"/>
    <w:rsid w:val="008A75D0"/>
    <w:rsid w:val="008A7672"/>
    <w:rsid w:val="008B4240"/>
    <w:rsid w:val="008C1195"/>
    <w:rsid w:val="008C6B20"/>
    <w:rsid w:val="008C77AF"/>
    <w:rsid w:val="008D38D7"/>
    <w:rsid w:val="008D455B"/>
    <w:rsid w:val="008E2E3D"/>
    <w:rsid w:val="008E30C5"/>
    <w:rsid w:val="008E412A"/>
    <w:rsid w:val="008F21FC"/>
    <w:rsid w:val="008F452F"/>
    <w:rsid w:val="008F7792"/>
    <w:rsid w:val="00901107"/>
    <w:rsid w:val="009015EB"/>
    <w:rsid w:val="009023B0"/>
    <w:rsid w:val="00913E51"/>
    <w:rsid w:val="00915DED"/>
    <w:rsid w:val="00917224"/>
    <w:rsid w:val="00927CE5"/>
    <w:rsid w:val="00931B98"/>
    <w:rsid w:val="009450FE"/>
    <w:rsid w:val="009460A5"/>
    <w:rsid w:val="009653D3"/>
    <w:rsid w:val="00987A9A"/>
    <w:rsid w:val="00991C17"/>
    <w:rsid w:val="00997CD3"/>
    <w:rsid w:val="009A5556"/>
    <w:rsid w:val="009A738A"/>
    <w:rsid w:val="009A7647"/>
    <w:rsid w:val="009B0BBB"/>
    <w:rsid w:val="009B3B77"/>
    <w:rsid w:val="009B6A78"/>
    <w:rsid w:val="009C4DE5"/>
    <w:rsid w:val="009C6F55"/>
    <w:rsid w:val="009C7D6D"/>
    <w:rsid w:val="009D11B4"/>
    <w:rsid w:val="009D403D"/>
    <w:rsid w:val="009D7462"/>
    <w:rsid w:val="009E0144"/>
    <w:rsid w:val="009E2C0F"/>
    <w:rsid w:val="009F1EBE"/>
    <w:rsid w:val="009F1F47"/>
    <w:rsid w:val="009F66E3"/>
    <w:rsid w:val="009F6EA8"/>
    <w:rsid w:val="009F7230"/>
    <w:rsid w:val="009F7EBB"/>
    <w:rsid w:val="00A0547B"/>
    <w:rsid w:val="00A10758"/>
    <w:rsid w:val="00A10EFE"/>
    <w:rsid w:val="00A14B7B"/>
    <w:rsid w:val="00A204FC"/>
    <w:rsid w:val="00A357B7"/>
    <w:rsid w:val="00A40538"/>
    <w:rsid w:val="00A419E5"/>
    <w:rsid w:val="00A456B9"/>
    <w:rsid w:val="00A5287C"/>
    <w:rsid w:val="00A53612"/>
    <w:rsid w:val="00A54E55"/>
    <w:rsid w:val="00A5505D"/>
    <w:rsid w:val="00A57683"/>
    <w:rsid w:val="00A65DD1"/>
    <w:rsid w:val="00A67FF1"/>
    <w:rsid w:val="00A71133"/>
    <w:rsid w:val="00A777CA"/>
    <w:rsid w:val="00A80493"/>
    <w:rsid w:val="00A87E53"/>
    <w:rsid w:val="00A96C8A"/>
    <w:rsid w:val="00AA1CB7"/>
    <w:rsid w:val="00AA4A50"/>
    <w:rsid w:val="00AB2432"/>
    <w:rsid w:val="00AB5E95"/>
    <w:rsid w:val="00AC1D6F"/>
    <w:rsid w:val="00AC494C"/>
    <w:rsid w:val="00AC7C61"/>
    <w:rsid w:val="00AD1592"/>
    <w:rsid w:val="00AD4491"/>
    <w:rsid w:val="00AE3726"/>
    <w:rsid w:val="00AE385D"/>
    <w:rsid w:val="00AE5A41"/>
    <w:rsid w:val="00AF4FC3"/>
    <w:rsid w:val="00AF5B19"/>
    <w:rsid w:val="00B01835"/>
    <w:rsid w:val="00B20FFC"/>
    <w:rsid w:val="00B23BCB"/>
    <w:rsid w:val="00B25A6C"/>
    <w:rsid w:val="00B26A77"/>
    <w:rsid w:val="00B34BDF"/>
    <w:rsid w:val="00B4140F"/>
    <w:rsid w:val="00B44896"/>
    <w:rsid w:val="00B4584A"/>
    <w:rsid w:val="00B51882"/>
    <w:rsid w:val="00B56D0F"/>
    <w:rsid w:val="00B57775"/>
    <w:rsid w:val="00B601BF"/>
    <w:rsid w:val="00B60361"/>
    <w:rsid w:val="00B64D95"/>
    <w:rsid w:val="00B71085"/>
    <w:rsid w:val="00B7264A"/>
    <w:rsid w:val="00B73DB9"/>
    <w:rsid w:val="00B74C1E"/>
    <w:rsid w:val="00B7520A"/>
    <w:rsid w:val="00B7535B"/>
    <w:rsid w:val="00B77DF0"/>
    <w:rsid w:val="00B77ED8"/>
    <w:rsid w:val="00B8245E"/>
    <w:rsid w:val="00B8546D"/>
    <w:rsid w:val="00B87D63"/>
    <w:rsid w:val="00B9323F"/>
    <w:rsid w:val="00B94542"/>
    <w:rsid w:val="00BA1B45"/>
    <w:rsid w:val="00BB3F6D"/>
    <w:rsid w:val="00BB4A10"/>
    <w:rsid w:val="00BB4D30"/>
    <w:rsid w:val="00BB76D4"/>
    <w:rsid w:val="00BC10F0"/>
    <w:rsid w:val="00BC29FB"/>
    <w:rsid w:val="00BC35CA"/>
    <w:rsid w:val="00BC7EFD"/>
    <w:rsid w:val="00BD289C"/>
    <w:rsid w:val="00BD3FB5"/>
    <w:rsid w:val="00BD450E"/>
    <w:rsid w:val="00BD6B45"/>
    <w:rsid w:val="00BE295D"/>
    <w:rsid w:val="00BE53C9"/>
    <w:rsid w:val="00BE5F80"/>
    <w:rsid w:val="00BF016D"/>
    <w:rsid w:val="00C006DD"/>
    <w:rsid w:val="00C029B6"/>
    <w:rsid w:val="00C04194"/>
    <w:rsid w:val="00C1296F"/>
    <w:rsid w:val="00C17A5C"/>
    <w:rsid w:val="00C17A63"/>
    <w:rsid w:val="00C2287B"/>
    <w:rsid w:val="00C2508D"/>
    <w:rsid w:val="00C25E30"/>
    <w:rsid w:val="00C27E3F"/>
    <w:rsid w:val="00C30C57"/>
    <w:rsid w:val="00C325D3"/>
    <w:rsid w:val="00C378EA"/>
    <w:rsid w:val="00C52711"/>
    <w:rsid w:val="00C565FC"/>
    <w:rsid w:val="00C653C9"/>
    <w:rsid w:val="00C6656F"/>
    <w:rsid w:val="00C719E1"/>
    <w:rsid w:val="00C75D55"/>
    <w:rsid w:val="00C81F28"/>
    <w:rsid w:val="00C82416"/>
    <w:rsid w:val="00C85106"/>
    <w:rsid w:val="00C8700D"/>
    <w:rsid w:val="00C875AF"/>
    <w:rsid w:val="00C87CC1"/>
    <w:rsid w:val="00CA2363"/>
    <w:rsid w:val="00CA2CDB"/>
    <w:rsid w:val="00CB25FB"/>
    <w:rsid w:val="00CB5CA6"/>
    <w:rsid w:val="00CC5ED6"/>
    <w:rsid w:val="00CD2E72"/>
    <w:rsid w:val="00CE0C64"/>
    <w:rsid w:val="00CE0E12"/>
    <w:rsid w:val="00CE21B2"/>
    <w:rsid w:val="00CE47D9"/>
    <w:rsid w:val="00CE5CE5"/>
    <w:rsid w:val="00CF20CB"/>
    <w:rsid w:val="00CF42D4"/>
    <w:rsid w:val="00CF5CAC"/>
    <w:rsid w:val="00D040C5"/>
    <w:rsid w:val="00D07888"/>
    <w:rsid w:val="00D07F96"/>
    <w:rsid w:val="00D119AE"/>
    <w:rsid w:val="00D20963"/>
    <w:rsid w:val="00D223F0"/>
    <w:rsid w:val="00D23AA8"/>
    <w:rsid w:val="00D24EC2"/>
    <w:rsid w:val="00D24F4D"/>
    <w:rsid w:val="00D40C3F"/>
    <w:rsid w:val="00D439D4"/>
    <w:rsid w:val="00D53060"/>
    <w:rsid w:val="00D56892"/>
    <w:rsid w:val="00D5757D"/>
    <w:rsid w:val="00D60AA3"/>
    <w:rsid w:val="00D631F6"/>
    <w:rsid w:val="00D64821"/>
    <w:rsid w:val="00D8034A"/>
    <w:rsid w:val="00D8213C"/>
    <w:rsid w:val="00D83921"/>
    <w:rsid w:val="00D84DE4"/>
    <w:rsid w:val="00D8515B"/>
    <w:rsid w:val="00D90705"/>
    <w:rsid w:val="00D92EFA"/>
    <w:rsid w:val="00D957BF"/>
    <w:rsid w:val="00DA1522"/>
    <w:rsid w:val="00DA4321"/>
    <w:rsid w:val="00DB2173"/>
    <w:rsid w:val="00DB3FEC"/>
    <w:rsid w:val="00DB6B80"/>
    <w:rsid w:val="00DC28F5"/>
    <w:rsid w:val="00DC4967"/>
    <w:rsid w:val="00DC780E"/>
    <w:rsid w:val="00DD06F9"/>
    <w:rsid w:val="00DD2460"/>
    <w:rsid w:val="00DD6918"/>
    <w:rsid w:val="00DD6C90"/>
    <w:rsid w:val="00DE0CC3"/>
    <w:rsid w:val="00DE137B"/>
    <w:rsid w:val="00DE430B"/>
    <w:rsid w:val="00DE5249"/>
    <w:rsid w:val="00DE6A43"/>
    <w:rsid w:val="00DE7469"/>
    <w:rsid w:val="00DF506B"/>
    <w:rsid w:val="00DF6A3E"/>
    <w:rsid w:val="00E04F11"/>
    <w:rsid w:val="00E12D79"/>
    <w:rsid w:val="00E26EFA"/>
    <w:rsid w:val="00E27081"/>
    <w:rsid w:val="00E3546A"/>
    <w:rsid w:val="00E526BA"/>
    <w:rsid w:val="00E56978"/>
    <w:rsid w:val="00E57D12"/>
    <w:rsid w:val="00E612E7"/>
    <w:rsid w:val="00E635AD"/>
    <w:rsid w:val="00E75D5F"/>
    <w:rsid w:val="00E77F07"/>
    <w:rsid w:val="00E80763"/>
    <w:rsid w:val="00E8387E"/>
    <w:rsid w:val="00E85323"/>
    <w:rsid w:val="00E862AD"/>
    <w:rsid w:val="00E96257"/>
    <w:rsid w:val="00E9644E"/>
    <w:rsid w:val="00EB07B2"/>
    <w:rsid w:val="00EB52F4"/>
    <w:rsid w:val="00EB54D9"/>
    <w:rsid w:val="00EB6833"/>
    <w:rsid w:val="00EB6E1C"/>
    <w:rsid w:val="00EC0123"/>
    <w:rsid w:val="00EC08A1"/>
    <w:rsid w:val="00EC0A46"/>
    <w:rsid w:val="00EC0D43"/>
    <w:rsid w:val="00ED0352"/>
    <w:rsid w:val="00ED03EA"/>
    <w:rsid w:val="00ED1439"/>
    <w:rsid w:val="00ED239B"/>
    <w:rsid w:val="00ED6046"/>
    <w:rsid w:val="00ED77E6"/>
    <w:rsid w:val="00EF02E4"/>
    <w:rsid w:val="00EF207D"/>
    <w:rsid w:val="00EF2C42"/>
    <w:rsid w:val="00EF3682"/>
    <w:rsid w:val="00EF5626"/>
    <w:rsid w:val="00EF5C83"/>
    <w:rsid w:val="00EF5F1C"/>
    <w:rsid w:val="00F0111D"/>
    <w:rsid w:val="00F10D0C"/>
    <w:rsid w:val="00F16888"/>
    <w:rsid w:val="00F20953"/>
    <w:rsid w:val="00F20E91"/>
    <w:rsid w:val="00F22E64"/>
    <w:rsid w:val="00F24B80"/>
    <w:rsid w:val="00F33569"/>
    <w:rsid w:val="00F36EB2"/>
    <w:rsid w:val="00F40127"/>
    <w:rsid w:val="00F4359D"/>
    <w:rsid w:val="00F47915"/>
    <w:rsid w:val="00F53AFE"/>
    <w:rsid w:val="00F53BE3"/>
    <w:rsid w:val="00F54505"/>
    <w:rsid w:val="00F54E92"/>
    <w:rsid w:val="00F55EF9"/>
    <w:rsid w:val="00F7000A"/>
    <w:rsid w:val="00F700A4"/>
    <w:rsid w:val="00F700CB"/>
    <w:rsid w:val="00F736EA"/>
    <w:rsid w:val="00F8041F"/>
    <w:rsid w:val="00F82ECC"/>
    <w:rsid w:val="00F83FEE"/>
    <w:rsid w:val="00F92810"/>
    <w:rsid w:val="00F966C9"/>
    <w:rsid w:val="00F96CA5"/>
    <w:rsid w:val="00F96F5C"/>
    <w:rsid w:val="00FB33DA"/>
    <w:rsid w:val="00FB45E9"/>
    <w:rsid w:val="00FB51AF"/>
    <w:rsid w:val="00FB61FE"/>
    <w:rsid w:val="00FC156C"/>
    <w:rsid w:val="00FC4688"/>
    <w:rsid w:val="00FD00EF"/>
    <w:rsid w:val="00FD1D3C"/>
    <w:rsid w:val="00FD35E9"/>
    <w:rsid w:val="00FD4D83"/>
    <w:rsid w:val="00FE0B8E"/>
    <w:rsid w:val="00FE1D8D"/>
    <w:rsid w:val="00FE2956"/>
    <w:rsid w:val="00FE37E0"/>
    <w:rsid w:val="00FE3C3A"/>
    <w:rsid w:val="00FE5FD3"/>
    <w:rsid w:val="00FE7202"/>
    <w:rsid w:val="00FE721B"/>
    <w:rsid w:val="00FF74E2"/>
    <w:rsid w:val="00FF7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99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72BE"/>
    <w:pPr>
      <w:spacing w:after="0" w:line="240" w:lineRule="auto"/>
    </w:pPr>
  </w:style>
  <w:style w:type="paragraph" w:styleId="Textonotapie">
    <w:name w:val="footnote text"/>
    <w:basedOn w:val="Normal"/>
    <w:link w:val="TextonotapieCar"/>
    <w:uiPriority w:val="99"/>
    <w:unhideWhenUsed/>
    <w:rsid w:val="001F72BE"/>
    <w:pPr>
      <w:spacing w:after="0" w:line="240" w:lineRule="auto"/>
    </w:pPr>
    <w:rPr>
      <w:sz w:val="20"/>
      <w:szCs w:val="20"/>
    </w:rPr>
  </w:style>
  <w:style w:type="character" w:customStyle="1" w:styleId="TextonotapieCar">
    <w:name w:val="Texto nota pie Car"/>
    <w:basedOn w:val="Fuentedeprrafopredeter"/>
    <w:link w:val="Textonotapie"/>
    <w:uiPriority w:val="99"/>
    <w:rsid w:val="001F72BE"/>
    <w:rPr>
      <w:sz w:val="20"/>
      <w:szCs w:val="20"/>
    </w:rPr>
  </w:style>
  <w:style w:type="character" w:styleId="Refdenotaalpie">
    <w:name w:val="footnote reference"/>
    <w:uiPriority w:val="99"/>
    <w:rsid w:val="001F72BE"/>
    <w:rPr>
      <w:rFonts w:cs="Times New Roman"/>
      <w:vertAlign w:val="superscript"/>
    </w:rPr>
  </w:style>
  <w:style w:type="character" w:styleId="Hipervnculo">
    <w:name w:val="Hyperlink"/>
    <w:rsid w:val="001F72BE"/>
    <w:rPr>
      <w:color w:val="0000FF"/>
      <w:u w:val="single"/>
    </w:rPr>
  </w:style>
  <w:style w:type="paragraph" w:styleId="Prrafodelista">
    <w:name w:val="List Paragraph"/>
    <w:basedOn w:val="Normal"/>
    <w:uiPriority w:val="34"/>
    <w:qFormat/>
    <w:rsid w:val="00CF5CAC"/>
    <w:pPr>
      <w:ind w:left="720"/>
      <w:contextualSpacing/>
    </w:pPr>
  </w:style>
  <w:style w:type="paragraph" w:styleId="Textodeglobo">
    <w:name w:val="Balloon Text"/>
    <w:basedOn w:val="Normal"/>
    <w:link w:val="TextodegloboCar"/>
    <w:uiPriority w:val="99"/>
    <w:semiHidden/>
    <w:unhideWhenUsed/>
    <w:rsid w:val="000240F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240F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0240F9"/>
    <w:rPr>
      <w:sz w:val="16"/>
      <w:szCs w:val="16"/>
    </w:rPr>
  </w:style>
  <w:style w:type="paragraph" w:styleId="Textocomentario">
    <w:name w:val="annotation text"/>
    <w:basedOn w:val="Normal"/>
    <w:link w:val="TextocomentarioCar"/>
    <w:uiPriority w:val="99"/>
    <w:semiHidden/>
    <w:unhideWhenUsed/>
    <w:rsid w:val="000240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40F9"/>
    <w:rPr>
      <w:sz w:val="20"/>
      <w:szCs w:val="20"/>
    </w:rPr>
  </w:style>
  <w:style w:type="paragraph" w:styleId="Asuntodelcomentario">
    <w:name w:val="annotation subject"/>
    <w:basedOn w:val="Textocomentario"/>
    <w:next w:val="Textocomentario"/>
    <w:link w:val="AsuntodelcomentarioCar"/>
    <w:uiPriority w:val="99"/>
    <w:semiHidden/>
    <w:unhideWhenUsed/>
    <w:rsid w:val="000240F9"/>
    <w:rPr>
      <w:b/>
      <w:bCs/>
    </w:rPr>
  </w:style>
  <w:style w:type="character" w:customStyle="1" w:styleId="AsuntodelcomentarioCar">
    <w:name w:val="Asunto del comentario Car"/>
    <w:basedOn w:val="TextocomentarioCar"/>
    <w:link w:val="Asuntodelcomentario"/>
    <w:uiPriority w:val="99"/>
    <w:semiHidden/>
    <w:rsid w:val="000240F9"/>
    <w:rPr>
      <w:b/>
      <w:bCs/>
      <w:sz w:val="20"/>
      <w:szCs w:val="20"/>
    </w:rPr>
  </w:style>
  <w:style w:type="character" w:styleId="Hipervnculovisitado">
    <w:name w:val="FollowedHyperlink"/>
    <w:basedOn w:val="Fuentedeprrafopredeter"/>
    <w:uiPriority w:val="99"/>
    <w:semiHidden/>
    <w:unhideWhenUsed/>
    <w:rsid w:val="004E75F3"/>
    <w:rPr>
      <w:color w:val="954F72" w:themeColor="followedHyperlink"/>
      <w:u w:val="single"/>
    </w:rPr>
  </w:style>
  <w:style w:type="paragraph" w:styleId="Encabezado">
    <w:name w:val="header"/>
    <w:basedOn w:val="Normal"/>
    <w:link w:val="EncabezadoCar"/>
    <w:uiPriority w:val="99"/>
    <w:unhideWhenUsed/>
    <w:rsid w:val="003809F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809FA"/>
  </w:style>
  <w:style w:type="paragraph" w:styleId="Piedepgina">
    <w:name w:val="footer"/>
    <w:basedOn w:val="Normal"/>
    <w:link w:val="PiedepginaCar"/>
    <w:uiPriority w:val="99"/>
    <w:unhideWhenUsed/>
    <w:rsid w:val="003809F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809FA"/>
  </w:style>
  <w:style w:type="table" w:styleId="Tablaconcuadrcula">
    <w:name w:val="Table Grid"/>
    <w:basedOn w:val="Tablanormal"/>
    <w:uiPriority w:val="39"/>
    <w:rsid w:val="0015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94791"/>
    <w:rPr>
      <w:color w:val="605E5C"/>
      <w:shd w:val="clear" w:color="auto" w:fill="E1DFDD"/>
    </w:rPr>
  </w:style>
  <w:style w:type="table" w:styleId="Tablaconcuadrcula2-nfasis5">
    <w:name w:val="Grid Table 2 Accent 5"/>
    <w:basedOn w:val="Tablanormal"/>
    <w:uiPriority w:val="47"/>
    <w:rsid w:val="00F966C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2">
    <w:name w:val="Mención sin resolver2"/>
    <w:basedOn w:val="Fuentedeprrafopredeter"/>
    <w:uiPriority w:val="99"/>
    <w:semiHidden/>
    <w:unhideWhenUsed/>
    <w:rsid w:val="00227D00"/>
    <w:rPr>
      <w:color w:val="605E5C"/>
      <w:shd w:val="clear" w:color="auto" w:fill="E1DFDD"/>
    </w:rPr>
  </w:style>
  <w:style w:type="table" w:styleId="Tablaconcuadrcula1clara-nfasis1">
    <w:name w:val="Grid Table 1 Light Accent 1"/>
    <w:basedOn w:val="Tablanormal"/>
    <w:uiPriority w:val="46"/>
    <w:rsid w:val="00387F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387F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Cuadrculaclara-nfasis6">
    <w:name w:val="Light Grid Accent 6"/>
    <w:basedOn w:val="Tablanormal"/>
    <w:uiPriority w:val="62"/>
    <w:rsid w:val="00FE5FD3"/>
    <w:pPr>
      <w:spacing w:after="0" w:line="240" w:lineRule="auto"/>
    </w:pPr>
    <w:rPr>
      <w:lang w:val="es-MX"/>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5">
    <w:name w:val="Light Grid Accent 5"/>
    <w:basedOn w:val="Tablanormal"/>
    <w:uiPriority w:val="62"/>
    <w:rsid w:val="00FE5FD3"/>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3">
    <w:name w:val="Light Grid Accent 3"/>
    <w:basedOn w:val="Tablanormal"/>
    <w:uiPriority w:val="62"/>
    <w:rsid w:val="00FE5FD3"/>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2">
    <w:name w:val="Light Grid Accent 2"/>
    <w:basedOn w:val="Tablanormal"/>
    <w:uiPriority w:val="62"/>
    <w:rsid w:val="00FE5FD3"/>
    <w:pPr>
      <w:spacing w:after="0" w:line="240" w:lineRule="auto"/>
    </w:pPr>
    <w:rPr>
      <w:lang w:val="es-MX"/>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Mencinsinresolver">
    <w:name w:val="Unresolved Mention"/>
    <w:basedOn w:val="Fuentedeprrafopredeter"/>
    <w:uiPriority w:val="99"/>
    <w:semiHidden/>
    <w:unhideWhenUsed/>
    <w:rsid w:val="00DE7469"/>
    <w:rPr>
      <w:color w:val="605E5C"/>
      <w:shd w:val="clear" w:color="auto" w:fill="E1DFDD"/>
    </w:rPr>
  </w:style>
  <w:style w:type="paragraph" w:styleId="NormalWeb">
    <w:name w:val="Normal (Web)"/>
    <w:basedOn w:val="Normal"/>
    <w:uiPriority w:val="99"/>
    <w:unhideWhenUsed/>
    <w:rsid w:val="00DE746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1clara-nfasis3">
    <w:name w:val="Grid Table 1 Light Accent 3"/>
    <w:basedOn w:val="Tablanormal"/>
    <w:uiPriority w:val="46"/>
    <w:rsid w:val="007550C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7550C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7550C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7550C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194">
      <w:bodyDiv w:val="1"/>
      <w:marLeft w:val="0"/>
      <w:marRight w:val="0"/>
      <w:marTop w:val="0"/>
      <w:marBottom w:val="0"/>
      <w:divBdr>
        <w:top w:val="none" w:sz="0" w:space="0" w:color="auto"/>
        <w:left w:val="none" w:sz="0" w:space="0" w:color="auto"/>
        <w:bottom w:val="none" w:sz="0" w:space="0" w:color="auto"/>
        <w:right w:val="none" w:sz="0" w:space="0" w:color="auto"/>
      </w:divBdr>
    </w:div>
    <w:div w:id="112141014">
      <w:bodyDiv w:val="1"/>
      <w:marLeft w:val="0"/>
      <w:marRight w:val="0"/>
      <w:marTop w:val="0"/>
      <w:marBottom w:val="0"/>
      <w:divBdr>
        <w:top w:val="none" w:sz="0" w:space="0" w:color="auto"/>
        <w:left w:val="none" w:sz="0" w:space="0" w:color="auto"/>
        <w:bottom w:val="none" w:sz="0" w:space="0" w:color="auto"/>
        <w:right w:val="none" w:sz="0" w:space="0" w:color="auto"/>
      </w:divBdr>
    </w:div>
    <w:div w:id="181554202">
      <w:bodyDiv w:val="1"/>
      <w:marLeft w:val="0"/>
      <w:marRight w:val="0"/>
      <w:marTop w:val="0"/>
      <w:marBottom w:val="0"/>
      <w:divBdr>
        <w:top w:val="none" w:sz="0" w:space="0" w:color="auto"/>
        <w:left w:val="none" w:sz="0" w:space="0" w:color="auto"/>
        <w:bottom w:val="none" w:sz="0" w:space="0" w:color="auto"/>
        <w:right w:val="none" w:sz="0" w:space="0" w:color="auto"/>
      </w:divBdr>
    </w:div>
    <w:div w:id="208996716">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347370163">
      <w:bodyDiv w:val="1"/>
      <w:marLeft w:val="0"/>
      <w:marRight w:val="0"/>
      <w:marTop w:val="0"/>
      <w:marBottom w:val="0"/>
      <w:divBdr>
        <w:top w:val="none" w:sz="0" w:space="0" w:color="auto"/>
        <w:left w:val="none" w:sz="0" w:space="0" w:color="auto"/>
        <w:bottom w:val="none" w:sz="0" w:space="0" w:color="auto"/>
        <w:right w:val="none" w:sz="0" w:space="0" w:color="auto"/>
      </w:divBdr>
    </w:div>
    <w:div w:id="428811847">
      <w:bodyDiv w:val="1"/>
      <w:marLeft w:val="0"/>
      <w:marRight w:val="0"/>
      <w:marTop w:val="0"/>
      <w:marBottom w:val="0"/>
      <w:divBdr>
        <w:top w:val="none" w:sz="0" w:space="0" w:color="auto"/>
        <w:left w:val="none" w:sz="0" w:space="0" w:color="auto"/>
        <w:bottom w:val="none" w:sz="0" w:space="0" w:color="auto"/>
        <w:right w:val="none" w:sz="0" w:space="0" w:color="auto"/>
      </w:divBdr>
    </w:div>
    <w:div w:id="965740012">
      <w:bodyDiv w:val="1"/>
      <w:marLeft w:val="0"/>
      <w:marRight w:val="0"/>
      <w:marTop w:val="0"/>
      <w:marBottom w:val="0"/>
      <w:divBdr>
        <w:top w:val="none" w:sz="0" w:space="0" w:color="auto"/>
        <w:left w:val="none" w:sz="0" w:space="0" w:color="auto"/>
        <w:bottom w:val="none" w:sz="0" w:space="0" w:color="auto"/>
        <w:right w:val="none" w:sz="0" w:space="0" w:color="auto"/>
      </w:divBdr>
    </w:div>
    <w:div w:id="1016661536">
      <w:bodyDiv w:val="1"/>
      <w:marLeft w:val="0"/>
      <w:marRight w:val="0"/>
      <w:marTop w:val="0"/>
      <w:marBottom w:val="0"/>
      <w:divBdr>
        <w:top w:val="none" w:sz="0" w:space="0" w:color="auto"/>
        <w:left w:val="none" w:sz="0" w:space="0" w:color="auto"/>
        <w:bottom w:val="none" w:sz="0" w:space="0" w:color="auto"/>
        <w:right w:val="none" w:sz="0" w:space="0" w:color="auto"/>
      </w:divBdr>
    </w:div>
    <w:div w:id="1110901678">
      <w:bodyDiv w:val="1"/>
      <w:marLeft w:val="0"/>
      <w:marRight w:val="0"/>
      <w:marTop w:val="0"/>
      <w:marBottom w:val="0"/>
      <w:divBdr>
        <w:top w:val="none" w:sz="0" w:space="0" w:color="auto"/>
        <w:left w:val="none" w:sz="0" w:space="0" w:color="auto"/>
        <w:bottom w:val="none" w:sz="0" w:space="0" w:color="auto"/>
        <w:right w:val="none" w:sz="0" w:space="0" w:color="auto"/>
      </w:divBdr>
    </w:div>
    <w:div w:id="1319655773">
      <w:bodyDiv w:val="1"/>
      <w:marLeft w:val="0"/>
      <w:marRight w:val="0"/>
      <w:marTop w:val="0"/>
      <w:marBottom w:val="0"/>
      <w:divBdr>
        <w:top w:val="none" w:sz="0" w:space="0" w:color="auto"/>
        <w:left w:val="none" w:sz="0" w:space="0" w:color="auto"/>
        <w:bottom w:val="none" w:sz="0" w:space="0" w:color="auto"/>
        <w:right w:val="none" w:sz="0" w:space="0" w:color="auto"/>
      </w:divBdr>
    </w:div>
    <w:div w:id="1331330252">
      <w:bodyDiv w:val="1"/>
      <w:marLeft w:val="0"/>
      <w:marRight w:val="0"/>
      <w:marTop w:val="0"/>
      <w:marBottom w:val="0"/>
      <w:divBdr>
        <w:top w:val="none" w:sz="0" w:space="0" w:color="auto"/>
        <w:left w:val="none" w:sz="0" w:space="0" w:color="auto"/>
        <w:bottom w:val="none" w:sz="0" w:space="0" w:color="auto"/>
        <w:right w:val="none" w:sz="0" w:space="0" w:color="auto"/>
      </w:divBdr>
    </w:div>
    <w:div w:id="1372995802">
      <w:bodyDiv w:val="1"/>
      <w:marLeft w:val="0"/>
      <w:marRight w:val="0"/>
      <w:marTop w:val="0"/>
      <w:marBottom w:val="0"/>
      <w:divBdr>
        <w:top w:val="none" w:sz="0" w:space="0" w:color="auto"/>
        <w:left w:val="none" w:sz="0" w:space="0" w:color="auto"/>
        <w:bottom w:val="none" w:sz="0" w:space="0" w:color="auto"/>
        <w:right w:val="none" w:sz="0" w:space="0" w:color="auto"/>
      </w:divBdr>
    </w:div>
    <w:div w:id="1471240306">
      <w:bodyDiv w:val="1"/>
      <w:marLeft w:val="0"/>
      <w:marRight w:val="0"/>
      <w:marTop w:val="0"/>
      <w:marBottom w:val="0"/>
      <w:divBdr>
        <w:top w:val="none" w:sz="0" w:space="0" w:color="auto"/>
        <w:left w:val="none" w:sz="0" w:space="0" w:color="auto"/>
        <w:bottom w:val="none" w:sz="0" w:space="0" w:color="auto"/>
        <w:right w:val="none" w:sz="0" w:space="0" w:color="auto"/>
      </w:divBdr>
    </w:div>
    <w:div w:id="1562669058">
      <w:bodyDiv w:val="1"/>
      <w:marLeft w:val="0"/>
      <w:marRight w:val="0"/>
      <w:marTop w:val="0"/>
      <w:marBottom w:val="0"/>
      <w:divBdr>
        <w:top w:val="none" w:sz="0" w:space="0" w:color="auto"/>
        <w:left w:val="none" w:sz="0" w:space="0" w:color="auto"/>
        <w:bottom w:val="none" w:sz="0" w:space="0" w:color="auto"/>
        <w:right w:val="none" w:sz="0" w:space="0" w:color="auto"/>
      </w:divBdr>
    </w:div>
    <w:div w:id="1944799241">
      <w:bodyDiv w:val="1"/>
      <w:marLeft w:val="0"/>
      <w:marRight w:val="0"/>
      <w:marTop w:val="0"/>
      <w:marBottom w:val="0"/>
      <w:divBdr>
        <w:top w:val="none" w:sz="0" w:space="0" w:color="auto"/>
        <w:left w:val="none" w:sz="0" w:space="0" w:color="auto"/>
        <w:bottom w:val="none" w:sz="0" w:space="0" w:color="auto"/>
        <w:right w:val="none" w:sz="0" w:space="0" w:color="auto"/>
      </w:divBdr>
    </w:div>
    <w:div w:id="20733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gramainfancia.uam.mx/pdf/redes/trabajo_infantil.pdf" TargetMode="External"/><Relationship Id="rId2" Type="http://schemas.openxmlformats.org/officeDocument/2006/relationships/hyperlink" Target="https://www.sepi.cdmx.gob.mx/programas/programa/programa-autonomia-empoderamiento-economico-mujeres" TargetMode="External"/><Relationship Id="rId1" Type="http://schemas.openxmlformats.org/officeDocument/2006/relationships/hyperlink" Target="https://cultura.cdmx.gob.mx/storage/app/uploads/public/5b9/16c/736/5b916c736f902459118382.pdf" TargetMode="External"/><Relationship Id="rId4" Type="http://schemas.openxmlformats.org/officeDocument/2006/relationships/hyperlink" Target="https://directorio.cdhdf.org.mx/informes/Informe_trabajo_infantil_mo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9215-E784-4509-B714-1821CD8AC0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097084-46C0-4A4E-9C83-A0A200A40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A361D-7300-4819-9ECB-AD820EF1533E}">
  <ds:schemaRefs>
    <ds:schemaRef ds:uri="http://schemas.microsoft.com/sharepoint/v3/contenttype/forms"/>
  </ds:schemaRefs>
</ds:datastoreItem>
</file>

<file path=customXml/itemProps4.xml><?xml version="1.0" encoding="utf-8"?>
<ds:datastoreItem xmlns:ds="http://schemas.openxmlformats.org/officeDocument/2006/customXml" ds:itemID="{073EE1AC-AEB8-4003-A905-DF0D3EC4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9380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2021-06-19T00:08:00Z</dcterms:created>
  <dcterms:modified xsi:type="dcterms:W3CDTF">2021-06-19T00:08:00Z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6300</vt:r8>
  </property>
  <property fmtid="{D5CDD505-2E9C-101B-9397-08002B2CF9AE}" pid="3" name="_CopySource">
    <vt:lpwstr>https://webtransformation.ohchr.org/Collaboration library/Content Guidelines_Calls for Input_July1.docx</vt:lpwstr>
  </property>
  <property fmtid="{D5CDD505-2E9C-101B-9397-08002B2CF9AE}" pid="4" name="xd_ProgID">
    <vt:lpwstr/>
  </property>
  <property fmtid="{D5CDD505-2E9C-101B-9397-08002B2CF9AE}" pid="5" name="ContentTypeId">
    <vt:lpwstr>0x0101008822B9E06671B54FA89F14538B9B0FEA</vt:lpwstr>
  </property>
  <property fmtid="{D5CDD505-2E9C-101B-9397-08002B2CF9AE}" pid="6" name="TemplateUrl">
    <vt:lpwstr/>
  </property>
</Properties>
</file>