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38" w:rsidRPr="00EB391B" w:rsidRDefault="00074CA2" w:rsidP="00EB391B">
      <w:pPr>
        <w:rPr>
          <w:rFonts w:ascii="Futura Lt BT" w:hAnsi="Futura Lt BT"/>
          <w:szCs w:val="24"/>
          <w:lang w:val="en-GB"/>
        </w:rPr>
      </w:pPr>
      <w:bookmarkStart w:id="0" w:name="_GoBack"/>
      <w:bookmarkEnd w:id="0"/>
      <w:r w:rsidRPr="00EB391B">
        <w:rPr>
          <w:rFonts w:ascii="Futura Lt BT" w:hAnsi="Futura Lt BT"/>
          <w:noProof/>
          <w:szCs w:val="24"/>
          <w:lang w:val="en-US" w:eastAsia="zh-CN"/>
        </w:rPr>
        <w:drawing>
          <wp:anchor distT="0" distB="0" distL="0" distR="0" simplePos="0" relativeHeight="251658240" behindDoc="0" locked="0" layoutInCell="1" allowOverlap="1">
            <wp:simplePos x="0" y="0"/>
            <wp:positionH relativeFrom="margin">
              <wp:posOffset>4366268</wp:posOffset>
            </wp:positionH>
            <wp:positionV relativeFrom="line">
              <wp:posOffset>-172682</wp:posOffset>
            </wp:positionV>
            <wp:extent cx="1718632" cy="1101687"/>
            <wp:effectExtent l="19050" t="0" r="0" b="0"/>
            <wp:wrapNone/>
            <wp:docPr id="1073741825" name="officeArt object" descr="O:\STATIONERY AND LOGOS\logos\Current logo\MDAC - main.png"/>
            <wp:cNvGraphicFramePr/>
            <a:graphic xmlns:a="http://schemas.openxmlformats.org/drawingml/2006/main">
              <a:graphicData uri="http://schemas.openxmlformats.org/drawingml/2006/picture">
                <pic:pic xmlns:pic="http://schemas.openxmlformats.org/drawingml/2006/picture">
                  <pic:nvPicPr>
                    <pic:cNvPr id="1073741825" name="image1.png" descr="O:\STATIONERY AND LOGOS\logos\Current logo\MDAC - main.png"/>
                    <pic:cNvPicPr>
                      <a:picLocks noChangeAspect="1"/>
                    </pic:cNvPicPr>
                  </pic:nvPicPr>
                  <pic:blipFill>
                    <a:blip r:embed="rId9" cstate="print">
                      <a:extLst/>
                    </a:blip>
                    <a:stretch>
                      <a:fillRect/>
                    </a:stretch>
                  </pic:blipFill>
                  <pic:spPr>
                    <a:xfrm>
                      <a:off x="0" y="0"/>
                      <a:ext cx="1718632" cy="1101687"/>
                    </a:xfrm>
                    <a:prstGeom prst="rect">
                      <a:avLst/>
                    </a:prstGeom>
                    <a:ln w="12700" cap="flat">
                      <a:noFill/>
                      <a:miter lim="400000"/>
                    </a:ln>
                    <a:effectLst/>
                  </pic:spPr>
                </pic:pic>
              </a:graphicData>
            </a:graphic>
          </wp:anchor>
        </w:drawing>
      </w:r>
    </w:p>
    <w:p w:rsidR="00074CA2" w:rsidRPr="00EB391B" w:rsidRDefault="00074CA2" w:rsidP="00EB391B">
      <w:pPr>
        <w:rPr>
          <w:rFonts w:ascii="Futura Lt BT" w:hAnsi="Futura Lt BT"/>
          <w:szCs w:val="24"/>
          <w:lang w:val="en-GB"/>
        </w:rPr>
      </w:pPr>
    </w:p>
    <w:p w:rsidR="00074CA2" w:rsidRPr="00EB391B" w:rsidRDefault="00074CA2" w:rsidP="00EB391B">
      <w:pPr>
        <w:rPr>
          <w:rFonts w:ascii="Futura Lt BT" w:hAnsi="Futura Lt BT"/>
          <w:szCs w:val="24"/>
          <w:lang w:val="en-GB"/>
        </w:rPr>
      </w:pPr>
    </w:p>
    <w:p w:rsidR="00BC3307" w:rsidRPr="00EB391B" w:rsidRDefault="00BC3307" w:rsidP="00EB391B">
      <w:pPr>
        <w:jc w:val="center"/>
        <w:rPr>
          <w:rFonts w:ascii="Futura Lt BT" w:hAnsi="Futura Lt BT"/>
          <w:b/>
          <w:bCs/>
          <w:szCs w:val="24"/>
          <w:lang w:val="en-GB"/>
        </w:rPr>
      </w:pPr>
    </w:p>
    <w:p w:rsidR="00BC3307" w:rsidRPr="00EB391B" w:rsidRDefault="00BC3307" w:rsidP="00EB391B">
      <w:pPr>
        <w:jc w:val="center"/>
        <w:rPr>
          <w:rFonts w:ascii="Futura Lt BT" w:hAnsi="Futura Lt BT"/>
          <w:b/>
          <w:bCs/>
          <w:szCs w:val="24"/>
          <w:lang w:val="en-GB"/>
        </w:rPr>
      </w:pPr>
    </w:p>
    <w:p w:rsidR="00BC3307" w:rsidRPr="00EB391B" w:rsidRDefault="00BC3307" w:rsidP="00EB391B">
      <w:pPr>
        <w:jc w:val="center"/>
        <w:rPr>
          <w:rFonts w:ascii="Futura Lt BT" w:hAnsi="Futura Lt BT"/>
          <w:b/>
          <w:bCs/>
          <w:szCs w:val="24"/>
          <w:lang w:val="en-GB"/>
        </w:rPr>
      </w:pPr>
    </w:p>
    <w:p w:rsidR="00BC3307" w:rsidRPr="00EB391B" w:rsidRDefault="00074CA2" w:rsidP="00EB391B">
      <w:pPr>
        <w:jc w:val="center"/>
        <w:rPr>
          <w:rFonts w:ascii="Futura Lt BT" w:hAnsi="Futura Lt BT"/>
          <w:b/>
          <w:bCs/>
          <w:szCs w:val="24"/>
          <w:lang w:val="en-GB"/>
        </w:rPr>
      </w:pPr>
      <w:r w:rsidRPr="00EB391B">
        <w:rPr>
          <w:rFonts w:ascii="Futura Lt BT" w:hAnsi="Futura Lt BT"/>
          <w:b/>
          <w:bCs/>
          <w:szCs w:val="24"/>
          <w:lang w:val="en-GB"/>
        </w:rPr>
        <w:t xml:space="preserve">NGO information to the </w:t>
      </w:r>
      <w:r w:rsidR="00601001" w:rsidRPr="00EB391B">
        <w:rPr>
          <w:rFonts w:ascii="Futura Lt BT" w:hAnsi="Futura Lt BT"/>
          <w:b/>
          <w:bCs/>
          <w:szCs w:val="24"/>
          <w:lang w:val="en-GB"/>
        </w:rPr>
        <w:t xml:space="preserve">United Nations </w:t>
      </w:r>
    </w:p>
    <w:p w:rsidR="00074CA2" w:rsidRPr="00EB391B" w:rsidRDefault="00601001" w:rsidP="00EB391B">
      <w:pPr>
        <w:jc w:val="center"/>
        <w:rPr>
          <w:rFonts w:ascii="Futura Lt BT" w:hAnsi="Futura Lt BT"/>
          <w:b/>
          <w:bCs/>
          <w:szCs w:val="24"/>
          <w:lang w:val="en-GB"/>
        </w:rPr>
      </w:pPr>
      <w:r w:rsidRPr="00EB391B">
        <w:rPr>
          <w:rFonts w:ascii="Futura Lt BT" w:hAnsi="Futura Lt BT"/>
          <w:b/>
          <w:bCs/>
          <w:szCs w:val="24"/>
          <w:lang w:val="en-GB"/>
        </w:rPr>
        <w:t>Committee on the Elimination of Discrimination against Women</w:t>
      </w:r>
    </w:p>
    <w:p w:rsidR="00BC3307" w:rsidRPr="00EB391B" w:rsidRDefault="00BC3307" w:rsidP="00EB391B">
      <w:pPr>
        <w:jc w:val="center"/>
        <w:rPr>
          <w:rFonts w:ascii="Futura Lt BT" w:hAnsi="Futura Lt BT"/>
          <w:b/>
          <w:bCs/>
          <w:szCs w:val="24"/>
          <w:lang w:val="en-GB"/>
        </w:rPr>
      </w:pPr>
    </w:p>
    <w:p w:rsidR="00BC3307" w:rsidRPr="00EB391B" w:rsidRDefault="00BC3307" w:rsidP="00EB391B">
      <w:pPr>
        <w:jc w:val="center"/>
        <w:rPr>
          <w:rFonts w:ascii="Futura Lt BT" w:hAnsi="Futura Lt BT"/>
          <w:b/>
          <w:bCs/>
          <w:szCs w:val="24"/>
          <w:lang w:val="en-GB"/>
        </w:rPr>
      </w:pPr>
    </w:p>
    <w:p w:rsidR="00BC3307" w:rsidRPr="00EB391B" w:rsidRDefault="00074CA2" w:rsidP="00EB391B">
      <w:pPr>
        <w:jc w:val="center"/>
        <w:rPr>
          <w:rFonts w:ascii="Futura Lt BT" w:hAnsi="Futura Lt BT"/>
          <w:b/>
          <w:bCs/>
          <w:szCs w:val="24"/>
          <w:lang w:val="en-GB"/>
        </w:rPr>
      </w:pPr>
      <w:r w:rsidRPr="00EB391B">
        <w:rPr>
          <w:rFonts w:ascii="Futura Lt BT" w:hAnsi="Futura Lt BT"/>
          <w:b/>
          <w:bCs/>
          <w:szCs w:val="24"/>
          <w:lang w:val="en-GB"/>
        </w:rPr>
        <w:t>For consideration when compiling</w:t>
      </w:r>
      <w:r w:rsidR="00601001" w:rsidRPr="00EB391B">
        <w:rPr>
          <w:rFonts w:ascii="Futura Lt BT" w:hAnsi="Futura Lt BT"/>
          <w:b/>
          <w:bCs/>
          <w:szCs w:val="24"/>
          <w:lang w:val="en-GB"/>
        </w:rPr>
        <w:t xml:space="preserve"> </w:t>
      </w:r>
      <w:r w:rsidR="00EB391B" w:rsidRPr="00EB391B">
        <w:rPr>
          <w:rFonts w:ascii="Futura Lt BT" w:hAnsi="Futura Lt BT"/>
          <w:b/>
          <w:bCs/>
          <w:szCs w:val="24"/>
          <w:lang w:val="en-GB"/>
        </w:rPr>
        <w:t>the addendum to</w:t>
      </w:r>
    </w:p>
    <w:p w:rsidR="00074CA2" w:rsidRPr="00EB391B" w:rsidRDefault="00601001" w:rsidP="00EB391B">
      <w:pPr>
        <w:jc w:val="center"/>
        <w:rPr>
          <w:rFonts w:ascii="Futura Lt BT" w:hAnsi="Futura Lt BT"/>
          <w:b/>
          <w:bCs/>
          <w:szCs w:val="24"/>
          <w:lang w:val="en-GB"/>
        </w:rPr>
      </w:pPr>
      <w:r w:rsidRPr="00EB391B">
        <w:rPr>
          <w:rFonts w:ascii="Futura Lt BT" w:hAnsi="Futura Lt BT"/>
          <w:b/>
          <w:bCs/>
          <w:szCs w:val="24"/>
          <w:lang w:val="en-GB"/>
        </w:rPr>
        <w:t>General Recommendation No. 19</w:t>
      </w:r>
      <w:r w:rsidR="00EB391B" w:rsidRPr="00EB391B">
        <w:rPr>
          <w:rFonts w:ascii="Futura Lt BT" w:hAnsi="Futura Lt BT"/>
          <w:b/>
          <w:bCs/>
          <w:szCs w:val="24"/>
          <w:lang w:val="en-GB"/>
        </w:rPr>
        <w:t>:</w:t>
      </w:r>
    </w:p>
    <w:p w:rsidR="00EB391B" w:rsidRPr="00EB391B" w:rsidRDefault="00EB391B" w:rsidP="00EB391B">
      <w:pPr>
        <w:jc w:val="center"/>
        <w:rPr>
          <w:rFonts w:ascii="Futura Lt BT" w:hAnsi="Futura Lt BT"/>
          <w:b/>
          <w:bCs/>
          <w:szCs w:val="24"/>
          <w:lang w:val="en-GB"/>
        </w:rPr>
      </w:pPr>
      <w:proofErr w:type="gramStart"/>
      <w:r w:rsidRPr="00EB391B">
        <w:rPr>
          <w:rFonts w:ascii="Futura Lt BT" w:hAnsi="Futura Lt BT"/>
          <w:b/>
          <w:bCs/>
          <w:szCs w:val="24"/>
          <w:lang w:val="en-GB"/>
        </w:rPr>
        <w:t>accelerating</w:t>
      </w:r>
      <w:proofErr w:type="gramEnd"/>
      <w:r w:rsidRPr="00EB391B">
        <w:rPr>
          <w:rFonts w:ascii="Futura Lt BT" w:hAnsi="Futura Lt BT"/>
          <w:b/>
          <w:bCs/>
          <w:szCs w:val="24"/>
          <w:lang w:val="en-GB"/>
        </w:rPr>
        <w:t xml:space="preserve"> the elimination of gender-based violence against women </w:t>
      </w:r>
    </w:p>
    <w:p w:rsidR="00BC3307" w:rsidRPr="00EB391B" w:rsidRDefault="00BC3307" w:rsidP="00EB391B">
      <w:pPr>
        <w:rPr>
          <w:rFonts w:ascii="Futura Lt BT" w:hAnsi="Futura Lt BT"/>
          <w:b/>
          <w:bCs/>
          <w:szCs w:val="24"/>
          <w:lang w:val="en-GB"/>
        </w:rPr>
      </w:pPr>
    </w:p>
    <w:p w:rsidR="00BC3307" w:rsidRPr="00EB391B" w:rsidRDefault="00BC3307" w:rsidP="00EB391B">
      <w:pPr>
        <w:rPr>
          <w:rFonts w:ascii="Futura Lt BT" w:hAnsi="Futura Lt BT"/>
          <w:b/>
          <w:bCs/>
          <w:szCs w:val="24"/>
          <w:lang w:val="en-GB"/>
        </w:rPr>
      </w:pPr>
    </w:p>
    <w:p w:rsidR="00BC3307" w:rsidRPr="00EB391B" w:rsidRDefault="00BC3307" w:rsidP="00EB391B">
      <w:pPr>
        <w:rPr>
          <w:rFonts w:ascii="Futura Lt BT" w:hAnsi="Futura Lt BT"/>
          <w:b/>
          <w:bCs/>
          <w:szCs w:val="24"/>
          <w:lang w:val="en-GB"/>
        </w:rPr>
      </w:pPr>
    </w:p>
    <w:p w:rsidR="00074CA2" w:rsidRPr="00EB391B" w:rsidRDefault="00074CA2" w:rsidP="00EB391B">
      <w:pPr>
        <w:rPr>
          <w:rFonts w:ascii="Futura Lt BT" w:hAnsi="Futura Lt BT"/>
          <w:szCs w:val="24"/>
          <w:lang w:val="en-GB"/>
        </w:rPr>
      </w:pPr>
    </w:p>
    <w:p w:rsidR="00074CA2" w:rsidRPr="00EB391B" w:rsidRDefault="00074CA2" w:rsidP="00EB391B">
      <w:pPr>
        <w:jc w:val="center"/>
        <w:rPr>
          <w:rFonts w:ascii="Futura Lt BT" w:hAnsi="Futura Lt BT"/>
          <w:szCs w:val="24"/>
          <w:lang w:val="en-GB"/>
        </w:rPr>
      </w:pPr>
      <w:r w:rsidRPr="00EB391B">
        <w:rPr>
          <w:rFonts w:ascii="Futura Lt BT" w:hAnsi="Futura Lt BT"/>
          <w:b/>
          <w:bCs/>
          <w:szCs w:val="24"/>
          <w:lang w:val="en-GB"/>
        </w:rPr>
        <w:t>_______________________________________</w:t>
      </w:r>
    </w:p>
    <w:p w:rsidR="00074CA2" w:rsidRPr="00EB391B" w:rsidRDefault="00074CA2" w:rsidP="00EB391B">
      <w:pPr>
        <w:jc w:val="center"/>
        <w:rPr>
          <w:rFonts w:ascii="Futura Lt BT" w:hAnsi="Futura Lt BT"/>
          <w:szCs w:val="24"/>
          <w:lang w:val="en-GB"/>
        </w:rPr>
      </w:pPr>
    </w:p>
    <w:p w:rsidR="00074CA2" w:rsidRPr="00EB391B" w:rsidRDefault="00074CA2" w:rsidP="00EB391B">
      <w:pPr>
        <w:jc w:val="center"/>
        <w:rPr>
          <w:rFonts w:ascii="Futura Lt BT" w:hAnsi="Futura Lt BT"/>
          <w:szCs w:val="24"/>
          <w:lang w:val="en-GB"/>
        </w:rPr>
      </w:pPr>
      <w:r w:rsidRPr="00EB391B">
        <w:rPr>
          <w:rFonts w:ascii="Futura Lt BT" w:hAnsi="Futura Lt BT"/>
          <w:szCs w:val="24"/>
          <w:lang w:val="en-GB"/>
        </w:rPr>
        <w:t>Submitted by the</w:t>
      </w:r>
    </w:p>
    <w:p w:rsidR="00074CA2" w:rsidRPr="00EB391B" w:rsidRDefault="00074CA2" w:rsidP="00EB391B">
      <w:pPr>
        <w:jc w:val="center"/>
        <w:rPr>
          <w:rFonts w:ascii="Futura Lt BT" w:hAnsi="Futura Lt BT"/>
          <w:szCs w:val="24"/>
          <w:lang w:val="en-GB"/>
        </w:rPr>
      </w:pPr>
      <w:r w:rsidRPr="00EB391B">
        <w:rPr>
          <w:rFonts w:ascii="Futura Lt BT" w:hAnsi="Futura Lt BT"/>
          <w:szCs w:val="24"/>
          <w:lang w:val="en-GB"/>
        </w:rPr>
        <w:t>Mental Disability Advocacy Centre (MDAC)</w:t>
      </w:r>
    </w:p>
    <w:p w:rsidR="00074CA2" w:rsidRPr="00EB391B" w:rsidRDefault="00074CA2" w:rsidP="00EB391B">
      <w:pPr>
        <w:jc w:val="center"/>
        <w:rPr>
          <w:rFonts w:ascii="Futura Lt BT" w:hAnsi="Futura Lt BT"/>
          <w:szCs w:val="24"/>
          <w:lang w:val="en-GB"/>
        </w:rPr>
      </w:pPr>
    </w:p>
    <w:p w:rsidR="00074CA2" w:rsidRPr="00EB391B" w:rsidRDefault="00074CA2" w:rsidP="00EB391B">
      <w:pPr>
        <w:jc w:val="center"/>
        <w:rPr>
          <w:rFonts w:ascii="Futura Lt BT" w:hAnsi="Futura Lt BT"/>
          <w:szCs w:val="24"/>
          <w:lang w:val="en-GB"/>
        </w:rPr>
      </w:pPr>
    </w:p>
    <w:p w:rsidR="00074CA2" w:rsidRPr="00EB391B" w:rsidRDefault="00BC3307" w:rsidP="00EB391B">
      <w:pPr>
        <w:jc w:val="center"/>
        <w:rPr>
          <w:rFonts w:ascii="Futura Lt BT" w:hAnsi="Futura Lt BT"/>
          <w:szCs w:val="24"/>
          <w:lang w:val="en-GB"/>
        </w:rPr>
      </w:pPr>
      <w:r w:rsidRPr="00EB391B">
        <w:rPr>
          <w:rFonts w:ascii="Futura Lt BT" w:hAnsi="Futura Lt BT"/>
          <w:szCs w:val="24"/>
          <w:lang w:val="en-GB"/>
        </w:rPr>
        <w:t>30</w:t>
      </w:r>
      <w:r w:rsidR="00074CA2" w:rsidRPr="00EB391B">
        <w:rPr>
          <w:rFonts w:ascii="Futura Lt BT" w:hAnsi="Futura Lt BT"/>
          <w:szCs w:val="24"/>
          <w:lang w:val="en-GB"/>
        </w:rPr>
        <w:t xml:space="preserve"> </w:t>
      </w:r>
      <w:r w:rsidRPr="00EB391B">
        <w:rPr>
          <w:rFonts w:ascii="Futura Lt BT" w:hAnsi="Futura Lt BT"/>
          <w:szCs w:val="24"/>
          <w:lang w:val="en-GB"/>
        </w:rPr>
        <w:t>September</w:t>
      </w:r>
      <w:r w:rsidR="00074CA2" w:rsidRPr="00EB391B">
        <w:rPr>
          <w:rFonts w:ascii="Futura Lt BT" w:hAnsi="Futura Lt BT"/>
          <w:szCs w:val="24"/>
          <w:lang w:val="en-GB"/>
        </w:rPr>
        <w:t xml:space="preserve"> 2016</w:t>
      </w:r>
    </w:p>
    <w:p w:rsidR="00074CA2" w:rsidRPr="00EB391B" w:rsidRDefault="00074CA2" w:rsidP="00EB391B">
      <w:pPr>
        <w:jc w:val="center"/>
        <w:rPr>
          <w:rFonts w:ascii="Futura Lt BT" w:hAnsi="Futura Lt BT"/>
          <w:szCs w:val="24"/>
          <w:lang w:val="en-GB"/>
        </w:rPr>
      </w:pPr>
      <w:r w:rsidRPr="00EB391B">
        <w:rPr>
          <w:rFonts w:ascii="Futura Lt BT" w:hAnsi="Futura Lt BT"/>
          <w:b/>
          <w:bCs/>
          <w:szCs w:val="24"/>
          <w:lang w:val="en-GB"/>
        </w:rPr>
        <w:br w:type="page"/>
      </w:r>
    </w:p>
    <w:p w:rsidR="00074CA2" w:rsidRPr="00EB391B" w:rsidRDefault="00074CA2" w:rsidP="00EB391B">
      <w:pPr>
        <w:numPr>
          <w:ilvl w:val="0"/>
          <w:numId w:val="5"/>
        </w:numPr>
        <w:ind w:left="0"/>
        <w:rPr>
          <w:rFonts w:ascii="Futura Lt BT" w:hAnsi="Futura Lt BT"/>
          <w:b/>
          <w:bCs/>
          <w:szCs w:val="24"/>
          <w:lang w:val="en-GB"/>
        </w:rPr>
      </w:pPr>
      <w:r w:rsidRPr="00EB391B">
        <w:rPr>
          <w:rFonts w:ascii="Futura Lt BT" w:hAnsi="Futura Lt BT"/>
          <w:b/>
          <w:bCs/>
          <w:szCs w:val="24"/>
          <w:lang w:val="en-GB"/>
        </w:rPr>
        <w:lastRenderedPageBreak/>
        <w:t xml:space="preserve">OVERVIEW </w:t>
      </w:r>
    </w:p>
    <w:p w:rsidR="00074CA2" w:rsidRPr="00EB391B" w:rsidRDefault="00074CA2" w:rsidP="00EB391B">
      <w:pPr>
        <w:numPr>
          <w:ilvl w:val="0"/>
          <w:numId w:val="6"/>
        </w:numPr>
        <w:ind w:left="0"/>
        <w:rPr>
          <w:rFonts w:ascii="Futura Lt BT" w:hAnsi="Futura Lt BT"/>
          <w:szCs w:val="24"/>
          <w:lang w:val="en-GB"/>
        </w:rPr>
      </w:pPr>
      <w:r w:rsidRPr="00EB391B">
        <w:rPr>
          <w:rFonts w:ascii="Futura Lt BT" w:hAnsi="Futura Lt BT"/>
          <w:szCs w:val="24"/>
          <w:lang w:val="en-GB"/>
        </w:rPr>
        <w:t xml:space="preserve">This written submission provides an outline of </w:t>
      </w:r>
      <w:r w:rsidR="00E52B34" w:rsidRPr="00EB391B">
        <w:rPr>
          <w:rFonts w:ascii="Futura Lt BT" w:hAnsi="Futura Lt BT"/>
          <w:szCs w:val="24"/>
          <w:lang w:val="en-GB"/>
        </w:rPr>
        <w:t xml:space="preserve">the basic principles that </w:t>
      </w:r>
      <w:r w:rsidR="00985B66" w:rsidRPr="00EB391B">
        <w:rPr>
          <w:rFonts w:ascii="Futura Lt BT" w:hAnsi="Futura Lt BT"/>
          <w:szCs w:val="24"/>
          <w:lang w:val="en-GB"/>
        </w:rPr>
        <w:t>can be considered when updating the United Nation</w:t>
      </w:r>
      <w:r w:rsidR="009C2BDA" w:rsidRPr="00EB391B">
        <w:rPr>
          <w:rFonts w:ascii="Futura Lt BT" w:hAnsi="Futura Lt BT"/>
          <w:szCs w:val="24"/>
          <w:lang w:val="en-GB"/>
        </w:rPr>
        <w:t>s</w:t>
      </w:r>
      <w:r w:rsidR="00985B66" w:rsidRPr="00EB391B">
        <w:rPr>
          <w:rFonts w:ascii="Futura Lt BT" w:hAnsi="Futura Lt BT"/>
          <w:szCs w:val="24"/>
          <w:lang w:val="en-GB"/>
        </w:rPr>
        <w:t xml:space="preserve"> Committee on the Elimination of Discrimination Against Women’s General Recommendation  No. 19 (1992): Accelerating efforts on gender based violence against women.</w:t>
      </w:r>
      <w:r w:rsidR="00E52B34" w:rsidRPr="00EB391B">
        <w:rPr>
          <w:rFonts w:ascii="Futura Lt BT" w:hAnsi="Futura Lt BT"/>
          <w:szCs w:val="24"/>
          <w:lang w:val="en-GB"/>
        </w:rPr>
        <w:t xml:space="preserve"> </w:t>
      </w:r>
      <w:r w:rsidR="009C2BDA" w:rsidRPr="00EB391B">
        <w:rPr>
          <w:rFonts w:ascii="Futura Lt BT" w:hAnsi="Futura Lt BT"/>
          <w:szCs w:val="24"/>
          <w:lang w:val="en-GB"/>
        </w:rPr>
        <w:t>Our suggestions will have a focus on the enjoyment of rights by women with disabilities, par</w:t>
      </w:r>
      <w:r w:rsidR="00F42B64" w:rsidRPr="00EB391B">
        <w:rPr>
          <w:rFonts w:ascii="Futura Lt BT" w:hAnsi="Futura Lt BT"/>
          <w:szCs w:val="24"/>
          <w:lang w:val="en-GB"/>
        </w:rPr>
        <w:t xml:space="preserve">ticularly women </w:t>
      </w:r>
      <w:r w:rsidRPr="00EB391B">
        <w:rPr>
          <w:rFonts w:ascii="Futura Lt BT" w:hAnsi="Futura Lt BT"/>
          <w:szCs w:val="24"/>
          <w:lang w:val="en-GB"/>
        </w:rPr>
        <w:t xml:space="preserve">with intellectual </w:t>
      </w:r>
      <w:r w:rsidR="00F42B64" w:rsidRPr="00EB391B">
        <w:rPr>
          <w:rFonts w:ascii="Futura Lt BT" w:hAnsi="Futura Lt BT"/>
          <w:szCs w:val="24"/>
          <w:lang w:val="en-GB"/>
        </w:rPr>
        <w:t xml:space="preserve">disabilities </w:t>
      </w:r>
      <w:r w:rsidRPr="00EB391B">
        <w:rPr>
          <w:rFonts w:ascii="Futura Lt BT" w:hAnsi="Futura Lt BT"/>
          <w:szCs w:val="24"/>
          <w:lang w:val="en-GB"/>
        </w:rPr>
        <w:t xml:space="preserve">and </w:t>
      </w:r>
      <w:r w:rsidR="00F42B64" w:rsidRPr="00EB391B">
        <w:rPr>
          <w:rFonts w:ascii="Futura Lt BT" w:hAnsi="Futura Lt BT"/>
          <w:szCs w:val="24"/>
          <w:lang w:val="en-GB"/>
        </w:rPr>
        <w:t xml:space="preserve">women with </w:t>
      </w:r>
      <w:r w:rsidRPr="00EB391B">
        <w:rPr>
          <w:rFonts w:ascii="Futura Lt BT" w:hAnsi="Futura Lt BT"/>
          <w:szCs w:val="24"/>
          <w:lang w:val="en-GB"/>
        </w:rPr>
        <w:t>psychosocial disabilities.</w:t>
      </w:r>
    </w:p>
    <w:p w:rsidR="009C2BDA" w:rsidRPr="00EB391B" w:rsidRDefault="00074CA2" w:rsidP="00EB391B">
      <w:pPr>
        <w:numPr>
          <w:ilvl w:val="0"/>
          <w:numId w:val="6"/>
        </w:numPr>
        <w:ind w:left="0"/>
        <w:rPr>
          <w:rFonts w:ascii="Futura Lt BT" w:hAnsi="Futura Lt BT"/>
          <w:szCs w:val="24"/>
          <w:lang w:val="en-GB"/>
        </w:rPr>
      </w:pPr>
      <w:r w:rsidRPr="00EB391B">
        <w:rPr>
          <w:rFonts w:ascii="Futura Lt BT" w:hAnsi="Futura Lt BT"/>
          <w:szCs w:val="24"/>
          <w:lang w:val="en-GB"/>
        </w:rPr>
        <w:t>The submission has been written by the Mental Disab</w:t>
      </w:r>
      <w:r w:rsidR="00E52B34" w:rsidRPr="00EB391B">
        <w:rPr>
          <w:rFonts w:ascii="Futura Lt BT" w:hAnsi="Futura Lt BT"/>
          <w:szCs w:val="24"/>
          <w:lang w:val="en-GB"/>
        </w:rPr>
        <w:t xml:space="preserve">ility Advocacy Centre (MDAC), </w:t>
      </w:r>
      <w:r w:rsidRPr="00EB391B">
        <w:rPr>
          <w:rFonts w:ascii="Futura Lt BT" w:hAnsi="Futura Lt BT"/>
          <w:szCs w:val="24"/>
          <w:lang w:val="en-GB"/>
        </w:rPr>
        <w:t xml:space="preserve">an international human rights organisation </w:t>
      </w:r>
      <w:r w:rsidR="00F42B64" w:rsidRPr="00EB391B">
        <w:rPr>
          <w:rFonts w:ascii="Futura Lt BT" w:hAnsi="Futura Lt BT"/>
          <w:szCs w:val="24"/>
          <w:lang w:val="en-GB"/>
        </w:rPr>
        <w:t>that</w:t>
      </w:r>
      <w:r w:rsidRPr="00EB391B">
        <w:rPr>
          <w:rFonts w:ascii="Futura Lt BT" w:hAnsi="Futura Lt BT"/>
          <w:szCs w:val="24"/>
          <w:lang w:val="en-GB"/>
        </w:rPr>
        <w:t xml:space="preserve"> uses the law to secure equality, inclusion and justice for people with mental disabilities worldwide. MDAC’s vision is a world of equality where emotional, mental and learning differences are valued equally; where the inherent autonomy and dignity of each person is fully respected; and where human rights are realised for all persons without discrimination of any form. MDAC has participatory status at the Council of Europe, and observer status at ECOSOC. For more information, please visit </w:t>
      </w:r>
      <w:hyperlink r:id="rId10" w:history="1">
        <w:r w:rsidRPr="00EB391B">
          <w:rPr>
            <w:rStyle w:val="Hyperlink"/>
            <w:rFonts w:ascii="Futura Lt BT" w:hAnsi="Futura Lt BT"/>
            <w:szCs w:val="24"/>
            <w:lang w:val="en-GB"/>
          </w:rPr>
          <w:t>www.mdac.org</w:t>
        </w:r>
      </w:hyperlink>
      <w:r w:rsidRPr="00EB391B">
        <w:rPr>
          <w:rFonts w:ascii="Futura Lt BT" w:hAnsi="Futura Lt BT"/>
          <w:szCs w:val="24"/>
          <w:lang w:val="en-GB"/>
        </w:rPr>
        <w:t xml:space="preserve">. </w:t>
      </w:r>
    </w:p>
    <w:p w:rsidR="0079742D" w:rsidRPr="00EB391B" w:rsidRDefault="00205159" w:rsidP="00EB391B">
      <w:pPr>
        <w:numPr>
          <w:ilvl w:val="0"/>
          <w:numId w:val="6"/>
        </w:numPr>
        <w:ind w:left="0"/>
        <w:rPr>
          <w:rFonts w:ascii="Futura Lt BT" w:hAnsi="Futura Lt BT"/>
          <w:szCs w:val="24"/>
          <w:lang w:val="en-GB"/>
        </w:rPr>
      </w:pPr>
      <w:r w:rsidRPr="00EB391B">
        <w:rPr>
          <w:rFonts w:ascii="Futura Lt BT" w:hAnsi="Futura Lt BT"/>
          <w:szCs w:val="24"/>
          <w:lang w:val="en-GB"/>
        </w:rPr>
        <w:t xml:space="preserve">Women with disabilities are affected by </w:t>
      </w:r>
      <w:r w:rsidR="00F42B64" w:rsidRPr="00EB391B">
        <w:rPr>
          <w:rFonts w:ascii="Futura Lt BT" w:hAnsi="Futura Lt BT"/>
          <w:szCs w:val="24"/>
          <w:lang w:val="en-GB"/>
        </w:rPr>
        <w:t>multiple</w:t>
      </w:r>
      <w:r w:rsidRPr="00EB391B">
        <w:rPr>
          <w:rFonts w:ascii="Futura Lt BT" w:hAnsi="Futura Lt BT"/>
          <w:szCs w:val="24"/>
          <w:lang w:val="en-GB"/>
        </w:rPr>
        <w:t xml:space="preserve"> forms</w:t>
      </w:r>
      <w:r w:rsidR="005E6332" w:rsidRPr="00EB391B">
        <w:rPr>
          <w:rFonts w:ascii="Futura Lt BT" w:hAnsi="Futura Lt BT"/>
          <w:szCs w:val="24"/>
          <w:lang w:val="en-GB"/>
        </w:rPr>
        <w:t xml:space="preserve"> of discrimination and violence which </w:t>
      </w:r>
      <w:r w:rsidR="00F42B64" w:rsidRPr="00EB391B">
        <w:rPr>
          <w:rFonts w:ascii="Futura Lt BT" w:hAnsi="Futura Lt BT"/>
          <w:szCs w:val="24"/>
          <w:lang w:val="en-GB"/>
        </w:rPr>
        <w:t xml:space="preserve">result from the intersection between gender and disability, often in conjunction with </w:t>
      </w:r>
      <w:r w:rsidR="005E6332" w:rsidRPr="00EB391B">
        <w:rPr>
          <w:rFonts w:ascii="Futura Lt BT" w:hAnsi="Futura Lt BT"/>
          <w:szCs w:val="24"/>
          <w:lang w:val="en-GB"/>
        </w:rPr>
        <w:t xml:space="preserve">other factors such as ethnicity, age and social </w:t>
      </w:r>
      <w:r w:rsidR="00F42B64" w:rsidRPr="00EB391B">
        <w:rPr>
          <w:rFonts w:ascii="Futura Lt BT" w:hAnsi="Futura Lt BT"/>
          <w:szCs w:val="24"/>
          <w:lang w:val="en-GB"/>
        </w:rPr>
        <w:t xml:space="preserve">and/or economic </w:t>
      </w:r>
      <w:r w:rsidR="005E6332" w:rsidRPr="00EB391B">
        <w:rPr>
          <w:rFonts w:ascii="Futura Lt BT" w:hAnsi="Futura Lt BT"/>
          <w:szCs w:val="24"/>
          <w:lang w:val="en-GB"/>
        </w:rPr>
        <w:t>status.</w:t>
      </w:r>
      <w:r w:rsidR="0079742D" w:rsidRPr="00EB391B">
        <w:rPr>
          <w:rFonts w:ascii="Futura Lt BT" w:hAnsi="Futura Lt BT"/>
          <w:szCs w:val="24"/>
          <w:lang w:val="en-GB"/>
        </w:rPr>
        <w:t xml:space="preserve"> We use the term “women with disabilities” throughout this submission to refer to women, girls, intersex, </w:t>
      </w:r>
      <w:proofErr w:type="gramStart"/>
      <w:r w:rsidR="0079742D" w:rsidRPr="00EB391B">
        <w:rPr>
          <w:rFonts w:ascii="Futura Lt BT" w:hAnsi="Futura Lt BT"/>
          <w:szCs w:val="24"/>
          <w:lang w:val="en-GB"/>
        </w:rPr>
        <w:t>trans</w:t>
      </w:r>
      <w:proofErr w:type="gramEnd"/>
      <w:r w:rsidR="0079742D" w:rsidRPr="00EB391B">
        <w:rPr>
          <w:rFonts w:ascii="Futura Lt BT" w:hAnsi="Futura Lt BT"/>
          <w:szCs w:val="24"/>
          <w:lang w:val="en-GB"/>
        </w:rPr>
        <w:t>* and self-identified women with actual or perceived disabilities. These terms are imperfect, but reflect the need for an inclusive and intersectional approach</w:t>
      </w:r>
      <w:r w:rsidR="00EB391B">
        <w:rPr>
          <w:rFonts w:ascii="Futura Lt BT" w:hAnsi="Futura Lt BT"/>
          <w:szCs w:val="24"/>
          <w:lang w:val="en-GB"/>
        </w:rPr>
        <w:t>.</w:t>
      </w:r>
    </w:p>
    <w:p w:rsidR="00EB391B" w:rsidRDefault="00F42B64" w:rsidP="00EB391B">
      <w:pPr>
        <w:numPr>
          <w:ilvl w:val="0"/>
          <w:numId w:val="6"/>
        </w:numPr>
        <w:ind w:left="0"/>
        <w:rPr>
          <w:rFonts w:ascii="Futura Lt BT" w:hAnsi="Futura Lt BT"/>
          <w:szCs w:val="24"/>
          <w:lang w:val="en-GB"/>
        </w:rPr>
      </w:pPr>
      <w:r w:rsidRPr="00EB391B">
        <w:rPr>
          <w:rFonts w:ascii="Futura Lt BT" w:hAnsi="Futura Lt BT"/>
          <w:szCs w:val="24"/>
          <w:lang w:val="en-GB"/>
        </w:rPr>
        <w:t>The forms of violence perpetrated against women with disabilities result from and are frequently enabled by discriminatory law, policy and practices</w:t>
      </w:r>
      <w:r w:rsidR="000C625C" w:rsidRPr="00EB391B">
        <w:rPr>
          <w:rFonts w:ascii="Futura Lt BT" w:hAnsi="Futura Lt BT"/>
          <w:szCs w:val="24"/>
          <w:lang w:val="en-GB"/>
        </w:rPr>
        <w:t xml:space="preserve">. </w:t>
      </w:r>
      <w:r w:rsidRPr="00EB391B">
        <w:rPr>
          <w:rFonts w:ascii="Futura Lt BT" w:hAnsi="Futura Lt BT"/>
          <w:szCs w:val="24"/>
          <w:lang w:val="en-GB"/>
        </w:rPr>
        <w:t>Our submission is that the General Comment should</w:t>
      </w:r>
      <w:r w:rsidR="00FB2CAA" w:rsidRPr="00EB391B">
        <w:rPr>
          <w:rFonts w:ascii="Futura Lt BT" w:hAnsi="Futura Lt BT"/>
          <w:szCs w:val="24"/>
          <w:lang w:val="en-GB"/>
        </w:rPr>
        <w:t xml:space="preserve"> target</w:t>
      </w:r>
      <w:r w:rsidRPr="00EB391B">
        <w:rPr>
          <w:rFonts w:ascii="Futura Lt BT" w:hAnsi="Futura Lt BT"/>
          <w:szCs w:val="24"/>
          <w:lang w:val="en-GB"/>
        </w:rPr>
        <w:t xml:space="preserve"> specific forms of violence which affect large numbers of women with disabilities</w:t>
      </w:r>
      <w:r w:rsidR="00FB2CAA" w:rsidRPr="00EB391B">
        <w:rPr>
          <w:rFonts w:ascii="Futura Lt BT" w:hAnsi="Futura Lt BT"/>
          <w:szCs w:val="24"/>
          <w:lang w:val="en-GB"/>
        </w:rPr>
        <w:t xml:space="preserve"> globally</w:t>
      </w:r>
      <w:r w:rsidRPr="00EB391B">
        <w:rPr>
          <w:rFonts w:ascii="Futura Lt BT" w:hAnsi="Futura Lt BT"/>
          <w:szCs w:val="24"/>
          <w:lang w:val="en-GB"/>
        </w:rPr>
        <w:t>, including</w:t>
      </w:r>
      <w:r w:rsidR="00B207DD" w:rsidRPr="00EB391B">
        <w:rPr>
          <w:rFonts w:ascii="Futura Lt BT" w:hAnsi="Futura Lt BT"/>
          <w:szCs w:val="24"/>
          <w:lang w:val="en-GB"/>
        </w:rPr>
        <w:t xml:space="preserve"> deprivation of legal capacity</w:t>
      </w:r>
      <w:r w:rsidR="00FB2CAA" w:rsidRPr="00EB391B">
        <w:rPr>
          <w:rFonts w:ascii="Futura Lt BT" w:hAnsi="Futura Lt BT"/>
          <w:szCs w:val="24"/>
          <w:lang w:val="en-GB"/>
        </w:rPr>
        <w:t xml:space="preserve"> (both </w:t>
      </w:r>
      <w:r w:rsidR="00FB2CAA" w:rsidRPr="00EB391B">
        <w:rPr>
          <w:rFonts w:ascii="Futura Lt BT" w:hAnsi="Futura Lt BT"/>
          <w:i/>
          <w:szCs w:val="24"/>
          <w:lang w:val="en-GB"/>
        </w:rPr>
        <w:t>de jure</w:t>
      </w:r>
      <w:r w:rsidR="00FB2CAA" w:rsidRPr="00EB391B">
        <w:rPr>
          <w:rFonts w:ascii="Futura Lt BT" w:hAnsi="Futura Lt BT"/>
          <w:szCs w:val="24"/>
          <w:lang w:val="en-GB"/>
        </w:rPr>
        <w:t xml:space="preserve"> and </w:t>
      </w:r>
      <w:r w:rsidR="00FB2CAA" w:rsidRPr="00EB391B">
        <w:rPr>
          <w:rFonts w:ascii="Futura Lt BT" w:hAnsi="Futura Lt BT"/>
          <w:i/>
          <w:szCs w:val="24"/>
          <w:lang w:val="en-GB"/>
        </w:rPr>
        <w:t>de facto</w:t>
      </w:r>
      <w:r w:rsidR="00FB2CAA" w:rsidRPr="00EB391B">
        <w:rPr>
          <w:rFonts w:ascii="Futura Lt BT" w:hAnsi="Futura Lt BT"/>
          <w:szCs w:val="24"/>
          <w:lang w:val="en-GB"/>
        </w:rPr>
        <w:t xml:space="preserve">); </w:t>
      </w:r>
      <w:r w:rsidR="00486235" w:rsidRPr="00EB391B">
        <w:rPr>
          <w:rFonts w:ascii="Futura Lt BT" w:hAnsi="Futura Lt BT"/>
          <w:szCs w:val="24"/>
          <w:lang w:val="en-GB"/>
        </w:rPr>
        <w:t>forced</w:t>
      </w:r>
      <w:r w:rsidR="00FB2CAA" w:rsidRPr="00EB391B">
        <w:rPr>
          <w:rFonts w:ascii="Futura Lt BT" w:hAnsi="Futura Lt BT"/>
          <w:szCs w:val="24"/>
          <w:lang w:val="en-GB"/>
        </w:rPr>
        <w:t xml:space="preserve"> or non-consensual interference with the integrity of the person (including forced health, medical and related interventions);</w:t>
      </w:r>
      <w:r w:rsidR="00486235" w:rsidRPr="00EB391B">
        <w:rPr>
          <w:rFonts w:ascii="Futura Lt BT" w:hAnsi="Futura Lt BT"/>
          <w:szCs w:val="24"/>
          <w:lang w:val="en-GB"/>
        </w:rPr>
        <w:t xml:space="preserve"> </w:t>
      </w:r>
      <w:r w:rsidR="00FB2CAA" w:rsidRPr="00EB391B">
        <w:rPr>
          <w:rFonts w:ascii="Futura Lt BT" w:hAnsi="Futura Lt BT"/>
          <w:szCs w:val="24"/>
          <w:lang w:val="en-GB"/>
        </w:rPr>
        <w:t xml:space="preserve">deprivation of liberty and </w:t>
      </w:r>
      <w:r w:rsidR="00B207DD" w:rsidRPr="00EB391B">
        <w:rPr>
          <w:rFonts w:ascii="Futura Lt BT" w:hAnsi="Futura Lt BT"/>
          <w:szCs w:val="24"/>
          <w:lang w:val="en-GB"/>
        </w:rPr>
        <w:t>institutionalisation</w:t>
      </w:r>
      <w:r w:rsidR="00FB2CAA" w:rsidRPr="00EB391B">
        <w:rPr>
          <w:rFonts w:ascii="Futura Lt BT" w:hAnsi="Futura Lt BT"/>
          <w:szCs w:val="24"/>
          <w:lang w:val="en-GB"/>
        </w:rPr>
        <w:t>;</w:t>
      </w:r>
      <w:r w:rsidR="00B207DD" w:rsidRPr="00EB391B">
        <w:rPr>
          <w:rFonts w:ascii="Futura Lt BT" w:hAnsi="Futura Lt BT"/>
          <w:szCs w:val="24"/>
          <w:lang w:val="en-GB"/>
        </w:rPr>
        <w:t xml:space="preserve"> and </w:t>
      </w:r>
      <w:r w:rsidR="00441F75" w:rsidRPr="00EB391B">
        <w:rPr>
          <w:rFonts w:ascii="Futura Lt BT" w:hAnsi="Futura Lt BT"/>
          <w:szCs w:val="24"/>
          <w:lang w:val="en-GB"/>
        </w:rPr>
        <w:t>obstacles in ac</w:t>
      </w:r>
      <w:r w:rsidRPr="00EB391B">
        <w:rPr>
          <w:rFonts w:ascii="Futura Lt BT" w:hAnsi="Futura Lt BT"/>
          <w:szCs w:val="24"/>
          <w:lang w:val="en-GB"/>
        </w:rPr>
        <w:t>cessing justice.</w:t>
      </w:r>
    </w:p>
    <w:p w:rsidR="009C2BDA" w:rsidRPr="00EB391B" w:rsidRDefault="009C2BDA" w:rsidP="00EB391B">
      <w:pPr>
        <w:ind w:left="-360"/>
        <w:rPr>
          <w:rFonts w:ascii="Futura Lt BT" w:hAnsi="Futura Lt BT"/>
          <w:szCs w:val="24"/>
          <w:lang w:val="en-GB"/>
        </w:rPr>
      </w:pPr>
      <w:r w:rsidRPr="00EB391B">
        <w:rPr>
          <w:rFonts w:ascii="Futura Lt BT" w:hAnsi="Futura Lt BT"/>
          <w:b/>
          <w:szCs w:val="24"/>
          <w:lang w:val="en-GB"/>
        </w:rPr>
        <w:t>II. DEPRIVATION OF LEGAL CAPACITY</w:t>
      </w:r>
    </w:p>
    <w:p w:rsidR="00CF31C2" w:rsidRPr="00EB391B" w:rsidRDefault="00CF31C2"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Equality before the law is a central principle of international human rights law (ICCPR Article 14, CEDAW Article 15) and legal capacity is </w:t>
      </w:r>
      <w:r w:rsidR="00FB2CAA" w:rsidRPr="00EB391B">
        <w:rPr>
          <w:rFonts w:ascii="Futura Lt BT" w:hAnsi="Futura Lt BT"/>
          <w:szCs w:val="24"/>
          <w:lang w:val="en-GB"/>
        </w:rPr>
        <w:t>an inherent human attribute</w:t>
      </w:r>
      <w:r w:rsidRPr="00EB391B">
        <w:rPr>
          <w:rFonts w:ascii="Futura Lt BT" w:hAnsi="Futura Lt BT"/>
          <w:szCs w:val="24"/>
          <w:lang w:val="en-GB"/>
        </w:rPr>
        <w:t xml:space="preserve"> to</w:t>
      </w:r>
      <w:r w:rsidR="00FB2CAA" w:rsidRPr="00EB391B">
        <w:rPr>
          <w:rFonts w:ascii="Futura Lt BT" w:hAnsi="Futura Lt BT"/>
          <w:szCs w:val="24"/>
          <w:lang w:val="en-GB"/>
        </w:rPr>
        <w:t xml:space="preserve"> be enjoyed by all persons regardless of their gender, disability or other status (Ar</w:t>
      </w:r>
      <w:r w:rsidRPr="00EB391B">
        <w:rPr>
          <w:rFonts w:ascii="Futura Lt BT" w:hAnsi="Futura Lt BT"/>
          <w:szCs w:val="24"/>
          <w:lang w:val="en-GB"/>
        </w:rPr>
        <w:t>ticle 12 CRPD, among others).</w:t>
      </w:r>
      <w:r w:rsidRPr="00EB391B">
        <w:rPr>
          <w:rFonts w:ascii="Futura Lt BT" w:hAnsi="Futura Lt BT"/>
          <w:szCs w:val="24"/>
          <w:lang w:val="en-GB"/>
        </w:rPr>
        <w:br/>
      </w:r>
    </w:p>
    <w:p w:rsidR="00FB2CAA" w:rsidRPr="00EB391B" w:rsidRDefault="000454B1"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Deprivation of legal capacity is a legal </w:t>
      </w:r>
      <w:r w:rsidR="00FB2CAA" w:rsidRPr="00EB391B">
        <w:rPr>
          <w:rFonts w:ascii="Futura Lt BT" w:hAnsi="Futura Lt BT"/>
          <w:szCs w:val="24"/>
          <w:lang w:val="en-GB"/>
        </w:rPr>
        <w:t xml:space="preserve">measure </w:t>
      </w:r>
      <w:r w:rsidRPr="00EB391B">
        <w:rPr>
          <w:rFonts w:ascii="Futura Lt BT" w:hAnsi="Futura Lt BT"/>
          <w:szCs w:val="24"/>
          <w:lang w:val="en-GB"/>
        </w:rPr>
        <w:t>which</w:t>
      </w:r>
      <w:r w:rsidR="001658EC" w:rsidRPr="00EB391B">
        <w:rPr>
          <w:rFonts w:ascii="Futura Lt BT" w:hAnsi="Futura Lt BT"/>
          <w:szCs w:val="24"/>
          <w:lang w:val="en-GB"/>
        </w:rPr>
        <w:t xml:space="preserve"> was traditionally meant </w:t>
      </w:r>
      <w:r w:rsidR="00FB2CAA" w:rsidRPr="00EB391B">
        <w:rPr>
          <w:rFonts w:ascii="Futura Lt BT" w:hAnsi="Futura Lt BT"/>
          <w:szCs w:val="24"/>
          <w:lang w:val="en-GB"/>
        </w:rPr>
        <w:t>as</w:t>
      </w:r>
      <w:r w:rsidR="001658EC" w:rsidRPr="00EB391B">
        <w:rPr>
          <w:rFonts w:ascii="Futura Lt BT" w:hAnsi="Futura Lt BT"/>
          <w:szCs w:val="24"/>
          <w:lang w:val="en-GB"/>
        </w:rPr>
        <w:t xml:space="preserve"> </w:t>
      </w:r>
      <w:r w:rsidR="00722CAE" w:rsidRPr="00EB391B">
        <w:rPr>
          <w:rFonts w:ascii="Futura Lt BT" w:hAnsi="Futura Lt BT"/>
          <w:szCs w:val="24"/>
          <w:lang w:val="en-GB"/>
        </w:rPr>
        <w:t xml:space="preserve">a </w:t>
      </w:r>
      <w:r w:rsidR="001658EC" w:rsidRPr="00EB391B">
        <w:rPr>
          <w:rFonts w:ascii="Futura Lt BT" w:hAnsi="Futura Lt BT"/>
          <w:szCs w:val="24"/>
          <w:lang w:val="en-GB"/>
        </w:rPr>
        <w:t>protect</w:t>
      </w:r>
      <w:r w:rsidR="00FB2CAA" w:rsidRPr="00EB391B">
        <w:rPr>
          <w:rFonts w:ascii="Futura Lt BT" w:hAnsi="Futura Lt BT"/>
          <w:szCs w:val="24"/>
          <w:lang w:val="en-GB"/>
        </w:rPr>
        <w:t>ive measure for</w:t>
      </w:r>
      <w:r w:rsidR="001658EC" w:rsidRPr="00EB391B">
        <w:rPr>
          <w:rFonts w:ascii="Futura Lt BT" w:hAnsi="Futura Lt BT"/>
          <w:szCs w:val="24"/>
          <w:lang w:val="en-GB"/>
        </w:rPr>
        <w:t xml:space="preserve"> </w:t>
      </w:r>
      <w:r w:rsidR="00FB2CAA" w:rsidRPr="00EB391B">
        <w:rPr>
          <w:rFonts w:ascii="Futura Lt BT" w:hAnsi="Futura Lt BT"/>
          <w:szCs w:val="24"/>
          <w:lang w:val="en-GB"/>
        </w:rPr>
        <w:t>people adjudged as unable or inca</w:t>
      </w:r>
      <w:r w:rsidR="00CF31C2" w:rsidRPr="00EB391B">
        <w:rPr>
          <w:rFonts w:ascii="Futura Lt BT" w:hAnsi="Futura Lt BT"/>
          <w:szCs w:val="24"/>
          <w:lang w:val="en-GB"/>
        </w:rPr>
        <w:t xml:space="preserve">pable of managing their </w:t>
      </w:r>
      <w:r w:rsidR="00CF31C2" w:rsidRPr="00EB391B">
        <w:rPr>
          <w:rFonts w:ascii="Futura Lt BT" w:hAnsi="Futura Lt BT"/>
          <w:szCs w:val="24"/>
          <w:lang w:val="en-GB"/>
        </w:rPr>
        <w:lastRenderedPageBreak/>
        <w:t>affairs, due to their actual or perceived impairment, or because of their gender. Women with disabilities are acutely affected by paternalistic measures which s</w:t>
      </w:r>
      <w:r w:rsidR="00722CAE" w:rsidRPr="00EB391B">
        <w:rPr>
          <w:rFonts w:ascii="Futura Lt BT" w:hAnsi="Futura Lt BT"/>
          <w:szCs w:val="24"/>
          <w:lang w:val="en-GB"/>
        </w:rPr>
        <w:t>ubject them to the authority of</w:t>
      </w:r>
      <w:r w:rsidR="00CF31C2" w:rsidRPr="00EB391B">
        <w:rPr>
          <w:rFonts w:ascii="Futura Lt BT" w:hAnsi="Futura Lt BT"/>
          <w:szCs w:val="24"/>
          <w:lang w:val="en-GB"/>
        </w:rPr>
        <w:t xml:space="preserve"> </w:t>
      </w:r>
      <w:r w:rsidR="00CF31C2" w:rsidRPr="00EB391B">
        <w:rPr>
          <w:rFonts w:ascii="Futura Lt BT" w:hAnsi="Futura Lt BT"/>
          <w:i/>
          <w:szCs w:val="24"/>
          <w:lang w:val="en-GB"/>
        </w:rPr>
        <w:t>inter alia</w:t>
      </w:r>
      <w:r w:rsidR="00CF31C2" w:rsidRPr="00EB391B">
        <w:rPr>
          <w:rFonts w:ascii="Futura Lt BT" w:hAnsi="Futura Lt BT"/>
          <w:szCs w:val="24"/>
          <w:lang w:val="en-GB"/>
        </w:rPr>
        <w:t xml:space="preserve"> husbands, male relatives, guardians, representatives of health and social care systems and religious or other cultural institutions.</w:t>
      </w:r>
      <w:r w:rsidR="00CF31C2" w:rsidRPr="00EB391B">
        <w:rPr>
          <w:rStyle w:val="FootnoteReference"/>
          <w:rFonts w:ascii="Futura Lt BT" w:hAnsi="Futura Lt BT"/>
          <w:szCs w:val="24"/>
          <w:lang w:val="en-GB"/>
        </w:rPr>
        <w:footnoteReference w:id="1"/>
      </w:r>
      <w:r w:rsidR="00722CAE" w:rsidRPr="00EB391B">
        <w:rPr>
          <w:rFonts w:ascii="Futura Lt BT" w:hAnsi="Futura Lt BT"/>
          <w:szCs w:val="24"/>
          <w:lang w:val="en-GB"/>
        </w:rPr>
        <w:t xml:space="preserve"> These</w:t>
      </w:r>
      <w:r w:rsidR="00FB2CAA" w:rsidRPr="00EB391B">
        <w:rPr>
          <w:rFonts w:ascii="Futura Lt BT" w:hAnsi="Futura Lt BT"/>
          <w:szCs w:val="24"/>
          <w:lang w:val="en-GB"/>
        </w:rPr>
        <w:t xml:space="preserve"> legal </w:t>
      </w:r>
      <w:r w:rsidR="00722CAE" w:rsidRPr="00EB391B">
        <w:rPr>
          <w:rFonts w:ascii="Futura Lt BT" w:hAnsi="Futura Lt BT"/>
          <w:szCs w:val="24"/>
          <w:lang w:val="en-GB"/>
        </w:rPr>
        <w:t xml:space="preserve">measures are </w:t>
      </w:r>
      <w:r w:rsidR="00FB2CAA" w:rsidRPr="00EB391B">
        <w:rPr>
          <w:rFonts w:ascii="Futura Lt BT" w:hAnsi="Futura Lt BT"/>
          <w:szCs w:val="24"/>
          <w:lang w:val="en-GB"/>
        </w:rPr>
        <w:t>reinforced by social norms and informal practices which deny, restrict and curtail the exercise of the autonomy</w:t>
      </w:r>
      <w:r w:rsidR="00722CAE" w:rsidRPr="00EB391B">
        <w:rPr>
          <w:rFonts w:ascii="Futura Lt BT" w:hAnsi="Futura Lt BT"/>
          <w:szCs w:val="24"/>
          <w:lang w:val="en-GB"/>
        </w:rPr>
        <w:t xml:space="preserve"> of women with disability.</w:t>
      </w:r>
      <w:r w:rsidR="00722CAE" w:rsidRPr="00EB391B">
        <w:rPr>
          <w:rStyle w:val="FootnoteReference"/>
          <w:rFonts w:ascii="Futura Lt BT" w:hAnsi="Futura Lt BT"/>
          <w:szCs w:val="24"/>
          <w:lang w:val="en-GB"/>
        </w:rPr>
        <w:footnoteReference w:id="2"/>
      </w:r>
    </w:p>
    <w:p w:rsidR="00CF31C2" w:rsidRPr="00EB391B" w:rsidRDefault="00CF31C2" w:rsidP="00EB391B">
      <w:pPr>
        <w:pStyle w:val="ListParagraph"/>
        <w:ind w:left="0"/>
        <w:rPr>
          <w:rFonts w:ascii="Futura Lt BT" w:hAnsi="Futura Lt BT"/>
          <w:szCs w:val="24"/>
          <w:lang w:val="en-GB"/>
        </w:rPr>
      </w:pPr>
    </w:p>
    <w:p w:rsidR="0065374B" w:rsidRPr="00EB391B" w:rsidRDefault="00722CAE"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Restriction or denial of legal capacity has far-reaching consequences for women with disabilities. This was recognised in the adoption of the Convention on the Rights of Persons with Disabilities (Perambulatory paragraph q, Articles 6 and 12)</w:t>
      </w:r>
      <w:r w:rsidR="00BD0668" w:rsidRPr="00EB391B">
        <w:rPr>
          <w:rFonts w:ascii="Futura Lt BT" w:hAnsi="Futura Lt BT"/>
          <w:szCs w:val="24"/>
          <w:lang w:val="en-GB"/>
        </w:rPr>
        <w:t>, CRPD General Comment 3 (“Women and girls with disabilities),</w:t>
      </w:r>
      <w:r w:rsidRPr="00EB391B">
        <w:rPr>
          <w:rFonts w:ascii="Futura Lt BT" w:hAnsi="Futura Lt BT"/>
          <w:szCs w:val="24"/>
          <w:lang w:val="en-GB"/>
        </w:rPr>
        <w:t xml:space="preserve"> CEDAW Article 15 and CEDAW General Recommendations including GR29 (“Article 16: Economic consequences of marriage, family relations and their dissolution”) and GR33 (“Women’s access to justice”).</w:t>
      </w:r>
    </w:p>
    <w:p w:rsidR="0065374B" w:rsidRPr="00EB391B" w:rsidRDefault="0065374B" w:rsidP="00EB391B">
      <w:pPr>
        <w:pStyle w:val="ListParagraph"/>
        <w:ind w:left="0"/>
        <w:rPr>
          <w:rFonts w:ascii="Futura Lt BT" w:hAnsi="Futura Lt BT"/>
          <w:szCs w:val="24"/>
          <w:lang w:val="en-GB"/>
        </w:rPr>
      </w:pPr>
    </w:p>
    <w:p w:rsidR="0065374B" w:rsidRPr="00EB391B" w:rsidRDefault="00486235"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Deprivation of legal capacity has, in practice, a wide variety of implications which can constitute gender</w:t>
      </w:r>
      <w:r w:rsidR="00BD0668" w:rsidRPr="00EB391B">
        <w:rPr>
          <w:rFonts w:ascii="Futura Lt BT" w:hAnsi="Futura Lt BT"/>
          <w:szCs w:val="24"/>
          <w:lang w:val="en-GB"/>
        </w:rPr>
        <w:t xml:space="preserve"> and disability</w:t>
      </w:r>
      <w:r w:rsidRPr="00EB391B">
        <w:rPr>
          <w:rFonts w:ascii="Futura Lt BT" w:hAnsi="Futura Lt BT"/>
          <w:szCs w:val="24"/>
          <w:lang w:val="en-GB"/>
        </w:rPr>
        <w:t xml:space="preserve"> based violence. For example, it </w:t>
      </w:r>
      <w:r w:rsidR="00BD0668" w:rsidRPr="00EB391B">
        <w:rPr>
          <w:rFonts w:ascii="Futura Lt BT" w:hAnsi="Futura Lt BT"/>
          <w:szCs w:val="24"/>
          <w:lang w:val="en-GB"/>
        </w:rPr>
        <w:t>restricts</w:t>
      </w:r>
      <w:r w:rsidR="00687457" w:rsidRPr="00EB391B">
        <w:rPr>
          <w:rFonts w:ascii="Futura Lt BT" w:hAnsi="Futura Lt BT"/>
          <w:szCs w:val="24"/>
          <w:lang w:val="en-GB"/>
        </w:rPr>
        <w:t xml:space="preserve"> women</w:t>
      </w:r>
      <w:r w:rsidR="00687457" w:rsidRPr="00EB391B">
        <w:rPr>
          <w:rFonts w:ascii="Futura Lt BT" w:hAnsi="Futura Lt BT"/>
          <w:szCs w:val="24"/>
          <w:lang w:val="en-US"/>
        </w:rPr>
        <w:t xml:space="preserve">’s access to </w:t>
      </w:r>
      <w:r w:rsidR="00BD0668" w:rsidRPr="00EB391B">
        <w:rPr>
          <w:rFonts w:ascii="Futura Lt BT" w:hAnsi="Futura Lt BT"/>
          <w:szCs w:val="24"/>
          <w:lang w:val="en-US"/>
        </w:rPr>
        <w:t>financial means;</w:t>
      </w:r>
      <w:r w:rsidR="00687457" w:rsidRPr="00EB391B">
        <w:rPr>
          <w:rFonts w:ascii="Futura Lt BT" w:hAnsi="Futura Lt BT"/>
          <w:szCs w:val="24"/>
          <w:lang w:val="en-US"/>
        </w:rPr>
        <w:t xml:space="preserve"> </w:t>
      </w:r>
      <w:r w:rsidR="00BD0668" w:rsidRPr="00EB391B">
        <w:rPr>
          <w:rFonts w:ascii="Futura Lt BT" w:hAnsi="Futura Lt BT"/>
          <w:szCs w:val="24"/>
          <w:lang w:val="en-US"/>
        </w:rPr>
        <w:t>reinforce cycles of poverty;</w:t>
      </w:r>
      <w:r w:rsidR="00687457" w:rsidRPr="00EB391B">
        <w:rPr>
          <w:rFonts w:ascii="Futura Lt BT" w:hAnsi="Futura Lt BT"/>
          <w:szCs w:val="24"/>
          <w:lang w:val="en-US"/>
        </w:rPr>
        <w:t xml:space="preserve"> </w:t>
      </w:r>
      <w:r w:rsidR="00BD0668" w:rsidRPr="00EB391B">
        <w:rPr>
          <w:rFonts w:ascii="Futura Lt BT" w:hAnsi="Futura Lt BT"/>
          <w:szCs w:val="24"/>
          <w:lang w:val="en-US"/>
        </w:rPr>
        <w:t>render them vulnerable</w:t>
      </w:r>
      <w:r w:rsidR="00687457" w:rsidRPr="00EB391B">
        <w:rPr>
          <w:rFonts w:ascii="Futura Lt BT" w:hAnsi="Futura Lt BT"/>
          <w:szCs w:val="24"/>
          <w:lang w:val="en-US"/>
        </w:rPr>
        <w:t xml:space="preserve"> to sexual</w:t>
      </w:r>
      <w:r w:rsidR="00BD0668" w:rsidRPr="00EB391B">
        <w:rPr>
          <w:rFonts w:ascii="Futura Lt BT" w:hAnsi="Futura Lt BT"/>
          <w:szCs w:val="24"/>
          <w:lang w:val="en-US"/>
        </w:rPr>
        <w:t xml:space="preserve"> and reproductive violence</w:t>
      </w:r>
      <w:r w:rsidR="00687457" w:rsidRPr="00EB391B">
        <w:rPr>
          <w:rFonts w:ascii="Futura Lt BT" w:hAnsi="Futura Lt BT"/>
          <w:szCs w:val="24"/>
          <w:lang w:val="en-US"/>
        </w:rPr>
        <w:t xml:space="preserve">; enables deprivation of liberty </w:t>
      </w:r>
      <w:r w:rsidR="00BD0668" w:rsidRPr="00EB391B">
        <w:rPr>
          <w:rFonts w:ascii="Futura Lt BT" w:hAnsi="Futura Lt BT"/>
          <w:szCs w:val="24"/>
          <w:lang w:val="en-US"/>
        </w:rPr>
        <w:t xml:space="preserve">through </w:t>
      </w:r>
      <w:proofErr w:type="spellStart"/>
      <w:r w:rsidR="00BD0668" w:rsidRPr="00EB391B">
        <w:rPr>
          <w:rFonts w:ascii="Futura Lt BT" w:hAnsi="Futura Lt BT"/>
          <w:szCs w:val="24"/>
          <w:lang w:val="en-US"/>
        </w:rPr>
        <w:t>institutionalisation</w:t>
      </w:r>
      <w:proofErr w:type="spellEnd"/>
      <w:r w:rsidR="00DB1A9C" w:rsidRPr="00EB391B">
        <w:rPr>
          <w:rFonts w:ascii="Futura Lt BT" w:hAnsi="Futura Lt BT"/>
          <w:szCs w:val="24"/>
          <w:lang w:val="en-US"/>
        </w:rPr>
        <w:t xml:space="preserve">; </w:t>
      </w:r>
      <w:r w:rsidR="00BD0668" w:rsidRPr="00EB391B">
        <w:rPr>
          <w:rFonts w:ascii="Futura Lt BT" w:hAnsi="Futura Lt BT"/>
          <w:szCs w:val="24"/>
          <w:lang w:val="en-US"/>
        </w:rPr>
        <w:t xml:space="preserve">facilitates forced medical/health </w:t>
      </w:r>
      <w:r w:rsidR="00DB1A9C" w:rsidRPr="00EB391B">
        <w:rPr>
          <w:rFonts w:ascii="Futura Lt BT" w:hAnsi="Futura Lt BT"/>
          <w:szCs w:val="24"/>
          <w:lang w:val="en-US"/>
        </w:rPr>
        <w:t>interventions</w:t>
      </w:r>
      <w:r w:rsidR="00537BFB" w:rsidRPr="00EB391B">
        <w:rPr>
          <w:rFonts w:ascii="Futura Lt BT" w:hAnsi="Futura Lt BT"/>
          <w:szCs w:val="24"/>
          <w:lang w:val="en-US"/>
        </w:rPr>
        <w:t xml:space="preserve">; </w:t>
      </w:r>
      <w:r w:rsidR="00BD0668" w:rsidRPr="00EB391B">
        <w:rPr>
          <w:rFonts w:ascii="Futura Lt BT" w:hAnsi="Futura Lt BT"/>
          <w:szCs w:val="24"/>
          <w:lang w:val="en-US"/>
        </w:rPr>
        <w:t>and denies effective access to</w:t>
      </w:r>
      <w:r w:rsidR="00537BFB" w:rsidRPr="00EB391B">
        <w:rPr>
          <w:rFonts w:ascii="Futura Lt BT" w:hAnsi="Futura Lt BT"/>
          <w:szCs w:val="24"/>
          <w:lang w:val="en-US"/>
        </w:rPr>
        <w:t xml:space="preserve"> justice</w:t>
      </w:r>
      <w:r w:rsidR="005F4E1D" w:rsidRPr="00EB391B">
        <w:rPr>
          <w:rFonts w:ascii="Futura Lt BT" w:hAnsi="Futura Lt BT"/>
          <w:szCs w:val="24"/>
          <w:lang w:val="en-US"/>
        </w:rPr>
        <w:t>.</w:t>
      </w:r>
    </w:p>
    <w:p w:rsidR="0065374B" w:rsidRPr="00EB391B" w:rsidRDefault="00BD0668" w:rsidP="00EB391B">
      <w:pPr>
        <w:pStyle w:val="ListParagraph"/>
        <w:tabs>
          <w:tab w:val="left" w:pos="6540"/>
        </w:tabs>
        <w:ind w:left="0"/>
        <w:rPr>
          <w:rFonts w:ascii="Futura Lt BT" w:hAnsi="Futura Lt BT"/>
          <w:szCs w:val="24"/>
          <w:lang w:val="en-GB"/>
        </w:rPr>
      </w:pPr>
      <w:r w:rsidRPr="00EB391B">
        <w:rPr>
          <w:rFonts w:ascii="Futura Lt BT" w:hAnsi="Futura Lt BT"/>
          <w:szCs w:val="24"/>
          <w:lang w:val="en-GB"/>
        </w:rPr>
        <w:tab/>
      </w:r>
    </w:p>
    <w:p w:rsidR="00EB391B" w:rsidRDefault="00BD0668"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MDAC submits that the restriction of legal capacity as a protective measure in fact facilitates abuse and violence against women with disabilities. Instead, both the CRPD and CEDAW require that S</w:t>
      </w:r>
      <w:r w:rsidR="006D5F83" w:rsidRPr="00EB391B">
        <w:rPr>
          <w:rFonts w:ascii="Futura Lt BT" w:hAnsi="Futura Lt BT"/>
          <w:szCs w:val="24"/>
          <w:lang w:val="en-GB"/>
        </w:rPr>
        <w:t xml:space="preserve">tates </w:t>
      </w:r>
      <w:r w:rsidR="005F4E1D" w:rsidRPr="00EB391B">
        <w:rPr>
          <w:rFonts w:ascii="Futura Lt BT" w:hAnsi="Futura Lt BT"/>
          <w:szCs w:val="24"/>
          <w:lang w:val="en-GB"/>
        </w:rPr>
        <w:t xml:space="preserve">take appropriate measures to provide access by </w:t>
      </w:r>
      <w:r w:rsidRPr="00EB391B">
        <w:rPr>
          <w:rFonts w:ascii="Futura Lt BT" w:hAnsi="Futura Lt BT"/>
          <w:szCs w:val="24"/>
          <w:lang w:val="en-GB"/>
        </w:rPr>
        <w:t xml:space="preserve">women </w:t>
      </w:r>
      <w:r w:rsidR="005F4E1D" w:rsidRPr="00EB391B">
        <w:rPr>
          <w:rFonts w:ascii="Futura Lt BT" w:hAnsi="Futura Lt BT"/>
          <w:szCs w:val="24"/>
          <w:lang w:val="en-GB"/>
        </w:rPr>
        <w:t xml:space="preserve">with disabilities to the support they may require in </w:t>
      </w:r>
      <w:r w:rsidR="006D5F83" w:rsidRPr="00EB391B">
        <w:rPr>
          <w:rFonts w:ascii="Futura Lt BT" w:hAnsi="Futura Lt BT"/>
          <w:szCs w:val="24"/>
          <w:lang w:val="en-GB"/>
        </w:rPr>
        <w:t>exercising their lega</w:t>
      </w:r>
      <w:r w:rsidRPr="00EB391B">
        <w:rPr>
          <w:rFonts w:ascii="Futura Lt BT" w:hAnsi="Futura Lt BT"/>
          <w:szCs w:val="24"/>
          <w:lang w:val="en-GB"/>
        </w:rPr>
        <w:t xml:space="preserve">l capacity </w:t>
      </w:r>
      <w:r w:rsidR="006D5F83" w:rsidRPr="00EB391B">
        <w:rPr>
          <w:rFonts w:ascii="Futura Lt BT" w:hAnsi="Futura Lt BT"/>
          <w:szCs w:val="24"/>
          <w:lang w:val="en-GB"/>
        </w:rPr>
        <w:t xml:space="preserve">and </w:t>
      </w:r>
      <w:r w:rsidR="005F4E1D" w:rsidRPr="00EB391B">
        <w:rPr>
          <w:rFonts w:ascii="Futura Lt BT" w:hAnsi="Futura Lt BT"/>
          <w:szCs w:val="24"/>
          <w:lang w:val="en-GB"/>
        </w:rPr>
        <w:t xml:space="preserve">ensure that all measures that relate to the exercise of legal capacity provide for appropriate and effective safeguards to prevent </w:t>
      </w:r>
      <w:r w:rsidRPr="00EB391B">
        <w:rPr>
          <w:rFonts w:ascii="Futura Lt BT" w:hAnsi="Futura Lt BT"/>
          <w:szCs w:val="24"/>
          <w:lang w:val="en-GB"/>
        </w:rPr>
        <w:t>exploitation, violence and abuse</w:t>
      </w:r>
      <w:r w:rsidR="006D5F83" w:rsidRPr="00EB391B">
        <w:rPr>
          <w:rFonts w:ascii="Futura Lt BT" w:hAnsi="Futura Lt BT"/>
          <w:szCs w:val="24"/>
          <w:lang w:val="en-GB"/>
        </w:rPr>
        <w:t>.</w:t>
      </w:r>
    </w:p>
    <w:p w:rsidR="00EB391B" w:rsidRDefault="00EB391B" w:rsidP="00EB391B">
      <w:pPr>
        <w:pStyle w:val="ListParagraph"/>
        <w:ind w:left="0"/>
        <w:rPr>
          <w:rFonts w:ascii="Futura Lt BT" w:hAnsi="Futura Lt BT"/>
          <w:b/>
          <w:szCs w:val="24"/>
          <w:lang w:val="en-GB"/>
        </w:rPr>
      </w:pPr>
    </w:p>
    <w:p w:rsidR="006F1C46" w:rsidRPr="00EB391B" w:rsidRDefault="00AB0BDC" w:rsidP="00EB391B">
      <w:pPr>
        <w:pStyle w:val="ListParagraph"/>
        <w:ind w:left="-360"/>
        <w:rPr>
          <w:rFonts w:ascii="Futura Lt BT" w:hAnsi="Futura Lt BT"/>
          <w:szCs w:val="24"/>
          <w:lang w:val="en-GB"/>
        </w:rPr>
      </w:pPr>
      <w:r w:rsidRPr="00EB391B">
        <w:rPr>
          <w:rFonts w:ascii="Futura Lt BT" w:hAnsi="Futura Lt BT"/>
          <w:b/>
          <w:szCs w:val="24"/>
          <w:lang w:val="en-GB"/>
        </w:rPr>
        <w:t>MDAC submits that the following should be included in the</w:t>
      </w:r>
      <w:r w:rsidR="006F1C46" w:rsidRPr="00EB391B">
        <w:rPr>
          <w:rFonts w:ascii="Futura Lt BT" w:hAnsi="Futura Lt BT"/>
          <w:b/>
          <w:szCs w:val="24"/>
          <w:lang w:val="en-GB"/>
        </w:rPr>
        <w:t xml:space="preserve"> General </w:t>
      </w:r>
      <w:r w:rsidR="00A5477D" w:rsidRPr="00EB391B">
        <w:rPr>
          <w:rFonts w:ascii="Futura Lt BT" w:hAnsi="Futura Lt BT"/>
          <w:b/>
          <w:szCs w:val="24"/>
          <w:lang w:val="en-GB"/>
        </w:rPr>
        <w:t>Recommendation</w:t>
      </w:r>
      <w:r w:rsidR="006F1C46" w:rsidRPr="00EB391B">
        <w:rPr>
          <w:rFonts w:ascii="Futura Lt BT" w:hAnsi="Futura Lt BT"/>
          <w:b/>
          <w:szCs w:val="24"/>
          <w:lang w:val="en-GB"/>
        </w:rPr>
        <w:t>:</w:t>
      </w:r>
    </w:p>
    <w:p w:rsidR="00A5477D" w:rsidRPr="00EB391B" w:rsidRDefault="00A5477D" w:rsidP="00EB391B">
      <w:pPr>
        <w:pStyle w:val="ListParagraph"/>
        <w:numPr>
          <w:ilvl w:val="0"/>
          <w:numId w:val="12"/>
        </w:numPr>
        <w:ind w:left="0"/>
        <w:rPr>
          <w:rFonts w:ascii="Futura Lt BT" w:hAnsi="Futura Lt BT"/>
          <w:szCs w:val="24"/>
          <w:lang w:val="en-GB"/>
        </w:rPr>
      </w:pPr>
      <w:r w:rsidRPr="00EB391B">
        <w:rPr>
          <w:rFonts w:ascii="Futura Lt BT" w:hAnsi="Futura Lt BT"/>
          <w:szCs w:val="24"/>
          <w:lang w:val="en-GB"/>
        </w:rPr>
        <w:t>States must abolish all legal systems which restrict or deny the legal capacity of women with disabilities on the basis of gender, disability, or other status.</w:t>
      </w:r>
    </w:p>
    <w:p w:rsidR="00FB1CC7" w:rsidRPr="00EB391B" w:rsidRDefault="00FB1CC7" w:rsidP="00EB391B">
      <w:pPr>
        <w:pStyle w:val="ListParagraph"/>
        <w:numPr>
          <w:ilvl w:val="0"/>
          <w:numId w:val="12"/>
        </w:numPr>
        <w:ind w:left="0"/>
        <w:rPr>
          <w:rFonts w:ascii="Futura Lt BT" w:hAnsi="Futura Lt BT"/>
          <w:szCs w:val="24"/>
          <w:lang w:val="en-GB"/>
        </w:rPr>
      </w:pPr>
      <w:r w:rsidRPr="00EB391B">
        <w:rPr>
          <w:rFonts w:ascii="Futura Lt BT" w:hAnsi="Futura Lt BT"/>
          <w:szCs w:val="24"/>
          <w:lang w:val="en-GB"/>
        </w:rPr>
        <w:t>States must also take measures to modify and eliminate social and cultural practices which have the purpose or effect of restricting or denying the legal capacity of women with disabilities.</w:t>
      </w:r>
    </w:p>
    <w:p w:rsidR="00A5477D" w:rsidRPr="00EB391B" w:rsidRDefault="00A5477D" w:rsidP="00EB391B">
      <w:pPr>
        <w:pStyle w:val="ListParagraph"/>
        <w:numPr>
          <w:ilvl w:val="0"/>
          <w:numId w:val="12"/>
        </w:numPr>
        <w:ind w:left="0"/>
        <w:rPr>
          <w:rFonts w:ascii="Futura Lt BT" w:hAnsi="Futura Lt BT"/>
          <w:szCs w:val="24"/>
          <w:lang w:val="en-GB"/>
        </w:rPr>
      </w:pPr>
      <w:r w:rsidRPr="00EB391B">
        <w:rPr>
          <w:rFonts w:ascii="Futura Lt BT" w:hAnsi="Futura Lt BT"/>
          <w:szCs w:val="24"/>
          <w:lang w:val="en-GB"/>
        </w:rPr>
        <w:t>Systems of substitute decision-making must be replace</w:t>
      </w:r>
      <w:r w:rsidR="00FB1CC7" w:rsidRPr="00EB391B">
        <w:rPr>
          <w:rFonts w:ascii="Futura Lt BT" w:hAnsi="Futura Lt BT"/>
          <w:szCs w:val="24"/>
          <w:lang w:val="en-GB"/>
        </w:rPr>
        <w:t>d</w:t>
      </w:r>
      <w:r w:rsidRPr="00EB391B">
        <w:rPr>
          <w:rFonts w:ascii="Futura Lt BT" w:hAnsi="Futura Lt BT"/>
          <w:szCs w:val="24"/>
          <w:lang w:val="en-GB"/>
        </w:rPr>
        <w:t xml:space="preserve"> by providing</w:t>
      </w:r>
      <w:r w:rsidR="00CE6F4B" w:rsidRPr="00EB391B">
        <w:rPr>
          <w:rFonts w:ascii="Futura Lt BT" w:hAnsi="Futura Lt BT"/>
          <w:szCs w:val="24"/>
          <w:lang w:val="en-GB"/>
        </w:rPr>
        <w:t xml:space="preserve"> </w:t>
      </w:r>
      <w:r w:rsidRPr="00EB391B">
        <w:rPr>
          <w:rFonts w:ascii="Futura Lt BT" w:hAnsi="Futura Lt BT"/>
          <w:szCs w:val="24"/>
          <w:lang w:val="en-GB"/>
        </w:rPr>
        <w:t xml:space="preserve">women with disabilities </w:t>
      </w:r>
      <w:r w:rsidR="00CE6F4B" w:rsidRPr="00EB391B">
        <w:rPr>
          <w:rFonts w:ascii="Futura Lt BT" w:hAnsi="Futura Lt BT"/>
          <w:szCs w:val="24"/>
          <w:lang w:val="en-GB"/>
        </w:rPr>
        <w:t>access to the support they may require in exercising their legal capacity</w:t>
      </w:r>
      <w:r w:rsidRPr="00EB391B">
        <w:rPr>
          <w:rFonts w:ascii="Futura Lt BT" w:hAnsi="Futura Lt BT"/>
          <w:szCs w:val="24"/>
          <w:lang w:val="en-GB"/>
        </w:rPr>
        <w:t>.</w:t>
      </w:r>
    </w:p>
    <w:p w:rsidR="007B5CBF" w:rsidRPr="00EB391B" w:rsidRDefault="00A5477D" w:rsidP="00EB391B">
      <w:pPr>
        <w:pStyle w:val="ListParagraph"/>
        <w:numPr>
          <w:ilvl w:val="0"/>
          <w:numId w:val="12"/>
        </w:numPr>
        <w:ind w:left="0"/>
        <w:rPr>
          <w:rFonts w:ascii="Futura Lt BT" w:hAnsi="Futura Lt BT"/>
          <w:szCs w:val="24"/>
          <w:lang w:val="en-GB"/>
        </w:rPr>
      </w:pPr>
      <w:r w:rsidRPr="00EB391B">
        <w:rPr>
          <w:rFonts w:ascii="Futura Lt BT" w:hAnsi="Futura Lt BT"/>
          <w:szCs w:val="24"/>
          <w:lang w:val="en-GB"/>
        </w:rPr>
        <w:t xml:space="preserve">States </w:t>
      </w:r>
      <w:r w:rsidR="00CE6F4B" w:rsidRPr="00EB391B">
        <w:rPr>
          <w:rFonts w:ascii="Futura Lt BT" w:hAnsi="Futura Lt BT"/>
          <w:szCs w:val="24"/>
          <w:lang w:val="en-GB"/>
        </w:rPr>
        <w:t xml:space="preserve">shall ensure that all </w:t>
      </w:r>
      <w:r w:rsidR="00FB1CC7" w:rsidRPr="00EB391B">
        <w:rPr>
          <w:rFonts w:ascii="Futura Lt BT" w:hAnsi="Futura Lt BT"/>
          <w:szCs w:val="24"/>
          <w:lang w:val="en-GB"/>
        </w:rPr>
        <w:t>measures of support provided to women with disabilities ensure</w:t>
      </w:r>
      <w:r w:rsidR="00CE6F4B" w:rsidRPr="00EB391B">
        <w:rPr>
          <w:rFonts w:ascii="Futura Lt BT" w:hAnsi="Futura Lt BT"/>
          <w:szCs w:val="24"/>
          <w:lang w:val="en-GB"/>
        </w:rPr>
        <w:t xml:space="preserve"> appropriate and effective safeguards </w:t>
      </w:r>
      <w:r w:rsidR="00FB1CC7" w:rsidRPr="00EB391B">
        <w:rPr>
          <w:rFonts w:ascii="Futura Lt BT" w:hAnsi="Futura Lt BT"/>
          <w:szCs w:val="24"/>
          <w:lang w:val="en-GB"/>
        </w:rPr>
        <w:t>with the purpose of identifying and preventing exploitation, violence and</w:t>
      </w:r>
      <w:r w:rsidR="00CE6F4B" w:rsidRPr="00EB391B">
        <w:rPr>
          <w:rFonts w:ascii="Futura Lt BT" w:hAnsi="Futura Lt BT"/>
          <w:szCs w:val="24"/>
          <w:lang w:val="en-GB"/>
        </w:rPr>
        <w:t xml:space="preserve"> abuse.</w:t>
      </w:r>
    </w:p>
    <w:p w:rsidR="006F1C46" w:rsidRPr="00EB391B" w:rsidRDefault="0065374B" w:rsidP="00EB391B">
      <w:pPr>
        <w:ind w:left="-360"/>
        <w:rPr>
          <w:rFonts w:ascii="Futura Lt BT" w:hAnsi="Futura Lt BT"/>
          <w:b/>
          <w:szCs w:val="24"/>
          <w:lang w:val="en-GB"/>
        </w:rPr>
      </w:pPr>
      <w:r w:rsidRPr="00EB391B">
        <w:rPr>
          <w:rFonts w:ascii="Futura Lt BT" w:hAnsi="Futura Lt BT"/>
          <w:b/>
          <w:szCs w:val="24"/>
          <w:lang w:val="en-GB"/>
        </w:rPr>
        <w:t xml:space="preserve">III. FORCED </w:t>
      </w:r>
      <w:r w:rsidR="005C145C" w:rsidRPr="00EB391B">
        <w:rPr>
          <w:rFonts w:ascii="Futura Lt BT" w:hAnsi="Futura Lt BT"/>
          <w:b/>
          <w:szCs w:val="24"/>
          <w:lang w:val="en-GB"/>
        </w:rPr>
        <w:t>AND NON-CONSENSUAL MEDICAL/HEALTH I</w:t>
      </w:r>
      <w:r w:rsidRPr="00EB391B">
        <w:rPr>
          <w:rFonts w:ascii="Futura Lt BT" w:hAnsi="Futura Lt BT"/>
          <w:b/>
          <w:szCs w:val="24"/>
          <w:lang w:val="en-GB"/>
        </w:rPr>
        <w:t>NTERVENTIONS</w:t>
      </w:r>
    </w:p>
    <w:p w:rsidR="00BD7C74" w:rsidRPr="00EB391B" w:rsidRDefault="00256829"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Women with disabilities are often subjected to forced </w:t>
      </w:r>
      <w:r w:rsidR="00BD7C74" w:rsidRPr="00EB391B">
        <w:rPr>
          <w:rFonts w:ascii="Futura Lt BT" w:hAnsi="Futura Lt BT"/>
          <w:szCs w:val="24"/>
          <w:lang w:val="en-GB"/>
        </w:rPr>
        <w:t xml:space="preserve">and non-consensual </w:t>
      </w:r>
      <w:r w:rsidR="005C145C" w:rsidRPr="00EB391B">
        <w:rPr>
          <w:rFonts w:ascii="Futura Lt BT" w:hAnsi="Futura Lt BT"/>
          <w:szCs w:val="24"/>
          <w:lang w:val="en-GB"/>
        </w:rPr>
        <w:t>health/</w:t>
      </w:r>
      <w:r w:rsidRPr="00EB391B">
        <w:rPr>
          <w:rFonts w:ascii="Futura Lt BT" w:hAnsi="Futura Lt BT"/>
          <w:szCs w:val="24"/>
          <w:lang w:val="en-GB"/>
        </w:rPr>
        <w:t>medical interventions</w:t>
      </w:r>
      <w:r w:rsidR="005C145C" w:rsidRPr="00EB391B">
        <w:rPr>
          <w:rFonts w:ascii="Futura Lt BT" w:hAnsi="Futura Lt BT"/>
          <w:szCs w:val="24"/>
          <w:lang w:val="en-GB"/>
        </w:rPr>
        <w:t xml:space="preserve"> on the basis of their disability and gender which fundamentally violate their right to integrity of the person</w:t>
      </w:r>
      <w:r w:rsidR="00BD7C74" w:rsidRPr="00EB391B">
        <w:rPr>
          <w:rFonts w:ascii="Futura Lt BT" w:hAnsi="Futura Lt BT"/>
          <w:szCs w:val="24"/>
          <w:lang w:val="en-GB"/>
        </w:rPr>
        <w:t>.</w:t>
      </w:r>
      <w:r w:rsidR="00BD7C74" w:rsidRPr="00EB391B">
        <w:rPr>
          <w:rFonts w:ascii="Futura Lt BT" w:hAnsi="Futura Lt BT"/>
          <w:szCs w:val="24"/>
          <w:lang w:val="en-GB"/>
        </w:rPr>
        <w:br/>
      </w:r>
    </w:p>
    <w:p w:rsidR="005C145C" w:rsidRPr="00EB391B" w:rsidRDefault="005C145C"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Examples of </w:t>
      </w:r>
      <w:r w:rsidR="00BD7C74" w:rsidRPr="00EB391B">
        <w:rPr>
          <w:rFonts w:ascii="Futura Lt BT" w:hAnsi="Futura Lt BT"/>
          <w:szCs w:val="24"/>
          <w:lang w:val="en-GB"/>
        </w:rPr>
        <w:t xml:space="preserve">such </w:t>
      </w:r>
      <w:r w:rsidRPr="00EB391B">
        <w:rPr>
          <w:rFonts w:ascii="Futura Lt BT" w:hAnsi="Futura Lt BT"/>
          <w:szCs w:val="24"/>
          <w:lang w:val="en-GB"/>
        </w:rPr>
        <w:t xml:space="preserve">interventions </w:t>
      </w:r>
      <w:r w:rsidR="00BD7C74" w:rsidRPr="00EB391B">
        <w:rPr>
          <w:rFonts w:ascii="Futura Lt BT" w:hAnsi="Futura Lt BT"/>
          <w:szCs w:val="24"/>
          <w:lang w:val="en-GB"/>
        </w:rPr>
        <w:t>against</w:t>
      </w:r>
      <w:r w:rsidRPr="00EB391B">
        <w:rPr>
          <w:rFonts w:ascii="Futura Lt BT" w:hAnsi="Futura Lt BT"/>
          <w:szCs w:val="24"/>
          <w:lang w:val="en-GB"/>
        </w:rPr>
        <w:t xml:space="preserve"> women with disabilities include forced </w:t>
      </w:r>
      <w:r w:rsidR="00BD7C74" w:rsidRPr="00EB391B">
        <w:rPr>
          <w:rFonts w:ascii="Futura Lt BT" w:hAnsi="Futura Lt BT"/>
          <w:szCs w:val="24"/>
          <w:lang w:val="en-GB"/>
        </w:rPr>
        <w:t xml:space="preserve">and non-consensual </w:t>
      </w:r>
      <w:r w:rsidRPr="00EB391B">
        <w:rPr>
          <w:rFonts w:ascii="Futura Lt BT" w:hAnsi="Futura Lt BT"/>
          <w:szCs w:val="24"/>
          <w:lang w:val="en-GB"/>
        </w:rPr>
        <w:t>psychiatric treatment, hospitalisation</w:t>
      </w:r>
      <w:r w:rsidR="00BD7C74" w:rsidRPr="00EB391B">
        <w:rPr>
          <w:rFonts w:ascii="Futura Lt BT" w:hAnsi="Futura Lt BT"/>
          <w:szCs w:val="24"/>
          <w:lang w:val="en-GB"/>
        </w:rPr>
        <w:t xml:space="preserve">, </w:t>
      </w:r>
      <w:r w:rsidRPr="00EB391B">
        <w:rPr>
          <w:rFonts w:ascii="Futura Lt BT" w:hAnsi="Futura Lt BT"/>
          <w:szCs w:val="24"/>
          <w:lang w:val="en-GB"/>
        </w:rPr>
        <w:t>sterilisation,</w:t>
      </w:r>
      <w:r w:rsidRPr="00EB391B">
        <w:rPr>
          <w:rStyle w:val="FootnoteReference"/>
          <w:rFonts w:ascii="Futura Lt BT" w:hAnsi="Futura Lt BT"/>
          <w:szCs w:val="24"/>
          <w:lang w:val="en-GB"/>
        </w:rPr>
        <w:footnoteReference w:id="3"/>
      </w:r>
      <w:r w:rsidRPr="00EB391B">
        <w:rPr>
          <w:rFonts w:ascii="Futura Lt BT" w:hAnsi="Futura Lt BT"/>
          <w:szCs w:val="24"/>
          <w:lang w:val="en-GB"/>
        </w:rPr>
        <w:t xml:space="preserve"> </w:t>
      </w:r>
      <w:r w:rsidR="00BD7C74" w:rsidRPr="00EB391B">
        <w:rPr>
          <w:rFonts w:ascii="Futura Lt BT" w:hAnsi="Futura Lt BT"/>
          <w:szCs w:val="24"/>
          <w:lang w:val="en-GB"/>
        </w:rPr>
        <w:t xml:space="preserve">abortion and </w:t>
      </w:r>
      <w:r w:rsidRPr="00EB391B">
        <w:rPr>
          <w:rFonts w:ascii="Futura Lt BT" w:hAnsi="Futura Lt BT"/>
          <w:szCs w:val="24"/>
          <w:lang w:val="en-GB"/>
        </w:rPr>
        <w:t xml:space="preserve">contraception. </w:t>
      </w:r>
      <w:r w:rsidR="00BD7C74" w:rsidRPr="00EB391B">
        <w:rPr>
          <w:rFonts w:ascii="Futura Lt BT" w:hAnsi="Futura Lt BT"/>
          <w:szCs w:val="24"/>
          <w:lang w:val="en-GB"/>
        </w:rPr>
        <w:t>These</w:t>
      </w:r>
      <w:r w:rsidRPr="00EB391B">
        <w:rPr>
          <w:rFonts w:ascii="Futura Lt BT" w:hAnsi="Futura Lt BT"/>
          <w:szCs w:val="24"/>
          <w:lang w:val="en-GB"/>
        </w:rPr>
        <w:t xml:space="preserve"> form</w:t>
      </w:r>
      <w:r w:rsidR="00BD7C74" w:rsidRPr="00EB391B">
        <w:rPr>
          <w:rFonts w:ascii="Futura Lt BT" w:hAnsi="Futura Lt BT"/>
          <w:szCs w:val="24"/>
          <w:lang w:val="en-GB"/>
        </w:rPr>
        <w:t>s</w:t>
      </w:r>
      <w:r w:rsidRPr="00EB391B">
        <w:rPr>
          <w:rFonts w:ascii="Futura Lt BT" w:hAnsi="Futura Lt BT"/>
          <w:szCs w:val="24"/>
          <w:lang w:val="en-GB"/>
        </w:rPr>
        <w:t xml:space="preserve"> of violence particularly </w:t>
      </w:r>
      <w:r w:rsidR="00BD7C74" w:rsidRPr="00EB391B">
        <w:rPr>
          <w:rFonts w:ascii="Futura Lt BT" w:hAnsi="Futura Lt BT"/>
          <w:szCs w:val="24"/>
          <w:lang w:val="en-GB"/>
        </w:rPr>
        <w:t xml:space="preserve">affect </w:t>
      </w:r>
      <w:r w:rsidRPr="00EB391B">
        <w:rPr>
          <w:rFonts w:ascii="Futura Lt BT" w:hAnsi="Futura Lt BT"/>
          <w:szCs w:val="24"/>
          <w:lang w:val="en-GB"/>
        </w:rPr>
        <w:t>women with disabi</w:t>
      </w:r>
      <w:r w:rsidR="00BD7C74" w:rsidRPr="00EB391B">
        <w:rPr>
          <w:rFonts w:ascii="Futura Lt BT" w:hAnsi="Futura Lt BT"/>
          <w:szCs w:val="24"/>
          <w:lang w:val="en-GB"/>
        </w:rPr>
        <w:t>lities in psychiatric hospitals, social care institutions, residential centres (public/private)</w:t>
      </w:r>
      <w:r w:rsidR="00DD7BD1" w:rsidRPr="00EB391B">
        <w:rPr>
          <w:rFonts w:ascii="Futura Lt BT" w:hAnsi="Futura Lt BT"/>
          <w:szCs w:val="24"/>
          <w:lang w:val="en-GB"/>
        </w:rPr>
        <w:t xml:space="preserve"> or who are subject to other forms of institutional care.</w:t>
      </w:r>
      <w:r w:rsidR="00DD7BD1" w:rsidRPr="00EB391B">
        <w:rPr>
          <w:rStyle w:val="FootnoteReference"/>
          <w:rFonts w:ascii="Futura Lt BT" w:hAnsi="Futura Lt BT"/>
          <w:szCs w:val="24"/>
          <w:lang w:val="en-GB"/>
        </w:rPr>
        <w:footnoteReference w:id="4"/>
      </w:r>
      <w:r w:rsidR="005B1168" w:rsidRPr="00EB391B">
        <w:rPr>
          <w:rFonts w:ascii="Futura Lt BT" w:hAnsi="Futura Lt BT"/>
          <w:szCs w:val="24"/>
          <w:lang w:val="en-GB"/>
        </w:rPr>
        <w:t xml:space="preserve"> In some circumstances these interventions can amount to torture, cruel, inhuman or de</w:t>
      </w:r>
      <w:r w:rsidR="00DA3F3E" w:rsidRPr="00EB391B">
        <w:rPr>
          <w:rFonts w:ascii="Futura Lt BT" w:hAnsi="Futura Lt BT"/>
          <w:szCs w:val="24"/>
          <w:lang w:val="en-GB"/>
        </w:rPr>
        <w:t>grading treatment or punishment, some of which disproportionately affect women with intellectual or psychosocial disabilities.</w:t>
      </w:r>
      <w:r w:rsidR="005B1168" w:rsidRPr="00EB391B">
        <w:rPr>
          <w:rStyle w:val="FootnoteReference"/>
          <w:rFonts w:ascii="Futura Lt BT" w:hAnsi="Futura Lt BT"/>
          <w:szCs w:val="24"/>
          <w:lang w:val="en-GB"/>
        </w:rPr>
        <w:footnoteReference w:id="5"/>
      </w:r>
      <w:r w:rsidRPr="00EB391B">
        <w:rPr>
          <w:rFonts w:ascii="Futura Lt BT" w:hAnsi="Futura Lt BT"/>
          <w:szCs w:val="24"/>
          <w:lang w:val="en-GB"/>
        </w:rPr>
        <w:br/>
      </w:r>
    </w:p>
    <w:p w:rsidR="0065374B" w:rsidRPr="00EB391B" w:rsidRDefault="005B1168"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Women with disabilities are frequently subjected to medical/health treatment for which they do not provide</w:t>
      </w:r>
      <w:r w:rsidR="00256829" w:rsidRPr="00EB391B">
        <w:rPr>
          <w:rFonts w:ascii="Futura Lt BT" w:hAnsi="Futura Lt BT"/>
          <w:szCs w:val="24"/>
          <w:lang w:val="en-GB"/>
        </w:rPr>
        <w:t xml:space="preserve"> full and informed consent. </w:t>
      </w:r>
      <w:r w:rsidRPr="00EB391B">
        <w:rPr>
          <w:rFonts w:ascii="Futura Lt BT" w:hAnsi="Futura Lt BT"/>
          <w:szCs w:val="24"/>
          <w:lang w:val="en-GB"/>
        </w:rPr>
        <w:t xml:space="preserve">In some cases this is facilitated by national legal systems which permit </w:t>
      </w:r>
      <w:r w:rsidR="006627F8" w:rsidRPr="00EB391B">
        <w:rPr>
          <w:rFonts w:ascii="Futura Lt BT" w:hAnsi="Futura Lt BT"/>
          <w:szCs w:val="24"/>
          <w:lang w:val="en-GB"/>
        </w:rPr>
        <w:t>legal guardian</w:t>
      </w:r>
      <w:r w:rsidRPr="00EB391B">
        <w:rPr>
          <w:rFonts w:ascii="Futura Lt BT" w:hAnsi="Futura Lt BT"/>
          <w:szCs w:val="24"/>
          <w:lang w:val="en-GB"/>
        </w:rPr>
        <w:t xml:space="preserve">s to make substitute decisions which do not respect the will and preferences of the woman concerned. </w:t>
      </w:r>
      <w:r w:rsidR="00DA3F3E" w:rsidRPr="00EB391B">
        <w:rPr>
          <w:rFonts w:ascii="Futura Lt BT" w:hAnsi="Futura Lt BT"/>
          <w:szCs w:val="24"/>
          <w:lang w:val="en-GB"/>
        </w:rPr>
        <w:t xml:space="preserve">Some of these are </w:t>
      </w:r>
      <w:r w:rsidR="003B7B3C" w:rsidRPr="00EB391B">
        <w:rPr>
          <w:rFonts w:ascii="Futura Lt BT" w:hAnsi="Futura Lt BT"/>
          <w:szCs w:val="24"/>
          <w:lang w:val="en-GB"/>
        </w:rPr>
        <w:t>based upon wrongf</w:t>
      </w:r>
      <w:r w:rsidR="00DA3F3E" w:rsidRPr="00EB391B">
        <w:rPr>
          <w:rFonts w:ascii="Futura Lt BT" w:hAnsi="Futura Lt BT"/>
          <w:szCs w:val="24"/>
          <w:lang w:val="en-GB"/>
        </w:rPr>
        <w:t>ul theories of incapacity, therapeutic necessity and laws based on paternalistic “best interests” principles.</w:t>
      </w:r>
      <w:r w:rsidR="00DA3F3E" w:rsidRPr="00EB391B">
        <w:rPr>
          <w:rStyle w:val="FootnoteReference"/>
          <w:rFonts w:ascii="Futura Lt BT" w:hAnsi="Futura Lt BT"/>
          <w:szCs w:val="24"/>
          <w:lang w:val="en-GB"/>
        </w:rPr>
        <w:footnoteReference w:id="6"/>
      </w:r>
    </w:p>
    <w:p w:rsidR="00AB0BDC" w:rsidRPr="00EB391B" w:rsidRDefault="00AB0BDC" w:rsidP="00EB391B">
      <w:pPr>
        <w:ind w:left="-360"/>
        <w:rPr>
          <w:rFonts w:ascii="Futura Lt BT" w:hAnsi="Futura Lt BT"/>
          <w:b/>
          <w:szCs w:val="24"/>
          <w:lang w:val="en-GB"/>
        </w:rPr>
      </w:pPr>
      <w:r w:rsidRPr="00EB391B">
        <w:rPr>
          <w:rFonts w:ascii="Futura Lt BT" w:hAnsi="Futura Lt BT"/>
          <w:b/>
          <w:szCs w:val="24"/>
          <w:lang w:val="en-GB"/>
        </w:rPr>
        <w:t>MDAC submits that the following should be included in the General Recommendation:</w:t>
      </w:r>
    </w:p>
    <w:p w:rsidR="00AB0BDC" w:rsidRPr="00EB391B" w:rsidRDefault="00AB0BDC" w:rsidP="00EB391B">
      <w:pPr>
        <w:pStyle w:val="ListParagraph"/>
        <w:numPr>
          <w:ilvl w:val="0"/>
          <w:numId w:val="13"/>
        </w:numPr>
        <w:ind w:left="0"/>
        <w:rPr>
          <w:rFonts w:ascii="Futura Lt BT" w:hAnsi="Futura Lt BT"/>
          <w:szCs w:val="24"/>
          <w:lang w:val="en-GB"/>
        </w:rPr>
      </w:pPr>
      <w:r w:rsidRPr="00EB391B">
        <w:rPr>
          <w:rFonts w:ascii="Futura Lt BT" w:hAnsi="Futura Lt BT"/>
          <w:szCs w:val="24"/>
          <w:lang w:val="en-GB"/>
        </w:rPr>
        <w:t>States must ensure that</w:t>
      </w:r>
      <w:r w:rsidR="00E10862" w:rsidRPr="00EB391B">
        <w:rPr>
          <w:rFonts w:ascii="Futura Lt BT" w:hAnsi="Futura Lt BT"/>
          <w:szCs w:val="24"/>
          <w:lang w:val="en-GB"/>
        </w:rPr>
        <w:t xml:space="preserve"> medical</w:t>
      </w:r>
      <w:r w:rsidRPr="00EB391B">
        <w:rPr>
          <w:rFonts w:ascii="Futura Lt BT" w:hAnsi="Futura Lt BT"/>
          <w:szCs w:val="24"/>
          <w:lang w:val="en-GB"/>
        </w:rPr>
        <w:t xml:space="preserve"> and health</w:t>
      </w:r>
      <w:r w:rsidR="00E10862" w:rsidRPr="00EB391B">
        <w:rPr>
          <w:rFonts w:ascii="Futura Lt BT" w:hAnsi="Futura Lt BT"/>
          <w:szCs w:val="24"/>
          <w:lang w:val="en-GB"/>
        </w:rPr>
        <w:t xml:space="preserve"> intervention</w:t>
      </w:r>
      <w:r w:rsidRPr="00EB391B">
        <w:rPr>
          <w:rFonts w:ascii="Futura Lt BT" w:hAnsi="Futura Lt BT"/>
          <w:szCs w:val="24"/>
          <w:lang w:val="en-GB"/>
        </w:rPr>
        <w:t>s must be provided on the basis of</w:t>
      </w:r>
      <w:r w:rsidR="00E10862" w:rsidRPr="00EB391B">
        <w:rPr>
          <w:rFonts w:ascii="Futura Lt BT" w:hAnsi="Futura Lt BT"/>
          <w:szCs w:val="24"/>
          <w:lang w:val="en-GB"/>
        </w:rPr>
        <w:t xml:space="preserve"> free </w:t>
      </w:r>
      <w:r w:rsidRPr="00EB391B">
        <w:rPr>
          <w:rFonts w:ascii="Futura Lt BT" w:hAnsi="Futura Lt BT"/>
          <w:szCs w:val="24"/>
          <w:lang w:val="en-GB"/>
        </w:rPr>
        <w:t xml:space="preserve">and full </w:t>
      </w:r>
      <w:r w:rsidR="00E10862" w:rsidRPr="00EB391B">
        <w:rPr>
          <w:rFonts w:ascii="Futura Lt BT" w:hAnsi="Futura Lt BT"/>
          <w:szCs w:val="24"/>
          <w:lang w:val="en-GB"/>
        </w:rPr>
        <w:t>informed consent</w:t>
      </w:r>
      <w:r w:rsidRPr="00EB391B">
        <w:rPr>
          <w:rFonts w:ascii="Futura Lt BT" w:hAnsi="Futura Lt BT"/>
          <w:szCs w:val="24"/>
          <w:lang w:val="en-GB"/>
        </w:rPr>
        <w:t xml:space="preserve"> in all situations, including for women with intellectual disabilities and women with psychosocial disabilities, in private and public health, social care and related fields. Practices such as advanced directives and powers of attorney should be encouraged and provided with legal recognition.</w:t>
      </w:r>
    </w:p>
    <w:p w:rsidR="00AB0BDC" w:rsidRPr="00EB391B" w:rsidRDefault="00E10862" w:rsidP="00EB391B">
      <w:pPr>
        <w:pStyle w:val="ListParagraph"/>
        <w:numPr>
          <w:ilvl w:val="0"/>
          <w:numId w:val="13"/>
        </w:numPr>
        <w:ind w:left="0"/>
        <w:rPr>
          <w:rFonts w:ascii="Futura Lt BT" w:hAnsi="Futura Lt BT"/>
          <w:szCs w:val="24"/>
          <w:lang w:val="en-GB"/>
        </w:rPr>
      </w:pPr>
      <w:r w:rsidRPr="00EB391B">
        <w:rPr>
          <w:rFonts w:ascii="Futura Lt BT" w:hAnsi="Futura Lt BT"/>
          <w:szCs w:val="24"/>
          <w:lang w:val="en-GB"/>
        </w:rPr>
        <w:t xml:space="preserve">Forced </w:t>
      </w:r>
      <w:r w:rsidR="00AB0BDC" w:rsidRPr="00EB391B">
        <w:rPr>
          <w:rFonts w:ascii="Futura Lt BT" w:hAnsi="Futura Lt BT"/>
          <w:szCs w:val="24"/>
          <w:lang w:val="en-GB"/>
        </w:rPr>
        <w:t xml:space="preserve">or non-consensual </w:t>
      </w:r>
      <w:r w:rsidRPr="00EB391B">
        <w:rPr>
          <w:rFonts w:ascii="Futura Lt BT" w:hAnsi="Futura Lt BT"/>
          <w:szCs w:val="24"/>
          <w:lang w:val="en-GB"/>
        </w:rPr>
        <w:t xml:space="preserve">treatment </w:t>
      </w:r>
      <w:r w:rsidR="00AB0BDC" w:rsidRPr="00EB391B">
        <w:rPr>
          <w:rFonts w:ascii="Futura Lt BT" w:hAnsi="Futura Lt BT"/>
          <w:szCs w:val="24"/>
          <w:lang w:val="en-GB"/>
        </w:rPr>
        <w:t xml:space="preserve">of women with disabilities </w:t>
      </w:r>
      <w:r w:rsidRPr="00EB391B">
        <w:rPr>
          <w:rFonts w:ascii="Futura Lt BT" w:hAnsi="Futura Lt BT"/>
          <w:szCs w:val="24"/>
          <w:lang w:val="en-GB"/>
        </w:rPr>
        <w:t>constitutes a form of violence</w:t>
      </w:r>
      <w:r w:rsidR="00AB0BDC" w:rsidRPr="00EB391B">
        <w:rPr>
          <w:rFonts w:ascii="Futura Lt BT" w:hAnsi="Futura Lt BT"/>
          <w:szCs w:val="24"/>
          <w:lang w:val="en-GB"/>
        </w:rPr>
        <w:t xml:space="preserve"> on the basis of gender and disability, and can amount to torture or ill-treatment. Such interventions must be strictly prohibited in all cases, including in those which are based on notions such as medical necessity, incapacity and best interests.</w:t>
      </w:r>
    </w:p>
    <w:p w:rsidR="00E10862" w:rsidRPr="00EB391B" w:rsidRDefault="0079742D" w:rsidP="00EB391B">
      <w:pPr>
        <w:pStyle w:val="ListParagraph"/>
        <w:numPr>
          <w:ilvl w:val="0"/>
          <w:numId w:val="13"/>
        </w:numPr>
        <w:ind w:left="0"/>
        <w:rPr>
          <w:rFonts w:ascii="Futura Lt BT" w:hAnsi="Futura Lt BT"/>
          <w:szCs w:val="24"/>
          <w:lang w:val="en-GB"/>
        </w:rPr>
      </w:pPr>
      <w:r w:rsidRPr="00EB391B">
        <w:rPr>
          <w:rFonts w:ascii="Futura Lt BT" w:hAnsi="Futura Lt BT"/>
          <w:szCs w:val="24"/>
          <w:lang w:val="en-GB"/>
        </w:rPr>
        <w:t>States must ensure that w</w:t>
      </w:r>
      <w:r w:rsidR="00AB0BDC" w:rsidRPr="00EB391B">
        <w:rPr>
          <w:rFonts w:ascii="Futura Lt BT" w:hAnsi="Futura Lt BT"/>
          <w:szCs w:val="24"/>
          <w:lang w:val="en-GB"/>
        </w:rPr>
        <w:t>omen with disabilities who are victims of forced or non-consensual medical/health treatment</w:t>
      </w:r>
      <w:r w:rsidRPr="00EB391B">
        <w:rPr>
          <w:rFonts w:ascii="Futura Lt BT" w:hAnsi="Futura Lt BT"/>
          <w:szCs w:val="24"/>
          <w:lang w:val="en-GB"/>
        </w:rPr>
        <w:t xml:space="preserve"> or interventions have an effective</w:t>
      </w:r>
      <w:r w:rsidR="00AB0BDC" w:rsidRPr="00EB391B">
        <w:rPr>
          <w:rFonts w:ascii="Futura Lt BT" w:hAnsi="Futura Lt BT"/>
          <w:szCs w:val="24"/>
          <w:lang w:val="en-GB"/>
        </w:rPr>
        <w:t xml:space="preserve"> right to redr</w:t>
      </w:r>
      <w:r w:rsidRPr="00EB391B">
        <w:rPr>
          <w:rFonts w:ascii="Futura Lt BT" w:hAnsi="Futura Lt BT"/>
          <w:szCs w:val="24"/>
          <w:lang w:val="en-GB"/>
        </w:rPr>
        <w:t>ess, including reparations, recognition, restitution, guarantees of non-repetition and rehabilitation.</w:t>
      </w:r>
    </w:p>
    <w:p w:rsidR="00E10862" w:rsidRPr="00EB391B" w:rsidRDefault="00385FA7" w:rsidP="00EB391B">
      <w:pPr>
        <w:ind w:left="-360"/>
        <w:rPr>
          <w:rFonts w:ascii="Futura Lt BT" w:hAnsi="Futura Lt BT"/>
          <w:b/>
          <w:szCs w:val="24"/>
          <w:lang w:val="en-GB"/>
        </w:rPr>
      </w:pPr>
      <w:r w:rsidRPr="00EB391B">
        <w:rPr>
          <w:rFonts w:ascii="Futura Lt BT" w:hAnsi="Futura Lt BT"/>
          <w:b/>
          <w:szCs w:val="24"/>
          <w:lang w:val="en-GB"/>
        </w:rPr>
        <w:t>IV. INSTITUTIONALISATION</w:t>
      </w:r>
    </w:p>
    <w:p w:rsidR="0012483A" w:rsidRPr="00EB391B" w:rsidRDefault="0012483A"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MDAC has conducted extensive research in central and </w:t>
      </w:r>
      <w:proofErr w:type="gramStart"/>
      <w:r w:rsidRPr="00EB391B">
        <w:rPr>
          <w:rFonts w:ascii="Futura Lt BT" w:hAnsi="Futura Lt BT"/>
          <w:szCs w:val="24"/>
          <w:lang w:val="en-GB"/>
        </w:rPr>
        <w:t>eastern</w:t>
      </w:r>
      <w:proofErr w:type="gramEnd"/>
      <w:r w:rsidRPr="00EB391B">
        <w:rPr>
          <w:rFonts w:ascii="Futura Lt BT" w:hAnsi="Futura Lt BT"/>
          <w:szCs w:val="24"/>
          <w:lang w:val="en-GB"/>
        </w:rPr>
        <w:t xml:space="preserve"> Europe which continues to highlight the problem of mass institutionalisation of people with disabilities on the basis of a perceived or actual impairment. This frequently means involuntary detention in psychiatric facilities, placement in medium or long-term residential social care or ‘rehabilitation’ centres’, and other residential institutional settings.  Article 19 of the CRPD clearly sets out the right of all women with disabilities to live independently and be included in the community on an equal basis with others.</w:t>
      </w:r>
    </w:p>
    <w:p w:rsidR="0012483A" w:rsidRPr="00EB391B" w:rsidRDefault="0012483A" w:rsidP="00EB391B">
      <w:pPr>
        <w:pStyle w:val="ListParagraph"/>
        <w:ind w:left="0"/>
        <w:rPr>
          <w:rFonts w:ascii="Futura Lt BT" w:hAnsi="Futura Lt BT"/>
          <w:szCs w:val="24"/>
          <w:lang w:val="en-GB"/>
        </w:rPr>
      </w:pPr>
    </w:p>
    <w:p w:rsidR="0065374B" w:rsidRPr="00EB391B" w:rsidRDefault="0012483A"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 xml:space="preserve">Institutionalisation renders women with disabilities additionally vulnerable to exploitation, violence and abuse including gender based violence such as rape, sexual violence and physical abuse. Institutionalisation itself may amount to violence on the basis of gender and disability. </w:t>
      </w:r>
    </w:p>
    <w:p w:rsidR="00833E6C" w:rsidRPr="00EB391B" w:rsidRDefault="00833E6C" w:rsidP="00EB391B">
      <w:pPr>
        <w:pStyle w:val="ListParagraph"/>
        <w:ind w:left="0"/>
        <w:rPr>
          <w:rFonts w:ascii="Futura Lt BT" w:hAnsi="Futura Lt BT"/>
          <w:szCs w:val="24"/>
          <w:lang w:val="en-GB"/>
        </w:rPr>
      </w:pPr>
    </w:p>
    <w:p w:rsidR="00833E6C" w:rsidRPr="00EB391B" w:rsidRDefault="0078090C"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Institutionalisation implies social isolation, reduced environmental stimulation and loss of control over almost all aspects of daily life, which can have ex</w:t>
      </w:r>
      <w:r w:rsidR="00B15150" w:rsidRPr="00EB391B">
        <w:rPr>
          <w:rFonts w:ascii="Futura Lt BT" w:hAnsi="Futura Lt BT"/>
          <w:szCs w:val="24"/>
          <w:lang w:val="en-GB"/>
        </w:rPr>
        <w:t xml:space="preserve">tremely detrimental effects on </w:t>
      </w:r>
      <w:r w:rsidRPr="00EB391B">
        <w:rPr>
          <w:rFonts w:ascii="Futura Lt BT" w:hAnsi="Futura Lt BT"/>
          <w:szCs w:val="24"/>
          <w:lang w:val="en-GB"/>
        </w:rPr>
        <w:t>the healt</w:t>
      </w:r>
      <w:r w:rsidR="00EE1A5F" w:rsidRPr="00EB391B">
        <w:rPr>
          <w:rFonts w:ascii="Futura Lt BT" w:hAnsi="Futura Lt BT"/>
          <w:szCs w:val="24"/>
          <w:lang w:val="en-GB"/>
        </w:rPr>
        <w:t>h and well</w:t>
      </w:r>
      <w:r w:rsidR="00B15150" w:rsidRPr="00EB391B">
        <w:rPr>
          <w:rFonts w:ascii="Futura Lt BT" w:hAnsi="Futura Lt BT"/>
          <w:szCs w:val="24"/>
          <w:lang w:val="en-GB"/>
        </w:rPr>
        <w:t>-</w:t>
      </w:r>
      <w:r w:rsidR="00EE1A5F" w:rsidRPr="00EB391B">
        <w:rPr>
          <w:rFonts w:ascii="Futura Lt BT" w:hAnsi="Futura Lt BT"/>
          <w:szCs w:val="24"/>
          <w:lang w:val="en-GB"/>
        </w:rPr>
        <w:t>being of individuals</w:t>
      </w:r>
      <w:r w:rsidR="00B15150" w:rsidRPr="00EB391B">
        <w:rPr>
          <w:rFonts w:ascii="Futura Lt BT" w:hAnsi="Futura Lt BT"/>
          <w:szCs w:val="24"/>
          <w:lang w:val="en-GB"/>
        </w:rPr>
        <w:t>, and damages their independence and autonomy.</w:t>
      </w:r>
      <w:r w:rsidR="00B15150" w:rsidRPr="00EB391B">
        <w:rPr>
          <w:rStyle w:val="FootnoteReference"/>
          <w:rFonts w:ascii="Futura Lt BT" w:hAnsi="Futura Lt BT"/>
          <w:szCs w:val="24"/>
          <w:lang w:val="en-GB"/>
        </w:rPr>
        <w:footnoteReference w:id="7"/>
      </w:r>
      <w:r w:rsidR="00B15150" w:rsidRPr="00EB391B">
        <w:rPr>
          <w:rFonts w:ascii="Futura Lt BT" w:hAnsi="Futura Lt BT"/>
          <w:szCs w:val="24"/>
          <w:lang w:val="en-GB"/>
        </w:rPr>
        <w:t xml:space="preserve"> </w:t>
      </w:r>
      <w:r w:rsidRPr="00EB391B">
        <w:rPr>
          <w:rFonts w:ascii="Futura Lt BT" w:hAnsi="Futura Lt BT"/>
          <w:szCs w:val="24"/>
          <w:lang w:val="en-GB"/>
        </w:rPr>
        <w:t xml:space="preserve">Institutions are often situated in remote locations or, even when situated within communities, residents have little chance of interacting with people outside of the institution. Even when such interactions do </w:t>
      </w:r>
      <w:r w:rsidR="00B15150" w:rsidRPr="00EB391B">
        <w:rPr>
          <w:rFonts w:ascii="Futura Lt BT" w:hAnsi="Futura Lt BT"/>
          <w:szCs w:val="24"/>
          <w:lang w:val="en-GB"/>
        </w:rPr>
        <w:t>take place</w:t>
      </w:r>
      <w:r w:rsidRPr="00EB391B">
        <w:rPr>
          <w:rFonts w:ascii="Futura Lt BT" w:hAnsi="Futura Lt BT"/>
          <w:szCs w:val="24"/>
          <w:lang w:val="en-GB"/>
        </w:rPr>
        <w:t>, they do not happen on a regular basis, which makes establishing soci</w:t>
      </w:r>
      <w:r w:rsidR="00B15150" w:rsidRPr="00EB391B">
        <w:rPr>
          <w:rFonts w:ascii="Futura Lt BT" w:hAnsi="Futura Lt BT"/>
          <w:szCs w:val="24"/>
          <w:lang w:val="en-GB"/>
        </w:rPr>
        <w:t>al contact extremely difficult.</w:t>
      </w:r>
    </w:p>
    <w:p w:rsidR="00833E6C" w:rsidRPr="00EB391B" w:rsidRDefault="00833E6C" w:rsidP="00EB391B">
      <w:pPr>
        <w:pStyle w:val="ListParagraph"/>
        <w:ind w:left="0"/>
        <w:rPr>
          <w:rFonts w:ascii="Futura Lt BT" w:hAnsi="Futura Lt BT"/>
          <w:szCs w:val="24"/>
          <w:lang w:val="en-GB"/>
        </w:rPr>
      </w:pPr>
    </w:p>
    <w:p w:rsidR="00833E6C" w:rsidRPr="00EB391B" w:rsidRDefault="0078090C"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Reduced ac</w:t>
      </w:r>
      <w:r w:rsidR="008A49DE" w:rsidRPr="00EB391B">
        <w:rPr>
          <w:rFonts w:ascii="Futura Lt BT" w:hAnsi="Futura Lt BT"/>
          <w:szCs w:val="24"/>
          <w:lang w:val="en-GB"/>
        </w:rPr>
        <w:t xml:space="preserve">tivity and stimulation </w:t>
      </w:r>
      <w:r w:rsidRPr="00EB391B">
        <w:rPr>
          <w:rFonts w:ascii="Futura Lt BT" w:hAnsi="Futura Lt BT"/>
          <w:szCs w:val="24"/>
          <w:lang w:val="en-GB"/>
        </w:rPr>
        <w:t xml:space="preserve">strongly impacts on physical and psychological development, especially when imposed from a young age or/and for </w:t>
      </w:r>
      <w:r w:rsidR="00B15150" w:rsidRPr="00EB391B">
        <w:rPr>
          <w:rFonts w:ascii="Futura Lt BT" w:hAnsi="Futura Lt BT"/>
          <w:szCs w:val="24"/>
          <w:lang w:val="en-GB"/>
        </w:rPr>
        <w:t>extended</w:t>
      </w:r>
      <w:r w:rsidRPr="00EB391B">
        <w:rPr>
          <w:rFonts w:ascii="Futura Lt BT" w:hAnsi="Futura Lt BT"/>
          <w:szCs w:val="24"/>
          <w:lang w:val="en-GB"/>
        </w:rPr>
        <w:t xml:space="preserve"> periods of time. Studies indicate that reduced sensory input can also</w:t>
      </w:r>
      <w:r w:rsidR="00B15150" w:rsidRPr="00EB391B">
        <w:rPr>
          <w:rFonts w:ascii="Futura Lt BT" w:hAnsi="Futura Lt BT"/>
          <w:szCs w:val="24"/>
          <w:lang w:val="en-GB"/>
        </w:rPr>
        <w:t xml:space="preserve"> lead</w:t>
      </w:r>
      <w:r w:rsidRPr="00EB391B">
        <w:rPr>
          <w:rFonts w:ascii="Futura Lt BT" w:hAnsi="Futura Lt BT"/>
          <w:szCs w:val="24"/>
          <w:lang w:val="en-GB"/>
        </w:rPr>
        <w:t xml:space="preserve"> to reduced brain activity.</w:t>
      </w:r>
      <w:r w:rsidR="00A13284" w:rsidRPr="00EB391B">
        <w:rPr>
          <w:rStyle w:val="FootnoteReference"/>
          <w:rFonts w:ascii="Futura Lt BT" w:hAnsi="Futura Lt BT"/>
          <w:szCs w:val="24"/>
          <w:lang w:val="en-GB"/>
        </w:rPr>
        <w:footnoteReference w:id="8"/>
      </w:r>
      <w:r w:rsidR="00B15150" w:rsidRPr="00EB391B">
        <w:rPr>
          <w:rFonts w:ascii="Futura Lt BT" w:hAnsi="Futura Lt BT"/>
          <w:szCs w:val="24"/>
          <w:lang w:val="en-GB"/>
        </w:rPr>
        <w:t xml:space="preserve">  Institutionalis</w:t>
      </w:r>
      <w:r w:rsidRPr="00EB391B">
        <w:rPr>
          <w:rFonts w:ascii="Futura Lt BT" w:hAnsi="Futura Lt BT"/>
          <w:szCs w:val="24"/>
          <w:lang w:val="en-GB"/>
        </w:rPr>
        <w:t>ation comes with</w:t>
      </w:r>
      <w:r w:rsidR="00B15150" w:rsidRPr="00EB391B">
        <w:rPr>
          <w:rFonts w:ascii="Futura Lt BT" w:hAnsi="Futura Lt BT"/>
          <w:szCs w:val="24"/>
          <w:lang w:val="en-GB"/>
        </w:rPr>
        <w:t xml:space="preserve"> a label of incompetence which </w:t>
      </w:r>
      <w:r w:rsidRPr="00EB391B">
        <w:rPr>
          <w:rFonts w:ascii="Futura Lt BT" w:hAnsi="Futura Lt BT"/>
          <w:szCs w:val="24"/>
          <w:lang w:val="en-GB"/>
        </w:rPr>
        <w:t>“play[s] out as a self-fulfilling prophecy. Once a finding is reached that a person is incompetent to perform certain tasks, such person shall not be given any opportunity to engage in or</w:t>
      </w:r>
      <w:r w:rsidR="00B15150" w:rsidRPr="00EB391B">
        <w:rPr>
          <w:rFonts w:ascii="Futura Lt BT" w:hAnsi="Futura Lt BT"/>
          <w:szCs w:val="24"/>
          <w:lang w:val="en-GB"/>
        </w:rPr>
        <w:t xml:space="preserve"> learn those tasks, […] [which]</w:t>
      </w:r>
      <w:r w:rsidRPr="00EB391B">
        <w:rPr>
          <w:rFonts w:ascii="Futura Lt BT" w:hAnsi="Futura Lt BT"/>
          <w:szCs w:val="24"/>
          <w:lang w:val="en-GB"/>
        </w:rPr>
        <w:t xml:space="preserve"> forces people to </w:t>
      </w:r>
      <w:r w:rsidRPr="00EB391B">
        <w:rPr>
          <w:rFonts w:ascii="Futura Lt BT" w:hAnsi="Futura Lt BT"/>
          <w:b/>
          <w:szCs w:val="24"/>
          <w:lang w:val="en-GB"/>
        </w:rPr>
        <w:t>learn helplessness</w:t>
      </w:r>
      <w:r w:rsidR="00B15150" w:rsidRPr="00EB391B">
        <w:rPr>
          <w:rFonts w:ascii="Futura Lt BT" w:hAnsi="Futura Lt BT"/>
          <w:szCs w:val="24"/>
          <w:lang w:val="en-GB"/>
        </w:rPr>
        <w:t>.”</w:t>
      </w:r>
      <w:r w:rsidR="00A13284" w:rsidRPr="00EB391B">
        <w:rPr>
          <w:rStyle w:val="FootnoteReference"/>
          <w:rFonts w:ascii="Futura Lt BT" w:hAnsi="Futura Lt BT"/>
          <w:szCs w:val="24"/>
          <w:lang w:val="en-GB"/>
        </w:rPr>
        <w:footnoteReference w:id="9"/>
      </w:r>
      <w:r w:rsidR="00B15150" w:rsidRPr="00EB391B">
        <w:rPr>
          <w:rFonts w:ascii="Futura Lt BT" w:hAnsi="Futura Lt BT"/>
          <w:szCs w:val="24"/>
          <w:lang w:val="en-GB"/>
        </w:rPr>
        <w:t xml:space="preserve"> (emphasis added)</w:t>
      </w:r>
      <w:r w:rsidR="00DA3F3E" w:rsidRPr="00EB391B">
        <w:rPr>
          <w:rFonts w:ascii="Futura Lt BT" w:hAnsi="Futura Lt BT"/>
          <w:szCs w:val="24"/>
          <w:lang w:val="en-GB"/>
        </w:rPr>
        <w:br/>
      </w:r>
    </w:p>
    <w:p w:rsidR="00B15150" w:rsidRPr="00EB391B" w:rsidRDefault="0078090C" w:rsidP="00EB391B">
      <w:pPr>
        <w:pStyle w:val="ListParagraph"/>
        <w:ind w:left="0"/>
        <w:rPr>
          <w:rFonts w:ascii="Futura Lt BT" w:hAnsi="Futura Lt BT"/>
          <w:szCs w:val="24"/>
          <w:lang w:val="en-GB"/>
        </w:rPr>
      </w:pPr>
      <w:r w:rsidRPr="00EB391B">
        <w:rPr>
          <w:rFonts w:ascii="Futura Lt BT" w:hAnsi="Futura Lt BT"/>
          <w:szCs w:val="24"/>
          <w:lang w:val="en-GB"/>
        </w:rPr>
        <w:t xml:space="preserve">“Institutionalised living often means that residents are forced to sleep as a group, eat as a group, wash as a group, spend their day as a group and – to the extent that employment is possible in an institution – work as a group. There is no room for individual autonomy […] and </w:t>
      </w:r>
      <w:proofErr w:type="spellStart"/>
      <w:r w:rsidRPr="00EB391B">
        <w:rPr>
          <w:rFonts w:ascii="Futura Lt BT" w:hAnsi="Futura Lt BT"/>
          <w:szCs w:val="24"/>
          <w:lang w:val="en-GB"/>
        </w:rPr>
        <w:t>behavior</w:t>
      </w:r>
      <w:proofErr w:type="spellEnd"/>
      <w:r w:rsidRPr="00EB391B">
        <w:rPr>
          <w:rFonts w:ascii="Futura Lt BT" w:hAnsi="Futura Lt BT"/>
          <w:szCs w:val="24"/>
          <w:lang w:val="en-GB"/>
        </w:rPr>
        <w:t xml:space="preserve"> diverging from the norm is punished.”</w:t>
      </w:r>
      <w:r w:rsidR="007907EE" w:rsidRPr="00EB391B">
        <w:rPr>
          <w:rStyle w:val="FootnoteReference"/>
          <w:rFonts w:ascii="Futura Lt BT" w:hAnsi="Futura Lt BT"/>
          <w:szCs w:val="24"/>
          <w:lang w:val="en-GB"/>
        </w:rPr>
        <w:footnoteReference w:id="10"/>
      </w:r>
      <w:r w:rsidR="00B15150" w:rsidRPr="00EB391B">
        <w:rPr>
          <w:rFonts w:ascii="Futura Lt BT" w:hAnsi="Futura Lt BT"/>
          <w:szCs w:val="24"/>
          <w:lang w:val="en-GB"/>
        </w:rPr>
        <w:t xml:space="preserve"> </w:t>
      </w:r>
      <w:r w:rsidR="00B15150" w:rsidRPr="00EB391B">
        <w:rPr>
          <w:rFonts w:ascii="Futura Lt BT" w:hAnsi="Futura Lt BT"/>
          <w:szCs w:val="24"/>
          <w:lang w:val="en-GB"/>
        </w:rPr>
        <w:br/>
      </w:r>
    </w:p>
    <w:p w:rsidR="00833E6C" w:rsidRPr="00EB391B" w:rsidRDefault="0078090C" w:rsidP="00EB391B">
      <w:pPr>
        <w:pStyle w:val="ListParagraph"/>
        <w:ind w:left="0"/>
        <w:rPr>
          <w:rFonts w:ascii="Futura Lt BT" w:hAnsi="Futura Lt BT"/>
          <w:szCs w:val="24"/>
          <w:lang w:val="en-GB"/>
        </w:rPr>
      </w:pPr>
      <w:r w:rsidRPr="00EB391B">
        <w:rPr>
          <w:rFonts w:ascii="Futura Lt BT" w:hAnsi="Futura Lt BT"/>
          <w:szCs w:val="24"/>
          <w:lang w:val="en-GB"/>
        </w:rPr>
        <w:t>“[T]he ‘totality of control’ means that […] [people] become so reliant on [somebody else] […] to organize their lives and daily routines that they lose the capacity to exercise personal autonomy. This may render them dysfunctional in society upon their release.”</w:t>
      </w:r>
      <w:r w:rsidR="007907EE" w:rsidRPr="00EB391B">
        <w:rPr>
          <w:rStyle w:val="FootnoteReference"/>
          <w:rFonts w:ascii="Futura Lt BT" w:hAnsi="Futura Lt BT"/>
          <w:szCs w:val="24"/>
          <w:lang w:val="en-GB"/>
        </w:rPr>
        <w:footnoteReference w:id="11"/>
      </w:r>
      <w:r w:rsidRPr="00EB391B">
        <w:rPr>
          <w:rFonts w:ascii="Futura Lt BT" w:hAnsi="Futura Lt BT"/>
          <w:szCs w:val="24"/>
          <w:lang w:val="en-GB"/>
        </w:rPr>
        <w:t xml:space="preserve"> </w:t>
      </w:r>
    </w:p>
    <w:p w:rsidR="00833E6C" w:rsidRPr="00EB391B" w:rsidRDefault="00833E6C" w:rsidP="00EB391B">
      <w:pPr>
        <w:pStyle w:val="ListParagraph"/>
        <w:ind w:left="0"/>
        <w:rPr>
          <w:rFonts w:ascii="Futura Lt BT" w:hAnsi="Futura Lt BT"/>
          <w:szCs w:val="24"/>
          <w:lang w:val="en-GB"/>
        </w:rPr>
      </w:pPr>
    </w:p>
    <w:p w:rsidR="00B15150" w:rsidRPr="00EB391B" w:rsidRDefault="00B15150" w:rsidP="00EB391B">
      <w:pPr>
        <w:ind w:left="-360"/>
        <w:rPr>
          <w:rFonts w:ascii="Futura Lt BT" w:hAnsi="Futura Lt BT"/>
          <w:b/>
          <w:szCs w:val="24"/>
          <w:lang w:val="en-GB"/>
        </w:rPr>
      </w:pPr>
      <w:r w:rsidRPr="00EB391B">
        <w:rPr>
          <w:rFonts w:ascii="Futura Lt BT" w:hAnsi="Futura Lt BT"/>
          <w:b/>
          <w:szCs w:val="24"/>
          <w:lang w:val="en-GB"/>
        </w:rPr>
        <w:t>MDAC submits that the following should be included in the General Recommendation:</w:t>
      </w:r>
    </w:p>
    <w:p w:rsidR="00AF0B0C" w:rsidRPr="00EB391B" w:rsidRDefault="00B15150" w:rsidP="00EB391B">
      <w:pPr>
        <w:pStyle w:val="ListParagraph"/>
        <w:numPr>
          <w:ilvl w:val="0"/>
          <w:numId w:val="15"/>
        </w:numPr>
        <w:ind w:left="0"/>
        <w:rPr>
          <w:rFonts w:ascii="Futura Lt BT" w:hAnsi="Futura Lt BT"/>
          <w:szCs w:val="24"/>
          <w:lang w:val="en-GB"/>
        </w:rPr>
      </w:pPr>
      <w:r w:rsidRPr="00EB391B">
        <w:rPr>
          <w:rFonts w:ascii="Futura Lt BT" w:hAnsi="Futura Lt BT"/>
          <w:szCs w:val="24"/>
          <w:lang w:val="en-GB"/>
        </w:rPr>
        <w:t>States must enshrine in law and policy</w:t>
      </w:r>
      <w:r w:rsidR="00AF0B0C" w:rsidRPr="00EB391B">
        <w:rPr>
          <w:rFonts w:ascii="Futura Lt BT" w:hAnsi="Futura Lt BT"/>
          <w:szCs w:val="24"/>
          <w:lang w:val="en-GB"/>
        </w:rPr>
        <w:t xml:space="preserve"> </w:t>
      </w:r>
      <w:r w:rsidR="00C32552" w:rsidRPr="00EB391B">
        <w:rPr>
          <w:rFonts w:ascii="Futura Lt BT" w:hAnsi="Futura Lt BT"/>
          <w:szCs w:val="24"/>
          <w:lang w:val="en-GB"/>
        </w:rPr>
        <w:t xml:space="preserve">the </w:t>
      </w:r>
      <w:r w:rsidR="00AF0B0C" w:rsidRPr="00EB391B">
        <w:rPr>
          <w:rFonts w:ascii="Futura Lt BT" w:hAnsi="Futura Lt BT"/>
          <w:szCs w:val="24"/>
          <w:lang w:val="en-GB"/>
        </w:rPr>
        <w:t xml:space="preserve">right </w:t>
      </w:r>
      <w:r w:rsidRPr="00EB391B">
        <w:rPr>
          <w:rFonts w:ascii="Futura Lt BT" w:hAnsi="Futura Lt BT"/>
          <w:szCs w:val="24"/>
          <w:lang w:val="en-GB"/>
        </w:rPr>
        <w:t xml:space="preserve">of women with disabilities to live independently and be included </w:t>
      </w:r>
      <w:r w:rsidR="00C32552" w:rsidRPr="00EB391B">
        <w:rPr>
          <w:rFonts w:ascii="Futura Lt BT" w:hAnsi="Futura Lt BT"/>
          <w:szCs w:val="24"/>
          <w:lang w:val="en-GB"/>
        </w:rPr>
        <w:t xml:space="preserve">in the community, with access to individual and general services which can achieve this goal and prevent against isolation and segregation. </w:t>
      </w:r>
      <w:r w:rsidR="00AF0B0C" w:rsidRPr="00EB391B">
        <w:rPr>
          <w:rFonts w:ascii="Futura Lt BT" w:hAnsi="Futura Lt BT"/>
          <w:szCs w:val="24"/>
          <w:lang w:val="en-GB"/>
        </w:rPr>
        <w:t>To this end, stat</w:t>
      </w:r>
      <w:r w:rsidR="00C32552" w:rsidRPr="00EB391B">
        <w:rPr>
          <w:rFonts w:ascii="Futura Lt BT" w:hAnsi="Futura Lt BT"/>
          <w:szCs w:val="24"/>
          <w:lang w:val="en-GB"/>
        </w:rPr>
        <w:t>e</w:t>
      </w:r>
      <w:r w:rsidR="00AF0B0C" w:rsidRPr="00EB391B">
        <w:rPr>
          <w:rFonts w:ascii="Futura Lt BT" w:hAnsi="Futura Lt BT"/>
          <w:szCs w:val="24"/>
          <w:lang w:val="en-GB"/>
        </w:rPr>
        <w:t xml:space="preserve">s must </w:t>
      </w:r>
      <w:r w:rsidR="009A686A" w:rsidRPr="00EB391B">
        <w:rPr>
          <w:rFonts w:ascii="Futura Lt BT" w:hAnsi="Futura Lt BT"/>
          <w:szCs w:val="24"/>
          <w:lang w:val="en-GB"/>
        </w:rPr>
        <w:t>e</w:t>
      </w:r>
      <w:r w:rsidR="00C32552" w:rsidRPr="00EB391B">
        <w:rPr>
          <w:rFonts w:ascii="Futura Lt BT" w:hAnsi="Futura Lt BT"/>
          <w:szCs w:val="24"/>
          <w:lang w:val="en-GB"/>
        </w:rPr>
        <w:t xml:space="preserve">nsure </w:t>
      </w:r>
      <w:r w:rsidR="009A686A" w:rsidRPr="00EB391B">
        <w:rPr>
          <w:rFonts w:ascii="Futura Lt BT" w:hAnsi="Futura Lt BT"/>
          <w:szCs w:val="24"/>
          <w:lang w:val="en-GB"/>
        </w:rPr>
        <w:t>p</w:t>
      </w:r>
      <w:r w:rsidR="00AF0B0C" w:rsidRPr="00EB391B">
        <w:rPr>
          <w:rFonts w:ascii="Futura Lt BT" w:hAnsi="Futura Lt BT"/>
          <w:szCs w:val="24"/>
          <w:lang w:val="en-GB"/>
        </w:rPr>
        <w:t xml:space="preserve">ersons with disabilities have the opportunity to choose their place of residence and where and with whom they live and </w:t>
      </w:r>
      <w:r w:rsidR="009A686A" w:rsidRPr="00EB391B">
        <w:rPr>
          <w:rFonts w:ascii="Futura Lt BT" w:hAnsi="Futura Lt BT"/>
          <w:szCs w:val="24"/>
          <w:lang w:val="en-GB"/>
        </w:rPr>
        <w:t xml:space="preserve">ensure they </w:t>
      </w:r>
      <w:r w:rsidR="00AF0B0C" w:rsidRPr="00EB391B">
        <w:rPr>
          <w:rFonts w:ascii="Futura Lt BT" w:hAnsi="Futura Lt BT"/>
          <w:szCs w:val="24"/>
          <w:lang w:val="en-GB"/>
        </w:rPr>
        <w:t>are not obliged to live in a particular living arrangement;</w:t>
      </w:r>
    </w:p>
    <w:p w:rsidR="00AF0B0C" w:rsidRPr="00EB391B" w:rsidRDefault="009A686A" w:rsidP="00EB391B">
      <w:pPr>
        <w:pStyle w:val="ListParagraph"/>
        <w:numPr>
          <w:ilvl w:val="0"/>
          <w:numId w:val="15"/>
        </w:numPr>
        <w:ind w:left="0"/>
        <w:rPr>
          <w:rFonts w:ascii="Futura Lt BT" w:hAnsi="Futura Lt BT"/>
          <w:szCs w:val="24"/>
          <w:lang w:val="en-GB"/>
        </w:rPr>
      </w:pPr>
      <w:r w:rsidRPr="00EB391B">
        <w:rPr>
          <w:rFonts w:ascii="Futura Lt BT" w:hAnsi="Futura Lt BT"/>
          <w:szCs w:val="24"/>
          <w:lang w:val="en-GB"/>
        </w:rPr>
        <w:t xml:space="preserve">Women with disabilities must </w:t>
      </w:r>
      <w:r w:rsidR="00AF0B0C" w:rsidRPr="00EB391B">
        <w:rPr>
          <w:rFonts w:ascii="Futura Lt BT" w:hAnsi="Futura Lt BT"/>
          <w:szCs w:val="24"/>
          <w:lang w:val="en-GB"/>
        </w:rPr>
        <w:t>have access to a range of in-home, residential and other community support services, including personal assistance necessary to support living and inclusion in the community, and to prevent isolation or segregation from the community;</w:t>
      </w:r>
    </w:p>
    <w:p w:rsidR="00AF0B0C" w:rsidRPr="00EB391B" w:rsidRDefault="009A686A" w:rsidP="00EB391B">
      <w:pPr>
        <w:pStyle w:val="ListParagraph"/>
        <w:numPr>
          <w:ilvl w:val="0"/>
          <w:numId w:val="15"/>
        </w:numPr>
        <w:ind w:left="0"/>
        <w:rPr>
          <w:rFonts w:ascii="Futura Lt BT" w:hAnsi="Futura Lt BT"/>
          <w:szCs w:val="24"/>
          <w:lang w:val="en-GB"/>
        </w:rPr>
      </w:pPr>
      <w:r w:rsidRPr="00EB391B">
        <w:rPr>
          <w:rFonts w:ascii="Futura Lt BT" w:hAnsi="Futura Lt BT"/>
          <w:szCs w:val="24"/>
          <w:lang w:val="en-GB"/>
        </w:rPr>
        <w:t>States must ensure that c</w:t>
      </w:r>
      <w:r w:rsidR="00AF0B0C" w:rsidRPr="00EB391B">
        <w:rPr>
          <w:rFonts w:ascii="Futura Lt BT" w:hAnsi="Futura Lt BT"/>
          <w:szCs w:val="24"/>
          <w:lang w:val="en-GB"/>
        </w:rPr>
        <w:t xml:space="preserve">ommunity services and facilities for the general population are available on an equal basis to </w:t>
      </w:r>
      <w:r w:rsidR="00C32552" w:rsidRPr="00EB391B">
        <w:rPr>
          <w:rFonts w:ascii="Futura Lt BT" w:hAnsi="Futura Lt BT"/>
          <w:szCs w:val="24"/>
          <w:lang w:val="en-GB"/>
        </w:rPr>
        <w:t>women</w:t>
      </w:r>
      <w:r w:rsidR="00AF0B0C" w:rsidRPr="00EB391B">
        <w:rPr>
          <w:rFonts w:ascii="Futura Lt BT" w:hAnsi="Futura Lt BT"/>
          <w:szCs w:val="24"/>
          <w:lang w:val="en-GB"/>
        </w:rPr>
        <w:t xml:space="preserve"> with disabilities and are responsive to their needs.</w:t>
      </w:r>
    </w:p>
    <w:p w:rsidR="00BC132C" w:rsidRPr="00EB391B" w:rsidRDefault="00C32552" w:rsidP="00EB391B">
      <w:pPr>
        <w:pStyle w:val="ListParagraph"/>
        <w:numPr>
          <w:ilvl w:val="0"/>
          <w:numId w:val="15"/>
        </w:numPr>
        <w:ind w:left="0"/>
        <w:rPr>
          <w:rFonts w:ascii="Futura Lt BT" w:hAnsi="Futura Lt BT"/>
          <w:szCs w:val="24"/>
          <w:lang w:val="en-GB"/>
        </w:rPr>
      </w:pPr>
      <w:r w:rsidRPr="00EB391B">
        <w:rPr>
          <w:rFonts w:ascii="Futura Lt BT" w:hAnsi="Futura Lt BT"/>
          <w:szCs w:val="24"/>
          <w:lang w:val="en-GB"/>
        </w:rPr>
        <w:t>States must ensure</w:t>
      </w:r>
      <w:r w:rsidR="004C754F" w:rsidRPr="00EB391B">
        <w:rPr>
          <w:rFonts w:ascii="Futura Lt BT" w:hAnsi="Futura Lt BT"/>
          <w:szCs w:val="24"/>
          <w:lang w:val="en-GB"/>
        </w:rPr>
        <w:t xml:space="preserve"> independent human rights monitoring of institution</w:t>
      </w:r>
      <w:r w:rsidRPr="00EB391B">
        <w:rPr>
          <w:rFonts w:ascii="Futura Lt BT" w:hAnsi="Futura Lt BT"/>
          <w:szCs w:val="24"/>
          <w:lang w:val="en-GB"/>
        </w:rPr>
        <w:t>s in the interim</w:t>
      </w:r>
      <w:r w:rsidR="004C754F" w:rsidRPr="00EB391B">
        <w:rPr>
          <w:rFonts w:ascii="Futura Lt BT" w:hAnsi="Futura Lt BT"/>
          <w:szCs w:val="24"/>
          <w:lang w:val="en-GB"/>
        </w:rPr>
        <w:t>, with the final goal to enable women with disabilities to live independently and be included in the community.</w:t>
      </w:r>
    </w:p>
    <w:p w:rsidR="00385FA7" w:rsidRPr="00EB391B" w:rsidRDefault="00385FA7" w:rsidP="00EB391B">
      <w:pPr>
        <w:ind w:left="-360"/>
        <w:rPr>
          <w:rFonts w:ascii="Futura Lt BT" w:hAnsi="Futura Lt BT"/>
          <w:b/>
          <w:szCs w:val="24"/>
          <w:lang w:val="en-GB"/>
        </w:rPr>
      </w:pPr>
      <w:r w:rsidRPr="00EB391B">
        <w:rPr>
          <w:rFonts w:ascii="Futura Lt BT" w:hAnsi="Futura Lt BT"/>
          <w:b/>
          <w:szCs w:val="24"/>
          <w:lang w:val="en-GB"/>
        </w:rPr>
        <w:t>V. COMMENTS ON SPECIFIC PARAGRAPHS</w:t>
      </w:r>
      <w:r w:rsidR="00063D5C" w:rsidRPr="00EB391B">
        <w:rPr>
          <w:rFonts w:ascii="Futura Lt BT" w:hAnsi="Futura Lt BT"/>
          <w:b/>
          <w:szCs w:val="24"/>
          <w:lang w:val="en-GB"/>
        </w:rPr>
        <w:t xml:space="preserve"> OF THE DRAFT </w:t>
      </w:r>
      <w:r w:rsidR="00C32552" w:rsidRPr="00EB391B">
        <w:rPr>
          <w:rFonts w:ascii="Futura Lt BT" w:hAnsi="Futura Lt BT"/>
          <w:b/>
          <w:szCs w:val="24"/>
          <w:lang w:val="en-GB"/>
        </w:rPr>
        <w:t xml:space="preserve">UPDATE TO </w:t>
      </w:r>
      <w:r w:rsidR="00943005" w:rsidRPr="00EB391B">
        <w:rPr>
          <w:rFonts w:ascii="Futura Lt BT" w:hAnsi="Futura Lt BT"/>
          <w:b/>
          <w:szCs w:val="24"/>
          <w:lang w:val="en-GB"/>
        </w:rPr>
        <w:t>GENERAL RECOMMENDATION NO. 19</w:t>
      </w:r>
    </w:p>
    <w:p w:rsidR="00081038" w:rsidRPr="00EB391B" w:rsidRDefault="00943005"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Paragraph 12:</w:t>
      </w:r>
      <w:r w:rsidR="00C32552" w:rsidRPr="00EB391B">
        <w:rPr>
          <w:rFonts w:ascii="Futura Lt BT" w:hAnsi="Futura Lt BT"/>
          <w:szCs w:val="24"/>
          <w:lang w:val="en-GB"/>
        </w:rPr>
        <w:t xml:space="preserve"> MDAC suggests adding that</w:t>
      </w:r>
      <w:r w:rsidR="00A07736" w:rsidRPr="00EB391B">
        <w:rPr>
          <w:rFonts w:ascii="Futura Lt BT" w:hAnsi="Futura Lt BT"/>
          <w:szCs w:val="24"/>
          <w:lang w:val="en-GB"/>
        </w:rPr>
        <w:t xml:space="preserve"> </w:t>
      </w:r>
      <w:r w:rsidRPr="00EB391B">
        <w:rPr>
          <w:rFonts w:ascii="Futura Lt BT" w:hAnsi="Futura Lt BT"/>
          <w:szCs w:val="24"/>
          <w:lang w:val="en-GB"/>
        </w:rPr>
        <w:t>gender-b</w:t>
      </w:r>
      <w:r w:rsidR="00A07736" w:rsidRPr="00EB391B">
        <w:rPr>
          <w:rFonts w:ascii="Futura Lt BT" w:hAnsi="Futura Lt BT"/>
          <w:szCs w:val="24"/>
          <w:lang w:val="en-GB"/>
        </w:rPr>
        <w:t xml:space="preserve">ased violence is also perpetuated in institutional settings where </w:t>
      </w:r>
      <w:r w:rsidR="00C32552" w:rsidRPr="00EB391B">
        <w:rPr>
          <w:rFonts w:ascii="Futura Lt BT" w:hAnsi="Futura Lt BT"/>
          <w:szCs w:val="24"/>
          <w:lang w:val="en-GB"/>
        </w:rPr>
        <w:t>women</w:t>
      </w:r>
      <w:r w:rsidR="00A07736" w:rsidRPr="00EB391B">
        <w:rPr>
          <w:rFonts w:ascii="Futura Lt BT" w:hAnsi="Futura Lt BT"/>
          <w:szCs w:val="24"/>
          <w:lang w:val="en-GB"/>
        </w:rPr>
        <w:t xml:space="preserve"> with disab</w:t>
      </w:r>
      <w:r w:rsidR="004C754F" w:rsidRPr="00EB391B">
        <w:rPr>
          <w:rFonts w:ascii="Futura Lt BT" w:hAnsi="Futura Lt BT"/>
          <w:szCs w:val="24"/>
          <w:lang w:val="en-GB"/>
        </w:rPr>
        <w:t>ilities live and/or are treated (</w:t>
      </w:r>
      <w:r w:rsidR="00C32552" w:rsidRPr="00EB391B">
        <w:rPr>
          <w:rFonts w:ascii="Futura Lt BT" w:hAnsi="Futura Lt BT"/>
          <w:szCs w:val="24"/>
          <w:lang w:val="en-GB"/>
        </w:rPr>
        <w:t>such as psychiatric hospitals, social care homes, rehabilitation centres, living centres, orphanages, etc.</w:t>
      </w:r>
      <w:r w:rsidR="004C754F" w:rsidRPr="00EB391B">
        <w:rPr>
          <w:rFonts w:ascii="Futura Lt BT" w:hAnsi="Futura Lt BT"/>
          <w:szCs w:val="24"/>
          <w:lang w:val="en-GB"/>
        </w:rPr>
        <w:t>);</w:t>
      </w:r>
    </w:p>
    <w:p w:rsidR="003C4CDC" w:rsidRPr="00EB391B" w:rsidRDefault="00C32552" w:rsidP="00EB391B">
      <w:pPr>
        <w:pStyle w:val="ListParagraph"/>
        <w:tabs>
          <w:tab w:val="left" w:pos="5580"/>
        </w:tabs>
        <w:ind w:left="0"/>
        <w:rPr>
          <w:rFonts w:ascii="Futura Lt BT" w:hAnsi="Futura Lt BT"/>
          <w:szCs w:val="24"/>
          <w:lang w:val="en-GB"/>
        </w:rPr>
      </w:pPr>
      <w:r w:rsidRPr="00EB391B">
        <w:rPr>
          <w:rFonts w:ascii="Futura Lt BT" w:hAnsi="Futura Lt BT"/>
          <w:szCs w:val="24"/>
          <w:lang w:val="en-GB"/>
        </w:rPr>
        <w:tab/>
      </w:r>
    </w:p>
    <w:p w:rsidR="00951D7D" w:rsidRPr="00EB391B" w:rsidRDefault="00C32552" w:rsidP="00EB391B">
      <w:pPr>
        <w:pStyle w:val="ListParagraph"/>
        <w:numPr>
          <w:ilvl w:val="0"/>
          <w:numId w:val="6"/>
        </w:numPr>
        <w:ind w:left="0"/>
        <w:rPr>
          <w:rFonts w:ascii="Futura Lt BT" w:hAnsi="Futura Lt BT"/>
          <w:szCs w:val="24"/>
          <w:lang w:val="en-GB"/>
        </w:rPr>
      </w:pPr>
      <w:r w:rsidRPr="00EB391B">
        <w:rPr>
          <w:rFonts w:ascii="Futura Lt BT" w:hAnsi="Futura Lt BT"/>
          <w:szCs w:val="24"/>
          <w:lang w:val="en-GB"/>
        </w:rPr>
        <w:t>Paragraph 15: As to subparagraph (d),</w:t>
      </w:r>
      <w:r w:rsidR="00951D7D" w:rsidRPr="00EB391B">
        <w:rPr>
          <w:rFonts w:ascii="Futura Lt BT" w:hAnsi="Futura Lt BT"/>
          <w:szCs w:val="24"/>
          <w:lang w:val="en-GB"/>
        </w:rPr>
        <w:t xml:space="preserve"> </w:t>
      </w:r>
      <w:r w:rsidRPr="00EB391B">
        <w:rPr>
          <w:rFonts w:ascii="Futura Lt BT" w:hAnsi="Futura Lt BT"/>
          <w:szCs w:val="24"/>
          <w:lang w:val="en-GB"/>
        </w:rPr>
        <w:t xml:space="preserve">MDAC suggests to add that </w:t>
      </w:r>
      <w:r w:rsidR="00951D7D" w:rsidRPr="00EB391B">
        <w:rPr>
          <w:rFonts w:ascii="Futura Lt BT" w:hAnsi="Futura Lt BT"/>
          <w:szCs w:val="24"/>
          <w:lang w:val="en-GB"/>
        </w:rPr>
        <w:t xml:space="preserve">States Parties </w:t>
      </w:r>
      <w:r w:rsidRPr="00EB391B">
        <w:rPr>
          <w:rFonts w:ascii="Futura Lt BT" w:hAnsi="Futura Lt BT"/>
          <w:szCs w:val="24"/>
          <w:lang w:val="en-GB"/>
        </w:rPr>
        <w:t>must</w:t>
      </w:r>
      <w:r w:rsidR="00951D7D" w:rsidRPr="00EB391B">
        <w:rPr>
          <w:rFonts w:ascii="Futura Lt BT" w:hAnsi="Futura Lt BT"/>
          <w:szCs w:val="24"/>
          <w:lang w:val="en-GB"/>
        </w:rPr>
        <w:t xml:space="preserve"> ensure effective access to justice for </w:t>
      </w:r>
      <w:r w:rsidR="001250D1" w:rsidRPr="00EB391B">
        <w:rPr>
          <w:rFonts w:ascii="Futura Lt BT" w:hAnsi="Futura Lt BT"/>
          <w:szCs w:val="24"/>
          <w:lang w:val="en-GB"/>
        </w:rPr>
        <w:t>women</w:t>
      </w:r>
      <w:r w:rsidR="00951D7D" w:rsidRPr="00EB391B">
        <w:rPr>
          <w:rFonts w:ascii="Futura Lt BT" w:hAnsi="Futura Lt BT"/>
          <w:szCs w:val="24"/>
          <w:lang w:val="en-GB"/>
        </w:rPr>
        <w:t xml:space="preserve"> with disabilities on an equal basis with others, including through</w:t>
      </w:r>
      <w:r w:rsidR="001250D1" w:rsidRPr="00EB391B">
        <w:rPr>
          <w:rFonts w:ascii="Futura Lt BT" w:hAnsi="Futura Lt BT"/>
          <w:szCs w:val="24"/>
          <w:lang w:val="en-GB"/>
        </w:rPr>
        <w:t xml:space="preserve"> </w:t>
      </w:r>
      <w:r w:rsidRPr="00EB391B">
        <w:rPr>
          <w:rFonts w:ascii="Futura Lt BT" w:hAnsi="Futura Lt BT"/>
          <w:szCs w:val="24"/>
          <w:lang w:val="en-GB"/>
        </w:rPr>
        <w:t xml:space="preserve">ensuring accessible justice systems, provision of procedural and age-appropriate accommodations and reasonable accommodations </w:t>
      </w:r>
      <w:r w:rsidR="00951D7D" w:rsidRPr="00EB391B">
        <w:rPr>
          <w:rFonts w:ascii="Futura Lt BT" w:hAnsi="Futura Lt BT"/>
          <w:szCs w:val="24"/>
          <w:lang w:val="en-GB"/>
        </w:rPr>
        <w:t xml:space="preserve">to facilitate their effective role as direct and indirect participants, including as witnesses, in </w:t>
      </w:r>
      <w:r w:rsidRPr="00EB391B">
        <w:rPr>
          <w:rFonts w:ascii="Futura Lt BT" w:hAnsi="Futura Lt BT"/>
          <w:szCs w:val="24"/>
          <w:lang w:val="en-GB"/>
        </w:rPr>
        <w:t>all stages of</w:t>
      </w:r>
      <w:r w:rsidR="00951D7D" w:rsidRPr="00EB391B">
        <w:rPr>
          <w:rFonts w:ascii="Futura Lt BT" w:hAnsi="Futura Lt BT"/>
          <w:szCs w:val="24"/>
          <w:lang w:val="en-GB"/>
        </w:rPr>
        <w:t xml:space="preserve"> legal proceedings, including at investigative and other preliminary stages.</w:t>
      </w:r>
    </w:p>
    <w:p w:rsidR="00BC132C" w:rsidRPr="00EB391B" w:rsidRDefault="00BC132C" w:rsidP="00EB391B">
      <w:pPr>
        <w:pStyle w:val="ListParagraph"/>
        <w:ind w:left="0"/>
        <w:rPr>
          <w:rFonts w:ascii="Futura Lt BT" w:hAnsi="Futura Lt BT"/>
          <w:szCs w:val="24"/>
          <w:lang w:val="en-GB"/>
        </w:rPr>
      </w:pPr>
    </w:p>
    <w:p w:rsidR="00D92B1F" w:rsidRPr="00EB391B" w:rsidRDefault="003C4CDC" w:rsidP="00EB391B">
      <w:pPr>
        <w:pStyle w:val="ListParagraph"/>
        <w:numPr>
          <w:ilvl w:val="0"/>
          <w:numId w:val="6"/>
        </w:numPr>
        <w:ind w:left="0"/>
        <w:rPr>
          <w:rFonts w:ascii="Futura Lt BT" w:hAnsi="Futura Lt BT" w:cstheme="minorHAnsi"/>
          <w:szCs w:val="24"/>
          <w:lang w:val="en-GB"/>
        </w:rPr>
      </w:pPr>
      <w:r w:rsidRPr="00EB391B">
        <w:rPr>
          <w:rFonts w:ascii="Futura Lt BT" w:hAnsi="Futura Lt BT"/>
          <w:szCs w:val="24"/>
          <w:lang w:val="en-GB"/>
        </w:rPr>
        <w:t>Paragraph 15</w:t>
      </w:r>
      <w:r w:rsidR="00C32552" w:rsidRPr="00EB391B">
        <w:rPr>
          <w:rFonts w:ascii="Futura Lt BT" w:hAnsi="Futura Lt BT"/>
          <w:szCs w:val="24"/>
          <w:lang w:val="en-GB"/>
        </w:rPr>
        <w:t>: As to subparagraph (a</w:t>
      </w:r>
      <w:proofErr w:type="gramStart"/>
      <w:r w:rsidR="00C32552" w:rsidRPr="00EB391B">
        <w:rPr>
          <w:rFonts w:ascii="Futura Lt BT" w:hAnsi="Futura Lt BT"/>
          <w:szCs w:val="24"/>
          <w:lang w:val="en-GB"/>
        </w:rPr>
        <w:t>)(</w:t>
      </w:r>
      <w:proofErr w:type="gramEnd"/>
      <w:r w:rsidR="00C32552" w:rsidRPr="00EB391B">
        <w:rPr>
          <w:rFonts w:ascii="Futura Lt BT" w:hAnsi="Futura Lt BT"/>
          <w:szCs w:val="24"/>
          <w:lang w:val="en-GB"/>
        </w:rPr>
        <w:t>iv) on protection and redress</w:t>
      </w:r>
      <w:r w:rsidR="00144628" w:rsidRPr="00EB391B">
        <w:rPr>
          <w:rFonts w:ascii="Futura Lt BT" w:hAnsi="Futura Lt BT"/>
          <w:szCs w:val="24"/>
          <w:lang w:val="en-GB"/>
        </w:rPr>
        <w:t xml:space="preserve">, MDAC recommends redrafting this paragraph to call on </w:t>
      </w:r>
      <w:r w:rsidR="00C32552" w:rsidRPr="00EB391B">
        <w:rPr>
          <w:rFonts w:ascii="Futura Lt BT" w:hAnsi="Futura Lt BT"/>
          <w:szCs w:val="24"/>
          <w:lang w:val="en-GB"/>
        </w:rPr>
        <w:t xml:space="preserve">States </w:t>
      </w:r>
      <w:r w:rsidR="00144628" w:rsidRPr="00EB391B">
        <w:rPr>
          <w:rFonts w:ascii="Futura Lt BT" w:hAnsi="Futura Lt BT"/>
          <w:szCs w:val="24"/>
          <w:lang w:val="en-GB"/>
        </w:rPr>
        <w:t xml:space="preserve">to </w:t>
      </w:r>
      <w:r w:rsidR="00C32552" w:rsidRPr="00EB391B">
        <w:rPr>
          <w:rFonts w:ascii="Futura Lt BT" w:hAnsi="Futura Lt BT"/>
          <w:szCs w:val="24"/>
          <w:lang w:val="en-GB"/>
        </w:rPr>
        <w:t xml:space="preserve">recognise that </w:t>
      </w:r>
      <w:r w:rsidR="00144628" w:rsidRPr="00EB391B">
        <w:rPr>
          <w:rFonts w:ascii="Futura Lt BT" w:hAnsi="Futura Lt BT"/>
          <w:szCs w:val="24"/>
          <w:lang w:val="en-GB"/>
        </w:rPr>
        <w:t xml:space="preserve">non-penal </w:t>
      </w:r>
      <w:r w:rsidR="00C32552" w:rsidRPr="00EB391B">
        <w:rPr>
          <w:rFonts w:ascii="Futura Lt BT" w:hAnsi="Futura Lt BT"/>
          <w:szCs w:val="24"/>
          <w:lang w:val="en-GB"/>
        </w:rPr>
        <w:t>institutionalisation is a form of violence against women with disabilities and take comprehensive legislative, policy and other measures to combat the causes and consequences of institutionalisation, with the goal of achieving full inclusion for women with disabilities in their communities with necessary supports.</w:t>
      </w:r>
      <w:r w:rsidR="00144628" w:rsidRPr="00EB391B">
        <w:rPr>
          <w:rFonts w:ascii="Futura Lt BT" w:hAnsi="Futura Lt BT"/>
          <w:szCs w:val="24"/>
          <w:lang w:val="en-GB"/>
        </w:rPr>
        <w:t xml:space="preserve"> </w:t>
      </w:r>
      <w:r w:rsidR="00144628" w:rsidRPr="00EB391B">
        <w:rPr>
          <w:rFonts w:ascii="Futura Lt BT" w:hAnsi="Futura Lt BT"/>
          <w:b/>
          <w:szCs w:val="24"/>
          <w:lang w:val="en-GB"/>
        </w:rPr>
        <w:t>MDAC strongly recommends that the Committee avoids implying that any form of institutionalisation of women with disabilities can be justified in light of the obligations under Article 19 CRPD.</w:t>
      </w:r>
    </w:p>
    <w:p w:rsidR="00D92B1F" w:rsidRPr="00EB391B" w:rsidRDefault="00D92B1F" w:rsidP="00EB391B">
      <w:pPr>
        <w:pStyle w:val="NoSpacing"/>
        <w:suppressAutoHyphens/>
        <w:jc w:val="both"/>
        <w:rPr>
          <w:rStyle w:val="dnA"/>
          <w:rFonts w:ascii="Futura Lt BT" w:eastAsia="Futura Lt BT" w:hAnsi="Futura Lt BT" w:cstheme="minorHAnsi"/>
          <w:sz w:val="24"/>
          <w:szCs w:val="24"/>
          <w:lang w:val="en-GB"/>
        </w:rPr>
      </w:pPr>
    </w:p>
    <w:p w:rsidR="00D92B1F" w:rsidRPr="00EB391B" w:rsidRDefault="00D92B1F" w:rsidP="00EB391B">
      <w:pPr>
        <w:pStyle w:val="NoSpacing"/>
        <w:suppressAutoHyphens/>
        <w:jc w:val="both"/>
        <w:rPr>
          <w:rStyle w:val="dnA"/>
          <w:rFonts w:ascii="Futura Lt BT" w:eastAsia="Futura Lt BT" w:hAnsi="Futura Lt BT" w:cstheme="minorHAnsi"/>
          <w:sz w:val="24"/>
          <w:szCs w:val="24"/>
          <w:lang w:val="en-GB"/>
        </w:rPr>
      </w:pPr>
      <w:r w:rsidRPr="00EB391B">
        <w:rPr>
          <w:rStyle w:val="dnA"/>
          <w:rFonts w:ascii="Futura Lt BT" w:eastAsia="Futura Lt BT" w:hAnsi="Futura Lt BT" w:cstheme="minorHAnsi"/>
          <w:sz w:val="24"/>
          <w:szCs w:val="24"/>
          <w:lang w:val="en-GB"/>
        </w:rPr>
        <w:t>For further information, please contact:</w:t>
      </w:r>
    </w:p>
    <w:p w:rsidR="00D92B1F" w:rsidRPr="00EB391B" w:rsidRDefault="00D92B1F" w:rsidP="00EB391B">
      <w:pPr>
        <w:pStyle w:val="NoSpacing"/>
        <w:suppressAutoHyphens/>
        <w:jc w:val="both"/>
        <w:rPr>
          <w:rFonts w:ascii="Futura Lt BT" w:eastAsia="Futura Lt BT" w:hAnsi="Futura Lt BT" w:cstheme="minorHAnsi"/>
          <w:sz w:val="24"/>
          <w:szCs w:val="24"/>
          <w:lang w:val="en-GB"/>
        </w:rPr>
      </w:pPr>
    </w:p>
    <w:p w:rsidR="00D92B1F" w:rsidRPr="00EB391B" w:rsidRDefault="00D92B1F" w:rsidP="00EB391B">
      <w:pPr>
        <w:pStyle w:val="NoSpacing"/>
        <w:suppressAutoHyphens/>
        <w:ind w:firstLine="348"/>
        <w:jc w:val="both"/>
        <w:rPr>
          <w:rStyle w:val="dnA"/>
          <w:rFonts w:ascii="Futura Lt BT" w:eastAsia="Futura Lt BT" w:hAnsi="Futura Lt BT" w:cstheme="minorHAnsi"/>
          <w:b/>
          <w:bCs/>
          <w:sz w:val="24"/>
          <w:szCs w:val="24"/>
          <w:lang w:val="en-GB"/>
        </w:rPr>
      </w:pPr>
      <w:proofErr w:type="spellStart"/>
      <w:r w:rsidRPr="00EB391B">
        <w:rPr>
          <w:rStyle w:val="dnA"/>
          <w:rFonts w:ascii="Futura Lt BT" w:eastAsia="Futura Lt BT" w:hAnsi="Futura Lt BT" w:cstheme="minorHAnsi"/>
          <w:b/>
          <w:bCs/>
          <w:sz w:val="24"/>
          <w:szCs w:val="24"/>
          <w:lang w:val="en-GB"/>
        </w:rPr>
        <w:t>Oana</w:t>
      </w:r>
      <w:proofErr w:type="spellEnd"/>
      <w:r w:rsidRPr="00EB391B">
        <w:rPr>
          <w:rStyle w:val="dnA"/>
          <w:rFonts w:ascii="Futura Lt BT" w:eastAsia="Futura Lt BT" w:hAnsi="Futura Lt BT" w:cstheme="minorHAnsi"/>
          <w:b/>
          <w:bCs/>
          <w:sz w:val="24"/>
          <w:szCs w:val="24"/>
          <w:lang w:val="en-GB"/>
        </w:rPr>
        <w:t xml:space="preserve"> </w:t>
      </w:r>
      <w:proofErr w:type="spellStart"/>
      <w:r w:rsidRPr="00EB391B">
        <w:rPr>
          <w:rStyle w:val="dnA"/>
          <w:rFonts w:ascii="Futura Lt BT" w:eastAsia="Futura Lt BT" w:hAnsi="Futura Lt BT" w:cstheme="minorHAnsi"/>
          <w:b/>
          <w:bCs/>
          <w:sz w:val="24"/>
          <w:szCs w:val="24"/>
          <w:lang w:val="en-GB"/>
        </w:rPr>
        <w:t>G</w:t>
      </w:r>
      <w:r w:rsidRPr="00EB391B">
        <w:rPr>
          <w:rStyle w:val="dnA"/>
          <w:rFonts w:ascii="Futura Lt BT" w:hAnsi="Futura Lt BT" w:cstheme="minorHAnsi"/>
          <w:b/>
          <w:bCs/>
          <w:sz w:val="24"/>
          <w:szCs w:val="24"/>
          <w:lang w:val="en-GB"/>
        </w:rPr>
        <w:t>î</w:t>
      </w:r>
      <w:r w:rsidRPr="00EB391B">
        <w:rPr>
          <w:rStyle w:val="dnA"/>
          <w:rFonts w:ascii="Futura Lt BT" w:eastAsia="Futura Lt BT" w:hAnsi="Futura Lt BT" w:cstheme="minorHAnsi"/>
          <w:b/>
          <w:bCs/>
          <w:sz w:val="24"/>
          <w:szCs w:val="24"/>
          <w:lang w:val="en-GB"/>
        </w:rPr>
        <w:t>rlescu</w:t>
      </w:r>
      <w:proofErr w:type="spellEnd"/>
    </w:p>
    <w:p w:rsidR="00D92B1F" w:rsidRPr="00EB391B" w:rsidRDefault="00D92B1F" w:rsidP="00EB391B">
      <w:pPr>
        <w:pStyle w:val="NoSpacing"/>
        <w:suppressAutoHyphens/>
        <w:ind w:firstLine="348"/>
        <w:jc w:val="both"/>
        <w:rPr>
          <w:rStyle w:val="dnA"/>
          <w:rFonts w:ascii="Futura Lt BT" w:eastAsia="Futura Lt BT" w:hAnsi="Futura Lt BT" w:cstheme="minorHAnsi"/>
          <w:sz w:val="24"/>
          <w:szCs w:val="24"/>
          <w:lang w:val="en-GB"/>
        </w:rPr>
      </w:pPr>
      <w:r w:rsidRPr="00EB391B">
        <w:rPr>
          <w:rStyle w:val="dnA"/>
          <w:rFonts w:ascii="Futura Lt BT" w:eastAsia="Futura Lt BT" w:hAnsi="Futura Lt BT" w:cstheme="minorHAnsi"/>
          <w:sz w:val="24"/>
          <w:szCs w:val="24"/>
          <w:lang w:val="en-GB"/>
        </w:rPr>
        <w:t>Lawyer</w:t>
      </w:r>
    </w:p>
    <w:p w:rsidR="00D92B1F" w:rsidRPr="00EB391B" w:rsidRDefault="00D92B1F" w:rsidP="00EB391B">
      <w:pPr>
        <w:pStyle w:val="NoSpacing"/>
        <w:suppressAutoHyphens/>
        <w:ind w:firstLine="348"/>
        <w:jc w:val="both"/>
        <w:rPr>
          <w:rStyle w:val="dnA"/>
          <w:rFonts w:ascii="Futura Lt BT" w:eastAsia="Futura Lt BT" w:hAnsi="Futura Lt BT" w:cstheme="minorHAnsi"/>
          <w:sz w:val="24"/>
          <w:szCs w:val="24"/>
          <w:lang w:val="en-GB"/>
        </w:rPr>
      </w:pPr>
      <w:r w:rsidRPr="00EB391B">
        <w:rPr>
          <w:rStyle w:val="dnA"/>
          <w:rFonts w:ascii="Futura Lt BT" w:eastAsia="Futura Lt BT" w:hAnsi="Futura Lt BT" w:cstheme="minorHAnsi"/>
          <w:sz w:val="24"/>
          <w:szCs w:val="24"/>
          <w:lang w:val="en-GB"/>
        </w:rPr>
        <w:t>Mental Disability Advocacy Centre (MDAC)</w:t>
      </w:r>
    </w:p>
    <w:p w:rsidR="00E009F0" w:rsidRPr="00EB391B" w:rsidRDefault="00780B5D" w:rsidP="00EB391B">
      <w:pPr>
        <w:pStyle w:val="NoSpacing"/>
        <w:suppressAutoHyphens/>
        <w:ind w:firstLine="348"/>
        <w:jc w:val="both"/>
        <w:rPr>
          <w:rFonts w:ascii="Futura Lt BT" w:hAnsi="Futura Lt BT" w:cstheme="minorHAnsi"/>
          <w:sz w:val="24"/>
          <w:szCs w:val="24"/>
          <w:lang w:val="en-GB"/>
        </w:rPr>
      </w:pPr>
      <w:hyperlink r:id="rId11" w:history="1">
        <w:r w:rsidR="00D92B1F" w:rsidRPr="00EB391B">
          <w:rPr>
            <w:rStyle w:val="Hyperlink3"/>
            <w:rFonts w:cstheme="minorHAnsi"/>
            <w:sz w:val="24"/>
            <w:szCs w:val="24"/>
            <w:lang w:val="en-GB"/>
          </w:rPr>
          <w:t>oana@mdac.org</w:t>
        </w:r>
      </w:hyperlink>
    </w:p>
    <w:sectPr w:rsidR="00E009F0" w:rsidRPr="00EB391B" w:rsidSect="00E009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5D" w:rsidRDefault="00780B5D" w:rsidP="0078090C">
      <w:pPr>
        <w:spacing w:after="0" w:line="240" w:lineRule="auto"/>
      </w:pPr>
      <w:r>
        <w:separator/>
      </w:r>
    </w:p>
  </w:endnote>
  <w:endnote w:type="continuationSeparator" w:id="0">
    <w:p w:rsidR="00780B5D" w:rsidRDefault="00780B5D" w:rsidP="0078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5D" w:rsidRDefault="00780B5D" w:rsidP="0078090C">
      <w:pPr>
        <w:spacing w:after="0" w:line="240" w:lineRule="auto"/>
      </w:pPr>
      <w:r>
        <w:separator/>
      </w:r>
    </w:p>
  </w:footnote>
  <w:footnote w:type="continuationSeparator" w:id="0">
    <w:p w:rsidR="00780B5D" w:rsidRDefault="00780B5D" w:rsidP="0078090C">
      <w:pPr>
        <w:spacing w:after="0" w:line="240" w:lineRule="auto"/>
      </w:pPr>
      <w:r>
        <w:continuationSeparator/>
      </w:r>
    </w:p>
  </w:footnote>
  <w:footnote w:id="1">
    <w:p w:rsidR="00CF31C2" w:rsidRPr="00CF31C2" w:rsidRDefault="00CF31C2">
      <w:pPr>
        <w:pStyle w:val="FootnoteText"/>
        <w:rPr>
          <w:lang w:val="en-US"/>
        </w:rPr>
      </w:pPr>
      <w:r>
        <w:rPr>
          <w:rStyle w:val="FootnoteReference"/>
        </w:rPr>
        <w:footnoteRef/>
      </w:r>
      <w:r>
        <w:t xml:space="preserve"> </w:t>
      </w:r>
      <w:r>
        <w:rPr>
          <w:lang w:val="en-US"/>
        </w:rPr>
        <w:t>See, for example,</w:t>
      </w:r>
      <w:r w:rsidR="00722CAE">
        <w:rPr>
          <w:lang w:val="en-US"/>
        </w:rPr>
        <w:t xml:space="preserve"> Committee on the Elimination of All Forms of Discrimination </w:t>
      </w:r>
      <w:proofErr w:type="gramStart"/>
      <w:r w:rsidR="00722CAE">
        <w:rPr>
          <w:lang w:val="en-US"/>
        </w:rPr>
        <w:t>Against</w:t>
      </w:r>
      <w:proofErr w:type="gramEnd"/>
      <w:r w:rsidR="00722CAE">
        <w:rPr>
          <w:lang w:val="en-US"/>
        </w:rPr>
        <w:t xml:space="preserve"> Women,</w:t>
      </w:r>
      <w:r>
        <w:rPr>
          <w:lang w:val="en-US"/>
        </w:rPr>
        <w:t xml:space="preserve"> </w:t>
      </w:r>
      <w:r>
        <w:rPr>
          <w:i/>
          <w:lang w:val="en-US"/>
        </w:rPr>
        <w:t xml:space="preserve">Concluding observations on the Republic of Moldova, Combined Fourth and Fifth Periodic </w:t>
      </w:r>
      <w:r w:rsidRPr="00CF31C2">
        <w:rPr>
          <w:i/>
          <w:lang w:val="en-US"/>
        </w:rPr>
        <w:t>Reports</w:t>
      </w:r>
      <w:r>
        <w:rPr>
          <w:lang w:val="en-US"/>
        </w:rPr>
        <w:t xml:space="preserve">, </w:t>
      </w:r>
      <w:r w:rsidR="00722CAE">
        <w:rPr>
          <w:lang w:val="en-US"/>
        </w:rPr>
        <w:t xml:space="preserve">29 October 2013, </w:t>
      </w:r>
      <w:r w:rsidRPr="00CF31C2">
        <w:rPr>
          <w:lang w:val="en-US"/>
        </w:rPr>
        <w:t>CEDAW</w:t>
      </w:r>
      <w:r>
        <w:rPr>
          <w:lang w:val="en-US"/>
        </w:rPr>
        <w:t>/C/MDA/CO/4-5, at paras. 35-</w:t>
      </w:r>
      <w:r w:rsidR="00722CAE">
        <w:rPr>
          <w:lang w:val="en-US"/>
        </w:rPr>
        <w:t>3</w:t>
      </w:r>
      <w:r>
        <w:rPr>
          <w:lang w:val="en-US"/>
        </w:rPr>
        <w:t xml:space="preserve">8. </w:t>
      </w:r>
    </w:p>
  </w:footnote>
  <w:footnote w:id="2">
    <w:p w:rsidR="00722CAE" w:rsidRPr="00722CAE" w:rsidRDefault="00722CAE">
      <w:pPr>
        <w:pStyle w:val="FootnoteText"/>
        <w:rPr>
          <w:lang w:val="en-US"/>
        </w:rPr>
      </w:pPr>
      <w:r>
        <w:rPr>
          <w:rStyle w:val="FootnoteReference"/>
        </w:rPr>
        <w:footnoteRef/>
      </w:r>
      <w:r>
        <w:t xml:space="preserve"> </w:t>
      </w:r>
      <w:r>
        <w:rPr>
          <w:lang w:val="en-US"/>
        </w:rPr>
        <w:t xml:space="preserve">See, for example: MDAC, USPK and KAIH, </w:t>
      </w:r>
      <w:r>
        <w:rPr>
          <w:i/>
          <w:lang w:val="en-US"/>
        </w:rPr>
        <w:t>The right to legal capacity in Kenya</w:t>
      </w:r>
      <w:r>
        <w:rPr>
          <w:lang w:val="en-US"/>
        </w:rPr>
        <w:t xml:space="preserve"> (Budapest: MDAC, 2014), available online at </w:t>
      </w:r>
      <w:hyperlink r:id="rId1" w:history="1">
        <w:r w:rsidRPr="006F2C7F">
          <w:rPr>
            <w:rStyle w:val="Hyperlink"/>
            <w:lang w:val="en-US"/>
          </w:rPr>
          <w:t>http://mdac.info/sites/mdac.info/files/mdac_kenya_legal_capacity_2apr2014.pdf</w:t>
        </w:r>
      </w:hyperlink>
      <w:r>
        <w:rPr>
          <w:lang w:val="en-US"/>
        </w:rPr>
        <w:t xml:space="preserve"> (accessed 30 September 2016). </w:t>
      </w:r>
    </w:p>
  </w:footnote>
  <w:footnote w:id="3">
    <w:p w:rsidR="005C145C" w:rsidRPr="00243BF7" w:rsidRDefault="005C145C" w:rsidP="005C145C">
      <w:pPr>
        <w:pStyle w:val="FootnoteText"/>
        <w:rPr>
          <w:lang w:val="en-US"/>
        </w:rPr>
      </w:pPr>
      <w:r>
        <w:rPr>
          <w:rStyle w:val="FootnoteReference"/>
        </w:rPr>
        <w:footnoteRef/>
      </w:r>
      <w:r>
        <w:t xml:space="preserve"> </w:t>
      </w:r>
      <w:r w:rsidRPr="00243BF7">
        <w:t>See, for example, CRPD/C/MUS/CO/1, para. 29; CRPD/C/NZL/1, para. 37.</w:t>
      </w:r>
    </w:p>
  </w:footnote>
  <w:footnote w:id="4">
    <w:p w:rsidR="00DD7BD1" w:rsidRPr="00DD7BD1" w:rsidRDefault="00DD7BD1">
      <w:pPr>
        <w:pStyle w:val="FootnoteText"/>
        <w:rPr>
          <w:i/>
          <w:lang w:val="en-US"/>
        </w:rPr>
      </w:pPr>
      <w:r>
        <w:rPr>
          <w:rStyle w:val="FootnoteReference"/>
        </w:rPr>
        <w:footnoteRef/>
      </w:r>
      <w:r>
        <w:t xml:space="preserve"> </w:t>
      </w:r>
      <w:r>
        <w:rPr>
          <w:lang w:val="en-US"/>
        </w:rPr>
        <w:t xml:space="preserve">Oana Girlescu, </w:t>
      </w:r>
      <w:r w:rsidR="005B1168">
        <w:rPr>
          <w:lang w:val="en-US"/>
        </w:rPr>
        <w:t xml:space="preserve">‘Sexuality and disability: an assessment of practices under the Convention on the Rights of People with Disabilities (Thesis) (Central European University, 2012), p. 28, available online at </w:t>
      </w:r>
      <w:hyperlink r:id="rId2" w:history="1">
        <w:r w:rsidR="005B1168" w:rsidRPr="006F2C7F">
          <w:rPr>
            <w:rStyle w:val="Hyperlink"/>
            <w:lang w:val="en-US"/>
          </w:rPr>
          <w:t>http://www.etd.ceu.hu/2013/girlescu_oana.pdf</w:t>
        </w:r>
      </w:hyperlink>
      <w:r w:rsidR="005B1168">
        <w:rPr>
          <w:lang w:val="en-US"/>
        </w:rPr>
        <w:t xml:space="preserve"> (accessed 30 September 2016). </w:t>
      </w:r>
    </w:p>
  </w:footnote>
  <w:footnote w:id="5">
    <w:p w:rsidR="005B1168" w:rsidRPr="00DA3F3E" w:rsidRDefault="005B1168">
      <w:pPr>
        <w:pStyle w:val="FootnoteText"/>
        <w:rPr>
          <w:lang w:val="en-US"/>
        </w:rPr>
      </w:pPr>
      <w:r>
        <w:rPr>
          <w:rStyle w:val="FootnoteReference"/>
        </w:rPr>
        <w:footnoteRef/>
      </w:r>
      <w:r>
        <w:t xml:space="preserve"> </w:t>
      </w:r>
      <w:r w:rsidR="00DA3F3E">
        <w:rPr>
          <w:lang w:val="en-US"/>
        </w:rPr>
        <w:t xml:space="preserve">Committee on the Rights of Persons with Disabilities, </w:t>
      </w:r>
      <w:r w:rsidR="00DA3F3E">
        <w:rPr>
          <w:i/>
          <w:lang w:val="en-US"/>
        </w:rPr>
        <w:t>General Comment No. 3: Article 6 – Women and girls with disabilities</w:t>
      </w:r>
      <w:r w:rsidR="00DA3F3E">
        <w:rPr>
          <w:lang w:val="en-US"/>
        </w:rPr>
        <w:t>, 2 September 2016, CRPD/C/GC/3, para. 53-4.</w:t>
      </w:r>
    </w:p>
  </w:footnote>
  <w:footnote w:id="6">
    <w:p w:rsidR="00DA3F3E" w:rsidRPr="00DA3F3E" w:rsidRDefault="00DA3F3E">
      <w:pPr>
        <w:pStyle w:val="FootnoteText"/>
        <w:rPr>
          <w:lang w:val="en-US"/>
        </w:rPr>
      </w:pPr>
      <w:r>
        <w:rPr>
          <w:rStyle w:val="FootnoteReference"/>
        </w:rPr>
        <w:footnoteRef/>
      </w:r>
      <w:r>
        <w:t xml:space="preserve"> Ibid., para. 54.</w:t>
      </w:r>
    </w:p>
  </w:footnote>
  <w:footnote w:id="7">
    <w:p w:rsidR="00B15150" w:rsidRPr="00B15150" w:rsidRDefault="00B15150">
      <w:pPr>
        <w:pStyle w:val="FootnoteText"/>
        <w:rPr>
          <w:lang w:val="en-US"/>
        </w:rPr>
      </w:pPr>
      <w:r>
        <w:rPr>
          <w:rStyle w:val="FootnoteReference"/>
        </w:rPr>
        <w:footnoteRef/>
      </w:r>
      <w:r>
        <w:t xml:space="preserve"> Commissioner for Human Rights of the Council of Europe, </w:t>
      </w:r>
      <w:r>
        <w:rPr>
          <w:i/>
        </w:rPr>
        <w:t>Issue Paper: Right of people with disabilities to live independently and be included in the community</w:t>
      </w:r>
      <w:r>
        <w:t xml:space="preserve"> (Strabourg: Council of Europe, 2012), p. 37.</w:t>
      </w:r>
    </w:p>
  </w:footnote>
  <w:footnote w:id="8">
    <w:p w:rsidR="00F40857" w:rsidRPr="00A13284" w:rsidRDefault="00F40857" w:rsidP="00A13284">
      <w:pPr>
        <w:pStyle w:val="FootnoteText"/>
      </w:pPr>
      <w:r>
        <w:rPr>
          <w:rStyle w:val="FootnoteReference"/>
        </w:rPr>
        <w:footnoteRef/>
      </w:r>
      <w:r>
        <w:t xml:space="preserve"> </w:t>
      </w:r>
      <w:r w:rsidR="00B15150">
        <w:t>Shalev Sharon,</w:t>
      </w:r>
      <w:r w:rsidRPr="00561FFF">
        <w:t xml:space="preserve"> </w:t>
      </w:r>
      <w:r w:rsidRPr="00561FFF">
        <w:rPr>
          <w:i/>
        </w:rPr>
        <w:t>A sourcebook on solitary confinement</w:t>
      </w:r>
      <w:r w:rsidRPr="00561FFF">
        <w:t xml:space="preserve">. </w:t>
      </w:r>
      <w:r w:rsidR="00B15150">
        <w:t xml:space="preserve">(London: </w:t>
      </w:r>
      <w:r w:rsidRPr="00561FFF">
        <w:t>London School of Economics</w:t>
      </w:r>
      <w:r w:rsidR="00B15150">
        <w:t xml:space="preserve"> and Mannheim Centre for Criminology, 2008)</w:t>
      </w:r>
      <w:r w:rsidRPr="00561FFF">
        <w:t xml:space="preserve">, </w:t>
      </w:r>
      <w:r w:rsidR="00B15150">
        <w:t>p</w:t>
      </w:r>
      <w:r w:rsidRPr="00561FFF">
        <w:t>. 19.</w:t>
      </w:r>
    </w:p>
  </w:footnote>
  <w:footnote w:id="9">
    <w:p w:rsidR="00F40857" w:rsidRPr="00A13284" w:rsidRDefault="00F40857">
      <w:pPr>
        <w:pStyle w:val="FootnoteText"/>
        <w:rPr>
          <w:lang w:val="en-US"/>
        </w:rPr>
      </w:pPr>
      <w:r>
        <w:rPr>
          <w:rStyle w:val="FootnoteReference"/>
        </w:rPr>
        <w:footnoteRef/>
      </w:r>
      <w:r>
        <w:t xml:space="preserve"> </w:t>
      </w:r>
      <w:r w:rsidR="00B15150">
        <w:t>Amita Dhanda,</w:t>
      </w:r>
      <w:r w:rsidRPr="00561FFF">
        <w:rPr>
          <w:i/>
        </w:rPr>
        <w:t xml:space="preserve"> Legal capacity in the Disability Rights Convention: stranglehold of the past or lodestar for the future?</w:t>
      </w:r>
      <w:r w:rsidRPr="00561FFF">
        <w:t xml:space="preserve"> </w:t>
      </w:r>
      <w:r w:rsidR="00B15150">
        <w:t xml:space="preserve">[2007] </w:t>
      </w:r>
      <w:r w:rsidRPr="00561FFF">
        <w:t>Syracuse Journal of In</w:t>
      </w:r>
      <w:r w:rsidR="00B15150">
        <w:t>ternational Law and Commerce</w:t>
      </w:r>
      <w:r w:rsidRPr="00561FFF">
        <w:t xml:space="preserve"> 436.</w:t>
      </w:r>
    </w:p>
  </w:footnote>
  <w:footnote w:id="10">
    <w:p w:rsidR="00F40857" w:rsidRPr="007907EE" w:rsidRDefault="00F40857">
      <w:pPr>
        <w:pStyle w:val="FootnoteText"/>
        <w:rPr>
          <w:lang w:val="en-US"/>
        </w:rPr>
      </w:pPr>
      <w:r>
        <w:rPr>
          <w:rStyle w:val="FootnoteReference"/>
        </w:rPr>
        <w:footnoteRef/>
      </w:r>
      <w:r>
        <w:t xml:space="preserve"> </w:t>
      </w:r>
      <w:r w:rsidR="00B15150" w:rsidRPr="00561FFF">
        <w:t xml:space="preserve">Association for Social Affirmation of </w:t>
      </w:r>
      <w:r w:rsidR="00B15150">
        <w:t>People with Mental Disabilities (SHINE),</w:t>
      </w:r>
      <w:r w:rsidRPr="00561FFF">
        <w:t xml:space="preserve"> </w:t>
      </w:r>
      <w:r w:rsidRPr="00561FFF">
        <w:rPr>
          <w:i/>
        </w:rPr>
        <w:t>Out of Sight.Human Rights in Psychiatric Hospitals and Social Care Institutions in Croatia</w:t>
      </w:r>
      <w:r w:rsidR="00B15150">
        <w:rPr>
          <w:i/>
        </w:rPr>
        <w:t xml:space="preserve"> (Zagreb: </w:t>
      </w:r>
      <w:r w:rsidRPr="00561FFF">
        <w:t>Mental Disability Advocacy Center and</w:t>
      </w:r>
      <w:r w:rsidR="00B15150">
        <w:t xml:space="preserve"> SHINE, 2011)</w:t>
      </w:r>
      <w:r w:rsidRPr="00561FFF">
        <w:t>, p. 58.</w:t>
      </w:r>
    </w:p>
  </w:footnote>
  <w:footnote w:id="11">
    <w:p w:rsidR="00F40857" w:rsidRPr="007907EE" w:rsidRDefault="00F40857">
      <w:pPr>
        <w:pStyle w:val="FootnoteText"/>
        <w:rPr>
          <w:lang w:val="en-US"/>
        </w:rPr>
      </w:pPr>
      <w:r>
        <w:rPr>
          <w:rStyle w:val="FootnoteReference"/>
        </w:rPr>
        <w:footnoteRef/>
      </w:r>
      <w:r>
        <w:t xml:space="preserve"> </w:t>
      </w:r>
      <w:r w:rsidR="00B15150">
        <w:t>Supra note 8</w:t>
      </w:r>
      <w:r w:rsidRPr="00561FFF">
        <w:t>,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BE7"/>
    <w:multiLevelType w:val="hybridMultilevel"/>
    <w:tmpl w:val="DABE45B6"/>
    <w:lvl w:ilvl="0" w:tplc="2FF88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1640C"/>
    <w:multiLevelType w:val="hybridMultilevel"/>
    <w:tmpl w:val="B7C23AD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EB52CDF"/>
    <w:multiLevelType w:val="hybridMultilevel"/>
    <w:tmpl w:val="625A915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1225D28"/>
    <w:multiLevelType w:val="hybridMultilevel"/>
    <w:tmpl w:val="3A88CF6C"/>
    <w:lvl w:ilvl="0" w:tplc="2FF8880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E9E2C90"/>
    <w:multiLevelType w:val="hybridMultilevel"/>
    <w:tmpl w:val="49FE2C36"/>
    <w:lvl w:ilvl="0" w:tplc="2FF88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E5CD8"/>
    <w:multiLevelType w:val="hybridMultilevel"/>
    <w:tmpl w:val="9DF0A066"/>
    <w:numStyleLink w:val="Psmena"/>
  </w:abstractNum>
  <w:abstractNum w:abstractNumId="6">
    <w:nsid w:val="3925792E"/>
    <w:multiLevelType w:val="multilevel"/>
    <w:tmpl w:val="25A0C6D6"/>
    <w:styleLink w:val="HeadingsTraditionalFinal"/>
    <w:lvl w:ilvl="0">
      <w:start w:val="1"/>
      <w:numFmt w:val="none"/>
      <w:lvlText w:val=""/>
      <w:lvlJc w:val="left"/>
      <w:pPr>
        <w:ind w:left="360" w:hanging="360"/>
      </w:pPr>
      <w:rPr>
        <w:rFonts w:hint="default"/>
      </w:rPr>
    </w:lvl>
    <w:lvl w:ilvl="1">
      <w:start w:val="1"/>
      <w:numFmt w:val="upperLetter"/>
      <w:lvlText w:val="%2. "/>
      <w:lvlJc w:val="left"/>
      <w:pPr>
        <w:ind w:left="720" w:hanging="360"/>
      </w:pPr>
      <w:rPr>
        <w:rFonts w:hint="default"/>
      </w:rPr>
    </w:lvl>
    <w:lvl w:ilvl="2">
      <w:start w:val="1"/>
      <w:numFmt w:val="upperRoman"/>
      <w:lvlText w:val="%2.%3. "/>
      <w:lvlJc w:val="left"/>
      <w:pPr>
        <w:ind w:left="1080" w:hanging="360"/>
      </w:pPr>
      <w:rPr>
        <w:rFonts w:hint="default"/>
      </w:rPr>
    </w:lvl>
    <w:lvl w:ilvl="3">
      <w:start w:val="1"/>
      <w:numFmt w:val="decimal"/>
      <w:lvlText w:val="%2.%3.%4. "/>
      <w:lvlJc w:val="left"/>
      <w:pPr>
        <w:ind w:left="1440" w:hanging="360"/>
      </w:pPr>
      <w:rPr>
        <w:rFonts w:hint="default"/>
      </w:rPr>
    </w:lvl>
    <w:lvl w:ilvl="4">
      <w:start w:val="1"/>
      <w:numFmt w:val="lowerLetter"/>
      <w:lvlText w:val="%2.%3.%4.%5. "/>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4AB129C"/>
    <w:multiLevelType w:val="hybridMultilevel"/>
    <w:tmpl w:val="600AEA86"/>
    <w:lvl w:ilvl="0" w:tplc="2FF8880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5C816C6"/>
    <w:multiLevelType w:val="hybridMultilevel"/>
    <w:tmpl w:val="9DF0A066"/>
    <w:styleLink w:val="Psmena"/>
    <w:lvl w:ilvl="0" w:tplc="1A58117A">
      <w:start w:val="1"/>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68" w:hanging="368"/>
      </w:pPr>
      <w:rPr>
        <w:rFonts w:hAnsi="Arial Unicode MS"/>
        <w:b/>
        <w:bCs/>
        <w:caps w:val="0"/>
        <w:smallCaps w:val="0"/>
        <w:strike w:val="0"/>
        <w:dstrike w:val="0"/>
        <w:color w:val="000000"/>
        <w:spacing w:val="0"/>
        <w:w w:val="100"/>
        <w:kern w:val="0"/>
        <w:position w:val="0"/>
        <w:highlight w:val="none"/>
        <w:vertAlign w:val="baseline"/>
      </w:rPr>
    </w:lvl>
    <w:lvl w:ilvl="1" w:tplc="C486F66A">
      <w:start w:val="1"/>
      <w:numFmt w:val="upperRoman"/>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68" w:hanging="368"/>
      </w:pPr>
      <w:rPr>
        <w:rFonts w:hAnsi="Arial Unicode MS"/>
        <w:b/>
        <w:bCs/>
        <w:caps w:val="0"/>
        <w:smallCaps w:val="0"/>
        <w:strike w:val="0"/>
        <w:dstrike w:val="0"/>
        <w:color w:val="000000"/>
        <w:spacing w:val="0"/>
        <w:w w:val="100"/>
        <w:kern w:val="0"/>
        <w:position w:val="0"/>
        <w:highlight w:val="none"/>
        <w:vertAlign w:val="baseline"/>
      </w:rPr>
    </w:lvl>
    <w:lvl w:ilvl="2" w:tplc="ED686364">
      <w:start w:val="1"/>
      <w:numFmt w:val="upp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68" w:hanging="368"/>
      </w:pPr>
      <w:rPr>
        <w:rFonts w:hAnsi="Arial Unicode MS"/>
        <w:b/>
        <w:bCs/>
        <w:caps w:val="0"/>
        <w:smallCaps w:val="0"/>
        <w:strike w:val="0"/>
        <w:dstrike w:val="0"/>
        <w:color w:val="000000"/>
        <w:spacing w:val="0"/>
        <w:w w:val="100"/>
        <w:kern w:val="0"/>
        <w:position w:val="0"/>
        <w:highlight w:val="none"/>
        <w:vertAlign w:val="baseline"/>
      </w:rPr>
    </w:lvl>
    <w:lvl w:ilvl="3" w:tplc="8BD02278">
      <w:start w:val="1"/>
      <w:numFmt w:val="upperRoman"/>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368" w:hanging="368"/>
      </w:pPr>
      <w:rPr>
        <w:rFonts w:hAnsi="Arial Unicode MS"/>
        <w:b/>
        <w:bCs/>
        <w:caps w:val="0"/>
        <w:smallCaps w:val="0"/>
        <w:strike w:val="0"/>
        <w:dstrike w:val="0"/>
        <w:color w:val="000000"/>
        <w:spacing w:val="0"/>
        <w:w w:val="100"/>
        <w:kern w:val="0"/>
        <w:position w:val="0"/>
        <w:highlight w:val="none"/>
        <w:vertAlign w:val="baseline"/>
      </w:rPr>
    </w:lvl>
    <w:lvl w:ilvl="4" w:tplc="BF5CB08A">
      <w:start w:val="1"/>
      <w:numFmt w:val="upperRoman"/>
      <w:lvlText w:val="%5."/>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68" w:hanging="368"/>
      </w:pPr>
      <w:rPr>
        <w:rFonts w:hAnsi="Arial Unicode MS"/>
        <w:b/>
        <w:bCs/>
        <w:caps w:val="0"/>
        <w:smallCaps w:val="0"/>
        <w:strike w:val="0"/>
        <w:dstrike w:val="0"/>
        <w:color w:val="000000"/>
        <w:spacing w:val="0"/>
        <w:w w:val="100"/>
        <w:kern w:val="0"/>
        <w:position w:val="0"/>
        <w:highlight w:val="none"/>
        <w:vertAlign w:val="baseline"/>
      </w:rPr>
    </w:lvl>
    <w:lvl w:ilvl="5" w:tplc="4F0A8A2E">
      <w:start w:val="1"/>
      <w:numFmt w:val="upp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368" w:hanging="368"/>
      </w:pPr>
      <w:rPr>
        <w:rFonts w:hAnsi="Arial Unicode MS"/>
        <w:b/>
        <w:bCs/>
        <w:caps w:val="0"/>
        <w:smallCaps w:val="0"/>
        <w:strike w:val="0"/>
        <w:dstrike w:val="0"/>
        <w:color w:val="000000"/>
        <w:spacing w:val="0"/>
        <w:w w:val="100"/>
        <w:kern w:val="0"/>
        <w:position w:val="0"/>
        <w:highlight w:val="none"/>
        <w:vertAlign w:val="baseline"/>
      </w:rPr>
    </w:lvl>
    <w:lvl w:ilvl="6" w:tplc="AB488070">
      <w:start w:val="1"/>
      <w:numFmt w:val="upperRoman"/>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368" w:hanging="368"/>
      </w:pPr>
      <w:rPr>
        <w:rFonts w:hAnsi="Arial Unicode MS"/>
        <w:b/>
        <w:bCs/>
        <w:caps w:val="0"/>
        <w:smallCaps w:val="0"/>
        <w:strike w:val="0"/>
        <w:dstrike w:val="0"/>
        <w:color w:val="000000"/>
        <w:spacing w:val="0"/>
        <w:w w:val="100"/>
        <w:kern w:val="0"/>
        <w:position w:val="0"/>
        <w:highlight w:val="none"/>
        <w:vertAlign w:val="baseline"/>
      </w:rPr>
    </w:lvl>
    <w:lvl w:ilvl="7" w:tplc="D3666D68">
      <w:start w:val="1"/>
      <w:numFmt w:val="upperRoman"/>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566"/>
        </w:tabs>
        <w:ind w:left="7368" w:hanging="368"/>
      </w:pPr>
      <w:rPr>
        <w:rFonts w:hAnsi="Arial Unicode MS"/>
        <w:b/>
        <w:bCs/>
        <w:caps w:val="0"/>
        <w:smallCaps w:val="0"/>
        <w:strike w:val="0"/>
        <w:dstrike w:val="0"/>
        <w:color w:val="000000"/>
        <w:spacing w:val="0"/>
        <w:w w:val="100"/>
        <w:kern w:val="0"/>
        <w:position w:val="0"/>
        <w:highlight w:val="none"/>
        <w:vertAlign w:val="baseline"/>
      </w:rPr>
    </w:lvl>
    <w:lvl w:ilvl="8" w:tplc="89C273AE">
      <w:start w:val="1"/>
      <w:numFmt w:val="upp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368" w:hanging="368"/>
      </w:pPr>
      <w:rPr>
        <w:rFonts w:hAnsi="Arial Unicode MS"/>
        <w:b/>
        <w:bCs/>
        <w:caps w:val="0"/>
        <w:smallCaps w:val="0"/>
        <w:strike w:val="0"/>
        <w:dstrike w:val="0"/>
        <w:color w:val="000000"/>
        <w:spacing w:val="0"/>
        <w:w w:val="100"/>
        <w:kern w:val="0"/>
        <w:position w:val="0"/>
        <w:highlight w:val="none"/>
        <w:vertAlign w:val="baseline"/>
      </w:rPr>
    </w:lvl>
  </w:abstractNum>
  <w:abstractNum w:abstractNumId="9">
    <w:nsid w:val="5756459A"/>
    <w:multiLevelType w:val="hybridMultilevel"/>
    <w:tmpl w:val="52E0CAE0"/>
    <w:lvl w:ilvl="0" w:tplc="775A4002">
      <w:start w:val="8"/>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C853650"/>
    <w:multiLevelType w:val="hybridMultilevel"/>
    <w:tmpl w:val="D04A56DC"/>
    <w:lvl w:ilvl="0" w:tplc="2FF8880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1CD3B65"/>
    <w:multiLevelType w:val="hybridMultilevel"/>
    <w:tmpl w:val="53E4BC34"/>
    <w:lvl w:ilvl="0" w:tplc="2FF888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47D57"/>
    <w:multiLevelType w:val="hybridMultilevel"/>
    <w:tmpl w:val="99A4D312"/>
    <w:lvl w:ilvl="0" w:tplc="56FEBA74">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6E2B28E1"/>
    <w:multiLevelType w:val="hybridMultilevel"/>
    <w:tmpl w:val="12B2979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90A3ECE"/>
    <w:multiLevelType w:val="hybridMultilevel"/>
    <w:tmpl w:val="4886930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8"/>
  </w:num>
  <w:num w:numId="5">
    <w:abstractNumId w:val="5"/>
  </w:num>
  <w:num w:numId="6">
    <w:abstractNumId w:val="11"/>
  </w:num>
  <w:num w:numId="7">
    <w:abstractNumId w:val="2"/>
  </w:num>
  <w:num w:numId="8">
    <w:abstractNumId w:val="3"/>
  </w:num>
  <w:num w:numId="9">
    <w:abstractNumId w:val="10"/>
  </w:num>
  <w:num w:numId="10">
    <w:abstractNumId w:val="7"/>
  </w:num>
  <w:num w:numId="11">
    <w:abstractNumId w:val="4"/>
  </w:num>
  <w:num w:numId="12">
    <w:abstractNumId w:val="13"/>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FE"/>
    <w:rsid w:val="000360EB"/>
    <w:rsid w:val="000454B1"/>
    <w:rsid w:val="000460E7"/>
    <w:rsid w:val="00050F9C"/>
    <w:rsid w:val="00063D5C"/>
    <w:rsid w:val="00074CA2"/>
    <w:rsid w:val="00081038"/>
    <w:rsid w:val="000A212A"/>
    <w:rsid w:val="000A258A"/>
    <w:rsid w:val="000C625C"/>
    <w:rsid w:val="0012483A"/>
    <w:rsid w:val="001250D1"/>
    <w:rsid w:val="00144628"/>
    <w:rsid w:val="00154BE8"/>
    <w:rsid w:val="001658EC"/>
    <w:rsid w:val="001D422F"/>
    <w:rsid w:val="00205159"/>
    <w:rsid w:val="00231482"/>
    <w:rsid w:val="00243BF7"/>
    <w:rsid w:val="0025234B"/>
    <w:rsid w:val="00256829"/>
    <w:rsid w:val="002917BD"/>
    <w:rsid w:val="002954A2"/>
    <w:rsid w:val="002F128A"/>
    <w:rsid w:val="003205BB"/>
    <w:rsid w:val="0032787A"/>
    <w:rsid w:val="0038209C"/>
    <w:rsid w:val="00385FA7"/>
    <w:rsid w:val="003B047D"/>
    <w:rsid w:val="003B7B3C"/>
    <w:rsid w:val="003C4CDC"/>
    <w:rsid w:val="003C5D37"/>
    <w:rsid w:val="00415001"/>
    <w:rsid w:val="00441F75"/>
    <w:rsid w:val="00474B5B"/>
    <w:rsid w:val="00486235"/>
    <w:rsid w:val="004A1D21"/>
    <w:rsid w:val="004C754F"/>
    <w:rsid w:val="0053557E"/>
    <w:rsid w:val="00537BFB"/>
    <w:rsid w:val="005B1168"/>
    <w:rsid w:val="005B4305"/>
    <w:rsid w:val="005C145C"/>
    <w:rsid w:val="005E2369"/>
    <w:rsid w:val="005E5848"/>
    <w:rsid w:val="005E6332"/>
    <w:rsid w:val="005F4E1D"/>
    <w:rsid w:val="00601001"/>
    <w:rsid w:val="00622A67"/>
    <w:rsid w:val="0065374B"/>
    <w:rsid w:val="006627F8"/>
    <w:rsid w:val="00687457"/>
    <w:rsid w:val="006B78EE"/>
    <w:rsid w:val="006D5F83"/>
    <w:rsid w:val="006F1C46"/>
    <w:rsid w:val="00722CAE"/>
    <w:rsid w:val="00764BE5"/>
    <w:rsid w:val="0078090C"/>
    <w:rsid w:val="00780B5D"/>
    <w:rsid w:val="007907EE"/>
    <w:rsid w:val="0079742D"/>
    <w:rsid w:val="007B5CBF"/>
    <w:rsid w:val="008033D4"/>
    <w:rsid w:val="00833E6C"/>
    <w:rsid w:val="00876F4D"/>
    <w:rsid w:val="008A49DE"/>
    <w:rsid w:val="00943005"/>
    <w:rsid w:val="00951D7D"/>
    <w:rsid w:val="00985B66"/>
    <w:rsid w:val="009A686A"/>
    <w:rsid w:val="009B0E2A"/>
    <w:rsid w:val="009C2BDA"/>
    <w:rsid w:val="00A07736"/>
    <w:rsid w:val="00A13284"/>
    <w:rsid w:val="00A468EE"/>
    <w:rsid w:val="00A5477D"/>
    <w:rsid w:val="00AB0BDC"/>
    <w:rsid w:val="00AB4D8A"/>
    <w:rsid w:val="00AE49EB"/>
    <w:rsid w:val="00AF0B0C"/>
    <w:rsid w:val="00B15150"/>
    <w:rsid w:val="00B207DD"/>
    <w:rsid w:val="00B658F2"/>
    <w:rsid w:val="00B91D0D"/>
    <w:rsid w:val="00BC132C"/>
    <w:rsid w:val="00BC3307"/>
    <w:rsid w:val="00BC6C0C"/>
    <w:rsid w:val="00BD0668"/>
    <w:rsid w:val="00BD7C74"/>
    <w:rsid w:val="00C32552"/>
    <w:rsid w:val="00C376D0"/>
    <w:rsid w:val="00C81931"/>
    <w:rsid w:val="00CE6F4B"/>
    <w:rsid w:val="00CF31C2"/>
    <w:rsid w:val="00D01F32"/>
    <w:rsid w:val="00D92B1F"/>
    <w:rsid w:val="00D94D59"/>
    <w:rsid w:val="00DA3F3E"/>
    <w:rsid w:val="00DB1A9C"/>
    <w:rsid w:val="00DB32FE"/>
    <w:rsid w:val="00DD7BD1"/>
    <w:rsid w:val="00DF246A"/>
    <w:rsid w:val="00E009F0"/>
    <w:rsid w:val="00E10862"/>
    <w:rsid w:val="00E52B34"/>
    <w:rsid w:val="00EB391B"/>
    <w:rsid w:val="00EC03FF"/>
    <w:rsid w:val="00EE1A5F"/>
    <w:rsid w:val="00F33F53"/>
    <w:rsid w:val="00F40857"/>
    <w:rsid w:val="00F42B64"/>
    <w:rsid w:val="00FA43BA"/>
    <w:rsid w:val="00FB1CC7"/>
    <w:rsid w:val="00FB2CAA"/>
    <w:rsid w:val="00FD22C6"/>
    <w:rsid w:val="00FF5302"/>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EE"/>
    <w:pPr>
      <w:spacing w:after="200"/>
    </w:pPr>
    <w:rPr>
      <w:sz w:val="24"/>
    </w:rPr>
  </w:style>
  <w:style w:type="paragraph" w:styleId="Heading7">
    <w:name w:val="heading 7"/>
    <w:basedOn w:val="Normal"/>
    <w:next w:val="Normal"/>
    <w:link w:val="Heading7Char"/>
    <w:uiPriority w:val="9"/>
    <w:semiHidden/>
    <w:unhideWhenUsed/>
    <w:qFormat/>
    <w:rsid w:val="00EC03FF"/>
    <w:pPr>
      <w:spacing w:before="240" w:after="60"/>
      <w:outlineLvl w:val="6"/>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TraditionalFinal">
    <w:name w:val="Headings_Traditional_Final"/>
    <w:uiPriority w:val="99"/>
    <w:rsid w:val="008033D4"/>
    <w:pPr>
      <w:numPr>
        <w:numId w:val="1"/>
      </w:numPr>
    </w:pPr>
  </w:style>
  <w:style w:type="character" w:customStyle="1" w:styleId="Heading7Char">
    <w:name w:val="Heading 7 Char"/>
    <w:basedOn w:val="DefaultParagraphFont"/>
    <w:link w:val="Heading7"/>
    <w:uiPriority w:val="9"/>
    <w:semiHidden/>
    <w:rsid w:val="00EC03FF"/>
    <w:rPr>
      <w:rFonts w:asciiTheme="minorHAnsi" w:eastAsiaTheme="minorEastAsia" w:hAnsiTheme="minorHAnsi" w:cstheme="minorBidi"/>
      <w:sz w:val="24"/>
      <w:szCs w:val="24"/>
    </w:rPr>
  </w:style>
  <w:style w:type="paragraph" w:styleId="ListParagraph">
    <w:name w:val="List Paragraph"/>
    <w:basedOn w:val="Normal"/>
    <w:uiPriority w:val="34"/>
    <w:qFormat/>
    <w:rsid w:val="00DB32FE"/>
    <w:pPr>
      <w:ind w:left="720"/>
      <w:contextualSpacing/>
    </w:pPr>
  </w:style>
  <w:style w:type="paragraph" w:styleId="FootnoteText">
    <w:name w:val="footnote text"/>
    <w:aliases w:val="5_G"/>
    <w:basedOn w:val="Normal"/>
    <w:link w:val="FootnoteTextChar"/>
    <w:unhideWhenUsed/>
    <w:rsid w:val="00A13284"/>
    <w:pPr>
      <w:spacing w:after="0" w:line="240" w:lineRule="auto"/>
    </w:pPr>
    <w:rPr>
      <w:sz w:val="20"/>
      <w:szCs w:val="20"/>
    </w:rPr>
  </w:style>
  <w:style w:type="character" w:customStyle="1" w:styleId="FootnoteTextChar">
    <w:name w:val="Footnote Text Char"/>
    <w:aliases w:val="5_G Char"/>
    <w:basedOn w:val="DefaultParagraphFont"/>
    <w:link w:val="FootnoteText"/>
    <w:rsid w:val="00A13284"/>
    <w:rPr>
      <w:sz w:val="20"/>
      <w:szCs w:val="20"/>
    </w:rPr>
  </w:style>
  <w:style w:type="character" w:styleId="FootnoteReference">
    <w:name w:val="footnote reference"/>
    <w:aliases w:val="4_G,Footnote Ref,16 Point,Superscript 6 Point,ftref"/>
    <w:basedOn w:val="DefaultParagraphFont"/>
    <w:unhideWhenUsed/>
    <w:rsid w:val="00A13284"/>
    <w:rPr>
      <w:vertAlign w:val="superscript"/>
    </w:rPr>
  </w:style>
  <w:style w:type="paragraph" w:styleId="Footer">
    <w:name w:val="footer"/>
    <w:basedOn w:val="Normal"/>
    <w:link w:val="FooterChar"/>
    <w:uiPriority w:val="99"/>
    <w:unhideWhenUsed/>
    <w:rsid w:val="00A13284"/>
    <w:pPr>
      <w:tabs>
        <w:tab w:val="center" w:pos="4680"/>
        <w:tab w:val="right" w:pos="9360"/>
      </w:tabs>
      <w:spacing w:after="0" w:line="240" w:lineRule="auto"/>
    </w:pPr>
    <w:rPr>
      <w:rFonts w:ascii="Futura Lt BT" w:eastAsiaTheme="minorHAnsi" w:hAnsi="Futura Lt BT"/>
      <w:sz w:val="22"/>
      <w:lang w:val="en-GB" w:eastAsia="en-US"/>
    </w:rPr>
  </w:style>
  <w:style w:type="character" w:customStyle="1" w:styleId="FooterChar">
    <w:name w:val="Footer Char"/>
    <w:basedOn w:val="DefaultParagraphFont"/>
    <w:link w:val="Footer"/>
    <w:uiPriority w:val="99"/>
    <w:rsid w:val="00A13284"/>
    <w:rPr>
      <w:rFonts w:ascii="Futura Lt BT" w:eastAsiaTheme="minorHAnsi" w:hAnsi="Futura Lt BT"/>
      <w:lang w:val="en-GB" w:eastAsia="en-US"/>
    </w:rPr>
  </w:style>
  <w:style w:type="numbering" w:customStyle="1" w:styleId="Psmena">
    <w:name w:val="Písmena"/>
    <w:rsid w:val="00074CA2"/>
    <w:pPr>
      <w:numPr>
        <w:numId w:val="4"/>
      </w:numPr>
    </w:pPr>
  </w:style>
  <w:style w:type="character" w:styleId="Hyperlink">
    <w:name w:val="Hyperlink"/>
    <w:basedOn w:val="DefaultParagraphFont"/>
    <w:uiPriority w:val="99"/>
    <w:unhideWhenUsed/>
    <w:rsid w:val="00074CA2"/>
    <w:rPr>
      <w:color w:val="0000FF" w:themeColor="hyperlink"/>
      <w:u w:val="single"/>
    </w:rPr>
  </w:style>
  <w:style w:type="paragraph" w:styleId="NoSpacing">
    <w:name w:val="No Spacing"/>
    <w:rsid w:val="00D92B1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US"/>
    </w:rPr>
  </w:style>
  <w:style w:type="character" w:customStyle="1" w:styleId="dnA">
    <w:name w:val="Žádný A"/>
    <w:rsid w:val="00D92B1F"/>
  </w:style>
  <w:style w:type="character" w:customStyle="1" w:styleId="Hyperlink3">
    <w:name w:val="Hyperlink.3"/>
    <w:basedOn w:val="DefaultParagraphFont"/>
    <w:rsid w:val="00D92B1F"/>
    <w:rPr>
      <w:rFonts w:ascii="Futura Lt BT" w:eastAsia="Futura Lt BT" w:hAnsi="Futura Lt BT" w:cs="Futura Lt BT"/>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8EE"/>
    <w:pPr>
      <w:spacing w:after="200"/>
    </w:pPr>
    <w:rPr>
      <w:sz w:val="24"/>
    </w:rPr>
  </w:style>
  <w:style w:type="paragraph" w:styleId="Heading7">
    <w:name w:val="heading 7"/>
    <w:basedOn w:val="Normal"/>
    <w:next w:val="Normal"/>
    <w:link w:val="Heading7Char"/>
    <w:uiPriority w:val="9"/>
    <w:semiHidden/>
    <w:unhideWhenUsed/>
    <w:qFormat/>
    <w:rsid w:val="00EC03FF"/>
    <w:pPr>
      <w:spacing w:before="240" w:after="60"/>
      <w:outlineLvl w:val="6"/>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TraditionalFinal">
    <w:name w:val="Headings_Traditional_Final"/>
    <w:uiPriority w:val="99"/>
    <w:rsid w:val="008033D4"/>
    <w:pPr>
      <w:numPr>
        <w:numId w:val="1"/>
      </w:numPr>
    </w:pPr>
  </w:style>
  <w:style w:type="character" w:customStyle="1" w:styleId="Heading7Char">
    <w:name w:val="Heading 7 Char"/>
    <w:basedOn w:val="DefaultParagraphFont"/>
    <w:link w:val="Heading7"/>
    <w:uiPriority w:val="9"/>
    <w:semiHidden/>
    <w:rsid w:val="00EC03FF"/>
    <w:rPr>
      <w:rFonts w:asciiTheme="minorHAnsi" w:eastAsiaTheme="minorEastAsia" w:hAnsiTheme="minorHAnsi" w:cstheme="minorBidi"/>
      <w:sz w:val="24"/>
      <w:szCs w:val="24"/>
    </w:rPr>
  </w:style>
  <w:style w:type="paragraph" w:styleId="ListParagraph">
    <w:name w:val="List Paragraph"/>
    <w:basedOn w:val="Normal"/>
    <w:uiPriority w:val="34"/>
    <w:qFormat/>
    <w:rsid w:val="00DB32FE"/>
    <w:pPr>
      <w:ind w:left="720"/>
      <w:contextualSpacing/>
    </w:pPr>
  </w:style>
  <w:style w:type="paragraph" w:styleId="FootnoteText">
    <w:name w:val="footnote text"/>
    <w:aliases w:val="5_G"/>
    <w:basedOn w:val="Normal"/>
    <w:link w:val="FootnoteTextChar"/>
    <w:unhideWhenUsed/>
    <w:rsid w:val="00A13284"/>
    <w:pPr>
      <w:spacing w:after="0" w:line="240" w:lineRule="auto"/>
    </w:pPr>
    <w:rPr>
      <w:sz w:val="20"/>
      <w:szCs w:val="20"/>
    </w:rPr>
  </w:style>
  <w:style w:type="character" w:customStyle="1" w:styleId="FootnoteTextChar">
    <w:name w:val="Footnote Text Char"/>
    <w:aliases w:val="5_G Char"/>
    <w:basedOn w:val="DefaultParagraphFont"/>
    <w:link w:val="FootnoteText"/>
    <w:rsid w:val="00A13284"/>
    <w:rPr>
      <w:sz w:val="20"/>
      <w:szCs w:val="20"/>
    </w:rPr>
  </w:style>
  <w:style w:type="character" w:styleId="FootnoteReference">
    <w:name w:val="footnote reference"/>
    <w:aliases w:val="4_G,Footnote Ref,16 Point,Superscript 6 Point,ftref"/>
    <w:basedOn w:val="DefaultParagraphFont"/>
    <w:unhideWhenUsed/>
    <w:rsid w:val="00A13284"/>
    <w:rPr>
      <w:vertAlign w:val="superscript"/>
    </w:rPr>
  </w:style>
  <w:style w:type="paragraph" w:styleId="Footer">
    <w:name w:val="footer"/>
    <w:basedOn w:val="Normal"/>
    <w:link w:val="FooterChar"/>
    <w:uiPriority w:val="99"/>
    <w:unhideWhenUsed/>
    <w:rsid w:val="00A13284"/>
    <w:pPr>
      <w:tabs>
        <w:tab w:val="center" w:pos="4680"/>
        <w:tab w:val="right" w:pos="9360"/>
      </w:tabs>
      <w:spacing w:after="0" w:line="240" w:lineRule="auto"/>
    </w:pPr>
    <w:rPr>
      <w:rFonts w:ascii="Futura Lt BT" w:eastAsiaTheme="minorHAnsi" w:hAnsi="Futura Lt BT"/>
      <w:sz w:val="22"/>
      <w:lang w:val="en-GB" w:eastAsia="en-US"/>
    </w:rPr>
  </w:style>
  <w:style w:type="character" w:customStyle="1" w:styleId="FooterChar">
    <w:name w:val="Footer Char"/>
    <w:basedOn w:val="DefaultParagraphFont"/>
    <w:link w:val="Footer"/>
    <w:uiPriority w:val="99"/>
    <w:rsid w:val="00A13284"/>
    <w:rPr>
      <w:rFonts w:ascii="Futura Lt BT" w:eastAsiaTheme="minorHAnsi" w:hAnsi="Futura Lt BT"/>
      <w:lang w:val="en-GB" w:eastAsia="en-US"/>
    </w:rPr>
  </w:style>
  <w:style w:type="numbering" w:customStyle="1" w:styleId="Psmena">
    <w:name w:val="Písmena"/>
    <w:rsid w:val="00074CA2"/>
    <w:pPr>
      <w:numPr>
        <w:numId w:val="4"/>
      </w:numPr>
    </w:pPr>
  </w:style>
  <w:style w:type="character" w:styleId="Hyperlink">
    <w:name w:val="Hyperlink"/>
    <w:basedOn w:val="DefaultParagraphFont"/>
    <w:uiPriority w:val="99"/>
    <w:unhideWhenUsed/>
    <w:rsid w:val="00074CA2"/>
    <w:rPr>
      <w:color w:val="0000FF" w:themeColor="hyperlink"/>
      <w:u w:val="single"/>
    </w:rPr>
  </w:style>
  <w:style w:type="paragraph" w:styleId="NoSpacing">
    <w:name w:val="No Spacing"/>
    <w:rsid w:val="00D92B1F"/>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US"/>
    </w:rPr>
  </w:style>
  <w:style w:type="character" w:customStyle="1" w:styleId="dnA">
    <w:name w:val="Žádný A"/>
    <w:rsid w:val="00D92B1F"/>
  </w:style>
  <w:style w:type="character" w:customStyle="1" w:styleId="Hyperlink3">
    <w:name w:val="Hyperlink.3"/>
    <w:basedOn w:val="DefaultParagraphFont"/>
    <w:rsid w:val="00D92B1F"/>
    <w:rPr>
      <w:rFonts w:ascii="Futura Lt BT" w:eastAsia="Futura Lt BT" w:hAnsi="Futura Lt BT" w:cs="Futura Lt BT"/>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ana@mdac.org"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mdac.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etd.ceu.hu/2013/girlescu_oana.pdf" TargetMode="External"/><Relationship Id="rId1" Type="http://schemas.openxmlformats.org/officeDocument/2006/relationships/hyperlink" Target="http://mdac.info/sites/mdac.info/files/mdac_kenya_legal_capacity_2apr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DAB02F-DBDE-4F1E-8E99-85DEEDA6E78B}"/>
</file>

<file path=customXml/itemProps2.xml><?xml version="1.0" encoding="utf-8"?>
<ds:datastoreItem xmlns:ds="http://schemas.openxmlformats.org/officeDocument/2006/customXml" ds:itemID="{B2FC323B-297E-4017-A292-7578797B5DF7}"/>
</file>

<file path=customXml/itemProps3.xml><?xml version="1.0" encoding="utf-8"?>
<ds:datastoreItem xmlns:ds="http://schemas.openxmlformats.org/officeDocument/2006/customXml" ds:itemID="{C2BF0FCC-61C6-45F9-A775-A1AA94EA98F9}"/>
</file>

<file path=customXml/itemProps4.xml><?xml version="1.0" encoding="utf-8"?>
<ds:datastoreItem xmlns:ds="http://schemas.openxmlformats.org/officeDocument/2006/customXml" ds:itemID="{01A779F4-8CF8-4FC2-98B5-49224AA88FBD}"/>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Irene del Pilar Sandoval</cp:lastModifiedBy>
  <cp:revision>2</cp:revision>
  <dcterms:created xsi:type="dcterms:W3CDTF">2016-10-03T11:44:00Z</dcterms:created>
  <dcterms:modified xsi:type="dcterms:W3CDTF">2016-10-03T11:44:00Z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3761300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