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65230" w14:textId="74B6358E" w:rsidR="009302E0" w:rsidRPr="009302E0" w:rsidRDefault="00E43596" w:rsidP="009302E0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u w:val="single"/>
          <w:lang w:val="es-ES"/>
        </w:rPr>
        <w:t>Participación</w:t>
      </w:r>
      <w:r w:rsidR="009302E0">
        <w:rPr>
          <w:rFonts w:ascii="Arial" w:hAnsi="Arial" w:cs="Arial"/>
          <w:b/>
          <w:sz w:val="28"/>
          <w:szCs w:val="24"/>
          <w:u w:val="single"/>
          <w:lang w:val="es-ES"/>
        </w:rPr>
        <w:t xml:space="preserve"> de </w:t>
      </w:r>
      <w:r>
        <w:rPr>
          <w:rFonts w:ascii="Arial" w:hAnsi="Arial" w:cs="Arial"/>
          <w:b/>
          <w:sz w:val="28"/>
          <w:szCs w:val="24"/>
          <w:u w:val="single"/>
          <w:lang w:val="es-ES"/>
        </w:rPr>
        <w:t>la Coalición</w:t>
      </w:r>
      <w:r w:rsidR="00B07056">
        <w:rPr>
          <w:rFonts w:ascii="Arial" w:hAnsi="Arial" w:cs="Arial"/>
          <w:b/>
          <w:sz w:val="28"/>
          <w:szCs w:val="24"/>
          <w:u w:val="single"/>
          <w:lang w:val="es-ES"/>
        </w:rPr>
        <w:t xml:space="preserve"> Equivalencias en Acción en la d</w:t>
      </w:r>
      <w:r>
        <w:rPr>
          <w:rFonts w:ascii="Arial" w:hAnsi="Arial" w:cs="Arial"/>
          <w:b/>
          <w:sz w:val="28"/>
          <w:szCs w:val="24"/>
          <w:u w:val="single"/>
          <w:lang w:val="es-ES"/>
        </w:rPr>
        <w:t xml:space="preserve">iscusión </w:t>
      </w:r>
    </w:p>
    <w:p w14:paraId="66CBBDBF" w14:textId="2DA4DA1D" w:rsidR="00E43596" w:rsidRDefault="00B07056" w:rsidP="00E4359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  <w:lang w:val="es-ES"/>
        </w:rPr>
      </w:pPr>
      <w:r>
        <w:rPr>
          <w:rFonts w:ascii="Arial" w:hAnsi="Arial" w:cs="Arial"/>
          <w:b/>
          <w:sz w:val="28"/>
          <w:szCs w:val="24"/>
          <w:u w:val="single"/>
          <w:lang w:val="es-ES"/>
        </w:rPr>
        <w:t>sobre la elaboración de una r</w:t>
      </w:r>
      <w:r w:rsidR="009302E0" w:rsidRPr="009302E0">
        <w:rPr>
          <w:rFonts w:ascii="Arial" w:hAnsi="Arial" w:cs="Arial"/>
          <w:b/>
          <w:sz w:val="28"/>
          <w:szCs w:val="24"/>
          <w:u w:val="single"/>
          <w:lang w:val="es-ES"/>
        </w:rPr>
        <w:t>ecomendación general sobre la trata de mujeres y niñas en el contexto de la migración mundial</w:t>
      </w:r>
      <w:r w:rsidR="00E43596">
        <w:rPr>
          <w:rFonts w:ascii="Arial" w:hAnsi="Arial" w:cs="Arial"/>
          <w:b/>
          <w:sz w:val="28"/>
          <w:szCs w:val="24"/>
          <w:u w:val="single"/>
          <w:lang w:val="es-ES_tradnl"/>
        </w:rPr>
        <w:t xml:space="preserve"> convocada por </w:t>
      </w:r>
      <w:r>
        <w:rPr>
          <w:rFonts w:ascii="Arial" w:hAnsi="Arial" w:cs="Arial"/>
          <w:b/>
          <w:sz w:val="28"/>
          <w:szCs w:val="24"/>
          <w:u w:val="single"/>
          <w:lang w:val="es-ES_tradnl"/>
        </w:rPr>
        <w:t xml:space="preserve">el </w:t>
      </w:r>
      <w:r w:rsidR="00E43596" w:rsidRPr="00E43596">
        <w:rPr>
          <w:rFonts w:ascii="Arial" w:hAnsi="Arial" w:cs="Arial"/>
          <w:b/>
          <w:sz w:val="28"/>
          <w:szCs w:val="24"/>
          <w:u w:val="single"/>
          <w:lang w:val="es-ES"/>
        </w:rPr>
        <w:t>Comité para la Eliminación de la Discriminación</w:t>
      </w:r>
      <w:r>
        <w:rPr>
          <w:rFonts w:ascii="Arial" w:hAnsi="Arial" w:cs="Arial"/>
          <w:b/>
          <w:sz w:val="28"/>
          <w:szCs w:val="24"/>
          <w:u w:val="single"/>
          <w:lang w:val="es-ES"/>
        </w:rPr>
        <w:t xml:space="preserve"> contra la Mujer</w:t>
      </w:r>
    </w:p>
    <w:p w14:paraId="313B3F13" w14:textId="77777777" w:rsidR="00E43596" w:rsidRDefault="00E43596" w:rsidP="00E4359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  <w:lang w:val="es-ES"/>
        </w:rPr>
      </w:pPr>
    </w:p>
    <w:p w14:paraId="48EF8AF4" w14:textId="66FA87FD" w:rsidR="00EB1784" w:rsidRDefault="00C2371F" w:rsidP="005F39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movilidad humana de </w:t>
      </w:r>
      <w:r w:rsidR="00983540" w:rsidRPr="001E4779">
        <w:rPr>
          <w:rFonts w:ascii="Arial" w:hAnsi="Arial" w:cs="Arial"/>
          <w:sz w:val="24"/>
          <w:szCs w:val="24"/>
        </w:rPr>
        <w:t>más de 300 mill</w:t>
      </w:r>
      <w:r w:rsidR="00E43596">
        <w:rPr>
          <w:rFonts w:ascii="Arial" w:hAnsi="Arial" w:cs="Arial"/>
          <w:sz w:val="24"/>
          <w:szCs w:val="24"/>
        </w:rPr>
        <w:t>ones de personas a nivel global</w:t>
      </w:r>
      <w:r w:rsidR="00B07056">
        <w:rPr>
          <w:rFonts w:ascii="Arial" w:hAnsi="Arial" w:cs="Arial"/>
          <w:sz w:val="24"/>
          <w:szCs w:val="24"/>
        </w:rPr>
        <w:t xml:space="preserve"> hoy en dí</w:t>
      </w:r>
      <w:r w:rsidR="00033973">
        <w:rPr>
          <w:rFonts w:ascii="Arial" w:hAnsi="Arial" w:cs="Arial"/>
          <w:sz w:val="24"/>
          <w:szCs w:val="24"/>
        </w:rPr>
        <w:t>a es</w:t>
      </w:r>
      <w:r w:rsidR="00983540" w:rsidRPr="001E4779">
        <w:rPr>
          <w:rFonts w:ascii="Arial" w:hAnsi="Arial" w:cs="Arial"/>
          <w:sz w:val="24"/>
          <w:szCs w:val="24"/>
        </w:rPr>
        <w:t>, sin lugar a dudas</w:t>
      </w:r>
      <w:r w:rsidR="00B07056">
        <w:rPr>
          <w:rFonts w:ascii="Arial" w:hAnsi="Arial" w:cs="Arial"/>
          <w:sz w:val="24"/>
          <w:szCs w:val="24"/>
        </w:rPr>
        <w:t>,</w:t>
      </w:r>
      <w:r w:rsidR="00983540" w:rsidRPr="001E4779">
        <w:rPr>
          <w:rFonts w:ascii="Arial" w:hAnsi="Arial" w:cs="Arial"/>
          <w:sz w:val="24"/>
          <w:szCs w:val="24"/>
        </w:rPr>
        <w:t xml:space="preserve"> uno de los fenómenos sociales más complejos e importantes del siglo XXI, por lo que su g</w:t>
      </w:r>
      <w:r w:rsidR="00B07056">
        <w:rPr>
          <w:rFonts w:ascii="Arial" w:hAnsi="Arial" w:cs="Arial"/>
          <w:sz w:val="24"/>
          <w:szCs w:val="24"/>
        </w:rPr>
        <w:t>estión ha adquirido cada vez</w:t>
      </w:r>
      <w:r w:rsidR="00983540" w:rsidRPr="001E4779">
        <w:rPr>
          <w:rFonts w:ascii="Arial" w:hAnsi="Arial" w:cs="Arial"/>
          <w:sz w:val="24"/>
          <w:szCs w:val="24"/>
        </w:rPr>
        <w:t xml:space="preserve"> mayor relevancia tanto par</w:t>
      </w:r>
      <w:r w:rsidR="00B07056">
        <w:rPr>
          <w:rFonts w:ascii="Arial" w:hAnsi="Arial" w:cs="Arial"/>
          <w:sz w:val="24"/>
          <w:szCs w:val="24"/>
        </w:rPr>
        <w:t>a los gobiernos nacionales y</w:t>
      </w:r>
      <w:r w:rsidR="00983540" w:rsidRPr="001E4779">
        <w:rPr>
          <w:rFonts w:ascii="Arial" w:hAnsi="Arial" w:cs="Arial"/>
          <w:sz w:val="24"/>
          <w:szCs w:val="24"/>
        </w:rPr>
        <w:t xml:space="preserve"> locales, como</w:t>
      </w:r>
      <w:r w:rsidR="00B07056">
        <w:rPr>
          <w:rFonts w:ascii="Arial" w:hAnsi="Arial" w:cs="Arial"/>
          <w:sz w:val="24"/>
          <w:szCs w:val="24"/>
        </w:rPr>
        <w:t xml:space="preserve"> para</w:t>
      </w:r>
      <w:r w:rsidR="00983540" w:rsidRPr="001E4779">
        <w:rPr>
          <w:rFonts w:ascii="Arial" w:hAnsi="Arial" w:cs="Arial"/>
          <w:sz w:val="24"/>
          <w:szCs w:val="24"/>
        </w:rPr>
        <w:t xml:space="preserve"> la comunidad internacional. </w:t>
      </w:r>
    </w:p>
    <w:p w14:paraId="28B27E52" w14:textId="396BE677" w:rsidR="00405C6C" w:rsidRDefault="00405C6C" w:rsidP="005F39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otra parte</w:t>
      </w:r>
      <w:r w:rsidR="00B070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</w:t>
      </w:r>
      <w:r w:rsidRPr="00405C6C">
        <w:rPr>
          <w:rFonts w:ascii="Arial" w:hAnsi="Arial" w:cs="Arial"/>
          <w:sz w:val="24"/>
          <w:szCs w:val="24"/>
        </w:rPr>
        <w:t xml:space="preserve">oy se registra </w:t>
      </w:r>
      <w:r w:rsidRPr="00405C6C">
        <w:rPr>
          <w:rFonts w:ascii="Arial" w:hAnsi="Arial" w:cs="Arial"/>
          <w:sz w:val="24"/>
          <w:szCs w:val="24"/>
          <w:lang w:val="es-VE"/>
        </w:rPr>
        <w:t>un total de más de 40.3 millones de personas en el mundo que son víctimas de esclavitud moderna</w:t>
      </w:r>
      <w:r w:rsidRPr="00405C6C">
        <w:rPr>
          <w:rFonts w:ascii="Arial" w:hAnsi="Arial" w:cs="Arial"/>
          <w:sz w:val="24"/>
          <w:szCs w:val="24"/>
          <w:vertAlign w:val="superscript"/>
          <w:lang w:val="es-VE"/>
        </w:rPr>
        <w:footnoteReference w:id="1"/>
      </w:r>
      <w:r w:rsidRPr="00405C6C">
        <w:rPr>
          <w:rFonts w:ascii="Arial" w:hAnsi="Arial" w:cs="Arial"/>
          <w:sz w:val="24"/>
          <w:szCs w:val="24"/>
          <w:lang w:val="es-VE"/>
        </w:rPr>
        <w:t>, es decir, 3 de cada 1.000 personas en el mundo</w:t>
      </w:r>
      <w:r w:rsidRPr="00405C6C">
        <w:rPr>
          <w:rFonts w:ascii="Arial" w:hAnsi="Arial" w:cs="Arial"/>
          <w:sz w:val="24"/>
          <w:szCs w:val="24"/>
          <w:vertAlign w:val="superscript"/>
          <w:lang w:val="es-VE"/>
        </w:rPr>
        <w:footnoteReference w:id="2"/>
      </w:r>
      <w:r w:rsidRPr="00405C6C">
        <w:rPr>
          <w:rFonts w:ascii="Arial" w:hAnsi="Arial" w:cs="Arial"/>
          <w:sz w:val="24"/>
          <w:szCs w:val="24"/>
          <w:lang w:val="es-VE"/>
        </w:rPr>
        <w:t>, convirtiéndose en el periodo de la historia con más personas en situación de esclavitud</w:t>
      </w:r>
      <w:r w:rsidR="00B07056">
        <w:rPr>
          <w:rFonts w:ascii="Arial" w:hAnsi="Arial" w:cs="Arial"/>
          <w:sz w:val="24"/>
          <w:szCs w:val="24"/>
          <w:lang w:val="es-VE"/>
        </w:rPr>
        <w:t>,</w:t>
      </w:r>
      <w:r>
        <w:rPr>
          <w:rFonts w:ascii="Arial" w:hAnsi="Arial" w:cs="Arial"/>
          <w:sz w:val="24"/>
          <w:szCs w:val="24"/>
          <w:lang w:val="es-VE"/>
        </w:rPr>
        <w:t xml:space="preserve"> siend</w:t>
      </w:r>
      <w:r w:rsidR="00B07056">
        <w:rPr>
          <w:rFonts w:ascii="Arial" w:hAnsi="Arial" w:cs="Arial"/>
          <w:sz w:val="24"/>
          <w:szCs w:val="24"/>
          <w:lang w:val="es-VE"/>
        </w:rPr>
        <w:t>o la trata una de sus formas aná</w:t>
      </w:r>
      <w:r>
        <w:rPr>
          <w:rFonts w:ascii="Arial" w:hAnsi="Arial" w:cs="Arial"/>
          <w:sz w:val="24"/>
          <w:szCs w:val="24"/>
          <w:lang w:val="es-VE"/>
        </w:rPr>
        <w:t>logas</w:t>
      </w:r>
      <w:r w:rsidRPr="00405C6C">
        <w:rPr>
          <w:rFonts w:ascii="Arial" w:hAnsi="Arial" w:cs="Arial"/>
          <w:sz w:val="24"/>
          <w:szCs w:val="24"/>
          <w:lang w:val="es-VE"/>
        </w:rPr>
        <w:t>.</w:t>
      </w:r>
    </w:p>
    <w:p w14:paraId="62A4D4CC" w14:textId="4536AFAA" w:rsidR="00405C6C" w:rsidRPr="00405C6C" w:rsidRDefault="00405C6C" w:rsidP="005F39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5C6C">
        <w:rPr>
          <w:rFonts w:ascii="Arial" w:hAnsi="Arial" w:cs="Arial"/>
          <w:sz w:val="24"/>
          <w:szCs w:val="24"/>
          <w:lang w:val="es-ES_tradnl"/>
        </w:rPr>
        <w:t>En este mismo sentido</w:t>
      </w:r>
      <w:r w:rsidR="00B07056">
        <w:rPr>
          <w:rFonts w:ascii="Arial" w:hAnsi="Arial" w:cs="Arial"/>
          <w:sz w:val="24"/>
          <w:szCs w:val="24"/>
          <w:lang w:val="es-ES_tradnl"/>
        </w:rPr>
        <w:t>,</w:t>
      </w:r>
      <w:r w:rsidRPr="00405C6C">
        <w:rPr>
          <w:rFonts w:ascii="Arial" w:hAnsi="Arial" w:cs="Arial"/>
          <w:sz w:val="24"/>
          <w:szCs w:val="24"/>
          <w:lang w:val="es-ES_tradnl"/>
        </w:rPr>
        <w:t xml:space="preserve"> es fundamental ver la relación entre trata y migración, da</w:t>
      </w:r>
      <w:r w:rsidR="00E065E2">
        <w:rPr>
          <w:rFonts w:ascii="Arial" w:hAnsi="Arial" w:cs="Arial"/>
          <w:sz w:val="24"/>
          <w:szCs w:val="24"/>
          <w:lang w:val="es-ES_tradnl"/>
        </w:rPr>
        <w:t>do que una gran proporción de</w:t>
      </w:r>
      <w:r w:rsidRPr="00405C6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7056">
        <w:rPr>
          <w:rFonts w:ascii="Arial" w:hAnsi="Arial" w:cs="Arial"/>
          <w:sz w:val="24"/>
          <w:szCs w:val="24"/>
          <w:lang w:val="es-ES_tradnl"/>
        </w:rPr>
        <w:t>las ví</w:t>
      </w:r>
      <w:r>
        <w:rPr>
          <w:rFonts w:ascii="Arial" w:hAnsi="Arial" w:cs="Arial"/>
          <w:sz w:val="24"/>
          <w:szCs w:val="24"/>
          <w:lang w:val="es-ES_tradnl"/>
        </w:rPr>
        <w:t>ctimas de trata</w:t>
      </w:r>
      <w:r w:rsidRPr="00405C6C">
        <w:rPr>
          <w:rFonts w:ascii="Arial" w:hAnsi="Arial" w:cs="Arial"/>
          <w:sz w:val="24"/>
          <w:szCs w:val="24"/>
          <w:lang w:val="es-ES_tradnl"/>
        </w:rPr>
        <w:t xml:space="preserve"> y de otras formas análogas de esclavitud moderna tienen su </w:t>
      </w:r>
      <w:r w:rsidRPr="00405C6C">
        <w:rPr>
          <w:rFonts w:ascii="Arial" w:hAnsi="Arial" w:cs="Arial"/>
          <w:b/>
          <w:bCs/>
          <w:sz w:val="24"/>
          <w:szCs w:val="24"/>
          <w:lang w:val="es-ES_tradnl"/>
        </w:rPr>
        <w:t>origen en la migración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o situaciones de movilidad</w:t>
      </w:r>
      <w:r w:rsidRPr="00405C6C">
        <w:rPr>
          <w:rFonts w:ascii="Arial" w:hAnsi="Arial" w:cs="Arial"/>
          <w:sz w:val="24"/>
          <w:szCs w:val="24"/>
          <w:lang w:val="es-ES_tradnl"/>
        </w:rPr>
        <w:t xml:space="preserve">. Por lo que una mejor gobernanza de la </w:t>
      </w:r>
      <w:r w:rsidR="00CA4E30">
        <w:rPr>
          <w:rFonts w:ascii="Arial" w:hAnsi="Arial" w:cs="Arial"/>
          <w:sz w:val="24"/>
          <w:szCs w:val="24"/>
          <w:lang w:val="es-ES_tradnl"/>
        </w:rPr>
        <w:t>m</w:t>
      </w:r>
      <w:r w:rsidR="00CA4E30" w:rsidRPr="00405C6C">
        <w:rPr>
          <w:rFonts w:ascii="Arial" w:hAnsi="Arial" w:cs="Arial"/>
          <w:sz w:val="24"/>
          <w:szCs w:val="24"/>
          <w:lang w:val="es-ES_tradnl"/>
        </w:rPr>
        <w:t>i</w:t>
      </w:r>
      <w:r w:rsidR="00CA4E30">
        <w:rPr>
          <w:rFonts w:ascii="Arial" w:hAnsi="Arial" w:cs="Arial"/>
          <w:sz w:val="24"/>
          <w:szCs w:val="24"/>
          <w:lang w:val="es-ES_tradnl"/>
        </w:rPr>
        <w:t>gración</w:t>
      </w:r>
      <w:r>
        <w:rPr>
          <w:rFonts w:ascii="Arial" w:hAnsi="Arial" w:cs="Arial"/>
          <w:sz w:val="24"/>
          <w:szCs w:val="24"/>
          <w:lang w:val="es-ES_tradnl"/>
        </w:rPr>
        <w:t xml:space="preserve"> es vital para prevenir </w:t>
      </w:r>
      <w:r w:rsidRPr="00405C6C">
        <w:rPr>
          <w:rFonts w:ascii="Arial" w:hAnsi="Arial" w:cs="Arial"/>
          <w:sz w:val="24"/>
          <w:szCs w:val="24"/>
          <w:lang w:val="es-ES_tradnl"/>
        </w:rPr>
        <w:t>y proteger a las víctimas.</w:t>
      </w:r>
    </w:p>
    <w:p w14:paraId="68847B1C" w14:textId="069F97F3" w:rsidR="005F39CD" w:rsidRDefault="00B07056" w:rsidP="005F39C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lastRenderedPageBreak/>
        <w:t>Así</w:t>
      </w:r>
      <w:r w:rsidR="00EB1784">
        <w:rPr>
          <w:rFonts w:ascii="Arial" w:hAnsi="Arial" w:cs="Arial"/>
          <w:sz w:val="24"/>
          <w:szCs w:val="24"/>
        </w:rPr>
        <w:t xml:space="preserve"> mismo, es fundamental la </w:t>
      </w:r>
      <w:r w:rsidR="00EB1784" w:rsidRPr="00D02651">
        <w:rPr>
          <w:rFonts w:ascii="Arial" w:hAnsi="Arial" w:cs="Arial"/>
          <w:sz w:val="24"/>
          <w:szCs w:val="24"/>
          <w:lang w:val="es-ES"/>
        </w:rPr>
        <w:t xml:space="preserve">atención </w:t>
      </w:r>
      <w:r w:rsidR="00EB1784">
        <w:rPr>
          <w:rFonts w:ascii="Arial" w:hAnsi="Arial" w:cs="Arial"/>
          <w:sz w:val="24"/>
          <w:szCs w:val="24"/>
          <w:lang w:val="es-ES"/>
        </w:rPr>
        <w:t>y estudio particular de</w:t>
      </w:r>
      <w:r w:rsidR="00EB1784" w:rsidRPr="00D02651">
        <w:rPr>
          <w:rFonts w:ascii="Arial" w:hAnsi="Arial" w:cs="Arial"/>
          <w:sz w:val="24"/>
          <w:szCs w:val="24"/>
          <w:lang w:val="es-ES"/>
        </w:rPr>
        <w:t xml:space="preserve"> las dimensiones de g</w:t>
      </w:r>
      <w:r>
        <w:rPr>
          <w:rFonts w:ascii="Arial" w:hAnsi="Arial" w:cs="Arial"/>
          <w:sz w:val="24"/>
          <w:szCs w:val="24"/>
          <w:lang w:val="es-ES"/>
        </w:rPr>
        <w:t>é</w:t>
      </w:r>
      <w:r w:rsidR="00EB1784">
        <w:rPr>
          <w:rFonts w:ascii="Arial" w:hAnsi="Arial" w:cs="Arial"/>
          <w:sz w:val="24"/>
          <w:szCs w:val="24"/>
          <w:lang w:val="es-ES"/>
        </w:rPr>
        <w:t>nero de ambas</w:t>
      </w:r>
      <w:r w:rsidR="00EB1784" w:rsidRPr="00D02651">
        <w:rPr>
          <w:rFonts w:ascii="Arial" w:hAnsi="Arial" w:cs="Arial"/>
          <w:sz w:val="24"/>
          <w:szCs w:val="24"/>
          <w:lang w:val="es-ES"/>
        </w:rPr>
        <w:t xml:space="preserve"> problemática</w:t>
      </w:r>
      <w:r w:rsidR="00EB1784">
        <w:rPr>
          <w:rFonts w:ascii="Arial" w:hAnsi="Arial" w:cs="Arial"/>
          <w:sz w:val="24"/>
          <w:szCs w:val="24"/>
          <w:lang w:val="es-ES"/>
        </w:rPr>
        <w:t>s</w:t>
      </w:r>
      <w:r w:rsidR="00EB1784" w:rsidRPr="00D02651">
        <w:rPr>
          <w:rFonts w:ascii="Arial" w:hAnsi="Arial" w:cs="Arial"/>
          <w:sz w:val="24"/>
          <w:szCs w:val="24"/>
          <w:lang w:val="es-ES"/>
        </w:rPr>
        <w:t xml:space="preserve">. </w:t>
      </w:r>
      <w:r w:rsidR="00405C6C">
        <w:rPr>
          <w:rFonts w:ascii="Arial" w:hAnsi="Arial" w:cs="Arial"/>
          <w:sz w:val="24"/>
          <w:szCs w:val="24"/>
          <w:lang w:val="es-ES"/>
        </w:rPr>
        <w:t>En este sentido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405C6C">
        <w:rPr>
          <w:rFonts w:ascii="Arial" w:hAnsi="Arial" w:cs="Arial"/>
          <w:sz w:val="24"/>
          <w:szCs w:val="24"/>
          <w:lang w:val="es-ES"/>
        </w:rPr>
        <w:t xml:space="preserve"> l</w:t>
      </w:r>
      <w:r w:rsidR="00C12104" w:rsidRPr="00C12104">
        <w:rPr>
          <w:rFonts w:ascii="Arial" w:hAnsi="Arial" w:cs="Arial"/>
          <w:sz w:val="24"/>
          <w:szCs w:val="24"/>
        </w:rPr>
        <w:t>as mujeres y las niñas representan el 71% de todas las víctimas de trata, según un informe de 2016 de la Oficina de las Naciones Unidas contra la Droga y el Delito.</w:t>
      </w:r>
      <w:r w:rsidR="00C12104" w:rsidRPr="00C12104">
        <w:rPr>
          <w:rFonts w:ascii="Arial" w:hAnsi="Arial" w:cs="Arial"/>
          <w:sz w:val="24"/>
          <w:szCs w:val="24"/>
          <w:vertAlign w:val="superscript"/>
        </w:rPr>
        <w:footnoteReference w:id="3"/>
      </w:r>
      <w:r w:rsidR="00D02651" w:rsidRPr="00D02651">
        <w:rPr>
          <w:rFonts w:ascii="Arial" w:hAnsi="Arial" w:cs="Arial"/>
          <w:sz w:val="24"/>
          <w:szCs w:val="24"/>
          <w:lang w:val="es-ES"/>
        </w:rPr>
        <w:t xml:space="preserve"> De los 4.8 millones de personas en explotación sexual forzada en 2016, el 99 por ciento de las víctimas eran mujer</w:t>
      </w:r>
      <w:r w:rsidR="00C12104">
        <w:rPr>
          <w:rFonts w:ascii="Arial" w:hAnsi="Arial" w:cs="Arial"/>
          <w:sz w:val="24"/>
          <w:szCs w:val="24"/>
          <w:lang w:val="es-ES"/>
        </w:rPr>
        <w:t>es y una de cada cinco eran niña</w:t>
      </w:r>
      <w:r w:rsidR="00D02651" w:rsidRPr="00D02651">
        <w:rPr>
          <w:rFonts w:ascii="Arial" w:hAnsi="Arial" w:cs="Arial"/>
          <w:sz w:val="24"/>
          <w:szCs w:val="24"/>
          <w:lang w:val="es-ES"/>
        </w:rPr>
        <w:t xml:space="preserve">s. Las mujeres y las niñas representaron el 84 por ciento de los 15,4 millones de personas en matrimonios forzados y el 59 por ciento de las personas en trabajos forzados privados. </w:t>
      </w:r>
      <w:r w:rsidR="00D02651" w:rsidRPr="00D02651">
        <w:rPr>
          <w:rFonts w:ascii="Arial" w:hAnsi="Arial" w:cs="Arial"/>
          <w:sz w:val="24"/>
          <w:szCs w:val="24"/>
          <w:vertAlign w:val="superscript"/>
          <w:lang w:val="es-ES"/>
        </w:rPr>
        <w:footnoteReference w:id="4"/>
      </w:r>
      <w:r w:rsidR="00D02651" w:rsidRPr="00D0265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Es por ello que la mirada de gé</w:t>
      </w:r>
      <w:r w:rsidR="005F39CD" w:rsidRPr="005F39CD">
        <w:rPr>
          <w:rFonts w:ascii="Arial" w:hAnsi="Arial" w:cs="Arial"/>
          <w:sz w:val="24"/>
          <w:szCs w:val="24"/>
          <w:lang w:val="es-ES_tradnl"/>
        </w:rPr>
        <w:t>nero</w:t>
      </w:r>
      <w:r w:rsidR="00E065E2">
        <w:rPr>
          <w:rFonts w:ascii="Arial" w:hAnsi="Arial" w:cs="Arial"/>
          <w:sz w:val="24"/>
          <w:szCs w:val="24"/>
          <w:lang w:val="es-ES_tradnl"/>
        </w:rPr>
        <w:t>,</w:t>
      </w:r>
      <w:r w:rsidR="005F39CD" w:rsidRPr="005F39CD">
        <w:rPr>
          <w:rFonts w:ascii="Arial" w:hAnsi="Arial" w:cs="Arial"/>
          <w:sz w:val="24"/>
          <w:szCs w:val="24"/>
          <w:lang w:val="es-ES_tradnl"/>
        </w:rPr>
        <w:t xml:space="preserve"> y el entendimiento de las discriminaciones que afectan de forma diferenciada a la</w:t>
      </w:r>
      <w:r w:rsidR="00DD2AA9">
        <w:rPr>
          <w:rFonts w:ascii="Arial" w:hAnsi="Arial" w:cs="Arial"/>
          <w:sz w:val="24"/>
          <w:szCs w:val="24"/>
          <w:lang w:val="es-ES_tradnl"/>
        </w:rPr>
        <w:t>s</w:t>
      </w:r>
      <w:r w:rsidR="005F39CD" w:rsidRPr="005F39CD">
        <w:rPr>
          <w:rFonts w:ascii="Arial" w:hAnsi="Arial" w:cs="Arial"/>
          <w:sz w:val="24"/>
          <w:szCs w:val="24"/>
          <w:lang w:val="es-ES_tradnl"/>
        </w:rPr>
        <w:t xml:space="preserve"> mujeres</w:t>
      </w:r>
      <w:r w:rsidR="00E065E2">
        <w:rPr>
          <w:rFonts w:ascii="Arial" w:hAnsi="Arial" w:cs="Arial"/>
          <w:sz w:val="24"/>
          <w:szCs w:val="24"/>
          <w:lang w:val="es-ES_tradnl"/>
        </w:rPr>
        <w:t>, es fundamental para no solo</w:t>
      </w:r>
      <w:r w:rsidR="005F39CD" w:rsidRPr="005F39CD">
        <w:rPr>
          <w:rFonts w:ascii="Arial" w:hAnsi="Arial" w:cs="Arial"/>
          <w:sz w:val="24"/>
          <w:szCs w:val="24"/>
          <w:lang w:val="es-ES_tradnl"/>
        </w:rPr>
        <w:t xml:space="preserve"> entender este fenómeno, sino también para dar una respue</w:t>
      </w:r>
      <w:r w:rsidR="00DD2AA9">
        <w:rPr>
          <w:rFonts w:ascii="Arial" w:hAnsi="Arial" w:cs="Arial"/>
          <w:sz w:val="24"/>
          <w:szCs w:val="24"/>
          <w:lang w:val="es-ES_tradnl"/>
        </w:rPr>
        <w:t xml:space="preserve">sta </w:t>
      </w:r>
      <w:r w:rsidR="00DD2AA9">
        <w:rPr>
          <w:rFonts w:ascii="Arial" w:hAnsi="Arial" w:cs="Arial"/>
          <w:sz w:val="24"/>
          <w:szCs w:val="24"/>
          <w:lang w:val="es-ES_tradnl"/>
        </w:rPr>
        <w:lastRenderedPageBreak/>
        <w:t>apropiada desde el marco de</w:t>
      </w:r>
      <w:r w:rsidR="005F39CD" w:rsidRPr="005F39CD">
        <w:rPr>
          <w:rFonts w:ascii="Arial" w:hAnsi="Arial" w:cs="Arial"/>
          <w:sz w:val="24"/>
          <w:szCs w:val="24"/>
          <w:lang w:val="es-ES_tradnl"/>
        </w:rPr>
        <w:t xml:space="preserve"> protección del derecho internacional de los derechos humanos. </w:t>
      </w:r>
    </w:p>
    <w:p w14:paraId="3D73DBAE" w14:textId="4A2CDF99" w:rsidR="00C12104" w:rsidRDefault="00C12104" w:rsidP="00983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migrac</w:t>
      </w:r>
      <w:r w:rsidR="00B07056">
        <w:rPr>
          <w:rFonts w:ascii="Arial" w:hAnsi="Arial" w:cs="Arial"/>
          <w:sz w:val="24"/>
          <w:szCs w:val="24"/>
        </w:rPr>
        <w:t>ió</w:t>
      </w:r>
      <w:r>
        <w:rPr>
          <w:rFonts w:ascii="Arial" w:hAnsi="Arial" w:cs="Arial"/>
          <w:sz w:val="24"/>
          <w:szCs w:val="24"/>
        </w:rPr>
        <w:t>n</w:t>
      </w:r>
      <w:r w:rsidR="00B070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</w:t>
      </w:r>
      <w:r w:rsidR="00DD2AA9">
        <w:rPr>
          <w:rFonts w:ascii="Arial" w:hAnsi="Arial" w:cs="Arial"/>
          <w:sz w:val="24"/>
          <w:szCs w:val="24"/>
        </w:rPr>
        <w:t>necesario</w:t>
      </w:r>
      <w:r w:rsidR="00B07056">
        <w:rPr>
          <w:rFonts w:ascii="Arial" w:hAnsi="Arial" w:cs="Arial"/>
          <w:sz w:val="24"/>
          <w:szCs w:val="24"/>
        </w:rPr>
        <w:t xml:space="preserve"> entender que este fenó</w:t>
      </w:r>
      <w:r>
        <w:rPr>
          <w:rFonts w:ascii="Arial" w:hAnsi="Arial" w:cs="Arial"/>
          <w:sz w:val="24"/>
          <w:szCs w:val="24"/>
        </w:rPr>
        <w:t xml:space="preserve">meno no debe solo ser abordado desde sus </w:t>
      </w:r>
      <w:r w:rsidR="00983540" w:rsidRPr="001E4779">
        <w:rPr>
          <w:rFonts w:ascii="Arial" w:hAnsi="Arial" w:cs="Arial"/>
          <w:sz w:val="24"/>
          <w:szCs w:val="24"/>
        </w:rPr>
        <w:t>consecuencia</w:t>
      </w:r>
      <w:r w:rsidR="00B07056">
        <w:rPr>
          <w:rFonts w:ascii="Arial" w:hAnsi="Arial" w:cs="Arial"/>
          <w:sz w:val="24"/>
          <w:szCs w:val="24"/>
        </w:rPr>
        <w:t>s</w:t>
      </w:r>
      <w:r w:rsidR="00983540" w:rsidRPr="001E4779">
        <w:rPr>
          <w:rFonts w:ascii="Arial" w:hAnsi="Arial" w:cs="Arial"/>
          <w:sz w:val="24"/>
          <w:szCs w:val="24"/>
        </w:rPr>
        <w:t xml:space="preserve">, sino que </w:t>
      </w:r>
      <w:r w:rsidR="00DD2AA9">
        <w:rPr>
          <w:rFonts w:ascii="Arial" w:hAnsi="Arial" w:cs="Arial"/>
          <w:sz w:val="24"/>
          <w:szCs w:val="24"/>
        </w:rPr>
        <w:t>hay que</w:t>
      </w:r>
      <w:r w:rsidR="00983540" w:rsidRPr="001E4779">
        <w:rPr>
          <w:rFonts w:ascii="Arial" w:hAnsi="Arial" w:cs="Arial"/>
          <w:sz w:val="24"/>
          <w:szCs w:val="24"/>
        </w:rPr>
        <w:t xml:space="preserve"> tener e</w:t>
      </w:r>
      <w:r>
        <w:rPr>
          <w:rFonts w:ascii="Arial" w:hAnsi="Arial" w:cs="Arial"/>
          <w:sz w:val="24"/>
          <w:szCs w:val="24"/>
        </w:rPr>
        <w:t xml:space="preserve">n cuenta </w:t>
      </w:r>
      <w:r w:rsidR="00EB1784">
        <w:rPr>
          <w:rFonts w:ascii="Arial" w:hAnsi="Arial" w:cs="Arial"/>
          <w:sz w:val="24"/>
          <w:szCs w:val="24"/>
        </w:rPr>
        <w:t xml:space="preserve">sus </w:t>
      </w:r>
      <w:r>
        <w:rPr>
          <w:rFonts w:ascii="Arial" w:hAnsi="Arial" w:cs="Arial"/>
          <w:sz w:val="24"/>
          <w:szCs w:val="24"/>
        </w:rPr>
        <w:t>causa</w:t>
      </w:r>
      <w:r w:rsidR="00DD2AA9">
        <w:rPr>
          <w:rFonts w:ascii="Arial" w:hAnsi="Arial" w:cs="Arial"/>
          <w:sz w:val="24"/>
          <w:szCs w:val="24"/>
        </w:rPr>
        <w:t>s y</w:t>
      </w:r>
      <w:r w:rsidR="00EB1784">
        <w:rPr>
          <w:rFonts w:ascii="Arial" w:hAnsi="Arial" w:cs="Arial"/>
          <w:sz w:val="24"/>
          <w:szCs w:val="24"/>
        </w:rPr>
        <w:t xml:space="preserve"> raíces</w:t>
      </w:r>
      <w:r w:rsidR="00DD2AA9">
        <w:rPr>
          <w:rFonts w:ascii="Arial" w:hAnsi="Arial" w:cs="Arial"/>
          <w:sz w:val="24"/>
          <w:szCs w:val="24"/>
        </w:rPr>
        <w:t>, así</w:t>
      </w:r>
      <w:r>
        <w:rPr>
          <w:rFonts w:ascii="Arial" w:hAnsi="Arial" w:cs="Arial"/>
          <w:sz w:val="24"/>
          <w:szCs w:val="24"/>
        </w:rPr>
        <w:t xml:space="preserve"> como los factores de riesgo</w:t>
      </w:r>
      <w:r w:rsidR="00C2371F">
        <w:rPr>
          <w:rFonts w:ascii="Arial" w:hAnsi="Arial" w:cs="Arial"/>
          <w:sz w:val="24"/>
          <w:szCs w:val="24"/>
        </w:rPr>
        <w:t xml:space="preserve"> y</w:t>
      </w:r>
      <w:r w:rsidR="00B07056">
        <w:rPr>
          <w:rFonts w:ascii="Arial" w:hAnsi="Arial" w:cs="Arial"/>
          <w:sz w:val="24"/>
          <w:szCs w:val="24"/>
        </w:rPr>
        <w:t xml:space="preserve"> vulnerab</w:t>
      </w:r>
      <w:r w:rsidR="002D209C">
        <w:rPr>
          <w:rFonts w:ascii="Arial" w:hAnsi="Arial" w:cs="Arial"/>
          <w:sz w:val="24"/>
          <w:szCs w:val="24"/>
        </w:rPr>
        <w:t>ilidad, donde</w:t>
      </w:r>
      <w:r w:rsidR="00C2371F">
        <w:rPr>
          <w:rFonts w:ascii="Arial" w:hAnsi="Arial" w:cs="Arial"/>
          <w:sz w:val="24"/>
          <w:szCs w:val="24"/>
        </w:rPr>
        <w:t xml:space="preserve"> la </w:t>
      </w:r>
      <w:r w:rsidR="00983540" w:rsidRPr="001E4779">
        <w:rPr>
          <w:rFonts w:ascii="Arial" w:hAnsi="Arial" w:cs="Arial"/>
          <w:sz w:val="24"/>
          <w:szCs w:val="24"/>
        </w:rPr>
        <w:t>discriminación de jure y de facto por razones de género a la q</w:t>
      </w:r>
      <w:r w:rsidR="00DD2AA9">
        <w:rPr>
          <w:rFonts w:ascii="Arial" w:hAnsi="Arial" w:cs="Arial"/>
          <w:sz w:val="24"/>
          <w:szCs w:val="24"/>
        </w:rPr>
        <w:t>ue se ven expuestas las mujeres y niñ</w:t>
      </w:r>
      <w:r w:rsidR="00F62787">
        <w:rPr>
          <w:rFonts w:ascii="Arial" w:hAnsi="Arial" w:cs="Arial"/>
          <w:sz w:val="24"/>
          <w:szCs w:val="24"/>
        </w:rPr>
        <w:t xml:space="preserve">as </w:t>
      </w:r>
      <w:r w:rsidR="00983540" w:rsidRPr="001E4779">
        <w:rPr>
          <w:rFonts w:ascii="Arial" w:hAnsi="Arial" w:cs="Arial"/>
          <w:sz w:val="24"/>
          <w:szCs w:val="24"/>
        </w:rPr>
        <w:t>en los países de origen</w:t>
      </w:r>
      <w:r w:rsidR="00DD2AA9">
        <w:rPr>
          <w:rFonts w:ascii="Arial" w:hAnsi="Arial" w:cs="Arial"/>
          <w:sz w:val="24"/>
          <w:szCs w:val="24"/>
        </w:rPr>
        <w:t xml:space="preserve"> son la base de esta problemá</w:t>
      </w:r>
      <w:r w:rsidR="002D209C">
        <w:rPr>
          <w:rFonts w:ascii="Arial" w:hAnsi="Arial" w:cs="Arial"/>
          <w:sz w:val="24"/>
          <w:szCs w:val="24"/>
        </w:rPr>
        <w:t>tica</w:t>
      </w:r>
      <w:r w:rsidR="00C2371F">
        <w:rPr>
          <w:rFonts w:ascii="Arial" w:hAnsi="Arial" w:cs="Arial"/>
          <w:sz w:val="24"/>
          <w:szCs w:val="24"/>
        </w:rPr>
        <w:t>.</w:t>
      </w:r>
    </w:p>
    <w:p w14:paraId="20BF7B61" w14:textId="4FC93B42" w:rsidR="002D209C" w:rsidRDefault="00DD2AA9" w:rsidP="00C237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Países</w:t>
      </w:r>
      <w:r w:rsidR="002D209C">
        <w:rPr>
          <w:rFonts w:ascii="Arial" w:hAnsi="Arial" w:cs="Arial"/>
          <w:sz w:val="24"/>
          <w:szCs w:val="24"/>
        </w:rPr>
        <w:t xml:space="preserve"> donde las mujeres </w:t>
      </w:r>
      <w:r w:rsidR="00C2371F" w:rsidRPr="00C2371F">
        <w:rPr>
          <w:rFonts w:ascii="Arial" w:hAnsi="Arial" w:cs="Arial"/>
          <w:sz w:val="24"/>
          <w:szCs w:val="24"/>
        </w:rPr>
        <w:t>enfre</w:t>
      </w:r>
      <w:r w:rsidR="002D209C">
        <w:rPr>
          <w:rFonts w:ascii="Arial" w:hAnsi="Arial" w:cs="Arial"/>
          <w:sz w:val="24"/>
          <w:szCs w:val="24"/>
        </w:rPr>
        <w:t xml:space="preserve">ntan serias barreras producto de </w:t>
      </w:r>
      <w:r w:rsidR="00C2371F" w:rsidRPr="00C2371F">
        <w:rPr>
          <w:rFonts w:ascii="Arial" w:hAnsi="Arial" w:cs="Arial"/>
          <w:sz w:val="24"/>
          <w:szCs w:val="24"/>
        </w:rPr>
        <w:t>un proceso silente d</w:t>
      </w:r>
      <w:r>
        <w:rPr>
          <w:rFonts w:ascii="Arial" w:hAnsi="Arial" w:cs="Arial"/>
          <w:sz w:val="24"/>
          <w:szCs w:val="24"/>
        </w:rPr>
        <w:t>e feminización de la pobreza, de</w:t>
      </w:r>
      <w:r w:rsidR="00C2371F" w:rsidRPr="00C2371F">
        <w:rPr>
          <w:rFonts w:ascii="Arial" w:hAnsi="Arial" w:cs="Arial"/>
          <w:sz w:val="24"/>
          <w:szCs w:val="24"/>
        </w:rPr>
        <w:t xml:space="preserve"> vulneración al acceso a sus derechos más básico</w:t>
      </w:r>
      <w:r>
        <w:rPr>
          <w:rFonts w:ascii="Arial" w:hAnsi="Arial" w:cs="Arial"/>
          <w:sz w:val="24"/>
          <w:szCs w:val="24"/>
        </w:rPr>
        <w:t>s</w:t>
      </w:r>
      <w:r w:rsidR="00C2371F" w:rsidRPr="00C2371F">
        <w:rPr>
          <w:rFonts w:ascii="Arial" w:hAnsi="Arial" w:cs="Arial"/>
          <w:sz w:val="24"/>
          <w:szCs w:val="24"/>
        </w:rPr>
        <w:t xml:space="preserve"> como lo son el acceso a la alimentación, salud, </w:t>
      </w:r>
      <w:r w:rsidR="002D209C">
        <w:rPr>
          <w:rFonts w:ascii="Arial" w:hAnsi="Arial" w:cs="Arial"/>
          <w:sz w:val="24"/>
          <w:szCs w:val="24"/>
        </w:rPr>
        <w:t>educación, justicia, entre otras</w:t>
      </w:r>
      <w:r>
        <w:rPr>
          <w:rFonts w:ascii="Arial" w:hAnsi="Arial" w:cs="Arial"/>
          <w:sz w:val="24"/>
          <w:szCs w:val="24"/>
        </w:rPr>
        <w:t>, son la causa en</w:t>
      </w:r>
      <w:r w:rsidR="002D209C">
        <w:rPr>
          <w:rFonts w:ascii="Arial" w:hAnsi="Arial" w:cs="Arial"/>
          <w:sz w:val="24"/>
          <w:szCs w:val="24"/>
        </w:rPr>
        <w:t xml:space="preserve"> gen</w:t>
      </w:r>
      <w:r w:rsidR="00EB1784">
        <w:rPr>
          <w:rFonts w:ascii="Arial" w:hAnsi="Arial" w:cs="Arial"/>
          <w:sz w:val="24"/>
          <w:szCs w:val="24"/>
        </w:rPr>
        <w:t>e</w:t>
      </w:r>
      <w:r w:rsidR="002D209C">
        <w:rPr>
          <w:rFonts w:ascii="Arial" w:hAnsi="Arial" w:cs="Arial"/>
          <w:sz w:val="24"/>
          <w:szCs w:val="24"/>
        </w:rPr>
        <w:t>ral</w:t>
      </w:r>
      <w:r w:rsidR="00EB1784">
        <w:rPr>
          <w:rFonts w:ascii="Arial" w:hAnsi="Arial" w:cs="Arial"/>
          <w:sz w:val="24"/>
          <w:szCs w:val="24"/>
        </w:rPr>
        <w:t xml:space="preserve"> de</w:t>
      </w:r>
      <w:r w:rsidR="002D209C">
        <w:rPr>
          <w:rFonts w:ascii="Arial" w:hAnsi="Arial" w:cs="Arial"/>
          <w:sz w:val="24"/>
          <w:szCs w:val="24"/>
        </w:rPr>
        <w:t xml:space="preserve"> las principales condicione</w:t>
      </w:r>
      <w:r w:rsidR="00EB1784">
        <w:rPr>
          <w:rFonts w:ascii="Arial" w:hAnsi="Arial" w:cs="Arial"/>
          <w:sz w:val="24"/>
          <w:szCs w:val="24"/>
        </w:rPr>
        <w:t>s de vulnerabilidad que exponen</w:t>
      </w:r>
      <w:r>
        <w:rPr>
          <w:rFonts w:ascii="Arial" w:hAnsi="Arial" w:cs="Arial"/>
          <w:sz w:val="24"/>
          <w:szCs w:val="24"/>
        </w:rPr>
        <w:t xml:space="preserve"> a mujeres y niñ</w:t>
      </w:r>
      <w:r w:rsidR="002D209C">
        <w:rPr>
          <w:rFonts w:ascii="Arial" w:hAnsi="Arial" w:cs="Arial"/>
          <w:sz w:val="24"/>
          <w:szCs w:val="24"/>
        </w:rPr>
        <w:t xml:space="preserve">as ante </w:t>
      </w:r>
      <w:r>
        <w:rPr>
          <w:rFonts w:ascii="Arial" w:hAnsi="Arial" w:cs="Arial"/>
          <w:sz w:val="24"/>
          <w:szCs w:val="24"/>
        </w:rPr>
        <w:t>redes criminales y de explotació</w:t>
      </w:r>
      <w:r w:rsidR="002D209C">
        <w:rPr>
          <w:rFonts w:ascii="Arial" w:hAnsi="Arial" w:cs="Arial"/>
          <w:sz w:val="24"/>
          <w:szCs w:val="24"/>
        </w:rPr>
        <w:t xml:space="preserve">n. </w:t>
      </w:r>
    </w:p>
    <w:p w14:paraId="6CECF18E" w14:textId="7894453C" w:rsidR="00C2371F" w:rsidRPr="00C2371F" w:rsidRDefault="00DD2AA9" w:rsidP="00C237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Circunstancias má</w:t>
      </w:r>
      <w:r w:rsidR="002D209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complicadas</w:t>
      </w:r>
      <w:r w:rsidR="00E065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aquellas producto de situaciones h</w:t>
      </w:r>
      <w:r w:rsidR="002D209C">
        <w:rPr>
          <w:rFonts w:ascii="Arial" w:hAnsi="Arial" w:cs="Arial"/>
          <w:sz w:val="24"/>
          <w:szCs w:val="24"/>
        </w:rPr>
        <w:t>umanitarias</w:t>
      </w:r>
      <w:r w:rsidR="00EB1784">
        <w:rPr>
          <w:rFonts w:ascii="Arial" w:hAnsi="Arial" w:cs="Arial"/>
          <w:sz w:val="24"/>
          <w:szCs w:val="24"/>
        </w:rPr>
        <w:t xml:space="preserve"> complejas</w:t>
      </w:r>
      <w:r w:rsidR="002D209C">
        <w:rPr>
          <w:rFonts w:ascii="Arial" w:hAnsi="Arial" w:cs="Arial"/>
          <w:sz w:val="24"/>
          <w:szCs w:val="24"/>
        </w:rPr>
        <w:t xml:space="preserve">, extreman y potencian </w:t>
      </w:r>
      <w:r w:rsidR="00EB1784">
        <w:rPr>
          <w:rFonts w:ascii="Arial" w:hAnsi="Arial" w:cs="Arial"/>
          <w:sz w:val="24"/>
          <w:szCs w:val="24"/>
        </w:rPr>
        <w:t>estas condiciones de discriminacion</w:t>
      </w:r>
      <w:r>
        <w:rPr>
          <w:rFonts w:ascii="Arial" w:hAnsi="Arial" w:cs="Arial"/>
          <w:sz w:val="24"/>
          <w:szCs w:val="24"/>
        </w:rPr>
        <w:t xml:space="preserve"> y desigualdad por razones de gé</w:t>
      </w:r>
      <w:r w:rsidR="00EB1784">
        <w:rPr>
          <w:rFonts w:ascii="Arial" w:hAnsi="Arial" w:cs="Arial"/>
          <w:sz w:val="24"/>
          <w:szCs w:val="24"/>
        </w:rPr>
        <w:t>nero.</w:t>
      </w:r>
      <w:r w:rsidR="002D209C">
        <w:rPr>
          <w:rFonts w:ascii="Arial" w:hAnsi="Arial" w:cs="Arial"/>
          <w:sz w:val="24"/>
          <w:szCs w:val="24"/>
        </w:rPr>
        <w:t xml:space="preserve"> </w:t>
      </w:r>
      <w:r w:rsidR="00C2371F" w:rsidRPr="00C2371F">
        <w:rPr>
          <w:rFonts w:ascii="Arial" w:hAnsi="Arial" w:cs="Arial"/>
          <w:sz w:val="24"/>
          <w:szCs w:val="24"/>
        </w:rPr>
        <w:t>Ejemplo de ello es la situación de las mujeres en contextos de emergencia humanitaria compleja</w:t>
      </w:r>
      <w:r w:rsidR="002D209C" w:rsidRPr="00C2371F">
        <w:rPr>
          <w:rFonts w:ascii="Arial" w:hAnsi="Arial" w:cs="Arial"/>
          <w:sz w:val="24"/>
          <w:szCs w:val="24"/>
          <w:vertAlign w:val="superscript"/>
        </w:rPr>
        <w:footnoteReference w:id="5"/>
      </w:r>
      <w:r>
        <w:rPr>
          <w:rFonts w:ascii="Arial" w:hAnsi="Arial" w:cs="Arial"/>
          <w:sz w:val="24"/>
          <w:szCs w:val="24"/>
        </w:rPr>
        <w:t>, como</w:t>
      </w:r>
      <w:r w:rsidR="00DC2AF6">
        <w:rPr>
          <w:rFonts w:ascii="Arial" w:hAnsi="Arial" w:cs="Arial"/>
          <w:sz w:val="24"/>
          <w:szCs w:val="24"/>
        </w:rPr>
        <w:t xml:space="preserve"> es el caso actual de</w:t>
      </w:r>
      <w:r w:rsidR="00C2371F" w:rsidRPr="00C2371F">
        <w:rPr>
          <w:rFonts w:ascii="Arial" w:hAnsi="Arial" w:cs="Arial"/>
          <w:sz w:val="24"/>
          <w:szCs w:val="24"/>
        </w:rPr>
        <w:t xml:space="preserve"> Venezuela. </w:t>
      </w:r>
      <w:r w:rsidR="002D209C">
        <w:rPr>
          <w:rFonts w:ascii="Arial" w:hAnsi="Arial" w:cs="Arial"/>
          <w:sz w:val="24"/>
          <w:szCs w:val="24"/>
        </w:rPr>
        <w:t xml:space="preserve">Donde entre 2014 y 2016 hubo un incremento de 300% en </w:t>
      </w:r>
      <w:r>
        <w:rPr>
          <w:rFonts w:ascii="Arial" w:hAnsi="Arial" w:cs="Arial"/>
          <w:sz w:val="24"/>
          <w:szCs w:val="24"/>
        </w:rPr>
        <w:t>el í</w:t>
      </w:r>
      <w:r w:rsidR="00EB1784">
        <w:rPr>
          <w:rFonts w:ascii="Arial" w:hAnsi="Arial" w:cs="Arial"/>
          <w:sz w:val="24"/>
          <w:szCs w:val="24"/>
        </w:rPr>
        <w:t>ndice de esclavitud moderna, d</w:t>
      </w:r>
      <w:r>
        <w:rPr>
          <w:rFonts w:ascii="Arial" w:hAnsi="Arial" w:cs="Arial"/>
          <w:sz w:val="24"/>
          <w:szCs w:val="24"/>
        </w:rPr>
        <w:t>onde centenares de mujeres y niñ</w:t>
      </w:r>
      <w:r w:rsidR="00EB1784">
        <w:rPr>
          <w:rFonts w:ascii="Arial" w:hAnsi="Arial" w:cs="Arial"/>
          <w:sz w:val="24"/>
          <w:szCs w:val="24"/>
        </w:rPr>
        <w:t>as se encuentra</w:t>
      </w:r>
      <w:r>
        <w:rPr>
          <w:rFonts w:ascii="Arial" w:hAnsi="Arial" w:cs="Arial"/>
          <w:sz w:val="24"/>
          <w:szCs w:val="24"/>
        </w:rPr>
        <w:t>n</w:t>
      </w:r>
      <w:r w:rsidR="00EB1784">
        <w:rPr>
          <w:rFonts w:ascii="Arial" w:hAnsi="Arial" w:cs="Arial"/>
          <w:sz w:val="24"/>
          <w:szCs w:val="24"/>
        </w:rPr>
        <w:t xml:space="preserve"> expuesta</w:t>
      </w:r>
      <w:r>
        <w:rPr>
          <w:rFonts w:ascii="Arial" w:hAnsi="Arial" w:cs="Arial"/>
          <w:sz w:val="24"/>
          <w:szCs w:val="24"/>
        </w:rPr>
        <w:t>s a prácticas de esclavitud, trata y tráfico, asi como</w:t>
      </w:r>
      <w:r w:rsidR="00EB1784">
        <w:rPr>
          <w:rFonts w:ascii="Arial" w:hAnsi="Arial" w:cs="Arial"/>
          <w:sz w:val="24"/>
          <w:szCs w:val="24"/>
        </w:rPr>
        <w:t xml:space="preserve"> a trabajo sexual por supervivencia</w:t>
      </w:r>
      <w:r>
        <w:rPr>
          <w:rFonts w:ascii="Arial" w:hAnsi="Arial" w:cs="Arial"/>
          <w:sz w:val="24"/>
          <w:szCs w:val="24"/>
        </w:rPr>
        <w:t xml:space="preserve"> tanto en Venezuela, como en los países de trán</w:t>
      </w:r>
      <w:r w:rsidR="00F627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 w:rsidR="00F62787">
        <w:rPr>
          <w:rFonts w:ascii="Arial" w:hAnsi="Arial" w:cs="Arial"/>
          <w:sz w:val="24"/>
          <w:szCs w:val="24"/>
        </w:rPr>
        <w:t xml:space="preserve">to y destino. </w:t>
      </w:r>
    </w:p>
    <w:p w14:paraId="58FBD310" w14:textId="1AD8B9F9" w:rsidR="002F427B" w:rsidRPr="00DD2AA9" w:rsidRDefault="002F427B" w:rsidP="00EB1784">
      <w:pPr>
        <w:spacing w:line="360" w:lineRule="auto"/>
        <w:jc w:val="both"/>
        <w:rPr>
          <w:rStyle w:val="spellingerror"/>
          <w:rFonts w:ascii="Arial" w:hAnsi="Arial" w:cs="Arial"/>
        </w:rPr>
      </w:pPr>
      <w:r w:rsidRPr="001E4779">
        <w:rPr>
          <w:rFonts w:ascii="Arial" w:hAnsi="Arial" w:cs="Arial"/>
          <w:sz w:val="24"/>
          <w:szCs w:val="24"/>
        </w:rPr>
        <w:t>De esta forma, para combatir eficazmente la trata</w:t>
      </w:r>
      <w:r w:rsidR="00DD2AA9">
        <w:rPr>
          <w:rFonts w:ascii="Arial" w:hAnsi="Arial" w:cs="Arial"/>
          <w:sz w:val="24"/>
          <w:szCs w:val="24"/>
        </w:rPr>
        <w:t xml:space="preserve"> de mujeres y niñ</w:t>
      </w:r>
      <w:r w:rsidR="00F62787">
        <w:rPr>
          <w:rFonts w:ascii="Arial" w:hAnsi="Arial" w:cs="Arial"/>
          <w:sz w:val="24"/>
          <w:szCs w:val="24"/>
        </w:rPr>
        <w:t>as e</w:t>
      </w:r>
      <w:r w:rsidR="00DD2AA9">
        <w:rPr>
          <w:rFonts w:ascii="Arial" w:hAnsi="Arial" w:cs="Arial"/>
          <w:sz w:val="24"/>
          <w:szCs w:val="24"/>
        </w:rPr>
        <w:t>n contextos de movilidad humana,</w:t>
      </w:r>
      <w:r w:rsidR="00E065E2">
        <w:rPr>
          <w:rFonts w:ascii="Arial" w:hAnsi="Arial" w:cs="Arial"/>
          <w:sz w:val="24"/>
          <w:szCs w:val="24"/>
        </w:rPr>
        <w:t xml:space="preserve"> no so</w:t>
      </w:r>
      <w:r w:rsidRPr="001E4779">
        <w:rPr>
          <w:rFonts w:ascii="Arial" w:hAnsi="Arial" w:cs="Arial"/>
          <w:sz w:val="24"/>
          <w:szCs w:val="24"/>
        </w:rPr>
        <w:t xml:space="preserve">lo debe tenerse en cuenta el enfoque de </w:t>
      </w:r>
      <w:r w:rsidRPr="001E4779">
        <w:rPr>
          <w:rFonts w:ascii="Arial" w:hAnsi="Arial" w:cs="Arial"/>
          <w:sz w:val="24"/>
          <w:szCs w:val="24"/>
        </w:rPr>
        <w:lastRenderedPageBreak/>
        <w:t>coo</w:t>
      </w:r>
      <w:r w:rsidR="00DD2AA9">
        <w:rPr>
          <w:rFonts w:ascii="Arial" w:hAnsi="Arial" w:cs="Arial"/>
          <w:sz w:val="24"/>
          <w:szCs w:val="24"/>
        </w:rPr>
        <w:t>peración internacional planteado</w:t>
      </w:r>
      <w:r w:rsidRPr="001E4779">
        <w:rPr>
          <w:rFonts w:ascii="Arial" w:hAnsi="Arial" w:cs="Arial"/>
          <w:sz w:val="24"/>
          <w:szCs w:val="24"/>
        </w:rPr>
        <w:t xml:space="preserve"> en los diversos instrumentos internacionales en materia de pre</w:t>
      </w:r>
      <w:r w:rsidR="00DD2AA9">
        <w:rPr>
          <w:rFonts w:ascii="Arial" w:hAnsi="Arial" w:cs="Arial"/>
          <w:sz w:val="24"/>
          <w:szCs w:val="24"/>
        </w:rPr>
        <w:t>venir, reprimir y sancionar la t</w:t>
      </w:r>
      <w:r w:rsidRPr="001E4779">
        <w:rPr>
          <w:rFonts w:ascii="Arial" w:hAnsi="Arial" w:cs="Arial"/>
          <w:sz w:val="24"/>
          <w:szCs w:val="24"/>
        </w:rPr>
        <w:t xml:space="preserve">rata </w:t>
      </w:r>
      <w:r w:rsidR="00DD2AA9">
        <w:rPr>
          <w:rFonts w:ascii="Arial" w:hAnsi="Arial" w:cs="Arial"/>
          <w:sz w:val="24"/>
          <w:szCs w:val="24"/>
        </w:rPr>
        <w:t>de p</w:t>
      </w:r>
      <w:r w:rsidRPr="001E4779">
        <w:rPr>
          <w:rFonts w:ascii="Arial" w:hAnsi="Arial" w:cs="Arial"/>
          <w:sz w:val="24"/>
          <w:szCs w:val="24"/>
        </w:rPr>
        <w:t>ersonas, especia</w:t>
      </w:r>
      <w:r w:rsidR="00DD2AA9">
        <w:rPr>
          <w:rFonts w:ascii="Arial" w:hAnsi="Arial" w:cs="Arial"/>
          <w:sz w:val="24"/>
          <w:szCs w:val="24"/>
        </w:rPr>
        <w:t>lmente mujeres y niña</w:t>
      </w:r>
      <w:r w:rsidR="00F62787">
        <w:rPr>
          <w:rFonts w:ascii="Arial" w:hAnsi="Arial" w:cs="Arial"/>
          <w:sz w:val="24"/>
          <w:szCs w:val="24"/>
        </w:rPr>
        <w:t>s, sino la</w:t>
      </w:r>
      <w:r w:rsidRPr="001E4779">
        <w:rPr>
          <w:rFonts w:ascii="Arial" w:hAnsi="Arial" w:cs="Arial"/>
          <w:sz w:val="24"/>
          <w:szCs w:val="24"/>
        </w:rPr>
        <w:t xml:space="preserve"> identificación de las prácticas</w:t>
      </w:r>
      <w:r w:rsidR="00F62787">
        <w:rPr>
          <w:rFonts w:ascii="Arial" w:hAnsi="Arial" w:cs="Arial"/>
          <w:sz w:val="24"/>
          <w:szCs w:val="24"/>
        </w:rPr>
        <w:t xml:space="preserve"> y su carácter pluriofensivo, </w:t>
      </w:r>
      <w:r w:rsidR="00F62787">
        <w:rPr>
          <w:rStyle w:val="spellingerror"/>
          <w:rFonts w:ascii="Arial" w:hAnsi="Arial" w:cs="Arial"/>
        </w:rPr>
        <w:t>r</w:t>
      </w:r>
      <w:r w:rsidRPr="001E4779">
        <w:rPr>
          <w:rStyle w:val="spellingerror"/>
          <w:rFonts w:ascii="Arial" w:hAnsi="Arial" w:cs="Arial"/>
        </w:rPr>
        <w:t>ecordando que en esta lucha</w:t>
      </w:r>
      <w:r w:rsidR="00DD2AA9">
        <w:rPr>
          <w:rStyle w:val="spellingerror"/>
          <w:rFonts w:ascii="Arial" w:hAnsi="Arial" w:cs="Arial"/>
        </w:rPr>
        <w:t xml:space="preserve"> que sufren las mujeres y niñas</w:t>
      </w:r>
      <w:r w:rsidRPr="001E4779">
        <w:rPr>
          <w:rStyle w:val="spellingerror"/>
          <w:rFonts w:ascii="Arial" w:hAnsi="Arial" w:cs="Arial"/>
        </w:rPr>
        <w:t xml:space="preserve"> también hay que  combatir los estereotipos de género profundamente arraiga</w:t>
      </w:r>
      <w:r w:rsidR="00E065E2">
        <w:rPr>
          <w:rStyle w:val="spellingerror"/>
          <w:rFonts w:ascii="Arial" w:hAnsi="Arial" w:cs="Arial"/>
        </w:rPr>
        <w:t>dos en la</w:t>
      </w:r>
      <w:r w:rsidR="00DD2AA9">
        <w:rPr>
          <w:rStyle w:val="spellingerror"/>
          <w:rFonts w:ascii="Arial" w:hAnsi="Arial" w:cs="Arial"/>
        </w:rPr>
        <w:t xml:space="preserve"> sociedad en general.</w:t>
      </w:r>
      <w:r w:rsidRPr="001E4779">
        <w:rPr>
          <w:rStyle w:val="spellingerror"/>
          <w:rFonts w:ascii="Arial" w:hAnsi="Arial" w:cs="Arial"/>
        </w:rPr>
        <w:t xml:space="preserve"> </w:t>
      </w:r>
      <w:r w:rsidR="00EB1784">
        <w:rPr>
          <w:rStyle w:val="spellingerror"/>
          <w:rFonts w:ascii="Arial" w:hAnsi="Arial" w:cs="Arial"/>
        </w:rPr>
        <w:t xml:space="preserve">Lo cual, </w:t>
      </w:r>
      <w:r w:rsidR="00DD2AA9">
        <w:rPr>
          <w:rStyle w:val="spellingerror"/>
          <w:rFonts w:ascii="Arial" w:hAnsi="Arial" w:cs="Arial"/>
        </w:rPr>
        <w:t>no so</w:t>
      </w:r>
      <w:r w:rsidR="001E4779" w:rsidRPr="001E4779">
        <w:rPr>
          <w:rStyle w:val="spellingerror"/>
          <w:rFonts w:ascii="Arial" w:hAnsi="Arial" w:cs="Arial"/>
        </w:rPr>
        <w:t>lo refuerza la discriminación contra las mujeres en contextos de movilidad humana, sino que es también la razón por la cual</w:t>
      </w:r>
      <w:r w:rsidR="00F62787">
        <w:rPr>
          <w:rStyle w:val="spellingerror"/>
          <w:rFonts w:ascii="Arial" w:hAnsi="Arial" w:cs="Arial"/>
        </w:rPr>
        <w:t xml:space="preserve"> las mismas</w:t>
      </w:r>
      <w:r w:rsidR="001E4779" w:rsidRPr="001E4779">
        <w:rPr>
          <w:rStyle w:val="spellingerror"/>
          <w:rFonts w:ascii="Arial" w:hAnsi="Arial" w:cs="Arial"/>
        </w:rPr>
        <w:t xml:space="preserve"> no pueden acceder a los sistemas de protección</w:t>
      </w:r>
      <w:r w:rsidR="00F62787">
        <w:rPr>
          <w:rStyle w:val="spellingerror"/>
          <w:rFonts w:ascii="Arial" w:hAnsi="Arial" w:cs="Arial"/>
        </w:rPr>
        <w:t>.</w:t>
      </w:r>
    </w:p>
    <w:p w14:paraId="4FDCFE07" w14:textId="77777777" w:rsidR="002D209C" w:rsidRPr="000374C5" w:rsidRDefault="002D209C" w:rsidP="000374C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sectPr w:rsidR="002D209C" w:rsidRPr="000374C5" w:rsidSect="00983540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7AAF" w14:textId="77777777" w:rsidR="00123576" w:rsidRDefault="00123576" w:rsidP="00983540">
      <w:pPr>
        <w:spacing w:after="0" w:line="240" w:lineRule="auto"/>
      </w:pPr>
      <w:r>
        <w:separator/>
      </w:r>
    </w:p>
  </w:endnote>
  <w:endnote w:type="continuationSeparator" w:id="0">
    <w:p w14:paraId="3C24A350" w14:textId="77777777" w:rsidR="00123576" w:rsidRDefault="00123576" w:rsidP="0098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131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B1FF4" w14:textId="0C4EA534" w:rsidR="00D31EF2" w:rsidRDefault="00D31E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C393AE" w14:textId="77777777" w:rsidR="00D31EF2" w:rsidRDefault="00D31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2947" w14:textId="77777777" w:rsidR="00123576" w:rsidRDefault="00123576" w:rsidP="00983540">
      <w:pPr>
        <w:spacing w:after="0" w:line="240" w:lineRule="auto"/>
      </w:pPr>
      <w:r>
        <w:separator/>
      </w:r>
    </w:p>
  </w:footnote>
  <w:footnote w:type="continuationSeparator" w:id="0">
    <w:p w14:paraId="6EB52FE1" w14:textId="77777777" w:rsidR="00123576" w:rsidRDefault="00123576" w:rsidP="00983540">
      <w:pPr>
        <w:spacing w:after="0" w:line="240" w:lineRule="auto"/>
      </w:pPr>
      <w:r>
        <w:continuationSeparator/>
      </w:r>
    </w:p>
  </w:footnote>
  <w:footnote w:id="1">
    <w:p w14:paraId="75A3E0B3" w14:textId="77777777" w:rsidR="00405C6C" w:rsidRPr="00167D78" w:rsidRDefault="00405C6C" w:rsidP="00405C6C">
      <w:pPr>
        <w:pStyle w:val="FootnoteText"/>
        <w:jc w:val="both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67D78">
        <w:rPr>
          <w:sz w:val="18"/>
          <w:szCs w:val="18"/>
        </w:rPr>
        <w:t xml:space="preserve">Organización Internacional del Trabajo (OIT),  Walk Free Foundation y Organización Mundial para las Migraciones (OIM), (2016), Estimación mundial sobre la esclavitud moderna: Trabajo forzoso y matrimonio forzado. </w:t>
      </w:r>
      <w:r w:rsidRPr="00167D78">
        <w:rPr>
          <w:sz w:val="18"/>
          <w:szCs w:val="18"/>
          <w:lang w:val="en-US"/>
        </w:rPr>
        <w:t xml:space="preserve">Recuperado en: </w:t>
      </w:r>
      <w:hyperlink r:id="rId1" w:history="1">
        <w:r w:rsidRPr="00167D78">
          <w:rPr>
            <w:rStyle w:val="Hyperlink"/>
            <w:sz w:val="18"/>
            <w:szCs w:val="18"/>
            <w:lang w:val="en-US"/>
          </w:rPr>
          <w:t>http://www.alliance87.org/2017ge/</w:t>
        </w:r>
      </w:hyperlink>
      <w:r w:rsidRPr="00167D78">
        <w:rPr>
          <w:sz w:val="18"/>
          <w:szCs w:val="18"/>
          <w:lang w:val="en-US"/>
        </w:rPr>
        <w:t xml:space="preserve"> </w:t>
      </w:r>
    </w:p>
  </w:footnote>
  <w:footnote w:id="2">
    <w:p w14:paraId="2AF0370D" w14:textId="77777777" w:rsidR="00405C6C" w:rsidRPr="00167D78" w:rsidRDefault="00405C6C" w:rsidP="00405C6C">
      <w:pPr>
        <w:pStyle w:val="FootnoteText"/>
        <w:jc w:val="both"/>
        <w:rPr>
          <w:sz w:val="18"/>
          <w:szCs w:val="18"/>
        </w:rPr>
      </w:pPr>
      <w:r w:rsidRPr="00167D78">
        <w:rPr>
          <w:rStyle w:val="FootnoteReference"/>
          <w:sz w:val="18"/>
          <w:szCs w:val="18"/>
        </w:rPr>
        <w:footnoteRef/>
      </w:r>
      <w:r w:rsidRPr="00167D78">
        <w:rPr>
          <w:sz w:val="18"/>
          <w:szCs w:val="18"/>
          <w:lang w:val="en-US"/>
        </w:rPr>
        <w:t xml:space="preserve"> United Nations Department of Economic and Social Affairs, (2016) World Urbanization Prospects. </w:t>
      </w:r>
      <w:r w:rsidRPr="00167D78">
        <w:rPr>
          <w:sz w:val="18"/>
          <w:szCs w:val="18"/>
        </w:rPr>
        <w:t xml:space="preserve">Recuperado en: </w:t>
      </w:r>
      <w:hyperlink r:id="rId2" w:history="1">
        <w:r w:rsidRPr="00167D78">
          <w:rPr>
            <w:rStyle w:val="Hyperlink"/>
            <w:sz w:val="18"/>
            <w:szCs w:val="18"/>
          </w:rPr>
          <w:t>http://www.ilo.org/wcmsp5/groups/public/@ed_norm/@ipec/documents/publication/wcms_596485.pdf</w:t>
        </w:r>
      </w:hyperlink>
      <w:r w:rsidRPr="00167D78">
        <w:rPr>
          <w:sz w:val="18"/>
          <w:szCs w:val="18"/>
        </w:rPr>
        <w:t xml:space="preserve"> </w:t>
      </w:r>
    </w:p>
  </w:footnote>
  <w:footnote w:id="3">
    <w:p w14:paraId="5C7CC9A9" w14:textId="77777777" w:rsidR="00C12104" w:rsidRDefault="00C12104" w:rsidP="00C12104">
      <w:pPr>
        <w:pStyle w:val="FootnoteText"/>
      </w:pPr>
      <w:r>
        <w:rPr>
          <w:rStyle w:val="FootnoteReference"/>
        </w:rPr>
        <w:footnoteRef/>
      </w:r>
      <w:r>
        <w:t xml:space="preserve"> UNFPA, 2018. </w:t>
      </w:r>
      <w:r w:rsidRPr="0021566A">
        <w:t>Cinco motivos por los que la migración es una cuestión feminista</w:t>
      </w:r>
      <w:r>
        <w:t xml:space="preserve">. Disponible en: </w:t>
      </w:r>
      <w:hyperlink r:id="rId3" w:history="1">
        <w:r w:rsidRPr="00543965">
          <w:rPr>
            <w:rStyle w:val="Hyperlink"/>
          </w:rPr>
          <w:t>https://www.unfpa.org/es/news/migraci%C3%B3n-feminista</w:t>
        </w:r>
      </w:hyperlink>
      <w:r>
        <w:t xml:space="preserve"> </w:t>
      </w:r>
    </w:p>
  </w:footnote>
  <w:footnote w:id="4">
    <w:p w14:paraId="3A512D5D" w14:textId="77777777" w:rsidR="00D02651" w:rsidRPr="00D31EF2" w:rsidRDefault="00D02651" w:rsidP="00D02651">
      <w:pPr>
        <w:pStyle w:val="FootnoteText"/>
        <w:rPr>
          <w:lang w:val="es-CR"/>
        </w:rPr>
      </w:pPr>
      <w:r>
        <w:rPr>
          <w:rStyle w:val="FootnoteReference"/>
        </w:rPr>
        <w:footnoteRef/>
      </w:r>
      <w:r>
        <w:t xml:space="preserve"> </w:t>
      </w:r>
      <w:r w:rsidRPr="00167D78">
        <w:rPr>
          <w:sz w:val="18"/>
          <w:szCs w:val="18"/>
        </w:rPr>
        <w:t xml:space="preserve">Organización Internacional del Trabajo (OIT),  Walk Free Foundation y Organización Mundial para las Migraciones (OIM), (2016), Estimación mundial sobre la esclavitud moderna: Trabajo forzoso y matrimonio forzado. </w:t>
      </w:r>
      <w:r w:rsidRPr="00D31EF2">
        <w:rPr>
          <w:sz w:val="18"/>
          <w:szCs w:val="18"/>
          <w:lang w:val="es-CR"/>
        </w:rPr>
        <w:t xml:space="preserve">Recuperado en: </w:t>
      </w:r>
      <w:hyperlink r:id="rId4" w:history="1">
        <w:r w:rsidRPr="00D31EF2">
          <w:rPr>
            <w:rStyle w:val="Hyperlink"/>
            <w:sz w:val="18"/>
            <w:szCs w:val="18"/>
            <w:lang w:val="es-CR"/>
          </w:rPr>
          <w:t>http://www.alliance87.org/2017ge/</w:t>
        </w:r>
      </w:hyperlink>
    </w:p>
  </w:footnote>
  <w:footnote w:id="5">
    <w:p w14:paraId="574621E0" w14:textId="77777777" w:rsidR="002D209C" w:rsidRDefault="002D209C" w:rsidP="002D209C">
      <w:pPr>
        <w:pStyle w:val="FootnoteText"/>
      </w:pPr>
      <w:r>
        <w:rPr>
          <w:rStyle w:val="FootnoteReference"/>
        </w:rPr>
        <w:footnoteRef/>
      </w:r>
      <w:r>
        <w:t xml:space="preserve"> Centro de Justicia y paz, 2017. </w:t>
      </w:r>
      <w:r w:rsidRPr="00533EB7">
        <w:t>Informe “Mujeres al límite”: En Venezuela hay retrocesos graves en los indicadores relacionados con la alimentación, la salud y la violencia contra las mujeres</w:t>
      </w:r>
      <w:r>
        <w:t xml:space="preserve">. Disponible en: </w:t>
      </w:r>
      <w:hyperlink r:id="rId5" w:history="1">
        <w:r w:rsidRPr="00543965">
          <w:rPr>
            <w:rStyle w:val="Hyperlink"/>
          </w:rPr>
          <w:t>https://cepaz.org.ve/noticias/informe-mujeres-al-limite-en-venezuela-hay-retrocesos-graves-en-los-indicadores-relacionados-con-la-alimentacion-la-salud-y-la-violencia-contra-las-mujeres/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15727"/>
    <w:multiLevelType w:val="hybridMultilevel"/>
    <w:tmpl w:val="1B1C606A"/>
    <w:lvl w:ilvl="0" w:tplc="ADECC9A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554DF"/>
    <w:multiLevelType w:val="hybridMultilevel"/>
    <w:tmpl w:val="7ADCE61A"/>
    <w:lvl w:ilvl="0" w:tplc="F3745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0633"/>
    <w:multiLevelType w:val="hybridMultilevel"/>
    <w:tmpl w:val="FC8886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32322"/>
    <w:multiLevelType w:val="hybridMultilevel"/>
    <w:tmpl w:val="0F826D40"/>
    <w:lvl w:ilvl="0" w:tplc="CD6C29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CC601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605E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F042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D4DB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5C13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F7237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DED5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6060C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0"/>
    <w:rsid w:val="00003543"/>
    <w:rsid w:val="00033973"/>
    <w:rsid w:val="000374C5"/>
    <w:rsid w:val="000773ED"/>
    <w:rsid w:val="00123576"/>
    <w:rsid w:val="001C5049"/>
    <w:rsid w:val="001E4779"/>
    <w:rsid w:val="002D209C"/>
    <w:rsid w:val="002E74A9"/>
    <w:rsid w:val="002F427B"/>
    <w:rsid w:val="00405C6C"/>
    <w:rsid w:val="005F39CD"/>
    <w:rsid w:val="0087464D"/>
    <w:rsid w:val="009302E0"/>
    <w:rsid w:val="00983540"/>
    <w:rsid w:val="00A668FE"/>
    <w:rsid w:val="00AA2A4C"/>
    <w:rsid w:val="00AB3447"/>
    <w:rsid w:val="00B07056"/>
    <w:rsid w:val="00C12104"/>
    <w:rsid w:val="00C2371F"/>
    <w:rsid w:val="00CA4E30"/>
    <w:rsid w:val="00D02651"/>
    <w:rsid w:val="00D31EF2"/>
    <w:rsid w:val="00DC2AF6"/>
    <w:rsid w:val="00DD2AA9"/>
    <w:rsid w:val="00E065E2"/>
    <w:rsid w:val="00E43596"/>
    <w:rsid w:val="00EB1784"/>
    <w:rsid w:val="00F6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4DE4"/>
  <w15:chartTrackingRefBased/>
  <w15:docId w15:val="{19DEA197-9417-436F-9763-F047181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540"/>
    <w:pPr>
      <w:ind w:left="720"/>
      <w:contextualSpacing/>
    </w:pPr>
    <w:rPr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3540"/>
    <w:pPr>
      <w:spacing w:after="0" w:line="240" w:lineRule="auto"/>
    </w:pPr>
    <w:rPr>
      <w:sz w:val="20"/>
      <w:szCs w:val="20"/>
      <w:lang w:val="es-MX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540"/>
    <w:rPr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unhideWhenUsed/>
    <w:rsid w:val="009835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354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8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pellingerror">
    <w:name w:val="spellingerror"/>
    <w:basedOn w:val="DefaultParagraphFont"/>
    <w:rsid w:val="00983540"/>
  </w:style>
  <w:style w:type="character" w:customStyle="1" w:styleId="normaltextrun">
    <w:name w:val="normaltextrun"/>
    <w:basedOn w:val="DefaultParagraphFont"/>
    <w:rsid w:val="002F427B"/>
  </w:style>
  <w:style w:type="paragraph" w:styleId="Header">
    <w:name w:val="header"/>
    <w:basedOn w:val="Normal"/>
    <w:link w:val="HeaderChar"/>
    <w:uiPriority w:val="99"/>
    <w:unhideWhenUsed/>
    <w:rsid w:val="00D3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F2"/>
  </w:style>
  <w:style w:type="paragraph" w:styleId="Footer">
    <w:name w:val="footer"/>
    <w:basedOn w:val="Normal"/>
    <w:link w:val="FooterChar"/>
    <w:uiPriority w:val="99"/>
    <w:unhideWhenUsed/>
    <w:rsid w:val="00D3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fpa.org/es/news/migraci%C3%B3n-feminista" TargetMode="External"/><Relationship Id="rId2" Type="http://schemas.openxmlformats.org/officeDocument/2006/relationships/hyperlink" Target="http://www.ilo.org/wcmsp5/groups/public/@ed_norm/@ipec/documents/publication/wcms_596485.pdf" TargetMode="External"/><Relationship Id="rId1" Type="http://schemas.openxmlformats.org/officeDocument/2006/relationships/hyperlink" Target="http://www.alliance87.org/2017ge/" TargetMode="External"/><Relationship Id="rId5" Type="http://schemas.openxmlformats.org/officeDocument/2006/relationships/hyperlink" Target="https://cepaz.org.ve/noticias/informe-mujeres-al-limite-en-venezuela-hay-retrocesos-graves-en-los-indicadores-relacionados-con-la-alimentacion-la-salud-y-la-violencia-contra-las-mujeres/" TargetMode="External"/><Relationship Id="rId4" Type="http://schemas.openxmlformats.org/officeDocument/2006/relationships/hyperlink" Target="http://www.alliance87.org/2017g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691613-6301-402F-B3B7-C4E1E8DEB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1BFF6-07AA-4D75-A86B-B963153C368E}"/>
</file>

<file path=customXml/itemProps3.xml><?xml version="1.0" encoding="utf-8"?>
<ds:datastoreItem xmlns:ds="http://schemas.openxmlformats.org/officeDocument/2006/customXml" ds:itemID="{BA9DCE12-D752-4515-AEB7-A6CD48410CA8}"/>
</file>

<file path=customXml/itemProps4.xml><?xml version="1.0" encoding="utf-8"?>
<ds:datastoreItem xmlns:ds="http://schemas.openxmlformats.org/officeDocument/2006/customXml" ds:itemID="{AD6E2B6E-D4B6-4880-A4B3-52DC7EF55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</dc:creator>
  <cp:keywords/>
  <dc:description/>
  <cp:lastModifiedBy>Daniela Buchmann</cp:lastModifiedBy>
  <cp:revision>2</cp:revision>
  <dcterms:created xsi:type="dcterms:W3CDTF">2019-02-18T16:21:00Z</dcterms:created>
  <dcterms:modified xsi:type="dcterms:W3CDTF">2019-02-18T16:21:00Z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