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F1C77" w14:textId="77777777" w:rsidR="005B54B9" w:rsidRDefault="005B54B9" w:rsidP="005B54B9">
      <w:pPr>
        <w:jc w:val="center"/>
        <w:rPr>
          <w:rFonts w:asciiTheme="majorHAnsi" w:hAnsiTheme="majorHAnsi"/>
          <w:b/>
          <w:sz w:val="28"/>
        </w:rPr>
      </w:pPr>
      <w:bookmarkStart w:id="0" w:name="_GoBack"/>
      <w:bookmarkEnd w:id="0"/>
    </w:p>
    <w:p w14:paraId="4F13BA66" w14:textId="77777777" w:rsidR="00C437CD" w:rsidRDefault="00C437CD" w:rsidP="005B54B9">
      <w:pPr>
        <w:spacing w:after="0"/>
        <w:jc w:val="center"/>
        <w:rPr>
          <w:rFonts w:asciiTheme="majorHAnsi" w:hAnsiTheme="majorHAnsi"/>
          <w:b/>
          <w:sz w:val="28"/>
        </w:rPr>
      </w:pPr>
    </w:p>
    <w:p w14:paraId="42E2CB99" w14:textId="7387055F" w:rsidR="005B54B9" w:rsidRPr="00C437CD" w:rsidRDefault="005B54B9" w:rsidP="00C437CD">
      <w:pPr>
        <w:spacing w:after="0"/>
        <w:ind w:left="851" w:right="567"/>
        <w:jc w:val="center"/>
        <w:rPr>
          <w:rFonts w:asciiTheme="minorHAnsi" w:hAnsiTheme="minorHAnsi"/>
          <w:b/>
          <w:sz w:val="24"/>
        </w:rPr>
      </w:pPr>
      <w:r w:rsidRPr="00C437CD">
        <w:rPr>
          <w:rFonts w:asciiTheme="minorHAnsi" w:hAnsiTheme="minorHAnsi"/>
          <w:b/>
          <w:sz w:val="24"/>
        </w:rPr>
        <w:t xml:space="preserve">Statement to the UN Committee on the Elimination of Discrimination Against Women for its half-day general discussion on trafficking in women and girls in the context of global migration </w:t>
      </w:r>
    </w:p>
    <w:p w14:paraId="11A97FAE" w14:textId="77777777" w:rsidR="005B54B9" w:rsidRPr="00C437CD" w:rsidRDefault="00C437CD" w:rsidP="00C437CD">
      <w:pPr>
        <w:tabs>
          <w:tab w:val="left" w:pos="1134"/>
        </w:tabs>
        <w:spacing w:after="0"/>
        <w:jc w:val="center"/>
        <w:rPr>
          <w:rFonts w:asciiTheme="minorHAnsi" w:hAnsiTheme="minorHAnsi"/>
          <w:b/>
          <w:sz w:val="24"/>
        </w:rPr>
      </w:pPr>
      <w:r>
        <w:rPr>
          <w:rFonts w:asciiTheme="minorHAnsi" w:hAnsiTheme="minorHAnsi"/>
          <w:b/>
          <w:sz w:val="24"/>
        </w:rPr>
        <w:t xml:space="preserve">         </w:t>
      </w:r>
      <w:r w:rsidR="005B54B9" w:rsidRPr="00C437CD">
        <w:rPr>
          <w:rFonts w:asciiTheme="minorHAnsi" w:hAnsiTheme="minorHAnsi"/>
          <w:b/>
          <w:sz w:val="24"/>
        </w:rPr>
        <w:t>22 February 2019</w:t>
      </w:r>
    </w:p>
    <w:p w14:paraId="2E93FA8C" w14:textId="77777777" w:rsidR="005F6FC5" w:rsidRDefault="005F6FC5">
      <w:pPr>
        <w:jc w:val="center"/>
        <w:rPr>
          <w:b/>
        </w:rPr>
      </w:pPr>
    </w:p>
    <w:p w14:paraId="7DFF9982" w14:textId="77777777" w:rsidR="00F913C7" w:rsidRDefault="00F913C7">
      <w:pPr>
        <w:jc w:val="center"/>
        <w:rPr>
          <w:b/>
        </w:rPr>
      </w:pPr>
    </w:p>
    <w:p w14:paraId="51B10976"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t>Dear CEDAW Committee Members,</w:t>
      </w:r>
    </w:p>
    <w:p w14:paraId="0FC4C9D0"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HAnsi" w:cs="Times New Roman"/>
          <w:i/>
          <w:iCs/>
          <w:sz w:val="24"/>
          <w:szCs w:val="24"/>
          <w:shd w:val="clear" w:color="auto" w:fill="FFFF00"/>
        </w:rPr>
      </w:pPr>
    </w:p>
    <w:p w14:paraId="42695D97" w14:textId="77777777" w:rsidR="00F913C7" w:rsidRPr="00F913C7" w:rsidRDefault="00F913C7" w:rsidP="000228C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heme="minorHAnsi" w:cs="Times New Roman"/>
          <w:sz w:val="24"/>
          <w:szCs w:val="24"/>
        </w:rPr>
      </w:pPr>
      <w:r w:rsidRPr="00F913C7">
        <w:rPr>
          <w:rFonts w:eastAsiaTheme="minorHAnsi" w:cs="Times New Roman"/>
          <w:iCs/>
          <w:sz w:val="24"/>
          <w:szCs w:val="24"/>
        </w:rPr>
        <w:t>We wish to thank the CEDAW Committee for the opportunity to address you at this time in advance of the consideration of the first draft of the new General Recommendation on trafficking in women and girls in the context of global migration.</w:t>
      </w:r>
    </w:p>
    <w:p w14:paraId="5F385347" w14:textId="77777777" w:rsidR="00F913C7" w:rsidRPr="00F913C7" w:rsidRDefault="00F913C7" w:rsidP="000228C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heme="minorEastAsia" w:hAnsiTheme="minorHAnsi" w:cs="Arial"/>
          <w:color w:val="auto"/>
          <w:sz w:val="20"/>
          <w:szCs w:val="24"/>
          <w:lang w:eastAsia="fr-CH"/>
        </w:rPr>
      </w:pPr>
    </w:p>
    <w:p w14:paraId="0EDFBA70" w14:textId="66F46337" w:rsidR="00F913C7" w:rsidRPr="00F913C7" w:rsidRDefault="00F913C7" w:rsidP="000228CA">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lastRenderedPageBreak/>
        <w:t xml:space="preserve">Our </w:t>
      </w:r>
      <w:r w:rsidR="000E7509">
        <w:rPr>
          <w:rFonts w:asciiTheme="minorHAnsi" w:eastAsiaTheme="minorEastAsia" w:hAnsiTheme="minorHAnsi" w:cs="Arial"/>
          <w:color w:val="auto"/>
          <w:sz w:val="24"/>
          <w:szCs w:val="24"/>
          <w:lang w:eastAsia="ja-JP"/>
        </w:rPr>
        <w:t>brief</w:t>
      </w:r>
      <w:r w:rsidRPr="00F913C7">
        <w:rPr>
          <w:rFonts w:asciiTheme="minorHAnsi" w:eastAsiaTheme="minorEastAsia" w:hAnsiTheme="minorHAnsi" w:cs="Arial"/>
          <w:color w:val="auto"/>
          <w:sz w:val="24"/>
          <w:szCs w:val="24"/>
          <w:lang w:eastAsia="ja-JP"/>
        </w:rPr>
        <w:t xml:space="preserve"> statement today builds on our written contribution submitted to the Committee on 18 February 2019. We focus on three key concerns of the Committee</w:t>
      </w:r>
      <w:r w:rsidRPr="00F913C7">
        <w:rPr>
          <w:rFonts w:asciiTheme="minorHAnsi" w:eastAsiaTheme="minorEastAsia" w:hAnsiTheme="minorHAnsi" w:cs="Arial"/>
          <w:color w:val="auto"/>
          <w:sz w:val="24"/>
          <w:szCs w:val="24"/>
          <w:vertAlign w:val="superscript"/>
          <w:lang w:eastAsia="ja-JP"/>
        </w:rPr>
        <w:footnoteReference w:id="1"/>
      </w:r>
      <w:r w:rsidRPr="00F913C7">
        <w:rPr>
          <w:rFonts w:asciiTheme="minorHAnsi" w:eastAsiaTheme="minorEastAsia" w:hAnsiTheme="minorHAnsi" w:cs="Arial"/>
          <w:color w:val="auto"/>
          <w:sz w:val="24"/>
          <w:szCs w:val="24"/>
          <w:lang w:eastAsia="ja-JP"/>
        </w:rPr>
        <w:t xml:space="preserve">. </w:t>
      </w:r>
    </w:p>
    <w:p w14:paraId="380026E4"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ind w:left="720"/>
        <w:contextualSpacing/>
        <w:jc w:val="both"/>
        <w:rPr>
          <w:rFonts w:asciiTheme="minorHAnsi" w:eastAsiaTheme="minorEastAsia" w:hAnsiTheme="minorHAnsi" w:cs="Arial"/>
          <w:color w:val="auto"/>
          <w:sz w:val="24"/>
          <w:szCs w:val="24"/>
          <w:lang w:eastAsia="ja-JP"/>
        </w:rPr>
      </w:pPr>
    </w:p>
    <w:p w14:paraId="78E0C840"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b/>
          <w:color w:val="auto"/>
          <w:sz w:val="24"/>
          <w:szCs w:val="24"/>
          <w:lang w:eastAsia="ja-JP"/>
        </w:rPr>
      </w:pPr>
      <w:r w:rsidRPr="00F913C7">
        <w:rPr>
          <w:rFonts w:asciiTheme="minorHAnsi" w:eastAsiaTheme="minorEastAsia" w:hAnsiTheme="minorHAnsi" w:cs="Arial"/>
          <w:b/>
          <w:color w:val="auto"/>
          <w:sz w:val="24"/>
          <w:szCs w:val="24"/>
          <w:lang w:eastAsia="ja-JP"/>
        </w:rPr>
        <w:t>1. Trafficking in women and girls is rooted in gender-based discrimination, gender-based structural inequality and the feminisation of poverty</w:t>
      </w:r>
    </w:p>
    <w:p w14:paraId="626F2DC4"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b/>
          <w:color w:val="auto"/>
          <w:sz w:val="20"/>
          <w:szCs w:val="24"/>
          <w:lang w:eastAsia="ja-JP"/>
        </w:rPr>
      </w:pPr>
    </w:p>
    <w:p w14:paraId="5E3BB568"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t>We support the view of the Committee that trafficking in women and girls is rooted in gender-based discrimination and gender-based inequality, resulting in their lower economic, social, and legal status.</w:t>
      </w:r>
      <w:r w:rsidRPr="00F913C7">
        <w:rPr>
          <w:rFonts w:asciiTheme="minorHAnsi" w:eastAsiaTheme="minorEastAsia" w:hAnsiTheme="minorHAnsi" w:cs="Arial"/>
          <w:color w:val="auto"/>
          <w:sz w:val="24"/>
          <w:szCs w:val="24"/>
          <w:vertAlign w:val="superscript"/>
          <w:lang w:eastAsia="ja-JP"/>
        </w:rPr>
        <w:footnoteReference w:id="2"/>
      </w:r>
    </w:p>
    <w:p w14:paraId="33AB44A1"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0"/>
          <w:szCs w:val="24"/>
          <w:lang w:eastAsia="ja-JP"/>
        </w:rPr>
      </w:pPr>
    </w:p>
    <w:p w14:paraId="4C7492E7"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b/>
          <w:color w:val="auto"/>
          <w:sz w:val="24"/>
          <w:szCs w:val="24"/>
          <w:lang w:eastAsia="ja-JP"/>
        </w:rPr>
        <w:t>1.1</w:t>
      </w:r>
      <w:r w:rsidRPr="00F913C7">
        <w:rPr>
          <w:rFonts w:asciiTheme="minorHAnsi" w:eastAsiaTheme="minorEastAsia" w:hAnsiTheme="minorHAnsi" w:cs="Arial"/>
          <w:color w:val="auto"/>
          <w:sz w:val="24"/>
          <w:szCs w:val="24"/>
          <w:lang w:eastAsia="ja-JP"/>
        </w:rPr>
        <w:t xml:space="preserve">. To address these root causes of human trafficking, we would like to highlight that CEDAW Article 6 may require States parties to meet the minimum core-obligations of the socio-economic rights stipulated in the Convention. </w:t>
      </w:r>
    </w:p>
    <w:p w14:paraId="2F348D86"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0"/>
          <w:szCs w:val="24"/>
          <w:lang w:eastAsia="ja-JP"/>
        </w:rPr>
      </w:pPr>
    </w:p>
    <w:p w14:paraId="0E260CD9"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b/>
          <w:color w:val="auto"/>
          <w:sz w:val="24"/>
          <w:szCs w:val="24"/>
          <w:lang w:eastAsia="ja-JP"/>
        </w:rPr>
        <w:lastRenderedPageBreak/>
        <w:t>1.2</w:t>
      </w:r>
      <w:r w:rsidRPr="00F913C7">
        <w:rPr>
          <w:rFonts w:asciiTheme="minorHAnsi" w:eastAsiaTheme="minorEastAsia" w:hAnsiTheme="minorHAnsi" w:cs="Arial"/>
          <w:color w:val="auto"/>
          <w:sz w:val="24"/>
          <w:szCs w:val="24"/>
          <w:lang w:eastAsia="ja-JP"/>
        </w:rPr>
        <w:t>. Article 6 of the Convention may further require States parties to adopt urgent temporary measures in accordance with article 4 of the Convention to provide redress in areas in which women and girls are experiencing extreme poverty and severe inequalities, both resulting in heightened exposure to trafficking.</w:t>
      </w:r>
    </w:p>
    <w:p w14:paraId="64C79907"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0"/>
          <w:szCs w:val="24"/>
          <w:lang w:eastAsia="ja-JP"/>
        </w:rPr>
      </w:pPr>
    </w:p>
    <w:p w14:paraId="58468439"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b/>
          <w:color w:val="auto"/>
          <w:sz w:val="24"/>
          <w:szCs w:val="24"/>
          <w:lang w:eastAsia="ja-JP"/>
        </w:rPr>
        <w:t>1.3.</w:t>
      </w:r>
      <w:r w:rsidRPr="00F913C7">
        <w:rPr>
          <w:rFonts w:asciiTheme="minorHAnsi" w:eastAsiaTheme="minorEastAsia" w:hAnsiTheme="minorHAnsi" w:cs="Arial"/>
          <w:color w:val="auto"/>
          <w:sz w:val="24"/>
          <w:szCs w:val="24"/>
          <w:lang w:eastAsia="ja-JP"/>
        </w:rPr>
        <w:t xml:space="preserve"> We would like to invite the Committee to recommend that States parties use the UNDP's Multi-dimensional Poverty Index (MPI) and adapt it to their national policies. </w:t>
      </w:r>
    </w:p>
    <w:p w14:paraId="244B6104"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b/>
          <w:color w:val="auto"/>
          <w:sz w:val="24"/>
          <w:szCs w:val="24"/>
          <w:lang w:eastAsia="ja-JP"/>
        </w:rPr>
      </w:pPr>
    </w:p>
    <w:p w14:paraId="7AD595EA"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b/>
          <w:color w:val="auto"/>
          <w:sz w:val="24"/>
          <w:szCs w:val="24"/>
          <w:lang w:eastAsia="ja-JP"/>
        </w:rPr>
      </w:pPr>
      <w:r w:rsidRPr="00F913C7">
        <w:rPr>
          <w:rFonts w:asciiTheme="minorHAnsi" w:eastAsiaTheme="minorEastAsia" w:hAnsiTheme="minorHAnsi" w:cs="Arial"/>
          <w:b/>
          <w:color w:val="auto"/>
          <w:sz w:val="24"/>
          <w:szCs w:val="24"/>
          <w:lang w:eastAsia="ja-JP"/>
        </w:rPr>
        <w:t>2. Irregular and unsafe migration channels greatly increase the risks of trafficking in women and girls</w:t>
      </w:r>
    </w:p>
    <w:p w14:paraId="6EE52C70"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b/>
          <w:color w:val="auto"/>
          <w:sz w:val="20"/>
          <w:szCs w:val="24"/>
          <w:lang w:eastAsia="ja-JP"/>
        </w:rPr>
      </w:pPr>
    </w:p>
    <w:p w14:paraId="68E6BD65"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t xml:space="preserve">As the Committee is aware that irregular and unsafe migration channels greatly increase the risks of women and girls becoming victims of trafficking, we would like to submit the following recommendations: </w:t>
      </w:r>
    </w:p>
    <w:p w14:paraId="76FCBD81"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0"/>
          <w:szCs w:val="24"/>
          <w:lang w:eastAsia="ja-JP"/>
        </w:rPr>
      </w:pPr>
    </w:p>
    <w:p w14:paraId="58FEFAB1"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b/>
          <w:color w:val="auto"/>
          <w:sz w:val="24"/>
          <w:szCs w:val="24"/>
          <w:lang w:eastAsia="ja-JP"/>
        </w:rPr>
        <w:t>2.1.</w:t>
      </w:r>
      <w:r w:rsidRPr="00F913C7">
        <w:rPr>
          <w:rFonts w:asciiTheme="minorHAnsi" w:eastAsiaTheme="minorEastAsia" w:hAnsiTheme="minorHAnsi" w:cs="Arial"/>
          <w:color w:val="auto"/>
          <w:sz w:val="24"/>
          <w:szCs w:val="24"/>
          <w:lang w:eastAsia="ja-JP"/>
        </w:rPr>
        <w:t xml:space="preserve"> Due regard must be given to the Global Compact on Migration and the commitment that States have made to ensure that pathways for regular migration are opened to reduce the need for women and girls to take unsafe irregular routes that makes them particularly vulnerable to trafficking.</w:t>
      </w:r>
    </w:p>
    <w:p w14:paraId="48E449D1"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heme="minorHAnsi" w:eastAsiaTheme="minorEastAsia" w:hAnsiTheme="minorHAnsi" w:cs="Arial"/>
          <w:color w:val="auto"/>
          <w:sz w:val="20"/>
          <w:szCs w:val="24"/>
          <w:lang w:eastAsia="ja-JP"/>
        </w:rPr>
      </w:pPr>
    </w:p>
    <w:p w14:paraId="78F0B7E1" w14:textId="2778194B" w:rsidR="00F913C7" w:rsidRPr="00F913C7" w:rsidRDefault="00B51F98" w:rsidP="00F913C7">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heme="minorHAnsi" w:eastAsiaTheme="minorEastAsia" w:hAnsiTheme="minorHAnsi" w:cs="Arial"/>
          <w:color w:val="auto"/>
          <w:sz w:val="24"/>
          <w:szCs w:val="24"/>
          <w:lang w:eastAsia="ja-JP"/>
        </w:rPr>
      </w:pPr>
      <w:r>
        <w:rPr>
          <w:rFonts w:asciiTheme="minorHAnsi" w:eastAsiaTheme="minorEastAsia" w:hAnsiTheme="minorHAnsi" w:cs="Arial"/>
          <w:b/>
          <w:color w:val="auto"/>
          <w:sz w:val="24"/>
          <w:szCs w:val="24"/>
          <w:lang w:eastAsia="ja-JP"/>
        </w:rPr>
        <w:t>2.2</w:t>
      </w:r>
      <w:r w:rsidR="00F913C7" w:rsidRPr="00F913C7">
        <w:rPr>
          <w:rFonts w:asciiTheme="minorHAnsi" w:eastAsiaTheme="minorEastAsia" w:hAnsiTheme="minorHAnsi" w:cs="Arial"/>
          <w:b/>
          <w:color w:val="auto"/>
          <w:sz w:val="24"/>
          <w:szCs w:val="24"/>
          <w:lang w:eastAsia="ja-JP"/>
        </w:rPr>
        <w:t>.</w:t>
      </w:r>
      <w:r w:rsidR="00F913C7" w:rsidRPr="00F913C7">
        <w:rPr>
          <w:rFonts w:asciiTheme="minorHAnsi" w:eastAsiaTheme="minorEastAsia" w:hAnsiTheme="minorHAnsi" w:cs="Arial"/>
          <w:color w:val="auto"/>
          <w:sz w:val="24"/>
          <w:szCs w:val="24"/>
          <w:lang w:eastAsia="ja-JP"/>
        </w:rPr>
        <w:t xml:space="preserve"> </w:t>
      </w:r>
      <w:r w:rsidR="00821FBC">
        <w:rPr>
          <w:rFonts w:asciiTheme="minorHAnsi" w:eastAsiaTheme="minorEastAsia" w:hAnsiTheme="minorHAnsi" w:cs="Arial"/>
          <w:color w:val="auto"/>
          <w:sz w:val="24"/>
          <w:szCs w:val="24"/>
          <w:lang w:eastAsia="ja-JP"/>
        </w:rPr>
        <w:t xml:space="preserve">Inhospitable </w:t>
      </w:r>
      <w:r w:rsidR="00F913C7" w:rsidRPr="00F913C7">
        <w:rPr>
          <w:rFonts w:asciiTheme="minorHAnsi" w:eastAsiaTheme="minorEastAsia" w:hAnsiTheme="minorHAnsi" w:cs="Arial"/>
          <w:color w:val="auto"/>
          <w:sz w:val="24"/>
          <w:szCs w:val="24"/>
          <w:lang w:eastAsia="ja-JP"/>
        </w:rPr>
        <w:t>State policies and practices, which make the situation of undocumented and irregular migrants increasingly vulnerable, serve to encourage trafficking of women and girls, as migrants must rely on dangerous and exploitative relationships with smugglers and employers in order to survive.</w:t>
      </w:r>
    </w:p>
    <w:p w14:paraId="45CB3497"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heme="minorHAnsi" w:eastAsiaTheme="minorEastAsia" w:hAnsiTheme="minorHAnsi" w:cs="Arial"/>
          <w:color w:val="auto"/>
          <w:sz w:val="20"/>
          <w:szCs w:val="24"/>
          <w:lang w:eastAsia="ja-JP"/>
        </w:rPr>
      </w:pPr>
    </w:p>
    <w:p w14:paraId="1FAD5674" w14:textId="6CDE7EB8" w:rsidR="00F913C7" w:rsidRPr="00F913C7" w:rsidRDefault="00B51F98" w:rsidP="00F913C7">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heme="minorHAnsi" w:eastAsiaTheme="minorEastAsia" w:hAnsiTheme="minorHAnsi" w:cs="Arial"/>
          <w:color w:val="auto"/>
          <w:sz w:val="24"/>
          <w:szCs w:val="24"/>
          <w:lang w:eastAsia="ja-JP"/>
        </w:rPr>
      </w:pPr>
      <w:r>
        <w:rPr>
          <w:rFonts w:asciiTheme="minorHAnsi" w:eastAsiaTheme="minorEastAsia" w:hAnsiTheme="minorHAnsi" w:cs="Arial"/>
          <w:b/>
          <w:color w:val="auto"/>
          <w:sz w:val="24"/>
          <w:szCs w:val="24"/>
          <w:lang w:eastAsia="ja-JP"/>
        </w:rPr>
        <w:t>2.3</w:t>
      </w:r>
      <w:r w:rsidR="00F913C7" w:rsidRPr="00F913C7">
        <w:rPr>
          <w:rFonts w:asciiTheme="minorHAnsi" w:eastAsiaTheme="minorEastAsia" w:hAnsiTheme="minorHAnsi" w:cs="Arial"/>
          <w:b/>
          <w:color w:val="auto"/>
          <w:sz w:val="24"/>
          <w:szCs w:val="24"/>
          <w:lang w:eastAsia="ja-JP"/>
        </w:rPr>
        <w:t>.</w:t>
      </w:r>
      <w:r w:rsidR="00F913C7" w:rsidRPr="00F913C7">
        <w:rPr>
          <w:rFonts w:asciiTheme="minorHAnsi" w:eastAsiaTheme="minorEastAsia" w:hAnsiTheme="minorHAnsi" w:cs="Arial"/>
          <w:color w:val="auto"/>
          <w:sz w:val="24"/>
          <w:szCs w:val="24"/>
          <w:lang w:eastAsia="ja-JP"/>
        </w:rPr>
        <w:t xml:space="preserve"> </w:t>
      </w:r>
      <w:r w:rsidR="00561C88" w:rsidRPr="00561C88">
        <w:rPr>
          <w:rFonts w:asciiTheme="minorHAnsi" w:eastAsiaTheme="minorEastAsia" w:hAnsiTheme="minorHAnsi" w:cs="Arial"/>
          <w:color w:val="auto"/>
          <w:sz w:val="24"/>
          <w:szCs w:val="24"/>
          <w:lang w:eastAsia="ja-JP"/>
        </w:rPr>
        <w:t>States parties should recognise the close relationship between trafficking and torture, which requires a responsibility in appreciating a wider range of international duties to prevent trafficking and gender-based violence.</w:t>
      </w:r>
    </w:p>
    <w:p w14:paraId="57DA7290"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heme="minorHAnsi" w:eastAsiaTheme="minorEastAsia" w:hAnsiTheme="minorHAnsi" w:cs="Arial"/>
          <w:color w:val="auto"/>
          <w:sz w:val="24"/>
          <w:szCs w:val="24"/>
          <w:lang w:eastAsia="ja-JP"/>
        </w:rPr>
      </w:pPr>
    </w:p>
    <w:p w14:paraId="7269D0A8"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b/>
          <w:color w:val="auto"/>
          <w:sz w:val="24"/>
          <w:szCs w:val="24"/>
          <w:lang w:eastAsia="ja-JP"/>
        </w:rPr>
      </w:pPr>
      <w:r w:rsidRPr="00F913C7">
        <w:rPr>
          <w:rFonts w:asciiTheme="minorHAnsi" w:eastAsiaTheme="minorEastAsia" w:hAnsiTheme="minorHAnsi" w:cs="Arial"/>
          <w:b/>
          <w:color w:val="auto"/>
          <w:sz w:val="24"/>
          <w:szCs w:val="24"/>
          <w:lang w:eastAsia="ja-JP"/>
        </w:rPr>
        <w:t>3. Sector-specific migration rules and policies can perpetuate victimisation of women and girls</w:t>
      </w:r>
    </w:p>
    <w:p w14:paraId="6076AEC5"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b/>
          <w:color w:val="auto"/>
          <w:sz w:val="20"/>
          <w:szCs w:val="24"/>
          <w:lang w:eastAsia="ja-JP"/>
        </w:rPr>
      </w:pPr>
    </w:p>
    <w:p w14:paraId="441BB194"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t xml:space="preserve">As immigration law and policy may create regular routes to enter, reside, and work within a state territory, immigration law and policy may also put women and girls at a higher risk of exploitation by exacerbating unequal employment relations and by giving employers excessive controlling powers over female employees. </w:t>
      </w:r>
    </w:p>
    <w:p w14:paraId="757857D3"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p>
    <w:p w14:paraId="24CE2A6C"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lastRenderedPageBreak/>
        <w:t>Immigration law and policy may further reinforce this gender inequality by relying on harmful gender stereotypes. In line with CEDAW Article 5, the Committee may outline a State obligation to ensure that immigration rules do not reinforce gender stereotypes conducive to trafficking of women and girls, including the stereotypes of male sexual entitlement, control, and ownership.</w:t>
      </w:r>
      <w:r w:rsidRPr="00F913C7">
        <w:rPr>
          <w:rFonts w:asciiTheme="minorHAnsi" w:eastAsiaTheme="minorEastAsia" w:hAnsiTheme="minorHAnsi" w:cs="Arial"/>
          <w:color w:val="auto"/>
          <w:sz w:val="24"/>
          <w:szCs w:val="24"/>
          <w:vertAlign w:val="superscript"/>
          <w:lang w:eastAsia="ja-JP"/>
        </w:rPr>
        <w:footnoteReference w:id="3"/>
      </w:r>
      <w:r w:rsidRPr="00F913C7">
        <w:rPr>
          <w:rFonts w:asciiTheme="minorHAnsi" w:eastAsiaTheme="minorEastAsia" w:hAnsiTheme="minorHAnsi" w:cs="Arial"/>
          <w:color w:val="auto"/>
          <w:sz w:val="24"/>
          <w:szCs w:val="24"/>
          <w:lang w:eastAsia="ja-JP"/>
        </w:rPr>
        <w:t xml:space="preserve"> </w:t>
      </w:r>
    </w:p>
    <w:p w14:paraId="143E32F3"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p>
    <w:p w14:paraId="31355338"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t>Therefore, we would like to submit the following recommendations:</w:t>
      </w:r>
    </w:p>
    <w:p w14:paraId="65C654FF"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0"/>
          <w:szCs w:val="24"/>
          <w:lang w:eastAsia="ja-JP"/>
        </w:rPr>
      </w:pPr>
    </w:p>
    <w:p w14:paraId="04B7A9AF"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b/>
          <w:color w:val="auto"/>
          <w:sz w:val="24"/>
          <w:szCs w:val="24"/>
          <w:lang w:eastAsia="ja-JP"/>
        </w:rPr>
        <w:t>3.1.</w:t>
      </w:r>
      <w:r w:rsidRPr="00F913C7">
        <w:rPr>
          <w:rFonts w:asciiTheme="minorHAnsi" w:eastAsiaTheme="minorEastAsia" w:hAnsiTheme="minorHAnsi" w:cs="Arial"/>
          <w:color w:val="auto"/>
          <w:sz w:val="24"/>
          <w:szCs w:val="24"/>
          <w:lang w:eastAsia="ja-JP"/>
        </w:rPr>
        <w:t xml:space="preserve"> In combating trafficking of women and girls it is fundamental to illuminate the role the state may play in enabling exploitation by private actors or state agents through its immigration law and policy. </w:t>
      </w:r>
    </w:p>
    <w:p w14:paraId="14F55965"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0"/>
          <w:szCs w:val="24"/>
          <w:lang w:eastAsia="ja-JP"/>
        </w:rPr>
      </w:pPr>
    </w:p>
    <w:p w14:paraId="237341B9"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b/>
          <w:color w:val="auto"/>
          <w:sz w:val="24"/>
          <w:szCs w:val="24"/>
          <w:lang w:eastAsia="ja-JP"/>
        </w:rPr>
        <w:t>3.2.</w:t>
      </w:r>
      <w:r w:rsidRPr="00F913C7">
        <w:rPr>
          <w:rFonts w:asciiTheme="minorHAnsi" w:eastAsiaTheme="minorEastAsia" w:hAnsiTheme="minorHAnsi" w:cs="Arial"/>
          <w:color w:val="auto"/>
          <w:sz w:val="24"/>
          <w:szCs w:val="24"/>
          <w:lang w:eastAsia="ja-JP"/>
        </w:rPr>
        <w:t xml:space="preserve"> The obligation to take “appropriate measures, including legislation” should apply in the immigration sphere and include an obligation to ensure that immigration rules do not encourage/facilitate trafficking and are not based on discriminatory gender stereotypes.</w:t>
      </w:r>
    </w:p>
    <w:p w14:paraId="17AD1B5E"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p>
    <w:p w14:paraId="66FFB1B9"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lastRenderedPageBreak/>
        <w:t>Thank you.</w:t>
      </w:r>
    </w:p>
    <w:p w14:paraId="7A51F878"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Arial" w:eastAsiaTheme="minorEastAsia" w:hAnsi="Arial" w:cs="Arial"/>
          <w:color w:val="auto"/>
          <w:sz w:val="24"/>
          <w:szCs w:val="24"/>
          <w:lang w:eastAsia="ja-JP"/>
        </w:rPr>
      </w:pPr>
    </w:p>
    <w:p w14:paraId="35B613DF"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Arial" w:eastAsiaTheme="minorEastAsia" w:hAnsi="Arial" w:cs="Arial"/>
          <w:color w:val="auto"/>
          <w:sz w:val="24"/>
          <w:szCs w:val="24"/>
          <w:lang w:eastAsia="ja-JP"/>
        </w:rPr>
      </w:pPr>
    </w:p>
    <w:p w14:paraId="25252AA7"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Arial" w:eastAsiaTheme="minorEastAsia" w:hAnsi="Arial" w:cs="Arial"/>
          <w:color w:val="auto"/>
          <w:sz w:val="24"/>
          <w:szCs w:val="24"/>
          <w:lang w:eastAsia="ja-JP"/>
        </w:rPr>
      </w:pPr>
    </w:p>
    <w:p w14:paraId="1DE21DF0"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t>Submitted by:</w:t>
      </w:r>
    </w:p>
    <w:p w14:paraId="06A34ECB"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t xml:space="preserve">Dr Thomas Bundschuh, </w:t>
      </w:r>
    </w:p>
    <w:p w14:paraId="4212639D"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i/>
          <w:color w:val="auto"/>
          <w:sz w:val="24"/>
          <w:szCs w:val="24"/>
          <w:lang w:eastAsia="ja-JP"/>
        </w:rPr>
      </w:pPr>
      <w:r w:rsidRPr="00F913C7">
        <w:rPr>
          <w:rFonts w:asciiTheme="minorHAnsi" w:eastAsiaTheme="minorEastAsia" w:hAnsiTheme="minorHAnsi" w:cs="Arial"/>
          <w:i/>
          <w:color w:val="auto"/>
          <w:sz w:val="24"/>
          <w:szCs w:val="24"/>
          <w:lang w:eastAsia="ja-JP"/>
        </w:rPr>
        <w:t>Senior Lecturer in Human Rights, Co-Chair HKC W</w:t>
      </w:r>
      <w:r w:rsidR="00101DF6">
        <w:rPr>
          <w:rFonts w:asciiTheme="minorHAnsi" w:eastAsiaTheme="minorEastAsia" w:hAnsiTheme="minorHAnsi" w:cs="Arial"/>
          <w:i/>
          <w:color w:val="auto"/>
          <w:sz w:val="24"/>
          <w:szCs w:val="24"/>
          <w:lang w:eastAsia="ja-JP"/>
        </w:rPr>
        <w:t xml:space="preserve">orking </w:t>
      </w:r>
      <w:r w:rsidRPr="00F913C7">
        <w:rPr>
          <w:rFonts w:asciiTheme="minorHAnsi" w:eastAsiaTheme="minorEastAsia" w:hAnsiTheme="minorHAnsi" w:cs="Arial"/>
          <w:i/>
          <w:color w:val="auto"/>
          <w:sz w:val="24"/>
          <w:szCs w:val="24"/>
          <w:lang w:eastAsia="ja-JP"/>
        </w:rPr>
        <w:t>G</w:t>
      </w:r>
      <w:r w:rsidR="00101DF6">
        <w:rPr>
          <w:rFonts w:asciiTheme="minorHAnsi" w:eastAsiaTheme="minorEastAsia" w:hAnsiTheme="minorHAnsi" w:cs="Arial"/>
          <w:i/>
          <w:color w:val="auto"/>
          <w:sz w:val="24"/>
          <w:szCs w:val="24"/>
          <w:lang w:eastAsia="ja-JP"/>
        </w:rPr>
        <w:t>roup</w:t>
      </w:r>
      <w:r w:rsidRPr="00F913C7">
        <w:rPr>
          <w:rFonts w:asciiTheme="minorHAnsi" w:eastAsiaTheme="minorEastAsia" w:hAnsiTheme="minorHAnsi" w:cs="Arial"/>
          <w:i/>
          <w:color w:val="auto"/>
          <w:sz w:val="24"/>
          <w:szCs w:val="24"/>
          <w:lang w:eastAsia="ja-JP"/>
        </w:rPr>
        <w:t xml:space="preserve"> Human Trafficking, </w:t>
      </w:r>
    </w:p>
    <w:p w14:paraId="56845BC5"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i/>
          <w:color w:val="auto"/>
          <w:sz w:val="24"/>
          <w:szCs w:val="24"/>
          <w:lang w:eastAsia="ja-JP"/>
        </w:rPr>
        <w:t>Sheffield Hallam University</w:t>
      </w:r>
      <w:r w:rsidRPr="00F913C7">
        <w:rPr>
          <w:rFonts w:asciiTheme="minorHAnsi" w:eastAsiaTheme="minorEastAsia" w:hAnsiTheme="minorHAnsi" w:cs="Arial"/>
          <w:color w:val="auto"/>
          <w:sz w:val="24"/>
          <w:szCs w:val="24"/>
          <w:lang w:eastAsia="ja-JP"/>
        </w:rPr>
        <w:br/>
      </w:r>
    </w:p>
    <w:p w14:paraId="2EC17753"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t xml:space="preserve">Dr Lourdes Peroni, </w:t>
      </w:r>
    </w:p>
    <w:p w14:paraId="4DC7F83E" w14:textId="78D2DB5B" w:rsidR="00765122"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i/>
          <w:color w:val="auto"/>
          <w:sz w:val="24"/>
          <w:szCs w:val="24"/>
          <w:lang w:eastAsia="ja-JP"/>
        </w:rPr>
      </w:pPr>
      <w:r w:rsidRPr="00F913C7">
        <w:rPr>
          <w:rFonts w:asciiTheme="minorHAnsi" w:eastAsiaTheme="minorEastAsia" w:hAnsiTheme="minorHAnsi" w:cs="Arial"/>
          <w:i/>
          <w:color w:val="auto"/>
          <w:sz w:val="24"/>
          <w:szCs w:val="24"/>
          <w:lang w:eastAsia="ja-JP"/>
        </w:rPr>
        <w:t xml:space="preserve">Lecturer in Human Rights, </w:t>
      </w:r>
      <w:r w:rsidR="000E7509">
        <w:rPr>
          <w:rFonts w:asciiTheme="minorHAnsi" w:eastAsiaTheme="minorEastAsia" w:hAnsiTheme="minorHAnsi" w:cs="Arial"/>
          <w:i/>
          <w:color w:val="auto"/>
          <w:sz w:val="24"/>
          <w:szCs w:val="24"/>
          <w:lang w:eastAsia="ja-JP"/>
        </w:rPr>
        <w:t>Helena Kennedy Centre for International Justice</w:t>
      </w:r>
      <w:r w:rsidR="005E3C32">
        <w:rPr>
          <w:rFonts w:asciiTheme="minorHAnsi" w:eastAsiaTheme="minorEastAsia" w:hAnsiTheme="minorHAnsi" w:cs="Arial"/>
          <w:i/>
          <w:color w:val="auto"/>
          <w:sz w:val="24"/>
          <w:szCs w:val="24"/>
          <w:lang w:eastAsia="ja-JP"/>
        </w:rPr>
        <w:t xml:space="preserve"> (HKC)</w:t>
      </w:r>
      <w:r w:rsidR="000E7509">
        <w:rPr>
          <w:rFonts w:asciiTheme="minorHAnsi" w:eastAsiaTheme="minorEastAsia" w:hAnsiTheme="minorHAnsi" w:cs="Arial"/>
          <w:i/>
          <w:color w:val="auto"/>
          <w:sz w:val="24"/>
          <w:szCs w:val="24"/>
          <w:lang w:eastAsia="ja-JP"/>
        </w:rPr>
        <w:t xml:space="preserve">, </w:t>
      </w:r>
    </w:p>
    <w:p w14:paraId="4F0B6E10" w14:textId="0B8B4715"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i/>
          <w:color w:val="auto"/>
          <w:sz w:val="24"/>
          <w:szCs w:val="24"/>
          <w:lang w:eastAsia="ja-JP"/>
        </w:rPr>
        <w:t>Sheffield Hallam University</w:t>
      </w:r>
    </w:p>
    <w:p w14:paraId="048A3D86"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i/>
          <w:color w:val="auto"/>
          <w:sz w:val="24"/>
          <w:szCs w:val="24"/>
          <w:lang w:eastAsia="ja-JP"/>
        </w:rPr>
        <w:br/>
      </w:r>
      <w:r w:rsidRPr="00F913C7">
        <w:rPr>
          <w:rFonts w:asciiTheme="minorHAnsi" w:eastAsiaTheme="minorEastAsia" w:hAnsiTheme="minorHAnsi" w:cs="Arial"/>
          <w:color w:val="auto"/>
          <w:sz w:val="24"/>
          <w:szCs w:val="24"/>
          <w:lang w:eastAsia="ja-JP"/>
        </w:rPr>
        <w:t xml:space="preserve">Mr Matthew Sands, </w:t>
      </w:r>
    </w:p>
    <w:p w14:paraId="4666EBC3"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i/>
          <w:color w:val="auto"/>
          <w:sz w:val="24"/>
          <w:szCs w:val="24"/>
          <w:lang w:eastAsia="ja-JP"/>
        </w:rPr>
      </w:pPr>
      <w:r w:rsidRPr="00F913C7">
        <w:rPr>
          <w:rFonts w:asciiTheme="minorHAnsi" w:eastAsiaTheme="minorEastAsia" w:hAnsiTheme="minorHAnsi" w:cs="Arial"/>
          <w:i/>
          <w:color w:val="auto"/>
          <w:sz w:val="24"/>
          <w:szCs w:val="24"/>
          <w:lang w:eastAsia="ja-JP"/>
        </w:rPr>
        <w:t>Senior Lecturer in Human Rights Law, Co-Chair HKC W</w:t>
      </w:r>
      <w:r w:rsidR="00101DF6">
        <w:rPr>
          <w:rFonts w:asciiTheme="minorHAnsi" w:eastAsiaTheme="minorEastAsia" w:hAnsiTheme="minorHAnsi" w:cs="Arial"/>
          <w:i/>
          <w:color w:val="auto"/>
          <w:sz w:val="24"/>
          <w:szCs w:val="24"/>
          <w:lang w:eastAsia="ja-JP"/>
        </w:rPr>
        <w:t xml:space="preserve">orking </w:t>
      </w:r>
      <w:r w:rsidRPr="00F913C7">
        <w:rPr>
          <w:rFonts w:asciiTheme="minorHAnsi" w:eastAsiaTheme="minorEastAsia" w:hAnsiTheme="minorHAnsi" w:cs="Arial"/>
          <w:i/>
          <w:color w:val="auto"/>
          <w:sz w:val="24"/>
          <w:szCs w:val="24"/>
          <w:lang w:eastAsia="ja-JP"/>
        </w:rPr>
        <w:t>G</w:t>
      </w:r>
      <w:r w:rsidR="00101DF6">
        <w:rPr>
          <w:rFonts w:asciiTheme="minorHAnsi" w:eastAsiaTheme="minorEastAsia" w:hAnsiTheme="minorHAnsi" w:cs="Arial"/>
          <w:i/>
          <w:color w:val="auto"/>
          <w:sz w:val="24"/>
          <w:szCs w:val="24"/>
          <w:lang w:eastAsia="ja-JP"/>
        </w:rPr>
        <w:t>roup</w:t>
      </w:r>
      <w:r w:rsidRPr="00F913C7">
        <w:rPr>
          <w:rFonts w:asciiTheme="minorHAnsi" w:eastAsiaTheme="minorEastAsia" w:hAnsiTheme="minorHAnsi" w:cs="Arial"/>
          <w:i/>
          <w:color w:val="auto"/>
          <w:sz w:val="24"/>
          <w:szCs w:val="24"/>
          <w:lang w:eastAsia="ja-JP"/>
        </w:rPr>
        <w:t xml:space="preserve"> Human Trafficking,</w:t>
      </w:r>
    </w:p>
    <w:p w14:paraId="756F6683"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Arial"/>
          <w:i/>
          <w:color w:val="auto"/>
          <w:sz w:val="24"/>
          <w:szCs w:val="24"/>
          <w:lang w:eastAsia="ja-JP"/>
        </w:rPr>
      </w:pPr>
      <w:r w:rsidRPr="00F913C7">
        <w:rPr>
          <w:rFonts w:asciiTheme="minorHAnsi" w:eastAsiaTheme="minorEastAsia" w:hAnsiTheme="minorHAnsi" w:cs="Arial"/>
          <w:i/>
          <w:color w:val="auto"/>
          <w:sz w:val="24"/>
          <w:szCs w:val="24"/>
          <w:lang w:eastAsia="ja-JP"/>
        </w:rPr>
        <w:t>Sheffield Hallam University</w:t>
      </w:r>
    </w:p>
    <w:p w14:paraId="4DBCA527"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jc w:val="both"/>
        <w:rPr>
          <w:rFonts w:asciiTheme="minorHAnsi" w:eastAsiaTheme="minorEastAsia" w:hAnsiTheme="minorHAnsi" w:cs="Arial"/>
          <w:color w:val="auto"/>
          <w:sz w:val="24"/>
          <w:szCs w:val="24"/>
          <w:lang w:eastAsia="ja-JP"/>
        </w:rPr>
      </w:pPr>
    </w:p>
    <w:p w14:paraId="5918A2DB"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jc w:val="both"/>
        <w:rPr>
          <w:rFonts w:asciiTheme="minorHAnsi" w:eastAsiaTheme="minorEastAsia" w:hAnsiTheme="minorHAnsi" w:cs="Arial"/>
          <w:color w:val="auto"/>
          <w:sz w:val="24"/>
          <w:szCs w:val="24"/>
          <w:lang w:eastAsia="ja-JP"/>
        </w:rPr>
      </w:pPr>
      <w:r w:rsidRPr="00F913C7">
        <w:rPr>
          <w:rFonts w:asciiTheme="minorHAnsi" w:eastAsiaTheme="minorEastAsia" w:hAnsiTheme="minorHAnsi" w:cs="Arial"/>
          <w:color w:val="auto"/>
          <w:sz w:val="24"/>
          <w:szCs w:val="24"/>
          <w:lang w:eastAsia="ja-JP"/>
        </w:rPr>
        <w:t>18 February 2019</w:t>
      </w:r>
    </w:p>
    <w:p w14:paraId="212C95A9"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Arial"/>
          <w:bCs/>
          <w:sz w:val="24"/>
          <w:szCs w:val="24"/>
          <w:lang w:eastAsia="ja-JP"/>
        </w:rPr>
      </w:pPr>
    </w:p>
    <w:p w14:paraId="46762FAA"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jc w:val="both"/>
        <w:rPr>
          <w:rFonts w:asciiTheme="minorHAnsi" w:eastAsiaTheme="minorEastAsia" w:hAnsiTheme="minorHAnsi" w:cs="Arial"/>
          <w:color w:val="auto"/>
          <w:sz w:val="24"/>
          <w:szCs w:val="24"/>
          <w:lang w:eastAsia="ja-JP"/>
        </w:rPr>
      </w:pPr>
      <w:r w:rsidRPr="00F913C7">
        <w:rPr>
          <w:rFonts w:asciiTheme="minorHAnsi" w:eastAsia="Times New Roman" w:hAnsiTheme="minorHAnsi" w:cs="Arial"/>
          <w:bCs/>
          <w:sz w:val="24"/>
          <w:szCs w:val="24"/>
          <w:lang w:eastAsia="ja-JP"/>
        </w:rPr>
        <w:t>For further information, please contact Matthew Sands (</w:t>
      </w:r>
      <w:hyperlink r:id="rId7" w:history="1">
        <w:r w:rsidRPr="00F913C7">
          <w:rPr>
            <w:rFonts w:asciiTheme="minorHAnsi" w:eastAsia="Times New Roman" w:hAnsiTheme="minorHAnsi" w:cs="Arial"/>
            <w:bCs/>
            <w:color w:val="0000FF" w:themeColor="hyperlink"/>
            <w:sz w:val="24"/>
            <w:szCs w:val="24"/>
            <w:u w:val="single"/>
            <w:lang w:eastAsia="ja-JP"/>
          </w:rPr>
          <w:t>m.sands@shu.ac.uk</w:t>
        </w:r>
      </w:hyperlink>
      <w:r w:rsidRPr="00F913C7">
        <w:rPr>
          <w:rFonts w:asciiTheme="minorHAnsi" w:eastAsia="Times New Roman" w:hAnsiTheme="minorHAnsi" w:cs="Arial"/>
          <w:bCs/>
          <w:sz w:val="24"/>
          <w:szCs w:val="24"/>
          <w:lang w:eastAsia="ja-JP"/>
        </w:rPr>
        <w:t xml:space="preserve">). </w:t>
      </w:r>
    </w:p>
    <w:p w14:paraId="3F0F5A3C" w14:textId="5C110C95"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Arial"/>
          <w:bCs/>
          <w:i/>
          <w:sz w:val="24"/>
          <w:szCs w:val="24"/>
          <w:lang w:eastAsia="ja-JP"/>
        </w:rPr>
      </w:pPr>
      <w:r w:rsidRPr="00F913C7">
        <w:rPr>
          <w:rFonts w:asciiTheme="minorHAnsi" w:eastAsia="Times New Roman" w:hAnsiTheme="minorHAnsi" w:cs="Arial"/>
          <w:bCs/>
          <w:i/>
          <w:sz w:val="24"/>
          <w:szCs w:val="24"/>
          <w:lang w:eastAsia="ja-JP"/>
        </w:rPr>
        <w:t xml:space="preserve">The Helena Kennedy Centre for International Justice (HKC) Working Group on Human Trafficking at Sheffield Hallam University brings together academics with expertise in gender, human trafficking and international human rights to promote research and develop practice towards </w:t>
      </w:r>
      <w:r w:rsidR="000E7509">
        <w:rPr>
          <w:rFonts w:asciiTheme="minorHAnsi" w:eastAsia="Times New Roman" w:hAnsiTheme="minorHAnsi" w:cs="Arial"/>
          <w:bCs/>
          <w:i/>
          <w:sz w:val="24"/>
          <w:szCs w:val="24"/>
          <w:lang w:eastAsia="ja-JP"/>
        </w:rPr>
        <w:t>effectively combating</w:t>
      </w:r>
      <w:r w:rsidRPr="00F913C7">
        <w:rPr>
          <w:rFonts w:asciiTheme="minorHAnsi" w:eastAsia="Times New Roman" w:hAnsiTheme="minorHAnsi" w:cs="Arial"/>
          <w:bCs/>
          <w:i/>
          <w:sz w:val="24"/>
          <w:szCs w:val="24"/>
          <w:lang w:eastAsia="ja-JP"/>
        </w:rPr>
        <w:t xml:space="preserve"> human trafficking.</w:t>
      </w:r>
    </w:p>
    <w:p w14:paraId="4B058298" w14:textId="77777777" w:rsidR="00F913C7" w:rsidRPr="00F913C7" w:rsidRDefault="00F913C7" w:rsidP="00F913C7">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Arial"/>
          <w:bCs/>
          <w:sz w:val="24"/>
          <w:szCs w:val="24"/>
          <w:lang w:eastAsia="ja-JP"/>
        </w:rPr>
      </w:pPr>
    </w:p>
    <w:p w14:paraId="2D6FD00B" w14:textId="77777777" w:rsidR="00F913C7" w:rsidRDefault="00F913C7" w:rsidP="00F913C7">
      <w:pPr>
        <w:rPr>
          <w:b/>
        </w:rPr>
      </w:pPr>
    </w:p>
    <w:sectPr w:rsidR="00F913C7" w:rsidSect="004E5AD4">
      <w:headerReference w:type="default" r:id="rId8"/>
      <w:footerReference w:type="default" r:id="rId9"/>
      <w:pgSz w:w="11906" w:h="16838"/>
      <w:pgMar w:top="1985"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81C93" w14:textId="77777777" w:rsidR="00DE5BEF" w:rsidRDefault="00DE5BEF">
      <w:pPr>
        <w:spacing w:after="0" w:line="240" w:lineRule="auto"/>
      </w:pPr>
      <w:r>
        <w:separator/>
      </w:r>
    </w:p>
  </w:endnote>
  <w:endnote w:type="continuationSeparator" w:id="0">
    <w:p w14:paraId="4226C5DD" w14:textId="77777777" w:rsidR="00DE5BEF" w:rsidRDefault="00DE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734502"/>
      <w:docPartObj>
        <w:docPartGallery w:val="Page Numbers (Bottom of Page)"/>
        <w:docPartUnique/>
      </w:docPartObj>
    </w:sdtPr>
    <w:sdtEndPr>
      <w:rPr>
        <w:noProof/>
      </w:rPr>
    </w:sdtEndPr>
    <w:sdtContent>
      <w:p w14:paraId="2C62D2C0" w14:textId="200216A0" w:rsidR="00765122" w:rsidRDefault="00765122">
        <w:pPr>
          <w:pStyle w:val="Footer"/>
          <w:jc w:val="center"/>
        </w:pPr>
        <w:r>
          <w:fldChar w:fldCharType="begin"/>
        </w:r>
        <w:r w:rsidRPr="00765122">
          <w:instrText xml:space="preserve"> PAGE   \* MERGEFORMAT </w:instrText>
        </w:r>
        <w:r>
          <w:fldChar w:fldCharType="separate"/>
        </w:r>
        <w:r w:rsidR="008F6893">
          <w:rPr>
            <w:noProof/>
          </w:rPr>
          <w:t>2</w:t>
        </w:r>
        <w:r>
          <w:rPr>
            <w:noProof/>
          </w:rPr>
          <w:fldChar w:fldCharType="end"/>
        </w:r>
      </w:p>
    </w:sdtContent>
  </w:sdt>
  <w:p w14:paraId="3A8C2DCF" w14:textId="77777777" w:rsidR="005F6FC5" w:rsidRDefault="005F6FC5">
    <w:pPr>
      <w:tabs>
        <w:tab w:val="center" w:pos="4536"/>
        <w:tab w:val="right" w:pos="9072"/>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2F514" w14:textId="77777777" w:rsidR="00DE5BEF" w:rsidRDefault="00DE5BEF">
      <w:pPr>
        <w:spacing w:after="0" w:line="240" w:lineRule="auto"/>
      </w:pPr>
      <w:r>
        <w:separator/>
      </w:r>
    </w:p>
  </w:footnote>
  <w:footnote w:type="continuationSeparator" w:id="0">
    <w:p w14:paraId="3E21DFC7" w14:textId="77777777" w:rsidR="00DE5BEF" w:rsidRDefault="00DE5BEF">
      <w:pPr>
        <w:spacing w:after="0" w:line="240" w:lineRule="auto"/>
      </w:pPr>
      <w:r>
        <w:continuationSeparator/>
      </w:r>
    </w:p>
  </w:footnote>
  <w:footnote w:id="1">
    <w:p w14:paraId="59C1EC0B" w14:textId="3668BB3C" w:rsidR="00F913C7" w:rsidRPr="00856A39" w:rsidRDefault="00F913C7" w:rsidP="00F913C7">
      <w:pPr>
        <w:pStyle w:val="FootnoteText"/>
        <w:spacing w:after="70"/>
        <w:rPr>
          <w:rFonts w:asciiTheme="minorHAnsi" w:hAnsiTheme="minorHAnsi"/>
        </w:rPr>
      </w:pPr>
      <w:r w:rsidRPr="00856A39">
        <w:rPr>
          <w:rStyle w:val="FootnoteReference"/>
          <w:rFonts w:asciiTheme="minorHAnsi" w:hAnsiTheme="minorHAnsi"/>
        </w:rPr>
        <w:footnoteRef/>
      </w:r>
      <w:r w:rsidRPr="00856A39">
        <w:rPr>
          <w:rFonts w:asciiTheme="minorHAnsi" w:hAnsiTheme="minorHAnsi"/>
        </w:rPr>
        <w:t xml:space="preserve"> </w:t>
      </w:r>
      <w:r>
        <w:rPr>
          <w:rFonts w:asciiTheme="minorHAnsi" w:hAnsiTheme="minorHAnsi"/>
        </w:rPr>
        <w:t xml:space="preserve">See </w:t>
      </w:r>
      <w:r w:rsidRPr="00856A39">
        <w:rPr>
          <w:rFonts w:asciiTheme="minorHAnsi" w:hAnsiTheme="minorHAnsi"/>
        </w:rPr>
        <w:t>Concept Note, prepared for the Committee on the Elimination of Discrimination Against Women on its elaboration of a General Recommendation on Trafficking in Women and Girls in the Context of Global Migration [Concept Note]</w:t>
      </w:r>
      <w:r w:rsidR="000E7509">
        <w:rPr>
          <w:rFonts w:asciiTheme="minorHAnsi" w:hAnsiTheme="minorHAnsi"/>
        </w:rPr>
        <w:t>.</w:t>
      </w:r>
    </w:p>
  </w:footnote>
  <w:footnote w:id="2">
    <w:p w14:paraId="7F894F2A" w14:textId="77777777" w:rsidR="00F913C7" w:rsidRDefault="00F913C7" w:rsidP="00F913C7">
      <w:pPr>
        <w:pStyle w:val="FootnoteText"/>
        <w:spacing w:after="70"/>
      </w:pPr>
      <w:r>
        <w:rPr>
          <w:rStyle w:val="FootnoteReference"/>
        </w:rPr>
        <w:footnoteRef/>
      </w:r>
      <w:r>
        <w:t xml:space="preserve"> </w:t>
      </w:r>
      <w:r>
        <w:rPr>
          <w:rFonts w:asciiTheme="minorHAnsi" w:hAnsiTheme="minorHAnsi"/>
        </w:rPr>
        <w:t>Concept Note, para. 25.</w:t>
      </w:r>
    </w:p>
  </w:footnote>
  <w:footnote w:id="3">
    <w:p w14:paraId="51AEF10C" w14:textId="77777777" w:rsidR="00F913C7" w:rsidRPr="00856A39" w:rsidRDefault="00F913C7" w:rsidP="00F913C7">
      <w:pPr>
        <w:pStyle w:val="NoSpacing"/>
        <w:spacing w:after="70"/>
        <w:rPr>
          <w:rFonts w:asciiTheme="minorHAnsi" w:hAnsiTheme="minorHAnsi"/>
          <w:sz w:val="20"/>
          <w:szCs w:val="20"/>
          <w:lang w:val="en-US"/>
        </w:rPr>
      </w:pPr>
      <w:r w:rsidRPr="00856A39">
        <w:rPr>
          <w:rStyle w:val="FootnoteReference"/>
          <w:rFonts w:asciiTheme="minorHAnsi" w:hAnsiTheme="minorHAnsi"/>
          <w:sz w:val="20"/>
          <w:szCs w:val="20"/>
        </w:rPr>
        <w:footnoteRef/>
      </w:r>
      <w:r w:rsidRPr="00856A39">
        <w:rPr>
          <w:rFonts w:asciiTheme="minorHAnsi" w:hAnsiTheme="minorHAnsi"/>
          <w:sz w:val="20"/>
          <w:szCs w:val="20"/>
        </w:rPr>
        <w:t xml:space="preserve"> In line with </w:t>
      </w:r>
      <w:r w:rsidRPr="00856A39">
        <w:rPr>
          <w:rFonts w:asciiTheme="minorHAnsi" w:hAnsiTheme="minorHAnsi"/>
          <w:sz w:val="20"/>
          <w:szCs w:val="20"/>
          <w:lang w:val="en-US"/>
        </w:rPr>
        <w:t>Concept Note</w:t>
      </w:r>
      <w:r>
        <w:rPr>
          <w:rFonts w:asciiTheme="minorHAnsi" w:hAnsiTheme="minorHAnsi"/>
          <w:sz w:val="20"/>
          <w:szCs w:val="20"/>
          <w:lang w:val="en-US"/>
        </w:rPr>
        <w:t>,</w:t>
      </w:r>
      <w:r w:rsidRPr="00856A39">
        <w:rPr>
          <w:rFonts w:asciiTheme="minorHAnsi" w:hAnsiTheme="minorHAnsi"/>
          <w:sz w:val="20"/>
          <w:szCs w:val="20"/>
          <w:lang w:val="en-US"/>
        </w:rPr>
        <w:t xml:space="preserve"> para 40.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D4FF6" w14:textId="77777777" w:rsidR="005F6FC5" w:rsidRDefault="000F5D43">
    <w:pPr>
      <w:tabs>
        <w:tab w:val="center" w:pos="4536"/>
        <w:tab w:val="right" w:pos="9072"/>
      </w:tabs>
      <w:spacing w:after="0" w:line="240" w:lineRule="auto"/>
    </w:pPr>
    <w:r>
      <w:rPr>
        <w:noProof/>
      </w:rPr>
      <mc:AlternateContent>
        <mc:Choice Requires="wps">
          <w:drawing>
            <wp:anchor distT="0" distB="0" distL="114300" distR="114300" simplePos="0" relativeHeight="251659264" behindDoc="0" locked="0" layoutInCell="1" hidden="0" allowOverlap="1" wp14:anchorId="6C57F111" wp14:editId="04C7F80A">
              <wp:simplePos x="0" y="0"/>
              <wp:positionH relativeFrom="margin">
                <wp:posOffset>5403850</wp:posOffset>
              </wp:positionH>
              <wp:positionV relativeFrom="paragraph">
                <wp:posOffset>-389890</wp:posOffset>
              </wp:positionV>
              <wp:extent cx="1320800" cy="1168400"/>
              <wp:effectExtent l="0" t="0" r="12700" b="12700"/>
              <wp:wrapNone/>
              <wp:docPr id="2" name="Isosceles Triangle 2"/>
              <wp:cNvGraphicFramePr/>
              <a:graphic xmlns:a="http://schemas.openxmlformats.org/drawingml/2006/main">
                <a:graphicData uri="http://schemas.microsoft.com/office/word/2010/wordprocessingShape">
                  <wps:wsp>
                    <wps:cNvSpPr/>
                    <wps:spPr>
                      <a:xfrm rot="-5400000">
                        <a:off x="0" y="0"/>
                        <a:ext cx="1320800" cy="1168400"/>
                      </a:xfrm>
                      <a:prstGeom prst="triangle">
                        <a:avLst>
                          <a:gd name="adj" fmla="val 100000"/>
                        </a:avLst>
                      </a:prstGeom>
                      <a:solidFill>
                        <a:srgbClr val="B70D50"/>
                      </a:solidFill>
                      <a:ln w="25400" cap="flat" cmpd="sng">
                        <a:solidFill>
                          <a:srgbClr val="B70D50"/>
                        </a:solidFill>
                        <a:prstDash val="solid"/>
                        <a:round/>
                        <a:headEnd type="none" w="med" len="med"/>
                        <a:tailEnd type="none" w="med" len="med"/>
                      </a:ln>
                    </wps:spPr>
                    <wps:txbx>
                      <w:txbxContent>
                        <w:p w14:paraId="36E56B18" w14:textId="77777777" w:rsidR="005F6FC5" w:rsidRDefault="005F6FC5">
                          <w:pPr>
                            <w:spacing w:after="0" w:line="240" w:lineRule="auto"/>
                            <w:textDirection w:val="btLr"/>
                          </w:pPr>
                        </w:p>
                      </w:txbxContent>
                    </wps:txbx>
                    <wps:bodyPr wrap="square" lIns="91425" tIns="91425" rIns="91425" bIns="91425" anchor="ctr" anchorCtr="0"/>
                  </wps:wsp>
                </a:graphicData>
              </a:graphic>
            </wp:anchor>
          </w:drawing>
        </mc:Choice>
        <mc:Fallback>
          <w:pict>
            <v:shapetype w14:anchorId="6C57F1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25.5pt;margin-top:-30.7pt;width:104pt;height:92pt;rotation:-90;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" adj="21600" fillcolor="#b70d50" strokecolor="#b70d50" strokeweight="2pt">
              <v:stroke joinstyle="round"/>
              <v:textbox inset="2.53958mm,2.53958mm,2.53958mm,2.53958mm">
                <w:txbxContent>
                  <w:p w14:paraId="36E56B18" w14:textId="77777777" w:rsidR="005F6FC5" w:rsidRDefault="005F6FC5">
                    <w:pPr>
                      <w:spacing w:after="0" w:line="240" w:lineRule="auto"/>
                      <w:textDirection w:val="btLr"/>
                    </w:pPr>
                  </w:p>
                </w:txbxContent>
              </v:textbox>
              <w10:wrap anchorx="margin"/>
            </v:shape>
          </w:pict>
        </mc:Fallback>
      </mc:AlternateContent>
    </w:r>
    <w:r w:rsidR="00467DA8">
      <w:tab/>
    </w:r>
    <w:r w:rsidR="00467DA8">
      <w:tab/>
    </w:r>
    <w:r w:rsidR="00467DA8">
      <w:tab/>
    </w:r>
    <w:r w:rsidR="00467DA8">
      <w:rPr>
        <w:noProof/>
      </w:rPr>
      <w:drawing>
        <wp:anchor distT="0" distB="0" distL="114300" distR="114300" simplePos="0" relativeHeight="251658240" behindDoc="0" locked="0" layoutInCell="1" hidden="0" allowOverlap="1" wp14:anchorId="0683499D" wp14:editId="75ABC56D">
          <wp:simplePos x="0" y="0"/>
          <wp:positionH relativeFrom="margin">
            <wp:posOffset>-381634</wp:posOffset>
          </wp:positionH>
          <wp:positionV relativeFrom="paragraph">
            <wp:posOffset>-276859</wp:posOffset>
          </wp:positionV>
          <wp:extent cx="3395980" cy="77152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95980" cy="771525"/>
                  </a:xfrm>
                  <a:prstGeom prst="rect">
                    <a:avLst/>
                  </a:prstGeom>
                  <a:ln/>
                </pic:spPr>
              </pic:pic>
            </a:graphicData>
          </a:graphic>
        </wp:anchor>
      </w:drawing>
    </w:r>
  </w:p>
  <w:p w14:paraId="4091731F" w14:textId="77777777" w:rsidR="005F6FC5" w:rsidRDefault="005F6FC5">
    <w:pPr>
      <w:tabs>
        <w:tab w:val="center" w:pos="4536"/>
        <w:tab w:val="right" w:pos="9072"/>
      </w:tabs>
      <w:spacing w:after="0" w:line="240" w:lineRule="auto"/>
      <w:rPr>
        <w:sz w:val="18"/>
        <w:szCs w:val="18"/>
      </w:rPr>
    </w:pPr>
  </w:p>
  <w:p w14:paraId="26FA558A" w14:textId="77777777" w:rsidR="005F6FC5" w:rsidRDefault="005F6FC5">
    <w:pPr>
      <w:tabs>
        <w:tab w:val="center" w:pos="4536"/>
        <w:tab w:val="right" w:pos="9072"/>
      </w:tabs>
      <w:spacing w:after="0" w:line="240" w:lineRule="auto"/>
    </w:pPr>
  </w:p>
  <w:p w14:paraId="6CB04A79" w14:textId="77777777" w:rsidR="005F6FC5" w:rsidRDefault="005F6FC5">
    <w:pPr>
      <w:tabs>
        <w:tab w:val="center" w:pos="4536"/>
        <w:tab w:val="right" w:pos="9072"/>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F0AC3"/>
    <w:multiLevelType w:val="multilevel"/>
    <w:tmpl w:val="FFBEE7E6"/>
    <w:lvl w:ilvl="0">
      <w:start w:val="1"/>
      <w:numFmt w:val="upperRoman"/>
      <w:lvlText w:val="%1."/>
      <w:lvlJc w:val="right"/>
      <w:pPr>
        <w:ind w:left="720" w:hanging="360"/>
      </w:pPr>
    </w:lvl>
    <w:lvl w:ilvl="1">
      <w:start w:val="1"/>
      <w:numFmt w:val="lowerRoman"/>
      <w:lvlText w:val="%2."/>
      <w:lvlJc w:val="right"/>
      <w:pPr>
        <w:ind w:left="1785" w:hanging="705"/>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A6008E5"/>
    <w:multiLevelType w:val="multilevel"/>
    <w:tmpl w:val="D0284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C5"/>
    <w:rsid w:val="000228CA"/>
    <w:rsid w:val="000E7509"/>
    <w:rsid w:val="000F5D43"/>
    <w:rsid w:val="00101DF6"/>
    <w:rsid w:val="00195C2A"/>
    <w:rsid w:val="002605B2"/>
    <w:rsid w:val="002C788A"/>
    <w:rsid w:val="003663DD"/>
    <w:rsid w:val="004317EA"/>
    <w:rsid w:val="004512D0"/>
    <w:rsid w:val="00467DA8"/>
    <w:rsid w:val="004E5AD4"/>
    <w:rsid w:val="00561C88"/>
    <w:rsid w:val="005B54B9"/>
    <w:rsid w:val="005E3C32"/>
    <w:rsid w:val="005F6FC5"/>
    <w:rsid w:val="0069079E"/>
    <w:rsid w:val="006D39D7"/>
    <w:rsid w:val="006F4588"/>
    <w:rsid w:val="00765122"/>
    <w:rsid w:val="00821FBC"/>
    <w:rsid w:val="008A59E4"/>
    <w:rsid w:val="008F6893"/>
    <w:rsid w:val="00910B23"/>
    <w:rsid w:val="00A9217F"/>
    <w:rsid w:val="00B51F98"/>
    <w:rsid w:val="00B97B6F"/>
    <w:rsid w:val="00C437CD"/>
    <w:rsid w:val="00CD1D71"/>
    <w:rsid w:val="00DE5BEF"/>
    <w:rsid w:val="00F9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6620"/>
  <w15:docId w15:val="{84910607-81DE-4E5A-B685-8F6E8B94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F5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43"/>
  </w:style>
  <w:style w:type="paragraph" w:styleId="Footer">
    <w:name w:val="footer"/>
    <w:basedOn w:val="Normal"/>
    <w:link w:val="FooterChar"/>
    <w:uiPriority w:val="99"/>
    <w:unhideWhenUsed/>
    <w:rsid w:val="000F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43"/>
  </w:style>
  <w:style w:type="paragraph" w:styleId="FootnoteText">
    <w:name w:val="footnote text"/>
    <w:basedOn w:val="Normal"/>
    <w:link w:val="FootnoteTextChar"/>
    <w:uiPriority w:val="99"/>
    <w:semiHidden/>
    <w:unhideWhenUsed/>
    <w:rsid w:val="00F913C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heme="minorHAnsi" w:hAnsi="Arial" w:cs="Arial"/>
      <w:color w:val="auto"/>
      <w:sz w:val="20"/>
      <w:szCs w:val="20"/>
      <w:lang w:eastAsia="en-US"/>
    </w:rPr>
  </w:style>
  <w:style w:type="character" w:customStyle="1" w:styleId="FootnoteTextChar">
    <w:name w:val="Footnote Text Char"/>
    <w:basedOn w:val="DefaultParagraphFont"/>
    <w:link w:val="FootnoteText"/>
    <w:uiPriority w:val="99"/>
    <w:semiHidden/>
    <w:rsid w:val="00F913C7"/>
    <w:rPr>
      <w:rFonts w:ascii="Arial" w:eastAsiaTheme="minorHAnsi" w:hAnsi="Arial" w:cs="Arial"/>
      <w:color w:val="auto"/>
      <w:sz w:val="20"/>
      <w:szCs w:val="20"/>
      <w:lang w:eastAsia="en-US"/>
    </w:rPr>
  </w:style>
  <w:style w:type="character" w:styleId="FootnoteReference">
    <w:name w:val="footnote reference"/>
    <w:basedOn w:val="DefaultParagraphFont"/>
    <w:uiPriority w:val="99"/>
    <w:semiHidden/>
    <w:unhideWhenUsed/>
    <w:rsid w:val="00F913C7"/>
    <w:rPr>
      <w:vertAlign w:val="superscript"/>
    </w:rPr>
  </w:style>
  <w:style w:type="paragraph" w:styleId="NoSpacing">
    <w:name w:val="No Spacing"/>
    <w:uiPriority w:val="1"/>
    <w:qFormat/>
    <w:rsid w:val="00F913C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heme="minorEastAsia" w:hAnsi="Arial" w:cs="Arial"/>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sands@shu.ac.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7C82F1-CE85-4D84-98A9-E49B08A781DD}"/>
</file>

<file path=customXml/itemProps2.xml><?xml version="1.0" encoding="utf-8"?>
<ds:datastoreItem xmlns:ds="http://schemas.openxmlformats.org/officeDocument/2006/customXml" ds:itemID="{AB583588-8465-469B-833F-44C209A6D810}"/>
</file>

<file path=customXml/itemProps3.xml><?xml version="1.0" encoding="utf-8"?>
<ds:datastoreItem xmlns:ds="http://schemas.openxmlformats.org/officeDocument/2006/customXml" ds:itemID="{44B72A02-B6BA-4C6F-8FDE-F0D120FF0575}"/>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Bundschuh, Thomas</dc:creator>
  <cp:lastModifiedBy>Daniela Buchmann</cp:lastModifiedBy>
  <cp:revision>2</cp:revision>
  <dcterms:created xsi:type="dcterms:W3CDTF">2019-02-19T10:34:00Z</dcterms:created>
  <dcterms:modified xsi:type="dcterms:W3CDTF">2019-02-19T10:34:00Z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