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0B419" w14:textId="674F2225" w:rsidR="0036387C" w:rsidRPr="0078466C" w:rsidRDefault="00B54121">
      <w:pPr>
        <w:spacing w:after="0" w:line="276" w:lineRule="auto"/>
        <w:jc w:val="both"/>
        <w:rPr>
          <w:rFonts w:ascii="Book Antiqua" w:eastAsia="Arial" w:hAnsi="Book Antiqua" w:cs="Arial"/>
        </w:rPr>
      </w:pPr>
      <w:r w:rsidRPr="0078466C">
        <w:rPr>
          <w:rFonts w:ascii="Book Antiqua" w:eastAsia="Arial" w:hAnsi="Book Antiqua" w:cs="Arial"/>
          <w:b/>
        </w:rPr>
        <w:t xml:space="preserve">Madam Chair and members of the Committee, </w:t>
      </w:r>
      <w:r w:rsidRPr="0078466C">
        <w:rPr>
          <w:rFonts w:ascii="Book Antiqua" w:eastAsia="Arial" w:hAnsi="Book Antiqua" w:cs="Arial"/>
        </w:rPr>
        <w:t>the Humanitarian Organisation for Migration Economics</w:t>
      </w:r>
      <w:r w:rsidR="00FB342E" w:rsidRPr="0078466C">
        <w:rPr>
          <w:rFonts w:ascii="Book Antiqua" w:eastAsia="Arial" w:hAnsi="Book Antiqua" w:cs="Arial"/>
        </w:rPr>
        <w:t xml:space="preserve"> (HOME</w:t>
      </w:r>
      <w:r w:rsidR="00340C16" w:rsidRPr="0078466C">
        <w:rPr>
          <w:rFonts w:ascii="Book Antiqua" w:eastAsia="Arial" w:hAnsi="Book Antiqua" w:cs="Arial"/>
        </w:rPr>
        <w:t>; www.home.org.sg</w:t>
      </w:r>
      <w:r w:rsidR="00FB342E" w:rsidRPr="0078466C">
        <w:rPr>
          <w:rFonts w:ascii="Book Antiqua" w:eastAsia="Arial" w:hAnsi="Book Antiqua" w:cs="Arial"/>
        </w:rPr>
        <w:t>)</w:t>
      </w:r>
      <w:r w:rsidRPr="0078466C">
        <w:rPr>
          <w:rFonts w:ascii="Book Antiqua" w:eastAsia="Arial" w:hAnsi="Book Antiqua" w:cs="Arial"/>
        </w:rPr>
        <w:t xml:space="preserve"> welcomes and congratulates the CEDAW Committee for initiating a broad-based and consultative process towards the drafting of the General Recommendation</w:t>
      </w:r>
      <w:r w:rsidR="00320BAB" w:rsidRPr="0078466C">
        <w:rPr>
          <w:rFonts w:ascii="Book Antiqua" w:eastAsia="Arial" w:hAnsi="Book Antiqua" w:cs="Arial"/>
        </w:rPr>
        <w:t xml:space="preserve"> (GR)</w:t>
      </w:r>
      <w:r w:rsidRPr="0078466C">
        <w:rPr>
          <w:rFonts w:ascii="Book Antiqua" w:eastAsia="Arial" w:hAnsi="Book Antiqua" w:cs="Arial"/>
        </w:rPr>
        <w:t xml:space="preserve"> on Trafficking in Women and Girls in the Context of Global Migration. </w:t>
      </w:r>
    </w:p>
    <w:p w14:paraId="513A16C5" w14:textId="77777777" w:rsidR="0036387C" w:rsidRPr="0078466C" w:rsidRDefault="0036387C">
      <w:pPr>
        <w:spacing w:after="0" w:line="276" w:lineRule="auto"/>
        <w:jc w:val="both"/>
        <w:rPr>
          <w:rFonts w:ascii="Book Antiqua" w:eastAsia="Arial" w:hAnsi="Book Antiqua" w:cs="Arial"/>
        </w:rPr>
      </w:pPr>
    </w:p>
    <w:p w14:paraId="3C886ECA" w14:textId="77777777" w:rsidR="0036387C" w:rsidRPr="0078466C" w:rsidRDefault="00B54121">
      <w:pPr>
        <w:spacing w:after="0" w:line="276" w:lineRule="auto"/>
        <w:jc w:val="both"/>
        <w:rPr>
          <w:rFonts w:ascii="Book Antiqua" w:eastAsia="Arial" w:hAnsi="Book Antiqua" w:cs="Arial"/>
        </w:rPr>
      </w:pPr>
      <w:r w:rsidRPr="0078466C">
        <w:rPr>
          <w:rFonts w:ascii="Book Antiqua" w:eastAsia="Arial" w:hAnsi="Book Antiqua" w:cs="Arial"/>
        </w:rPr>
        <w:t>HOME, which provides shelter, legal assistance and training for migrant domestic workers (MDWs) in Singapore, notes the vulnerability of MDWs falling prey to trafficking in persons (TIP) situations. We also note that dealing with labour exploitation is a core part of identifying TIP situations and victims. Therefore, we make the following recommendations:</w:t>
      </w:r>
    </w:p>
    <w:p w14:paraId="590F1273" w14:textId="77777777" w:rsidR="0036387C" w:rsidRPr="0078466C" w:rsidRDefault="0036387C">
      <w:pPr>
        <w:spacing w:after="0" w:line="276" w:lineRule="auto"/>
        <w:jc w:val="both"/>
        <w:rPr>
          <w:rFonts w:ascii="Book Antiqua" w:eastAsia="Arial" w:hAnsi="Book Antiqua" w:cs="Arial"/>
        </w:rPr>
      </w:pPr>
    </w:p>
    <w:p w14:paraId="3243A22A" w14:textId="7F1DA1A0" w:rsidR="0036387C" w:rsidRPr="0078466C" w:rsidRDefault="00B54121" w:rsidP="00F2521C">
      <w:pPr>
        <w:numPr>
          <w:ilvl w:val="0"/>
          <w:numId w:val="2"/>
        </w:numPr>
        <w:pBdr>
          <w:top w:val="nil"/>
          <w:left w:val="nil"/>
          <w:bottom w:val="nil"/>
          <w:right w:val="nil"/>
          <w:between w:val="nil"/>
        </w:pBdr>
        <w:spacing w:after="0" w:line="276" w:lineRule="auto"/>
        <w:jc w:val="both"/>
        <w:rPr>
          <w:rFonts w:ascii="Book Antiqua" w:hAnsi="Book Antiqua"/>
          <w:color w:val="000000"/>
        </w:rPr>
      </w:pPr>
      <w:r w:rsidRPr="0078466C">
        <w:rPr>
          <w:rFonts w:ascii="Book Antiqua" w:eastAsia="Arial" w:hAnsi="Book Antiqua" w:cs="Arial"/>
          <w:b/>
          <w:color w:val="000000"/>
        </w:rPr>
        <w:t xml:space="preserve">National legislation on TIP </w:t>
      </w:r>
      <w:r w:rsidR="0078466C">
        <w:rPr>
          <w:rFonts w:ascii="Book Antiqua" w:eastAsia="Arial" w:hAnsi="Book Antiqua" w:cs="Arial"/>
          <w:b/>
          <w:color w:val="000000"/>
        </w:rPr>
        <w:t>must be strengthened to be o</w:t>
      </w:r>
      <w:r w:rsidR="002C29C7" w:rsidRPr="0078466C">
        <w:rPr>
          <w:rFonts w:ascii="Book Antiqua" w:eastAsia="Arial" w:hAnsi="Book Antiqua" w:cs="Arial"/>
          <w:b/>
          <w:color w:val="000000"/>
        </w:rPr>
        <w:t>n par</w:t>
      </w:r>
      <w:r w:rsidRPr="0078466C">
        <w:rPr>
          <w:rFonts w:ascii="Book Antiqua" w:eastAsia="Arial" w:hAnsi="Book Antiqua" w:cs="Arial"/>
          <w:b/>
          <w:color w:val="000000"/>
        </w:rPr>
        <w:t xml:space="preserve"> with international standards.</w:t>
      </w:r>
      <w:r w:rsidRPr="0078466C">
        <w:rPr>
          <w:rFonts w:ascii="Book Antiqua" w:eastAsia="Arial" w:hAnsi="Book Antiqua" w:cs="Arial"/>
          <w:color w:val="000000"/>
        </w:rPr>
        <w:t xml:space="preserve"> </w:t>
      </w:r>
      <w:r w:rsidRPr="0078466C">
        <w:rPr>
          <w:rFonts w:ascii="Book Antiqua" w:eastAsia="Arial" w:hAnsi="Book Antiqua" w:cs="Arial"/>
        </w:rPr>
        <w:t>L</w:t>
      </w:r>
      <w:r w:rsidRPr="0078466C">
        <w:rPr>
          <w:rFonts w:ascii="Book Antiqua" w:eastAsia="Arial" w:hAnsi="Book Antiqua" w:cs="Arial"/>
          <w:color w:val="000000"/>
        </w:rPr>
        <w:t>ack of clarity</w:t>
      </w:r>
      <w:r w:rsidR="00836F98" w:rsidRPr="0078466C">
        <w:rPr>
          <w:rFonts w:ascii="Book Antiqua" w:eastAsia="Arial" w:hAnsi="Book Antiqua" w:cs="Arial"/>
          <w:color w:val="000000"/>
        </w:rPr>
        <w:t xml:space="preserve"> in key terms</w:t>
      </w:r>
      <w:r w:rsidR="007B1ED2" w:rsidRPr="0078466C">
        <w:rPr>
          <w:rFonts w:ascii="Book Antiqua" w:eastAsia="Arial" w:hAnsi="Book Antiqua" w:cs="Arial"/>
          <w:color w:val="000000"/>
        </w:rPr>
        <w:t xml:space="preserve"> </w:t>
      </w:r>
      <w:r w:rsidR="00F2521C" w:rsidRPr="0078466C">
        <w:rPr>
          <w:rFonts w:ascii="Book Antiqua" w:eastAsia="Arial" w:hAnsi="Book Antiqua" w:cs="Arial"/>
          <w:color w:val="000000"/>
        </w:rPr>
        <w:t xml:space="preserve">and significant omissions </w:t>
      </w:r>
      <w:r w:rsidR="00836F98" w:rsidRPr="0078466C">
        <w:rPr>
          <w:rFonts w:ascii="Book Antiqua" w:eastAsia="Arial" w:hAnsi="Book Antiqua" w:cs="Arial"/>
          <w:color w:val="000000"/>
        </w:rPr>
        <w:t xml:space="preserve">of important definitions (for e.g. “coercion and “abuse of vulnerability”) </w:t>
      </w:r>
      <w:r w:rsidRPr="0078466C">
        <w:rPr>
          <w:rFonts w:ascii="Book Antiqua" w:eastAsia="Arial" w:hAnsi="Book Antiqua" w:cs="Arial"/>
          <w:color w:val="000000"/>
        </w:rPr>
        <w:t xml:space="preserve">in local </w:t>
      </w:r>
      <w:r w:rsidR="00F2521C" w:rsidRPr="0078466C">
        <w:rPr>
          <w:rFonts w:ascii="Book Antiqua" w:eastAsia="Arial" w:hAnsi="Book Antiqua" w:cs="Arial"/>
          <w:color w:val="000000"/>
        </w:rPr>
        <w:t xml:space="preserve">TIP </w:t>
      </w:r>
      <w:r w:rsidRPr="0078466C">
        <w:rPr>
          <w:rFonts w:ascii="Book Antiqua" w:eastAsia="Arial" w:hAnsi="Book Antiqua" w:cs="Arial"/>
          <w:color w:val="000000"/>
        </w:rPr>
        <w:t>legislation</w:t>
      </w:r>
      <w:r w:rsidR="00FB342E" w:rsidRPr="0078466C">
        <w:rPr>
          <w:rFonts w:ascii="Book Antiqua" w:eastAsia="Arial" w:hAnsi="Book Antiqua" w:cs="Arial"/>
          <w:color w:val="000000"/>
        </w:rPr>
        <w:t xml:space="preserve"> </w:t>
      </w:r>
      <w:r w:rsidRPr="0078466C">
        <w:rPr>
          <w:rFonts w:ascii="Book Antiqua" w:eastAsia="Arial" w:hAnsi="Book Antiqua" w:cs="Arial"/>
          <w:color w:val="000000"/>
        </w:rPr>
        <w:t xml:space="preserve">hinders the identification of trafficking </w:t>
      </w:r>
      <w:r w:rsidRPr="0078466C">
        <w:rPr>
          <w:rFonts w:ascii="Book Antiqua" w:eastAsia="Arial" w:hAnsi="Book Antiqua" w:cs="Arial"/>
        </w:rPr>
        <w:t>victims</w:t>
      </w:r>
      <w:r w:rsidRPr="0078466C">
        <w:rPr>
          <w:rFonts w:ascii="Book Antiqua" w:eastAsia="Arial" w:hAnsi="Book Antiqua" w:cs="Arial"/>
          <w:color w:val="000000"/>
        </w:rPr>
        <w:t xml:space="preserve">. TIP and its associated terms need to be clearly defined </w:t>
      </w:r>
      <w:r w:rsidRPr="0078466C">
        <w:rPr>
          <w:rFonts w:ascii="Book Antiqua" w:eastAsia="Arial" w:hAnsi="Book Antiqua" w:cs="Arial"/>
        </w:rPr>
        <w:t>so that TIP situations can be</w:t>
      </w:r>
      <w:r w:rsidRPr="0078466C">
        <w:rPr>
          <w:rFonts w:ascii="Book Antiqua" w:eastAsia="Arial" w:hAnsi="Book Antiqua" w:cs="Arial"/>
          <w:color w:val="000000"/>
        </w:rPr>
        <w:t xml:space="preserve"> investigated in accordance with international standards.</w:t>
      </w:r>
      <w:r w:rsidR="00FB342E" w:rsidRPr="0078466C">
        <w:rPr>
          <w:rFonts w:ascii="Book Antiqua" w:hAnsi="Book Antiqua"/>
          <w:color w:val="000000"/>
          <w:shd w:val="clear" w:color="auto" w:fill="FFFFFF"/>
        </w:rPr>
        <w:t xml:space="preserve"> </w:t>
      </w:r>
    </w:p>
    <w:p w14:paraId="67B0FDAC" w14:textId="77777777" w:rsidR="0036387C" w:rsidRPr="0078466C" w:rsidRDefault="0036387C">
      <w:pPr>
        <w:pBdr>
          <w:top w:val="nil"/>
          <w:left w:val="nil"/>
          <w:bottom w:val="nil"/>
          <w:right w:val="nil"/>
          <w:between w:val="nil"/>
        </w:pBdr>
        <w:spacing w:after="0" w:line="276" w:lineRule="auto"/>
        <w:ind w:left="720" w:hanging="720"/>
        <w:jc w:val="both"/>
        <w:rPr>
          <w:rFonts w:ascii="Book Antiqua" w:eastAsia="Arial" w:hAnsi="Book Antiqua" w:cs="Arial"/>
          <w:color w:val="000000"/>
        </w:rPr>
      </w:pPr>
    </w:p>
    <w:p w14:paraId="0C009637" w14:textId="5CF00744" w:rsidR="0036387C" w:rsidRPr="0078466C" w:rsidRDefault="002C29C7">
      <w:pPr>
        <w:numPr>
          <w:ilvl w:val="0"/>
          <w:numId w:val="1"/>
        </w:numPr>
        <w:pBdr>
          <w:top w:val="nil"/>
          <w:left w:val="nil"/>
          <w:bottom w:val="nil"/>
          <w:right w:val="nil"/>
          <w:between w:val="nil"/>
        </w:pBdr>
        <w:spacing w:after="0" w:line="276" w:lineRule="auto"/>
        <w:jc w:val="both"/>
        <w:rPr>
          <w:rFonts w:ascii="Book Antiqua" w:hAnsi="Book Antiqua"/>
          <w:color w:val="000000"/>
        </w:rPr>
      </w:pPr>
      <w:r w:rsidRPr="0078466C">
        <w:rPr>
          <w:rFonts w:ascii="Book Antiqua" w:eastAsia="Arial" w:hAnsi="Book Antiqua" w:cs="Arial"/>
          <w:b/>
          <w:color w:val="000000"/>
        </w:rPr>
        <w:t xml:space="preserve">States must cover </w:t>
      </w:r>
      <w:r w:rsidR="00B54121" w:rsidRPr="0078466C">
        <w:rPr>
          <w:rFonts w:ascii="Book Antiqua" w:eastAsia="Arial" w:hAnsi="Book Antiqua" w:cs="Arial"/>
          <w:b/>
          <w:color w:val="000000"/>
        </w:rPr>
        <w:t>MDWs under</w:t>
      </w:r>
      <w:r w:rsidRPr="0078466C">
        <w:rPr>
          <w:rFonts w:ascii="Book Antiqua" w:eastAsia="Arial" w:hAnsi="Book Antiqua" w:cs="Arial"/>
          <w:b/>
          <w:color w:val="000000"/>
        </w:rPr>
        <w:t xml:space="preserve"> its</w:t>
      </w:r>
      <w:r w:rsidR="00B54121" w:rsidRPr="0078466C">
        <w:rPr>
          <w:rFonts w:ascii="Book Antiqua" w:eastAsia="Arial" w:hAnsi="Book Antiqua" w:cs="Arial"/>
          <w:b/>
          <w:color w:val="000000"/>
        </w:rPr>
        <w:t xml:space="preserve"> primary labour laws</w:t>
      </w:r>
      <w:r w:rsidRPr="0078466C">
        <w:rPr>
          <w:rFonts w:ascii="Book Antiqua" w:eastAsia="Arial" w:hAnsi="Book Antiqua" w:cs="Arial"/>
          <w:b/>
          <w:color w:val="000000"/>
        </w:rPr>
        <w:t xml:space="preserve"> (such as the Employment Act, or its equivalent)</w:t>
      </w:r>
      <w:r w:rsidR="00B54121" w:rsidRPr="0078466C">
        <w:rPr>
          <w:rFonts w:ascii="Book Antiqua" w:eastAsia="Arial" w:hAnsi="Book Antiqua" w:cs="Arial"/>
          <w:b/>
          <w:color w:val="000000"/>
        </w:rPr>
        <w:t xml:space="preserve">. </w:t>
      </w:r>
      <w:r w:rsidR="00B54121" w:rsidRPr="0078466C">
        <w:rPr>
          <w:rFonts w:ascii="Book Antiqua" w:eastAsia="Arial" w:hAnsi="Book Antiqua" w:cs="Arial"/>
          <w:color w:val="222222"/>
          <w:highlight w:val="white"/>
        </w:rPr>
        <w:t xml:space="preserve">If the key purpose of TIP is exploitation, prevention efforts </w:t>
      </w:r>
      <w:r w:rsidR="00B54121" w:rsidRPr="0078466C">
        <w:rPr>
          <w:rFonts w:ascii="Book Antiqua" w:eastAsia="Arial" w:hAnsi="Book Antiqua" w:cs="Arial"/>
          <w:color w:val="222222"/>
          <w:highlight w:val="white"/>
        </w:rPr>
        <w:lastRenderedPageBreak/>
        <w:t>need to focus on combating exploitation, with clear laws and strong enforcement</w:t>
      </w:r>
      <w:r w:rsidR="00B54121" w:rsidRPr="0078466C">
        <w:rPr>
          <w:rFonts w:ascii="Book Antiqua" w:eastAsia="Arial" w:hAnsi="Book Antiqua" w:cs="Arial"/>
          <w:b/>
          <w:color w:val="222222"/>
          <w:highlight w:val="white"/>
        </w:rPr>
        <w:t xml:space="preserve">. </w:t>
      </w:r>
      <w:r w:rsidR="00B54121" w:rsidRPr="0078466C">
        <w:rPr>
          <w:rFonts w:ascii="Book Antiqua" w:eastAsia="Arial" w:hAnsi="Book Antiqua" w:cs="Arial"/>
          <w:color w:val="222222"/>
          <w:highlight w:val="white"/>
        </w:rPr>
        <w:t xml:space="preserve">Excluding MDWs from key labour protections </w:t>
      </w:r>
      <w:r w:rsidR="00B54121" w:rsidRPr="0078466C">
        <w:rPr>
          <w:rFonts w:ascii="Book Antiqua" w:eastAsia="Arial" w:hAnsi="Book Antiqua" w:cs="Arial"/>
          <w:color w:val="000000"/>
        </w:rPr>
        <w:t>leaves them highly vulnerable to abuse, as their working conditions depend on individual employers</w:t>
      </w:r>
      <w:r w:rsidR="00541F6E" w:rsidRPr="0078466C">
        <w:rPr>
          <w:rFonts w:ascii="Book Antiqua" w:eastAsia="Arial" w:hAnsi="Book Antiqua" w:cs="Arial"/>
          <w:color w:val="000000"/>
        </w:rPr>
        <w:t xml:space="preserve"> and not objective legal standards</w:t>
      </w:r>
      <w:r w:rsidR="00B54121" w:rsidRPr="0078466C">
        <w:rPr>
          <w:rFonts w:ascii="Book Antiqua" w:eastAsia="Arial" w:hAnsi="Book Antiqua" w:cs="Arial"/>
          <w:color w:val="000000"/>
        </w:rPr>
        <w:t xml:space="preserve">. </w:t>
      </w:r>
    </w:p>
    <w:p w14:paraId="0D8F7095" w14:textId="77777777" w:rsidR="0036387C" w:rsidRPr="0078466C" w:rsidRDefault="0036387C">
      <w:pPr>
        <w:pBdr>
          <w:top w:val="nil"/>
          <w:left w:val="nil"/>
          <w:bottom w:val="nil"/>
          <w:right w:val="nil"/>
          <w:between w:val="nil"/>
        </w:pBdr>
        <w:spacing w:after="0" w:line="276" w:lineRule="auto"/>
        <w:ind w:left="720" w:hanging="720"/>
        <w:jc w:val="both"/>
        <w:rPr>
          <w:rFonts w:ascii="Book Antiqua" w:eastAsia="Arial" w:hAnsi="Book Antiqua" w:cs="Arial"/>
          <w:color w:val="000000"/>
        </w:rPr>
      </w:pPr>
    </w:p>
    <w:p w14:paraId="52DECB3C" w14:textId="5A042028" w:rsidR="0036387C" w:rsidRPr="0078466C" w:rsidRDefault="00B54121">
      <w:pPr>
        <w:numPr>
          <w:ilvl w:val="0"/>
          <w:numId w:val="1"/>
        </w:numPr>
        <w:pBdr>
          <w:top w:val="nil"/>
          <w:left w:val="nil"/>
          <w:bottom w:val="nil"/>
          <w:right w:val="nil"/>
          <w:between w:val="nil"/>
        </w:pBdr>
        <w:spacing w:after="0" w:line="276" w:lineRule="auto"/>
        <w:jc w:val="both"/>
        <w:rPr>
          <w:rFonts w:ascii="Book Antiqua" w:hAnsi="Book Antiqua"/>
          <w:color w:val="000000"/>
        </w:rPr>
      </w:pPr>
      <w:bookmarkStart w:id="0" w:name="_gjdgxs" w:colFirst="0" w:colLast="0"/>
      <w:bookmarkEnd w:id="0"/>
      <w:r w:rsidRPr="0078466C">
        <w:rPr>
          <w:rFonts w:ascii="Book Antiqua" w:eastAsia="Arial" w:hAnsi="Book Antiqua" w:cs="Arial"/>
          <w:b/>
          <w:color w:val="000000"/>
        </w:rPr>
        <w:t>Establish the right for MDWs to switch employers freely</w:t>
      </w:r>
      <w:r w:rsidRPr="0078466C">
        <w:rPr>
          <w:rFonts w:ascii="Book Antiqua" w:eastAsia="Arial" w:hAnsi="Book Antiqua" w:cs="Arial"/>
          <w:color w:val="000000"/>
        </w:rPr>
        <w:t xml:space="preserve">. Any dependency on employers for </w:t>
      </w:r>
      <w:r w:rsidRPr="0078466C">
        <w:rPr>
          <w:rFonts w:ascii="Book Antiqua" w:eastAsia="Arial" w:hAnsi="Book Antiqua" w:cs="Arial"/>
        </w:rPr>
        <w:t xml:space="preserve">MDWs’ </w:t>
      </w:r>
      <w:r w:rsidRPr="0078466C">
        <w:rPr>
          <w:rFonts w:ascii="Book Antiqua" w:eastAsia="Arial" w:hAnsi="Book Antiqua" w:cs="Arial"/>
          <w:color w:val="000000"/>
        </w:rPr>
        <w:t xml:space="preserve">legal and employment status, </w:t>
      </w:r>
      <w:r w:rsidRPr="0078466C">
        <w:rPr>
          <w:rFonts w:ascii="Book Antiqua" w:eastAsia="Arial" w:hAnsi="Book Antiqua" w:cs="Arial"/>
        </w:rPr>
        <w:t>for example</w:t>
      </w:r>
      <w:r w:rsidR="00125875">
        <w:rPr>
          <w:rFonts w:ascii="Book Antiqua" w:eastAsia="Arial" w:hAnsi="Book Antiqua" w:cs="Arial"/>
        </w:rPr>
        <w:t xml:space="preserve"> employer-tied</w:t>
      </w:r>
      <w:r w:rsidRPr="0078466C">
        <w:rPr>
          <w:rFonts w:ascii="Book Antiqua" w:eastAsia="Arial" w:hAnsi="Book Antiqua" w:cs="Arial"/>
        </w:rPr>
        <w:t xml:space="preserve"> regimes like the </w:t>
      </w:r>
      <w:r w:rsidRPr="0078466C">
        <w:rPr>
          <w:rFonts w:ascii="Book Antiqua" w:eastAsia="Arial" w:hAnsi="Book Antiqua" w:cs="Arial"/>
          <w:i/>
        </w:rPr>
        <w:t xml:space="preserve">kafala </w:t>
      </w:r>
      <w:r w:rsidRPr="0078466C">
        <w:rPr>
          <w:rFonts w:ascii="Book Antiqua" w:eastAsia="Arial" w:hAnsi="Book Antiqua" w:cs="Arial"/>
        </w:rPr>
        <w:t>system</w:t>
      </w:r>
      <w:r w:rsidRPr="0078466C">
        <w:rPr>
          <w:rFonts w:ascii="Book Antiqua" w:eastAsia="Arial" w:hAnsi="Book Antiqua" w:cs="Arial"/>
          <w:color w:val="000000"/>
        </w:rPr>
        <w:t xml:space="preserve">, often induces exploitative conditions. States should allow MDWs the right to transfer to a new employer, by giving reasonable notice. Similarly, </w:t>
      </w:r>
      <w:r w:rsidRPr="0078466C">
        <w:rPr>
          <w:rFonts w:ascii="Book Antiqua" w:eastAsia="Arial" w:hAnsi="Book Antiqua" w:cs="Arial"/>
        </w:rPr>
        <w:t>States should abolish security bonds and other types of financial liabilities imposed on employers which incentivises exploitation and restricts freedom.</w:t>
      </w:r>
    </w:p>
    <w:p w14:paraId="4827A519" w14:textId="77777777" w:rsidR="0036387C" w:rsidRPr="0078466C" w:rsidRDefault="0036387C">
      <w:pPr>
        <w:pBdr>
          <w:top w:val="nil"/>
          <w:left w:val="nil"/>
          <w:bottom w:val="nil"/>
          <w:right w:val="nil"/>
          <w:between w:val="nil"/>
        </w:pBdr>
        <w:spacing w:after="0" w:line="276" w:lineRule="auto"/>
        <w:jc w:val="both"/>
        <w:rPr>
          <w:rFonts w:ascii="Book Antiqua" w:eastAsia="Arial" w:hAnsi="Book Antiqua" w:cs="Arial"/>
        </w:rPr>
      </w:pPr>
    </w:p>
    <w:p w14:paraId="33F583EE" w14:textId="77777777" w:rsidR="0036387C" w:rsidRPr="0078466C" w:rsidRDefault="00B54121">
      <w:pPr>
        <w:numPr>
          <w:ilvl w:val="0"/>
          <w:numId w:val="2"/>
        </w:numPr>
        <w:pBdr>
          <w:top w:val="nil"/>
          <w:left w:val="nil"/>
          <w:bottom w:val="nil"/>
          <w:right w:val="nil"/>
          <w:between w:val="nil"/>
        </w:pBdr>
        <w:spacing w:after="0" w:line="276" w:lineRule="auto"/>
        <w:jc w:val="both"/>
        <w:rPr>
          <w:rFonts w:ascii="Book Antiqua" w:hAnsi="Book Antiqua"/>
          <w:color w:val="000000"/>
        </w:rPr>
      </w:pPr>
      <w:r w:rsidRPr="0078466C">
        <w:rPr>
          <w:rFonts w:ascii="Book Antiqua" w:eastAsia="Arial" w:hAnsi="Book Antiqua" w:cs="Arial"/>
          <w:b/>
          <w:color w:val="000000"/>
        </w:rPr>
        <w:t xml:space="preserve">Strengthen cross-border cooperation </w:t>
      </w:r>
      <w:r w:rsidRPr="0078466C">
        <w:rPr>
          <w:rFonts w:ascii="Book Antiqua" w:eastAsia="Arial" w:hAnsi="Book Antiqua" w:cs="Arial"/>
          <w:b/>
        </w:rPr>
        <w:t xml:space="preserve">to </w:t>
      </w:r>
      <w:r w:rsidRPr="0078466C">
        <w:rPr>
          <w:rFonts w:ascii="Book Antiqua" w:eastAsia="Arial" w:hAnsi="Book Antiqua" w:cs="Arial"/>
          <w:b/>
          <w:color w:val="000000"/>
        </w:rPr>
        <w:t>regulate working conditions in compliance with international labour standards.</w:t>
      </w:r>
      <w:r w:rsidRPr="0078466C">
        <w:rPr>
          <w:rFonts w:ascii="Book Antiqua" w:eastAsia="Arial" w:hAnsi="Book Antiqua" w:cs="Arial"/>
          <w:color w:val="000000"/>
        </w:rPr>
        <w:t xml:space="preserve"> Labour migration is a transnational process, and TIP is a transnational crime. </w:t>
      </w:r>
      <w:r w:rsidRPr="0078466C">
        <w:rPr>
          <w:rFonts w:ascii="Book Antiqua" w:eastAsia="Arial" w:hAnsi="Book Antiqua" w:cs="Arial"/>
        </w:rPr>
        <w:t>B</w:t>
      </w:r>
      <w:r w:rsidRPr="0078466C">
        <w:rPr>
          <w:rFonts w:ascii="Book Antiqua" w:eastAsia="Arial" w:hAnsi="Book Antiqua" w:cs="Arial"/>
          <w:color w:val="000000"/>
        </w:rPr>
        <w:t xml:space="preserve">ilateral agreements </w:t>
      </w:r>
      <w:r w:rsidRPr="0078466C">
        <w:rPr>
          <w:rFonts w:ascii="Book Antiqua" w:eastAsia="Arial" w:hAnsi="Book Antiqua" w:cs="Arial"/>
        </w:rPr>
        <w:t xml:space="preserve">must align </w:t>
      </w:r>
      <w:r w:rsidRPr="0078466C">
        <w:rPr>
          <w:rFonts w:ascii="Book Antiqua" w:eastAsia="Arial" w:hAnsi="Book Antiqua" w:cs="Arial"/>
          <w:color w:val="000000"/>
        </w:rPr>
        <w:t xml:space="preserve">labour standards between origin and destination countries. </w:t>
      </w:r>
      <w:r w:rsidRPr="0078466C">
        <w:rPr>
          <w:rFonts w:ascii="Book Antiqua" w:eastAsia="Arial" w:hAnsi="Book Antiqua" w:cs="Arial"/>
        </w:rPr>
        <w:t>R</w:t>
      </w:r>
      <w:r w:rsidRPr="0078466C">
        <w:rPr>
          <w:rFonts w:ascii="Book Antiqua" w:eastAsia="Arial" w:hAnsi="Book Antiqua" w:cs="Arial"/>
          <w:color w:val="000000"/>
        </w:rPr>
        <w:t>egulatory systems also need to be established to ensure effective cross-border monitoring and management of breaches.</w:t>
      </w:r>
    </w:p>
    <w:p w14:paraId="6CD2FEC0" w14:textId="77777777" w:rsidR="0036387C" w:rsidRPr="0078466C" w:rsidRDefault="0036387C">
      <w:pPr>
        <w:pBdr>
          <w:top w:val="nil"/>
          <w:left w:val="nil"/>
          <w:bottom w:val="nil"/>
          <w:right w:val="nil"/>
          <w:between w:val="nil"/>
        </w:pBdr>
        <w:spacing w:after="0" w:line="276" w:lineRule="auto"/>
        <w:ind w:left="720" w:hanging="720"/>
        <w:jc w:val="both"/>
        <w:rPr>
          <w:rFonts w:ascii="Book Antiqua" w:eastAsia="Arial" w:hAnsi="Book Antiqua" w:cs="Arial"/>
          <w:color w:val="000000"/>
        </w:rPr>
      </w:pPr>
    </w:p>
    <w:p w14:paraId="7583FBEA" w14:textId="24BE4B59" w:rsidR="0036387C" w:rsidRPr="0078466C" w:rsidRDefault="00B54121">
      <w:pPr>
        <w:numPr>
          <w:ilvl w:val="0"/>
          <w:numId w:val="2"/>
        </w:numPr>
        <w:pBdr>
          <w:top w:val="nil"/>
          <w:left w:val="nil"/>
          <w:bottom w:val="nil"/>
          <w:right w:val="nil"/>
          <w:between w:val="nil"/>
        </w:pBdr>
        <w:spacing w:after="0" w:line="276" w:lineRule="auto"/>
        <w:jc w:val="both"/>
        <w:rPr>
          <w:rFonts w:ascii="Book Antiqua" w:hAnsi="Book Antiqua"/>
          <w:color w:val="000000"/>
        </w:rPr>
      </w:pPr>
      <w:r w:rsidRPr="0078466C">
        <w:rPr>
          <w:rFonts w:ascii="Book Antiqua" w:eastAsia="Arial" w:hAnsi="Book Antiqua" w:cs="Arial"/>
          <w:b/>
        </w:rPr>
        <w:t>Better regulation of recruitment fees and costs</w:t>
      </w:r>
      <w:r w:rsidRPr="0078466C">
        <w:rPr>
          <w:rFonts w:ascii="Book Antiqua" w:eastAsia="Arial" w:hAnsi="Book Antiqua" w:cs="Arial"/>
          <w:b/>
          <w:color w:val="000000"/>
        </w:rPr>
        <w:t xml:space="preserve">: </w:t>
      </w:r>
      <w:r w:rsidR="00340C16" w:rsidRPr="0078466C">
        <w:rPr>
          <w:rFonts w:ascii="Book Antiqua" w:eastAsia="Arial" w:hAnsi="Book Antiqua" w:cs="Arial"/>
          <w:color w:val="000000"/>
        </w:rPr>
        <w:t>Currently, MDWs incur</w:t>
      </w:r>
      <w:r w:rsidRPr="0078466C">
        <w:rPr>
          <w:rFonts w:ascii="Book Antiqua" w:eastAsia="Arial" w:hAnsi="Book Antiqua" w:cs="Arial"/>
          <w:color w:val="000000"/>
        </w:rPr>
        <w:t xml:space="preserve"> exorbitant </w:t>
      </w:r>
      <w:r w:rsidR="00340C16" w:rsidRPr="0078466C">
        <w:rPr>
          <w:rFonts w:ascii="Book Antiqua" w:eastAsia="Arial" w:hAnsi="Book Antiqua" w:cs="Arial"/>
          <w:color w:val="000000"/>
        </w:rPr>
        <w:t>debts</w:t>
      </w:r>
      <w:r w:rsidRPr="0078466C">
        <w:rPr>
          <w:rFonts w:ascii="Book Antiqua" w:eastAsia="Arial" w:hAnsi="Book Antiqua" w:cs="Arial"/>
          <w:color w:val="000000"/>
        </w:rPr>
        <w:t xml:space="preserve"> </w:t>
      </w:r>
      <w:r w:rsidR="00340C16" w:rsidRPr="0078466C">
        <w:rPr>
          <w:rFonts w:ascii="Book Antiqua" w:eastAsia="Arial" w:hAnsi="Book Antiqua" w:cs="Arial"/>
        </w:rPr>
        <w:t>in order to gain overseas placements</w:t>
      </w:r>
      <w:r w:rsidRPr="0078466C">
        <w:rPr>
          <w:rFonts w:ascii="Book Antiqua" w:eastAsia="Arial" w:hAnsi="Book Antiqua" w:cs="Arial"/>
          <w:color w:val="000000"/>
        </w:rPr>
        <w:t xml:space="preserve">. </w:t>
      </w:r>
      <w:r w:rsidR="00340C16" w:rsidRPr="0078466C">
        <w:rPr>
          <w:rFonts w:ascii="Book Antiqua" w:eastAsia="Arial" w:hAnsi="Book Antiqua" w:cs="Arial"/>
        </w:rPr>
        <w:t>During loan repayment periods,</w:t>
      </w:r>
      <w:r w:rsidRPr="0078466C">
        <w:rPr>
          <w:rFonts w:ascii="Book Antiqua" w:eastAsia="Arial" w:hAnsi="Book Antiqua" w:cs="Arial"/>
        </w:rPr>
        <w:t xml:space="preserve"> </w:t>
      </w:r>
      <w:r w:rsidRPr="0078466C">
        <w:rPr>
          <w:rFonts w:ascii="Book Antiqua" w:eastAsia="Arial" w:hAnsi="Book Antiqua" w:cs="Arial"/>
          <w:color w:val="000000"/>
        </w:rPr>
        <w:t>employers who are fearful that their live-in MDWs may ‘run away’ may impose</w:t>
      </w:r>
      <w:r w:rsidRPr="0078466C">
        <w:rPr>
          <w:rFonts w:ascii="Book Antiqua" w:eastAsia="Arial" w:hAnsi="Book Antiqua" w:cs="Arial"/>
        </w:rPr>
        <w:t xml:space="preserve"> restrictions </w:t>
      </w:r>
      <w:r w:rsidRPr="0078466C">
        <w:rPr>
          <w:rFonts w:ascii="Book Antiqua" w:eastAsia="Arial" w:hAnsi="Book Antiqua" w:cs="Arial"/>
        </w:rPr>
        <w:lastRenderedPageBreak/>
        <w:t>on their freedoms</w:t>
      </w:r>
      <w:r w:rsidRPr="0078466C">
        <w:rPr>
          <w:rFonts w:ascii="Book Antiqua" w:eastAsia="Arial" w:hAnsi="Book Antiqua" w:cs="Arial"/>
          <w:color w:val="000000"/>
        </w:rPr>
        <w:t>. The GR should call</w:t>
      </w:r>
      <w:r w:rsidR="00340C16" w:rsidRPr="0078466C">
        <w:rPr>
          <w:rFonts w:ascii="Book Antiqua" w:eastAsia="Arial" w:hAnsi="Book Antiqua" w:cs="Arial"/>
          <w:color w:val="000000"/>
        </w:rPr>
        <w:t xml:space="preserve"> for an eventual move towards a </w:t>
      </w:r>
      <w:r w:rsidR="00125875">
        <w:rPr>
          <w:rFonts w:ascii="Book Antiqua" w:eastAsia="Arial" w:hAnsi="Book Antiqua" w:cs="Arial"/>
          <w:color w:val="000000"/>
        </w:rPr>
        <w:t>‘</w:t>
      </w:r>
      <w:r w:rsidR="00340C16" w:rsidRPr="0078466C">
        <w:rPr>
          <w:rFonts w:ascii="Book Antiqua" w:eastAsia="Arial" w:hAnsi="Book Antiqua" w:cs="Arial"/>
          <w:color w:val="000000"/>
        </w:rPr>
        <w:t>zero fees for workers</w:t>
      </w:r>
      <w:r w:rsidR="00125875">
        <w:rPr>
          <w:rFonts w:ascii="Book Antiqua" w:eastAsia="Arial" w:hAnsi="Book Antiqua" w:cs="Arial"/>
          <w:color w:val="000000"/>
        </w:rPr>
        <w:t>’</w:t>
      </w:r>
      <w:r w:rsidRPr="0078466C">
        <w:rPr>
          <w:rFonts w:ascii="Book Antiqua" w:eastAsia="Arial" w:hAnsi="Book Antiqua" w:cs="Arial"/>
          <w:color w:val="000000"/>
        </w:rPr>
        <w:t xml:space="preserve"> model, based on the ILO Fair Recruitment Initiative. In the interim, greater transparency is necessary; </w:t>
      </w:r>
      <w:r w:rsidRPr="0078466C">
        <w:rPr>
          <w:rFonts w:ascii="Book Antiqua" w:eastAsia="Arial" w:hAnsi="Book Antiqua" w:cs="Arial"/>
        </w:rPr>
        <w:t>such as providing</w:t>
      </w:r>
      <w:r w:rsidRPr="0078466C">
        <w:rPr>
          <w:rFonts w:ascii="Book Antiqua" w:eastAsia="Arial" w:hAnsi="Book Antiqua" w:cs="Arial"/>
          <w:color w:val="000000"/>
        </w:rPr>
        <w:t xml:space="preserve"> itemized breakdowns of fees charged. </w:t>
      </w:r>
    </w:p>
    <w:p w14:paraId="63643D10" w14:textId="77777777" w:rsidR="0036387C" w:rsidRPr="0078466C" w:rsidRDefault="0036387C">
      <w:pPr>
        <w:pBdr>
          <w:top w:val="nil"/>
          <w:left w:val="nil"/>
          <w:bottom w:val="nil"/>
          <w:right w:val="nil"/>
          <w:between w:val="nil"/>
        </w:pBdr>
        <w:spacing w:after="0"/>
        <w:ind w:left="720" w:hanging="720"/>
        <w:rPr>
          <w:rFonts w:ascii="Book Antiqua" w:eastAsia="Arial" w:hAnsi="Book Antiqua" w:cs="Arial"/>
          <w:color w:val="000000"/>
        </w:rPr>
      </w:pPr>
    </w:p>
    <w:p w14:paraId="17876ECC" w14:textId="1CECFCCE" w:rsidR="0036387C" w:rsidRPr="0078466C" w:rsidRDefault="00B54121">
      <w:pPr>
        <w:numPr>
          <w:ilvl w:val="0"/>
          <w:numId w:val="2"/>
        </w:numPr>
        <w:pBdr>
          <w:top w:val="nil"/>
          <w:left w:val="nil"/>
          <w:bottom w:val="nil"/>
          <w:right w:val="nil"/>
          <w:between w:val="nil"/>
        </w:pBdr>
        <w:spacing w:after="0" w:line="276" w:lineRule="auto"/>
        <w:jc w:val="both"/>
        <w:rPr>
          <w:rFonts w:ascii="Book Antiqua" w:hAnsi="Book Antiqua"/>
          <w:color w:val="000000"/>
        </w:rPr>
      </w:pPr>
      <w:r w:rsidRPr="0078466C">
        <w:rPr>
          <w:rFonts w:ascii="Book Antiqua" w:eastAsia="Arial" w:hAnsi="Book Antiqua" w:cs="Arial"/>
          <w:b/>
          <w:color w:val="000000"/>
        </w:rPr>
        <w:t xml:space="preserve">Advocate for States to adopt a </w:t>
      </w:r>
      <w:r w:rsidRPr="0078466C">
        <w:rPr>
          <w:rFonts w:ascii="Book Antiqua" w:eastAsia="Arial" w:hAnsi="Book Antiqua" w:cs="Arial"/>
          <w:b/>
        </w:rPr>
        <w:t>rights-based</w:t>
      </w:r>
      <w:r w:rsidRPr="0078466C">
        <w:rPr>
          <w:rFonts w:ascii="Book Antiqua" w:eastAsia="Arial" w:hAnsi="Book Antiqua" w:cs="Arial"/>
          <w:b/>
          <w:color w:val="000000"/>
        </w:rPr>
        <w:t xml:space="preserve"> approach for victims of TIP. </w:t>
      </w:r>
      <w:r w:rsidRPr="0078466C">
        <w:rPr>
          <w:rFonts w:ascii="Book Antiqua" w:eastAsia="Arial" w:hAnsi="Book Antiqua" w:cs="Arial"/>
          <w:color w:val="000000"/>
        </w:rPr>
        <w:t>MDWs who are identified as</w:t>
      </w:r>
      <w:r w:rsidR="00125875">
        <w:rPr>
          <w:rFonts w:ascii="Book Antiqua" w:eastAsia="Arial" w:hAnsi="Book Antiqua" w:cs="Arial"/>
          <w:color w:val="000000"/>
        </w:rPr>
        <w:t xml:space="preserve"> potential victims of TIP</w:t>
      </w:r>
      <w:r w:rsidRPr="0078466C">
        <w:rPr>
          <w:rFonts w:ascii="Book Antiqua" w:eastAsia="Arial" w:hAnsi="Book Antiqua" w:cs="Arial"/>
          <w:color w:val="000000"/>
        </w:rPr>
        <w:t xml:space="preserve"> should be given the full range of protections available under international law. </w:t>
      </w:r>
      <w:r w:rsidRPr="0078466C">
        <w:rPr>
          <w:rFonts w:ascii="Book Antiqua" w:eastAsia="Arial" w:hAnsi="Book Antiqua" w:cs="Arial"/>
        </w:rPr>
        <w:t xml:space="preserve">Particularly, </w:t>
      </w:r>
      <w:r w:rsidRPr="0078466C">
        <w:rPr>
          <w:rFonts w:ascii="Book Antiqua" w:eastAsia="Arial" w:hAnsi="Book Antiqua" w:cs="Arial"/>
          <w:color w:val="000000"/>
        </w:rPr>
        <w:t xml:space="preserve">they should not be prosecuted for crimes committed while being a TIP victim, be given the right to </w:t>
      </w:r>
      <w:r w:rsidR="00340C16" w:rsidRPr="0078466C">
        <w:rPr>
          <w:rFonts w:ascii="Book Antiqua" w:eastAsia="Arial" w:hAnsi="Book Antiqua" w:cs="Arial"/>
          <w:color w:val="000000"/>
        </w:rPr>
        <w:t>decent work opportunities,</w:t>
      </w:r>
      <w:r w:rsidRPr="0078466C">
        <w:rPr>
          <w:rFonts w:ascii="Book Antiqua" w:eastAsia="Arial" w:hAnsi="Book Antiqua" w:cs="Arial"/>
          <w:color w:val="000000"/>
        </w:rPr>
        <w:t xml:space="preserve"> and compensation. </w:t>
      </w:r>
    </w:p>
    <w:p w14:paraId="41B255BC" w14:textId="77777777" w:rsidR="0036387C" w:rsidRPr="0078466C" w:rsidRDefault="0036387C">
      <w:pPr>
        <w:pBdr>
          <w:top w:val="nil"/>
          <w:left w:val="nil"/>
          <w:bottom w:val="nil"/>
          <w:right w:val="nil"/>
          <w:between w:val="nil"/>
        </w:pBdr>
        <w:spacing w:after="0" w:line="276" w:lineRule="auto"/>
        <w:ind w:left="720"/>
        <w:jc w:val="both"/>
        <w:rPr>
          <w:rFonts w:ascii="Book Antiqua" w:eastAsia="Arial" w:hAnsi="Book Antiqua" w:cs="Arial"/>
        </w:rPr>
      </w:pPr>
    </w:p>
    <w:p w14:paraId="718FEE07" w14:textId="4A0F7236" w:rsidR="0036387C" w:rsidRPr="0078466C" w:rsidRDefault="00B54121">
      <w:pPr>
        <w:numPr>
          <w:ilvl w:val="0"/>
          <w:numId w:val="2"/>
        </w:numPr>
        <w:pBdr>
          <w:top w:val="nil"/>
          <w:left w:val="nil"/>
          <w:bottom w:val="nil"/>
          <w:right w:val="nil"/>
          <w:between w:val="nil"/>
        </w:pBdr>
        <w:spacing w:after="0" w:line="276" w:lineRule="auto"/>
        <w:jc w:val="both"/>
        <w:rPr>
          <w:rFonts w:ascii="Book Antiqua" w:eastAsia="Arial" w:hAnsi="Book Antiqua" w:cs="Arial"/>
          <w:b/>
        </w:rPr>
      </w:pPr>
      <w:r w:rsidRPr="0078466C">
        <w:rPr>
          <w:rFonts w:ascii="Book Antiqua" w:eastAsia="Arial" w:hAnsi="Book Antiqua" w:cs="Arial"/>
          <w:b/>
        </w:rPr>
        <w:t xml:space="preserve">Improve transparency </w:t>
      </w:r>
      <w:r w:rsidR="002C29C7" w:rsidRPr="0078466C">
        <w:rPr>
          <w:rFonts w:ascii="Book Antiqua" w:eastAsia="Arial" w:hAnsi="Book Antiqua" w:cs="Arial"/>
          <w:b/>
        </w:rPr>
        <w:t>of</w:t>
      </w:r>
      <w:r w:rsidRPr="0078466C">
        <w:rPr>
          <w:rFonts w:ascii="Book Antiqua" w:eastAsia="Arial" w:hAnsi="Book Antiqua" w:cs="Arial"/>
          <w:b/>
        </w:rPr>
        <w:t xml:space="preserve"> national trafficking referral systems: </w:t>
      </w:r>
      <w:r w:rsidRPr="0078466C">
        <w:rPr>
          <w:rFonts w:ascii="Book Antiqua" w:eastAsia="Arial" w:hAnsi="Book Antiqua" w:cs="Arial"/>
        </w:rPr>
        <w:t xml:space="preserve">Greater transparency in national trafficking referrals systems is needed to ensure that stakeholders who encounter MDWs on a regular basis are able to recognise forced labour and trafficking indicators. Victim identification processes need </w:t>
      </w:r>
      <w:r w:rsidR="00340C16" w:rsidRPr="0078466C">
        <w:rPr>
          <w:rFonts w:ascii="Book Antiqua" w:eastAsia="Arial" w:hAnsi="Book Antiqua" w:cs="Arial"/>
        </w:rPr>
        <w:t>be benchmarked to international standards and</w:t>
      </w:r>
      <w:r w:rsidRPr="0078466C">
        <w:rPr>
          <w:rFonts w:ascii="Book Antiqua" w:eastAsia="Arial" w:hAnsi="Book Antiqua" w:cs="Arial"/>
        </w:rPr>
        <w:t xml:space="preserve"> strengthened with the deep involvement of CSOs.</w:t>
      </w:r>
    </w:p>
    <w:p w14:paraId="65D3410A" w14:textId="77777777" w:rsidR="002C29C7" w:rsidRPr="0078466C" w:rsidRDefault="002C29C7" w:rsidP="002C29C7">
      <w:pPr>
        <w:pBdr>
          <w:top w:val="nil"/>
          <w:left w:val="nil"/>
          <w:bottom w:val="nil"/>
          <w:right w:val="nil"/>
          <w:between w:val="nil"/>
        </w:pBdr>
        <w:spacing w:after="0" w:line="276" w:lineRule="auto"/>
        <w:ind w:left="720"/>
        <w:jc w:val="both"/>
        <w:rPr>
          <w:rFonts w:ascii="Book Antiqua" w:eastAsia="Arial" w:hAnsi="Book Antiqua" w:cs="Arial"/>
          <w:b/>
        </w:rPr>
      </w:pPr>
    </w:p>
    <w:p w14:paraId="4B0E476F" w14:textId="01A4F29B" w:rsidR="002C29C7" w:rsidRPr="0078466C" w:rsidRDefault="002C29C7">
      <w:pPr>
        <w:numPr>
          <w:ilvl w:val="0"/>
          <w:numId w:val="2"/>
        </w:numPr>
        <w:pBdr>
          <w:top w:val="nil"/>
          <w:left w:val="nil"/>
          <w:bottom w:val="nil"/>
          <w:right w:val="nil"/>
          <w:between w:val="nil"/>
        </w:pBdr>
        <w:spacing w:after="0" w:line="276" w:lineRule="auto"/>
        <w:jc w:val="both"/>
        <w:rPr>
          <w:rFonts w:ascii="Book Antiqua" w:eastAsia="Arial" w:hAnsi="Book Antiqua" w:cs="Arial"/>
          <w:b/>
        </w:rPr>
      </w:pPr>
      <w:r w:rsidRPr="0078466C">
        <w:rPr>
          <w:rFonts w:ascii="Book Antiqua" w:hAnsi="Book Antiqua" w:cs="Arial"/>
          <w:b/>
          <w:bCs/>
          <w:color w:val="000000"/>
        </w:rPr>
        <w:t>Encourage capacity-building progr</w:t>
      </w:r>
      <w:r w:rsidR="00340C16" w:rsidRPr="0078466C">
        <w:rPr>
          <w:rFonts w:ascii="Book Antiqua" w:hAnsi="Book Antiqua" w:cs="Arial"/>
          <w:b/>
          <w:bCs/>
          <w:color w:val="000000"/>
        </w:rPr>
        <w:t>ammes for</w:t>
      </w:r>
      <w:r w:rsidRPr="0078466C">
        <w:rPr>
          <w:rFonts w:ascii="Book Antiqua" w:hAnsi="Book Antiqua" w:cs="Arial"/>
          <w:b/>
          <w:bCs/>
          <w:color w:val="000000"/>
        </w:rPr>
        <w:t xml:space="preserve"> law enforcement officers and other relevant front-line responders</w:t>
      </w:r>
      <w:r w:rsidRPr="0078466C">
        <w:rPr>
          <w:rFonts w:ascii="Book Antiqua" w:hAnsi="Book Antiqua" w:cs="Arial"/>
          <w:color w:val="000000"/>
        </w:rPr>
        <w:t xml:space="preserve">. </w:t>
      </w:r>
      <w:r w:rsidR="00585B8A" w:rsidRPr="0078466C">
        <w:rPr>
          <w:rFonts w:ascii="Book Antiqua" w:hAnsi="Book Antiqua" w:cs="Arial"/>
          <w:color w:val="000000"/>
        </w:rPr>
        <w:t>Frequent t</w:t>
      </w:r>
      <w:r w:rsidRPr="0078466C">
        <w:rPr>
          <w:rFonts w:ascii="Book Antiqua" w:hAnsi="Book Antiqua" w:cs="Arial"/>
          <w:color w:val="000000"/>
        </w:rPr>
        <w:t>raining programmes</w:t>
      </w:r>
      <w:r w:rsidR="00137A0F" w:rsidRPr="0078466C">
        <w:rPr>
          <w:rFonts w:ascii="Book Antiqua" w:hAnsi="Book Antiqua" w:cs="Arial"/>
          <w:color w:val="000000"/>
        </w:rPr>
        <w:t xml:space="preserve"> involving </w:t>
      </w:r>
      <w:r w:rsidR="00340C16" w:rsidRPr="0078466C">
        <w:rPr>
          <w:rFonts w:ascii="Book Antiqua" w:hAnsi="Book Antiqua" w:cs="Arial"/>
          <w:color w:val="000000"/>
        </w:rPr>
        <w:t>labour</w:t>
      </w:r>
      <w:r w:rsidR="00137A0F" w:rsidRPr="0078466C">
        <w:rPr>
          <w:rFonts w:ascii="Book Antiqua" w:hAnsi="Book Antiqua" w:cs="Arial"/>
          <w:color w:val="000000"/>
        </w:rPr>
        <w:t xml:space="preserve"> officials, the police and CSOs</w:t>
      </w:r>
      <w:r w:rsidRPr="0078466C">
        <w:rPr>
          <w:rFonts w:ascii="Book Antiqua" w:hAnsi="Book Antiqua" w:cs="Arial"/>
          <w:color w:val="000000"/>
        </w:rPr>
        <w:t xml:space="preserve"> are necessary to ensure proper</w:t>
      </w:r>
      <w:r w:rsidR="00137A0F" w:rsidRPr="0078466C">
        <w:rPr>
          <w:rFonts w:ascii="Book Antiqua" w:hAnsi="Book Antiqua" w:cs="Arial"/>
          <w:color w:val="000000"/>
        </w:rPr>
        <w:t xml:space="preserve"> victim identification and cohesive efforts to combat labour exploitation and trafficking.</w:t>
      </w:r>
    </w:p>
    <w:p w14:paraId="39AB6F7D" w14:textId="3EBDF272" w:rsidR="0036387C" w:rsidRPr="0078466C" w:rsidRDefault="0036387C">
      <w:pPr>
        <w:rPr>
          <w:rFonts w:ascii="Book Antiqua" w:eastAsia="Arial" w:hAnsi="Book Antiqua" w:cs="Arial"/>
        </w:rPr>
      </w:pPr>
    </w:p>
    <w:p w14:paraId="35C264C1" w14:textId="4FC38F2D" w:rsidR="002C2BC3" w:rsidRPr="0078466C" w:rsidRDefault="002C2BC3" w:rsidP="002C2BC3">
      <w:pPr>
        <w:spacing w:after="0" w:line="240" w:lineRule="auto"/>
        <w:rPr>
          <w:rFonts w:ascii="Book Antiqua" w:eastAsia="Arial" w:hAnsi="Book Antiqua" w:cs="Arial"/>
        </w:rPr>
      </w:pPr>
      <w:bookmarkStart w:id="1" w:name="_GoBack"/>
      <w:r w:rsidRPr="0078466C">
        <w:rPr>
          <w:rFonts w:ascii="Book Antiqua" w:eastAsia="Arial" w:hAnsi="Book Antiqua" w:cs="Arial"/>
          <w:i/>
          <w:iCs/>
        </w:rPr>
        <w:lastRenderedPageBreak/>
        <w:t>Humanitarian Organization for Migration Economics (</w:t>
      </w:r>
      <w:bookmarkEnd w:id="1"/>
      <w:r w:rsidRPr="0078466C">
        <w:rPr>
          <w:rFonts w:ascii="Book Antiqua" w:eastAsia="Arial" w:hAnsi="Book Antiqua" w:cs="Arial"/>
          <w:i/>
          <w:iCs/>
        </w:rPr>
        <w:t>HOME)</w:t>
      </w:r>
      <w:r w:rsidRPr="0078466C">
        <w:rPr>
          <w:rFonts w:ascii="Book Antiqua" w:eastAsia="Arial" w:hAnsi="Book Antiqua" w:cs="Arial"/>
          <w:i/>
          <w:iCs/>
        </w:rPr>
        <w:br/>
        <w:t>495 Geylang Road, #02-01</w:t>
      </w:r>
    </w:p>
    <w:p w14:paraId="7DA01DFF" w14:textId="0FABE29F" w:rsidR="002C2BC3" w:rsidRPr="0078466C" w:rsidRDefault="002C2BC3" w:rsidP="002C2BC3">
      <w:pPr>
        <w:spacing w:after="0" w:line="240" w:lineRule="auto"/>
        <w:rPr>
          <w:rFonts w:ascii="Book Antiqua" w:eastAsia="Arial" w:hAnsi="Book Antiqua" w:cs="Arial"/>
          <w:i/>
          <w:iCs/>
        </w:rPr>
      </w:pPr>
      <w:r w:rsidRPr="0078466C">
        <w:rPr>
          <w:rFonts w:ascii="Book Antiqua" w:eastAsia="Arial" w:hAnsi="Book Antiqua" w:cs="Arial"/>
          <w:i/>
          <w:iCs/>
        </w:rPr>
        <w:t>Singapore 389453</w:t>
      </w:r>
    </w:p>
    <w:p w14:paraId="02ABB055" w14:textId="77777777" w:rsidR="002C2BC3" w:rsidRPr="0078466C" w:rsidRDefault="00125875" w:rsidP="002C2BC3">
      <w:pPr>
        <w:spacing w:after="0" w:line="240" w:lineRule="auto"/>
        <w:rPr>
          <w:rFonts w:ascii="Book Antiqua" w:eastAsia="Arial" w:hAnsi="Book Antiqua" w:cs="Arial"/>
        </w:rPr>
      </w:pPr>
      <w:hyperlink r:id="rId7" w:tgtFrame="_blank" w:history="1">
        <w:r w:rsidR="002C2BC3" w:rsidRPr="0078466C">
          <w:rPr>
            <w:rStyle w:val="Hyperlink"/>
            <w:rFonts w:ascii="Book Antiqua" w:eastAsia="Arial" w:hAnsi="Book Antiqua" w:cs="Arial"/>
            <w:i/>
            <w:iCs/>
          </w:rPr>
          <w:t>www.home.org.sg</w:t>
        </w:r>
      </w:hyperlink>
    </w:p>
    <w:p w14:paraId="180AC699" w14:textId="77777777" w:rsidR="002C2BC3" w:rsidRPr="0078466C" w:rsidRDefault="002C2BC3">
      <w:pPr>
        <w:rPr>
          <w:rFonts w:ascii="Book Antiqua" w:eastAsia="Arial" w:hAnsi="Book Antiqua" w:cs="Arial"/>
        </w:rPr>
      </w:pPr>
    </w:p>
    <w:sectPr w:rsidR="002C2BC3" w:rsidRPr="0078466C">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23BC9" w14:textId="77777777" w:rsidR="00B673A5" w:rsidRDefault="00B673A5">
      <w:pPr>
        <w:spacing w:after="0" w:line="240" w:lineRule="auto"/>
      </w:pPr>
      <w:r>
        <w:separator/>
      </w:r>
    </w:p>
  </w:endnote>
  <w:endnote w:type="continuationSeparator" w:id="0">
    <w:p w14:paraId="5C358339" w14:textId="77777777" w:rsidR="00B673A5" w:rsidRDefault="00B6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2627227"/>
      <w:docPartObj>
        <w:docPartGallery w:val="Page Numbers (Bottom of Page)"/>
        <w:docPartUnique/>
      </w:docPartObj>
    </w:sdtPr>
    <w:sdtEndPr>
      <w:rPr>
        <w:rFonts w:ascii="Book Antiqua" w:hAnsi="Book Antiqua" w:cs="Arial"/>
        <w:noProof/>
      </w:rPr>
    </w:sdtEndPr>
    <w:sdtContent>
      <w:p w14:paraId="003504E3" w14:textId="3F996158" w:rsidR="00186706" w:rsidRPr="0078466C" w:rsidRDefault="00186706">
        <w:pPr>
          <w:pStyle w:val="Footer"/>
          <w:jc w:val="center"/>
          <w:rPr>
            <w:rFonts w:ascii="Book Antiqua" w:hAnsi="Book Antiqua" w:cs="Arial"/>
          </w:rPr>
        </w:pPr>
        <w:r w:rsidRPr="0078466C">
          <w:rPr>
            <w:rFonts w:ascii="Book Antiqua" w:hAnsi="Book Antiqua" w:cs="Arial"/>
          </w:rPr>
          <w:fldChar w:fldCharType="begin"/>
        </w:r>
        <w:r w:rsidRPr="0078466C">
          <w:rPr>
            <w:rFonts w:ascii="Book Antiqua" w:hAnsi="Book Antiqua" w:cs="Arial"/>
          </w:rPr>
          <w:instrText xml:space="preserve"> PAGE   \* MERGEFORMAT </w:instrText>
        </w:r>
        <w:r w:rsidRPr="0078466C">
          <w:rPr>
            <w:rFonts w:ascii="Book Antiqua" w:hAnsi="Book Antiqua" w:cs="Arial"/>
          </w:rPr>
          <w:fldChar w:fldCharType="separate"/>
        </w:r>
        <w:r w:rsidR="009474BA">
          <w:rPr>
            <w:rFonts w:ascii="Book Antiqua" w:hAnsi="Book Antiqua" w:cs="Arial"/>
            <w:noProof/>
          </w:rPr>
          <w:t>2</w:t>
        </w:r>
        <w:r w:rsidRPr="0078466C">
          <w:rPr>
            <w:rFonts w:ascii="Book Antiqua" w:hAnsi="Book Antiqua" w:cs="Arial"/>
            <w:noProof/>
          </w:rPr>
          <w:fldChar w:fldCharType="end"/>
        </w:r>
      </w:p>
    </w:sdtContent>
  </w:sdt>
  <w:p w14:paraId="3962F4D9" w14:textId="77777777" w:rsidR="00186706" w:rsidRDefault="001867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91650" w14:textId="77777777" w:rsidR="00B673A5" w:rsidRDefault="00B673A5">
      <w:pPr>
        <w:spacing w:after="0" w:line="240" w:lineRule="auto"/>
      </w:pPr>
      <w:r>
        <w:separator/>
      </w:r>
    </w:p>
  </w:footnote>
  <w:footnote w:type="continuationSeparator" w:id="0">
    <w:p w14:paraId="58B00AFB" w14:textId="77777777" w:rsidR="00B673A5" w:rsidRDefault="00B673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97FEE" w14:textId="77777777" w:rsidR="0036387C" w:rsidRDefault="00B54121">
    <w:pPr>
      <w:pBdr>
        <w:top w:val="nil"/>
        <w:left w:val="nil"/>
        <w:bottom w:val="nil"/>
        <w:right w:val="nil"/>
        <w:between w:val="nil"/>
      </w:pBdr>
      <w:tabs>
        <w:tab w:val="center" w:pos="4513"/>
        <w:tab w:val="right" w:pos="9026"/>
      </w:tabs>
      <w:spacing w:after="0" w:line="240" w:lineRule="auto"/>
      <w:rPr>
        <w:color w:val="000000"/>
      </w:rPr>
    </w:pPr>
    <w:r>
      <w:rPr>
        <w:noProof/>
        <w:lang w:val="en-GB" w:eastAsia="en-GB"/>
      </w:rPr>
      <w:drawing>
        <wp:anchor distT="0" distB="0" distL="114300" distR="114300" simplePos="0" relativeHeight="251658240" behindDoc="0" locked="0" layoutInCell="1" hidden="0" allowOverlap="1" wp14:anchorId="6798886A" wp14:editId="27EC3278">
          <wp:simplePos x="0" y="0"/>
          <wp:positionH relativeFrom="margin">
            <wp:align>center</wp:align>
          </wp:positionH>
          <wp:positionV relativeFrom="paragraph">
            <wp:posOffset>-97155</wp:posOffset>
          </wp:positionV>
          <wp:extent cx="2143125" cy="1095375"/>
          <wp:effectExtent l="0" t="0" r="9525" b="9525"/>
          <wp:wrapTopAndBottom distT="0" distB="0"/>
          <wp:docPr id="1" name="image1.jpg" descr="Untitled:Users:HOMEShelter01:Desktop:HOME Logo.jpg"/>
          <wp:cNvGraphicFramePr/>
          <a:graphic xmlns:a="http://schemas.openxmlformats.org/drawingml/2006/main">
            <a:graphicData uri="http://schemas.openxmlformats.org/drawingml/2006/picture">
              <pic:pic xmlns:pic="http://schemas.openxmlformats.org/drawingml/2006/picture">
                <pic:nvPicPr>
                  <pic:cNvPr id="0" name="image1.jpg" descr="Untitled:Users:HOMEShelter01:Desktop:HOME Logo.jpg"/>
                  <pic:cNvPicPr preferRelativeResize="0"/>
                </pic:nvPicPr>
                <pic:blipFill>
                  <a:blip r:embed="rId1"/>
                  <a:srcRect/>
                  <a:stretch>
                    <a:fillRect/>
                  </a:stretch>
                </pic:blipFill>
                <pic:spPr>
                  <a:xfrm>
                    <a:off x="0" y="0"/>
                    <a:ext cx="2143125" cy="109537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9454B"/>
    <w:multiLevelType w:val="multilevel"/>
    <w:tmpl w:val="11066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A864257"/>
    <w:multiLevelType w:val="multilevel"/>
    <w:tmpl w:val="70969D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87C"/>
    <w:rsid w:val="00080E94"/>
    <w:rsid w:val="00125875"/>
    <w:rsid w:val="00137A0F"/>
    <w:rsid w:val="00186706"/>
    <w:rsid w:val="002C29C7"/>
    <w:rsid w:val="002C2BC3"/>
    <w:rsid w:val="00320BAB"/>
    <w:rsid w:val="00340C16"/>
    <w:rsid w:val="0036387C"/>
    <w:rsid w:val="0043020D"/>
    <w:rsid w:val="00541F6E"/>
    <w:rsid w:val="00585B8A"/>
    <w:rsid w:val="005E0FB7"/>
    <w:rsid w:val="0078466C"/>
    <w:rsid w:val="007B1ED2"/>
    <w:rsid w:val="00836F98"/>
    <w:rsid w:val="00866AEA"/>
    <w:rsid w:val="008E70D9"/>
    <w:rsid w:val="009474BA"/>
    <w:rsid w:val="009D6B4A"/>
    <w:rsid w:val="00A8180F"/>
    <w:rsid w:val="00B54121"/>
    <w:rsid w:val="00B673A5"/>
    <w:rsid w:val="00D8302E"/>
    <w:rsid w:val="00F2521C"/>
    <w:rsid w:val="00F614B6"/>
    <w:rsid w:val="00FB342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05999F"/>
  <w15:docId w15:val="{D71AE977-14B3-4F80-9907-E2278FD87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SG" w:eastAsia="en-S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C2BC3"/>
    <w:rPr>
      <w:color w:val="0000FF" w:themeColor="hyperlink"/>
      <w:u w:val="single"/>
    </w:rPr>
  </w:style>
  <w:style w:type="character" w:customStyle="1" w:styleId="UnresolvedMention">
    <w:name w:val="Unresolved Mention"/>
    <w:basedOn w:val="DefaultParagraphFont"/>
    <w:uiPriority w:val="99"/>
    <w:semiHidden/>
    <w:unhideWhenUsed/>
    <w:rsid w:val="002C2BC3"/>
    <w:rPr>
      <w:color w:val="605E5C"/>
      <w:shd w:val="clear" w:color="auto" w:fill="E1DFDD"/>
    </w:rPr>
  </w:style>
  <w:style w:type="paragraph" w:styleId="Header">
    <w:name w:val="header"/>
    <w:basedOn w:val="Normal"/>
    <w:link w:val="HeaderChar"/>
    <w:uiPriority w:val="99"/>
    <w:unhideWhenUsed/>
    <w:rsid w:val="001867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706"/>
  </w:style>
  <w:style w:type="paragraph" w:styleId="Footer">
    <w:name w:val="footer"/>
    <w:basedOn w:val="Normal"/>
    <w:link w:val="FooterChar"/>
    <w:uiPriority w:val="99"/>
    <w:unhideWhenUsed/>
    <w:rsid w:val="001867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706"/>
  </w:style>
  <w:style w:type="paragraph" w:styleId="ListParagraph">
    <w:name w:val="List Paragraph"/>
    <w:basedOn w:val="Normal"/>
    <w:uiPriority w:val="34"/>
    <w:qFormat/>
    <w:rsid w:val="002C2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943983">
      <w:bodyDiv w:val="1"/>
      <w:marLeft w:val="0"/>
      <w:marRight w:val="0"/>
      <w:marTop w:val="0"/>
      <w:marBottom w:val="0"/>
      <w:divBdr>
        <w:top w:val="none" w:sz="0" w:space="0" w:color="auto"/>
        <w:left w:val="none" w:sz="0" w:space="0" w:color="auto"/>
        <w:bottom w:val="none" w:sz="0" w:space="0" w:color="auto"/>
        <w:right w:val="none" w:sz="0" w:space="0" w:color="auto"/>
      </w:divBdr>
      <w:divsChild>
        <w:div w:id="1324701055">
          <w:marLeft w:val="0"/>
          <w:marRight w:val="0"/>
          <w:marTop w:val="0"/>
          <w:marBottom w:val="0"/>
          <w:divBdr>
            <w:top w:val="none" w:sz="0" w:space="0" w:color="auto"/>
            <w:left w:val="none" w:sz="0" w:space="0" w:color="auto"/>
            <w:bottom w:val="none" w:sz="0" w:space="0" w:color="auto"/>
            <w:right w:val="none" w:sz="0" w:space="0" w:color="auto"/>
          </w:divBdr>
        </w:div>
        <w:div w:id="191117644">
          <w:marLeft w:val="0"/>
          <w:marRight w:val="0"/>
          <w:marTop w:val="0"/>
          <w:marBottom w:val="0"/>
          <w:divBdr>
            <w:top w:val="none" w:sz="0" w:space="0" w:color="auto"/>
            <w:left w:val="none" w:sz="0" w:space="0" w:color="auto"/>
            <w:bottom w:val="none" w:sz="0" w:space="0" w:color="auto"/>
            <w:right w:val="none" w:sz="0" w:space="0" w:color="auto"/>
          </w:divBdr>
        </w:div>
        <w:div w:id="5813318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home.org.s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376BBE-C4CB-400F-986D-93FA0810E9A5}"/>
</file>

<file path=customXml/itemProps2.xml><?xml version="1.0" encoding="utf-8"?>
<ds:datastoreItem xmlns:ds="http://schemas.openxmlformats.org/officeDocument/2006/customXml" ds:itemID="{8597B4FE-DC2F-4B58-829C-6CE428A06B34}"/>
</file>

<file path=customXml/itemProps3.xml><?xml version="1.0" encoding="utf-8"?>
<ds:datastoreItem xmlns:ds="http://schemas.openxmlformats.org/officeDocument/2006/customXml" ds:itemID="{1DE8116D-235B-4C24-9E61-C3AA3CD847C2}"/>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3579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 Anil Kumar</dc:creator>
  <cp:lastModifiedBy>Daniela Buchmann</cp:lastModifiedBy>
  <cp:revision>2</cp:revision>
  <dcterms:created xsi:type="dcterms:W3CDTF">2019-02-18T13:51:00Z</dcterms:created>
  <dcterms:modified xsi:type="dcterms:W3CDTF">2019-02-18T13:51:00Z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