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704" w:rsidRPr="000D099B" w:rsidRDefault="000C6704" w:rsidP="00437B02">
      <w:pPr>
        <w:jc w:val="center"/>
        <w:rPr>
          <w:b/>
          <w:bCs/>
          <w:color w:val="000000"/>
          <w:sz w:val="20"/>
          <w:szCs w:val="20"/>
          <w:shd w:val="clear" w:color="auto" w:fill="FFFFFF"/>
        </w:rPr>
      </w:pPr>
      <w:bookmarkStart w:id="0" w:name="_GoBack"/>
      <w:bookmarkEnd w:id="0"/>
      <w:r w:rsidRPr="000D099B">
        <w:rPr>
          <w:b/>
          <w:bCs/>
          <w:color w:val="000000"/>
          <w:sz w:val="20"/>
          <w:szCs w:val="20"/>
          <w:shd w:val="clear" w:color="auto" w:fill="FFFFFF"/>
        </w:rPr>
        <w:t>Apor</w:t>
      </w:r>
      <w:r w:rsidR="000D099B">
        <w:rPr>
          <w:b/>
          <w:bCs/>
          <w:color w:val="000000"/>
          <w:sz w:val="20"/>
          <w:szCs w:val="20"/>
          <w:shd w:val="clear" w:color="auto" w:fill="FFFFFF"/>
        </w:rPr>
        <w:t>te oral</w:t>
      </w:r>
      <w:r w:rsidRPr="000D099B">
        <w:rPr>
          <w:b/>
          <w:bCs/>
          <w:color w:val="000000"/>
          <w:sz w:val="20"/>
          <w:szCs w:val="20"/>
          <w:shd w:val="clear" w:color="auto" w:fill="FFFFFF"/>
        </w:rPr>
        <w:t xml:space="preserve"> para la discusión sobre la elaboración de la Recomendación General sobre la trata de mujeres y niñas en el contexto de la migración global</w:t>
      </w:r>
    </w:p>
    <w:p w:rsidR="000C6704" w:rsidRPr="000D099B" w:rsidRDefault="000C6704" w:rsidP="00437B02">
      <w:pPr>
        <w:jc w:val="center"/>
        <w:rPr>
          <w:b/>
          <w:bCs/>
          <w:color w:val="000000"/>
          <w:sz w:val="20"/>
          <w:szCs w:val="20"/>
          <w:shd w:val="clear" w:color="auto" w:fill="FFFFFF"/>
        </w:rPr>
      </w:pPr>
      <w:r w:rsidRPr="000D099B">
        <w:rPr>
          <w:b/>
          <w:bCs/>
          <w:color w:val="000000"/>
          <w:sz w:val="20"/>
          <w:szCs w:val="20"/>
          <w:shd w:val="clear" w:color="auto" w:fill="FFFFFF"/>
        </w:rPr>
        <w:t>Comité para la Eliminación de la Discriminación contra la Mujer</w:t>
      </w:r>
    </w:p>
    <w:p w:rsidR="000C6704" w:rsidRPr="000D099B" w:rsidRDefault="000C6704" w:rsidP="00437B02">
      <w:pPr>
        <w:jc w:val="center"/>
        <w:rPr>
          <w:b/>
          <w:bCs/>
          <w:color w:val="000000"/>
          <w:sz w:val="20"/>
          <w:szCs w:val="20"/>
          <w:shd w:val="clear" w:color="auto" w:fill="FFFFFF"/>
        </w:rPr>
      </w:pPr>
      <w:r w:rsidRPr="000D099B">
        <w:rPr>
          <w:b/>
          <w:bCs/>
          <w:color w:val="000000"/>
          <w:sz w:val="20"/>
          <w:szCs w:val="20"/>
          <w:shd w:val="clear" w:color="auto" w:fill="FFFFFF"/>
        </w:rPr>
        <w:t>Febrero de 2019</w:t>
      </w:r>
    </w:p>
    <w:p w:rsidR="000C6704" w:rsidRPr="000D099B" w:rsidRDefault="000C6704" w:rsidP="00437B02">
      <w:pPr>
        <w:jc w:val="both"/>
        <w:rPr>
          <w:sz w:val="20"/>
          <w:szCs w:val="20"/>
        </w:rPr>
      </w:pPr>
    </w:p>
    <w:p w:rsidR="000C6704" w:rsidRPr="000D099B" w:rsidRDefault="000C6704" w:rsidP="00437B02">
      <w:pPr>
        <w:jc w:val="both"/>
        <w:rPr>
          <w:sz w:val="20"/>
          <w:szCs w:val="20"/>
        </w:rPr>
      </w:pPr>
      <w:r w:rsidRPr="000D099B">
        <w:rPr>
          <w:sz w:val="20"/>
          <w:szCs w:val="20"/>
        </w:rPr>
        <w:t>Women’s Link Worldwide es una organización internacional de derechos humanos que utiliza el poder del derecho para generar un cambio social que permita avanzar los derechos humanos de las mujeres y las niñas, especialmente de aquellas que enfrentan discriminación interseccional. En todo el mundo, las víctimas de trata enfrentan enormes obstáculos</w:t>
      </w:r>
      <w:r w:rsidRPr="000D099B">
        <w:rPr>
          <w:sz w:val="20"/>
          <w:szCs w:val="20"/>
          <w:lang w:val="es-CO"/>
        </w:rPr>
        <w:t xml:space="preserve"> para ejercer su derecho de acceso a la justicia. La priorización de los enfoques de control migratorio y de persecución del delito por parte de los Estados en su actuación contra la trata favorece la discriminación por parte de los sistemas legales y la aplicación de estereotipos de género, raciales e interseccionales que dificultan su acceso a la justicia. </w:t>
      </w:r>
    </w:p>
    <w:p w:rsidR="000C6704" w:rsidRPr="000D099B" w:rsidRDefault="000C6704" w:rsidP="00437B02">
      <w:pPr>
        <w:rPr>
          <w:b/>
          <w:sz w:val="20"/>
          <w:szCs w:val="20"/>
          <w:highlight w:val="yellow"/>
        </w:rPr>
      </w:pPr>
    </w:p>
    <w:p w:rsidR="000C6704" w:rsidRPr="000D099B" w:rsidRDefault="000C6704" w:rsidP="00437B02">
      <w:pPr>
        <w:pStyle w:val="ListParagraph"/>
        <w:numPr>
          <w:ilvl w:val="0"/>
          <w:numId w:val="1"/>
        </w:numPr>
        <w:ind w:left="0"/>
        <w:rPr>
          <w:rFonts w:ascii="Times New Roman" w:hAnsi="Times New Roman" w:cs="Times New Roman"/>
          <w:sz w:val="20"/>
          <w:szCs w:val="20"/>
          <w:lang w:val="es-ES"/>
        </w:rPr>
      </w:pPr>
      <w:r w:rsidRPr="000D099B">
        <w:rPr>
          <w:rFonts w:ascii="Times New Roman" w:hAnsi="Times New Roman" w:cs="Times New Roman"/>
          <w:b/>
          <w:sz w:val="20"/>
          <w:szCs w:val="20"/>
          <w:lang w:val="es-ES"/>
        </w:rPr>
        <w:t>ACCESO A LA JUSTICIA</w:t>
      </w:r>
    </w:p>
    <w:p w:rsidR="000C6704" w:rsidRPr="000D099B" w:rsidRDefault="000C6704" w:rsidP="00437B02">
      <w:pPr>
        <w:pStyle w:val="ListParagraph"/>
        <w:ind w:left="0"/>
        <w:rPr>
          <w:rFonts w:ascii="Times New Roman" w:hAnsi="Times New Roman" w:cs="Times New Roman"/>
          <w:sz w:val="20"/>
          <w:szCs w:val="20"/>
          <w:lang w:val="es-ES"/>
        </w:rPr>
      </w:pPr>
    </w:p>
    <w:p w:rsidR="000C6704" w:rsidRPr="000D099B" w:rsidRDefault="000C6704" w:rsidP="00437B02">
      <w:pPr>
        <w:ind w:firstLine="708"/>
        <w:jc w:val="both"/>
        <w:rPr>
          <w:b/>
          <w:i/>
          <w:sz w:val="20"/>
          <w:szCs w:val="20"/>
        </w:rPr>
      </w:pPr>
      <w:r w:rsidRPr="000D099B">
        <w:rPr>
          <w:b/>
          <w:i/>
          <w:sz w:val="20"/>
          <w:szCs w:val="20"/>
        </w:rPr>
        <w:t>Sobre la obligación de Identificación. -</w:t>
      </w:r>
    </w:p>
    <w:p w:rsidR="000C6704" w:rsidRPr="000D099B" w:rsidRDefault="000C6704" w:rsidP="00437B02">
      <w:pPr>
        <w:rPr>
          <w:sz w:val="20"/>
          <w:szCs w:val="20"/>
        </w:rPr>
      </w:pPr>
    </w:p>
    <w:p w:rsidR="000C6704" w:rsidRPr="000D099B" w:rsidRDefault="000D099B"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t>L</w:t>
      </w:r>
      <w:r w:rsidR="000C6704" w:rsidRPr="000D099B">
        <w:rPr>
          <w:rFonts w:ascii="Times New Roman" w:eastAsia="Times New Roman" w:hAnsi="Times New Roman" w:cs="Times New Roman"/>
          <w:sz w:val="20"/>
          <w:szCs w:val="20"/>
          <w:lang w:val="es-ES" w:eastAsia="es-ES_tradnl"/>
        </w:rPr>
        <w:t>os Estados tienen la obligación de diligencia debida de identificar a las personas víctimas de trata de seres humanos con un enfoque de derechos humanos</w:t>
      </w:r>
      <w:r w:rsidR="000C6704" w:rsidRPr="000D099B">
        <w:rPr>
          <w:rStyle w:val="FootnoteReference"/>
          <w:rFonts w:ascii="Times New Roman" w:eastAsia="Times New Roman" w:hAnsi="Times New Roman" w:cs="Times New Roman"/>
          <w:sz w:val="20"/>
          <w:szCs w:val="20"/>
          <w:lang w:val="es-ES" w:eastAsia="es-ES_tradnl"/>
        </w:rPr>
        <w:footnoteReference w:id="1"/>
      </w:r>
      <w:r w:rsidR="000C6704" w:rsidRPr="000D099B">
        <w:rPr>
          <w:rFonts w:ascii="Times New Roman" w:eastAsia="Times New Roman" w:hAnsi="Times New Roman" w:cs="Times New Roman"/>
          <w:sz w:val="20"/>
          <w:szCs w:val="20"/>
          <w:lang w:val="es-ES" w:eastAsia="es-ES_tradnl"/>
        </w:rPr>
        <w:t>, recordando, además que dicha obligación es imprescindible para asegurar el cumplimiento de muchos otros aspectos de las obligaciones de debida diligencia como el acceso a la justicia, la investigación y el procesamiento de tratantes, así como la protección integral de las víctimas, incluido el acceso efectivo a formas de reparación integral</w:t>
      </w:r>
      <w:r w:rsidR="000C6704" w:rsidRPr="000D099B">
        <w:rPr>
          <w:rStyle w:val="FootnoteReference"/>
          <w:rFonts w:ascii="Times New Roman" w:eastAsia="Times New Roman" w:hAnsi="Times New Roman" w:cs="Times New Roman"/>
          <w:sz w:val="20"/>
          <w:szCs w:val="20"/>
          <w:lang w:val="es-ES" w:eastAsia="es-ES_tradnl"/>
        </w:rPr>
        <w:footnoteReference w:id="2"/>
      </w:r>
      <w:r w:rsidR="000C6704" w:rsidRPr="000D099B">
        <w:rPr>
          <w:rFonts w:ascii="Times New Roman" w:eastAsia="Times New Roman" w:hAnsi="Times New Roman" w:cs="Times New Roman"/>
          <w:sz w:val="20"/>
          <w:szCs w:val="20"/>
          <w:lang w:val="es-ES" w:eastAsia="es-ES_tradnl"/>
        </w:rPr>
        <w:t xml:space="preserve">. </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lastRenderedPageBreak/>
        <w:t>El incumplimiento por parte de los Estados de su obligación de establecer mecanismos efectivos de identificación, incluyendo en los contextos de movilidad humana (migración interna y/o transfronteriza), genera una cadena de violaciones a los derechos humanos de las víctimas y el menoscabo de su derecho a la protección efectiva y en condiciones de igualdad y de dignidad. En la práctica, la falta de identificación de las víctimas sigue siendo un enorme obstáculo para asegurar el acceso y goce efectivo de sus derechos</w:t>
      </w:r>
      <w:r w:rsidR="003C749F" w:rsidRPr="000D099B">
        <w:rPr>
          <w:rFonts w:ascii="Times New Roman" w:eastAsia="Times New Roman" w:hAnsi="Times New Roman" w:cs="Times New Roman"/>
          <w:sz w:val="20"/>
          <w:szCs w:val="20"/>
          <w:lang w:val="es-ES" w:eastAsia="es-ES_tradnl"/>
        </w:rPr>
        <w:t>.</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Style w:val="PageNumber"/>
          <w:rFonts w:ascii="Times New Roman" w:hAnsi="Times New Roman" w:cs="Times New Roman"/>
          <w:sz w:val="20"/>
          <w:szCs w:val="20"/>
          <w:lang w:val="es-ES"/>
        </w:rPr>
      </w:pPr>
      <w:r w:rsidRPr="000D099B">
        <w:rPr>
          <w:rStyle w:val="PageNumber"/>
          <w:rFonts w:ascii="Times New Roman" w:hAnsi="Times New Roman" w:cs="Times New Roman"/>
          <w:color w:val="000000" w:themeColor="text1"/>
          <w:sz w:val="20"/>
          <w:szCs w:val="20"/>
        </w:rPr>
        <w:t>La identificación pronta y efectiva de víctimas de trata de personas, además de formar parte de la obligación de prevención del Estado, también constituye una condición previa esencial para garantizar el derecho al acceso a la justica y a la reparación</w:t>
      </w:r>
      <w:r w:rsidRPr="000D099B">
        <w:rPr>
          <w:rStyle w:val="FootnoteReference"/>
          <w:rFonts w:ascii="Times New Roman" w:hAnsi="Times New Roman" w:cs="Times New Roman"/>
          <w:color w:val="000000" w:themeColor="text1"/>
          <w:sz w:val="20"/>
          <w:szCs w:val="20"/>
        </w:rPr>
        <w:footnoteReference w:id="3"/>
      </w:r>
      <w:r w:rsidRPr="000D099B">
        <w:rPr>
          <w:rStyle w:val="PageNumber"/>
          <w:rFonts w:ascii="Times New Roman" w:hAnsi="Times New Roman" w:cs="Times New Roman"/>
          <w:color w:val="000000" w:themeColor="text1"/>
          <w:sz w:val="20"/>
          <w:szCs w:val="20"/>
        </w:rPr>
        <w:t>. Es por ello por lo que, por ejemplo, la detención de víctimas de trata de personas en centros de detención para personas inmigrantes en situación irregular –y su posterior expulsión—así como su tratamiento como mujeres ejerciendo la prostitución, constituye un incumplimiento de esa obligación de identificar a las víctimas, negándoles, con ello, el acceso un recurso efectivo, a medias de protección mediatas e inmediatas y a medidas de reparación integral</w:t>
      </w:r>
      <w:r w:rsidRPr="000D099B">
        <w:rPr>
          <w:rStyle w:val="FootnoteReference"/>
          <w:rFonts w:ascii="Times New Roman" w:hAnsi="Times New Roman" w:cs="Times New Roman"/>
          <w:color w:val="000000" w:themeColor="text1"/>
          <w:sz w:val="20"/>
          <w:szCs w:val="20"/>
        </w:rPr>
        <w:footnoteReference w:id="4"/>
      </w:r>
      <w:r w:rsidR="003C749F" w:rsidRPr="000D099B">
        <w:rPr>
          <w:rStyle w:val="PageNumber"/>
          <w:rFonts w:ascii="Times New Roman" w:hAnsi="Times New Roman" w:cs="Times New Roman"/>
          <w:color w:val="000000" w:themeColor="text1"/>
          <w:sz w:val="20"/>
          <w:szCs w:val="20"/>
        </w:rPr>
        <w:t xml:space="preserve">. </w:t>
      </w:r>
    </w:p>
    <w:p w:rsidR="000C6704" w:rsidRPr="000D099B" w:rsidRDefault="000C6704" w:rsidP="00437B02">
      <w:pPr>
        <w:jc w:val="both"/>
        <w:rPr>
          <w:sz w:val="20"/>
          <w:szCs w:val="20"/>
        </w:rPr>
      </w:pPr>
    </w:p>
    <w:p w:rsidR="000C6704" w:rsidRPr="000D099B" w:rsidRDefault="000C6704" w:rsidP="00437B02">
      <w:pPr>
        <w:ind w:left="708"/>
        <w:jc w:val="both"/>
        <w:rPr>
          <w:b/>
          <w:i/>
          <w:sz w:val="20"/>
          <w:szCs w:val="20"/>
        </w:rPr>
      </w:pPr>
      <w:r w:rsidRPr="000D099B">
        <w:rPr>
          <w:b/>
          <w:i/>
          <w:sz w:val="20"/>
          <w:szCs w:val="20"/>
        </w:rPr>
        <w:t>Sobre la obligación de identificación de niñas víctimas de trata. -</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Fonts w:ascii="Times New Roman" w:hAnsi="Times New Roman" w:cs="Times New Roman"/>
          <w:sz w:val="20"/>
          <w:szCs w:val="20"/>
          <w:lang w:val="es-ES"/>
        </w:rPr>
      </w:pPr>
      <w:r w:rsidRPr="000D099B">
        <w:rPr>
          <w:rFonts w:ascii="Times New Roman" w:hAnsi="Times New Roman" w:cs="Times New Roman"/>
          <w:sz w:val="20"/>
          <w:szCs w:val="20"/>
          <w:lang w:val="es-ES"/>
        </w:rPr>
        <w:t xml:space="preserve">La obligación de debida diligencia de los Estados en cuanto a la identificación de niñas víctimas de trata es reforzada toda vez que su situación de víctimas de trata se cruza con las circunstancias especiales de su minoría de edad. Sin embargo, se ha demostrado que los Estados, de manera generalizada, no aplican en los procesos de identificación un enfoque de derechos humanos con perspectiva de género y enfoque de infancia, lo cual genera que muchas niñas no sean identificadas como víctimas de trata y, con ello, se nieguen las medidas de protección necesarias a las que tienen derecho. </w:t>
      </w:r>
    </w:p>
    <w:p w:rsidR="000C6704" w:rsidRPr="000D099B" w:rsidRDefault="000C6704" w:rsidP="00437B02">
      <w:pPr>
        <w:pStyle w:val="ListParagraph"/>
        <w:ind w:left="0"/>
        <w:jc w:val="both"/>
        <w:rPr>
          <w:rFonts w:ascii="Times New Roman" w:hAnsi="Times New Roman" w:cs="Times New Roman"/>
          <w:sz w:val="20"/>
          <w:szCs w:val="20"/>
          <w:lang w:val="es-ES"/>
        </w:rPr>
      </w:pPr>
    </w:p>
    <w:p w:rsidR="000C6704" w:rsidRDefault="000C6704" w:rsidP="00437B02">
      <w:pPr>
        <w:pStyle w:val="ListParagraph"/>
        <w:numPr>
          <w:ilvl w:val="0"/>
          <w:numId w:val="9"/>
        </w:numPr>
        <w:ind w:left="0"/>
        <w:jc w:val="both"/>
        <w:rPr>
          <w:rFonts w:ascii="Times New Roman" w:hAnsi="Times New Roman" w:cs="Times New Roman"/>
          <w:sz w:val="20"/>
          <w:szCs w:val="20"/>
          <w:lang w:val="es-ES"/>
        </w:rPr>
      </w:pPr>
      <w:r w:rsidRPr="000D099B">
        <w:rPr>
          <w:rFonts w:ascii="Times New Roman" w:hAnsi="Times New Roman" w:cs="Times New Roman"/>
          <w:sz w:val="20"/>
          <w:szCs w:val="20"/>
        </w:rPr>
        <w:t>Es habitual en las prácticas estatales que, cuando una mujer joven sin documentos de identificación y con claros indicios de ser víctima de trata de personas afirma ser mayor de edad, las autoridades reconozcan automáticamente su mayoría de edad sin cuestionarla</w:t>
      </w:r>
      <w:r w:rsidRPr="000D099B">
        <w:rPr>
          <w:rStyle w:val="FootnoteReference"/>
          <w:rFonts w:ascii="Times New Roman" w:hAnsi="Times New Roman" w:cs="Times New Roman"/>
          <w:sz w:val="20"/>
          <w:szCs w:val="20"/>
        </w:rPr>
        <w:footnoteReference w:id="5"/>
      </w:r>
      <w:r w:rsidRPr="000D099B">
        <w:rPr>
          <w:rFonts w:ascii="Times New Roman" w:hAnsi="Times New Roman" w:cs="Times New Roman"/>
          <w:sz w:val="20"/>
          <w:szCs w:val="20"/>
        </w:rPr>
        <w:t>. Esto es muy preocupante porque, debido a las dinámicas propias de las redes de trata de personas, las niñas y niños son obligados a afirmar su mayoría de edad por sus tratantes con el fin de que las autoridades no pongan en marcha los protocolos especializados de protección a la infancia. En contraste, cuando una mujer joven afirma ser menor de edad frente a las autoridades competentes para la identificación de víctimas de trata, la credibilidad de dicha afirmación es cuestionada con base en estereotipos de género, raciales o interseccionales y con ello, se impide el acceso a medidas de protección especializada. Debido a la falta de identificación y a la falta de credibilidad otorgada a los niños/as, muchas de ellas y ellos son enviados a centros de detención de inmigrantes</w:t>
      </w:r>
      <w:r w:rsidRPr="000D099B">
        <w:rPr>
          <w:rStyle w:val="FootnoteReference"/>
          <w:rFonts w:ascii="Times New Roman" w:hAnsi="Times New Roman" w:cs="Times New Roman"/>
          <w:sz w:val="20"/>
          <w:szCs w:val="20"/>
        </w:rPr>
        <w:footnoteReference w:id="6"/>
      </w:r>
      <w:r w:rsidRPr="000D099B">
        <w:rPr>
          <w:rFonts w:ascii="Times New Roman" w:hAnsi="Times New Roman" w:cs="Times New Roman"/>
          <w:sz w:val="20"/>
          <w:szCs w:val="20"/>
        </w:rPr>
        <w:t>.</w:t>
      </w:r>
      <w:r w:rsidR="00437B02">
        <w:rPr>
          <w:rFonts w:ascii="Times New Roman" w:hAnsi="Times New Roman" w:cs="Times New Roman"/>
          <w:sz w:val="20"/>
          <w:szCs w:val="20"/>
        </w:rPr>
        <w:t xml:space="preserve"> </w:t>
      </w:r>
      <w:r w:rsidR="003C749F" w:rsidRPr="00437B02">
        <w:rPr>
          <w:rFonts w:ascii="Times New Roman" w:hAnsi="Times New Roman" w:cs="Times New Roman"/>
          <w:sz w:val="20"/>
          <w:szCs w:val="20"/>
          <w:lang w:val="es-ES"/>
        </w:rPr>
        <w:t>En estos casos,</w:t>
      </w:r>
      <w:r w:rsidRPr="00437B02">
        <w:rPr>
          <w:rFonts w:ascii="Times New Roman" w:hAnsi="Times New Roman" w:cs="Times New Roman"/>
          <w:sz w:val="20"/>
          <w:szCs w:val="20"/>
          <w:lang w:val="es-ES"/>
        </w:rPr>
        <w:t xml:space="preserve"> el estándar de protección es reforzado, e indica que, bajo un análisis interseccional de la discriminación, los Estados deben presumir la minoría de edad en los procesos de identificación de niñas y niños y brindarles las medidas de protección y asistencia conforme a las necesidades propias de su situación personal y su edad; incluyendo, la existencia de centros de acogida especializados para niñas y niños víctimas de trata.</w:t>
      </w:r>
      <w:r w:rsidRPr="000D099B">
        <w:rPr>
          <w:rStyle w:val="FootnoteReference"/>
          <w:rFonts w:ascii="Times New Roman" w:hAnsi="Times New Roman" w:cs="Times New Roman"/>
          <w:sz w:val="20"/>
          <w:szCs w:val="20"/>
          <w:lang w:val="es-ES"/>
        </w:rPr>
        <w:footnoteReference w:id="7"/>
      </w:r>
    </w:p>
    <w:p w:rsidR="004D1D1A" w:rsidRPr="004D1D1A" w:rsidRDefault="004D1D1A" w:rsidP="004D1D1A">
      <w:pPr>
        <w:pStyle w:val="ListParagraph"/>
        <w:ind w:left="0"/>
        <w:jc w:val="both"/>
        <w:rPr>
          <w:rFonts w:ascii="Times New Roman" w:hAnsi="Times New Roman" w:cs="Times New Roman"/>
          <w:sz w:val="20"/>
          <w:szCs w:val="20"/>
          <w:lang w:val="es-ES"/>
        </w:rPr>
      </w:pPr>
    </w:p>
    <w:p w:rsidR="000C6704" w:rsidRPr="000D099B" w:rsidRDefault="000C6704" w:rsidP="00437B02">
      <w:pPr>
        <w:ind w:firstLine="708"/>
        <w:jc w:val="both"/>
        <w:rPr>
          <w:b/>
          <w:i/>
          <w:sz w:val="20"/>
          <w:szCs w:val="20"/>
        </w:rPr>
      </w:pPr>
      <w:r w:rsidRPr="000D099B">
        <w:rPr>
          <w:b/>
          <w:i/>
          <w:sz w:val="20"/>
          <w:szCs w:val="20"/>
        </w:rPr>
        <w:t>Sobre la obligación de Investigación. -</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Fonts w:ascii="Times New Roman" w:hAnsi="Times New Roman" w:cs="Times New Roman"/>
          <w:sz w:val="20"/>
          <w:szCs w:val="20"/>
        </w:rPr>
      </w:pPr>
      <w:r w:rsidRPr="000D099B">
        <w:rPr>
          <w:rFonts w:ascii="Times New Roman" w:hAnsi="Times New Roman" w:cs="Times New Roman"/>
          <w:sz w:val="20"/>
          <w:szCs w:val="20"/>
        </w:rPr>
        <w:lastRenderedPageBreak/>
        <w:t>Los Estados tienen la obligación de investigar con la diligencia debida toda posible situación de trata de la que tengan conocimiento</w:t>
      </w:r>
      <w:r w:rsidRPr="000D099B">
        <w:rPr>
          <w:rStyle w:val="FootnoteReference"/>
          <w:rFonts w:ascii="Times New Roman" w:hAnsi="Times New Roman" w:cs="Times New Roman"/>
          <w:sz w:val="20"/>
          <w:szCs w:val="20"/>
        </w:rPr>
        <w:footnoteReference w:id="8"/>
      </w:r>
      <w:r w:rsidRPr="000D099B">
        <w:rPr>
          <w:rFonts w:ascii="Times New Roman" w:hAnsi="Times New Roman" w:cs="Times New Roman"/>
          <w:sz w:val="20"/>
          <w:szCs w:val="20"/>
        </w:rPr>
        <w:t>. Esta obligación implica que el proceso de investigación sea eficaz y tenga por objeto evitar la impunidad y la revictimización, que sea un proceso independiente, sin dilaciones y capaz de conducir a la identificación y castigo de los responsables y a la recuperación y reparación integral de las víctimas</w:t>
      </w:r>
      <w:r w:rsidRPr="000D099B">
        <w:rPr>
          <w:rStyle w:val="FootnoteReference"/>
          <w:rFonts w:ascii="Times New Roman" w:hAnsi="Times New Roman" w:cs="Times New Roman"/>
          <w:sz w:val="20"/>
          <w:szCs w:val="20"/>
        </w:rPr>
        <w:footnoteReference w:id="9"/>
      </w:r>
      <w:r w:rsidRPr="000D099B">
        <w:rPr>
          <w:rFonts w:ascii="Times New Roman" w:hAnsi="Times New Roman" w:cs="Times New Roman"/>
          <w:sz w:val="20"/>
          <w:szCs w:val="20"/>
        </w:rPr>
        <w:t>. Asimismo, en las investigaciones y diligencias procesales deben adoptarse medidas con perspectiva de género que tengan en cuenta las diferentes necesidades de asistencia y protección de mujeres y niñas y que eliminen los obstáculos que dificultan el acceso a la justicia, como la aplicación de estereotipos de género o interseccionales en las diligencias de investigación y/o en los procedimientos judiciales</w:t>
      </w:r>
      <w:r w:rsidRPr="000D099B">
        <w:rPr>
          <w:rStyle w:val="FootnoteReference"/>
          <w:rFonts w:ascii="Times New Roman" w:hAnsi="Times New Roman" w:cs="Times New Roman"/>
          <w:sz w:val="20"/>
          <w:szCs w:val="20"/>
        </w:rPr>
        <w:footnoteReference w:id="10"/>
      </w:r>
      <w:r w:rsidRPr="000D099B">
        <w:rPr>
          <w:rFonts w:ascii="Times New Roman" w:hAnsi="Times New Roman" w:cs="Times New Roman"/>
          <w:sz w:val="20"/>
          <w:szCs w:val="20"/>
        </w:rPr>
        <w:t>.</w:t>
      </w:r>
      <w:r w:rsidRPr="000D099B">
        <w:rPr>
          <w:rFonts w:ascii="Times New Roman" w:hAnsi="Times New Roman" w:cs="Times New Roman"/>
          <w:sz w:val="20"/>
          <w:szCs w:val="20"/>
          <w:lang w:val="es-ES"/>
        </w:rPr>
        <w:t xml:space="preserve"> </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Fonts w:ascii="Times New Roman" w:hAnsi="Times New Roman" w:cs="Times New Roman"/>
          <w:sz w:val="20"/>
          <w:szCs w:val="20"/>
          <w:lang w:val="es-CL"/>
        </w:rPr>
      </w:pPr>
      <w:r w:rsidRPr="000D099B">
        <w:rPr>
          <w:rFonts w:ascii="Times New Roman" w:hAnsi="Times New Roman" w:cs="Times New Roman"/>
          <w:sz w:val="20"/>
          <w:szCs w:val="20"/>
          <w:lang w:val="es-ES"/>
        </w:rPr>
        <w:t>La obligación de investigación, a la luz de una interpretación conforme de la obligación de identificación de situaciones de trata por parte del Estado debe producirse con base en indicios, como ampliamente ha sido reconocido por el derecho internacional de los derechos humanos</w:t>
      </w:r>
      <w:r w:rsidRPr="000D099B">
        <w:rPr>
          <w:rFonts w:ascii="Times New Roman" w:hAnsi="Times New Roman" w:cs="Times New Roman"/>
          <w:sz w:val="20"/>
          <w:szCs w:val="20"/>
          <w:vertAlign w:val="superscript"/>
          <w:lang w:val="es-ES"/>
        </w:rPr>
        <w:footnoteReference w:id="11"/>
      </w:r>
      <w:r w:rsidRPr="000D099B">
        <w:rPr>
          <w:rFonts w:ascii="Times New Roman" w:hAnsi="Times New Roman" w:cs="Times New Roman"/>
          <w:sz w:val="20"/>
          <w:szCs w:val="20"/>
          <w:lang w:val="es-ES"/>
        </w:rPr>
        <w:t>. L</w:t>
      </w:r>
      <w:r w:rsidRPr="000D099B">
        <w:rPr>
          <w:rFonts w:ascii="Times New Roman" w:hAnsi="Times New Roman" w:cs="Times New Roman"/>
          <w:sz w:val="20"/>
          <w:szCs w:val="20"/>
          <w:lang w:val="es-CL"/>
        </w:rPr>
        <w:t>as investigaciones de carácter dinámico que tratan de reunir pruebas a fin de obviar o apoyar el testimonio de la víctima constituyen otra forma en que los Estados cumplen su obligación de diligencia debida de enjuiciar a sus tratantes sin que ello resulte una carga excesiva y desproporcionada para las víctimas</w:t>
      </w:r>
      <w:r w:rsidRPr="000D099B">
        <w:rPr>
          <w:rStyle w:val="FootnoteReference"/>
          <w:rFonts w:ascii="Times New Roman" w:hAnsi="Times New Roman" w:cs="Times New Roman"/>
          <w:sz w:val="20"/>
          <w:szCs w:val="20"/>
          <w:lang w:val="es-CL"/>
        </w:rPr>
        <w:footnoteReference w:id="12"/>
      </w:r>
      <w:r w:rsidRPr="000D099B">
        <w:rPr>
          <w:rFonts w:ascii="Times New Roman" w:hAnsi="Times New Roman" w:cs="Times New Roman"/>
          <w:sz w:val="20"/>
          <w:szCs w:val="20"/>
          <w:lang w:val="es-CL"/>
        </w:rPr>
        <w:t xml:space="preserve">. </w:t>
      </w:r>
    </w:p>
    <w:p w:rsidR="000C6704" w:rsidRPr="000D099B" w:rsidRDefault="000C6704" w:rsidP="00437B02">
      <w:pPr>
        <w:jc w:val="both"/>
        <w:rPr>
          <w:sz w:val="20"/>
          <w:szCs w:val="20"/>
          <w:lang w:val="es-CL"/>
        </w:rPr>
      </w:pPr>
    </w:p>
    <w:p w:rsidR="000C6704" w:rsidRPr="000D099B" w:rsidRDefault="000C6704" w:rsidP="00437B02">
      <w:pPr>
        <w:pStyle w:val="ListParagraph"/>
        <w:numPr>
          <w:ilvl w:val="0"/>
          <w:numId w:val="9"/>
        </w:numPr>
        <w:ind w:left="0"/>
        <w:jc w:val="both"/>
        <w:rPr>
          <w:rFonts w:ascii="Times New Roman" w:hAnsi="Times New Roman" w:cs="Times New Roman"/>
          <w:sz w:val="20"/>
          <w:szCs w:val="20"/>
          <w:lang w:val="es-ES"/>
        </w:rPr>
      </w:pPr>
      <w:r w:rsidRPr="000D099B">
        <w:rPr>
          <w:rFonts w:ascii="Times New Roman" w:hAnsi="Times New Roman" w:cs="Times New Roman"/>
          <w:sz w:val="20"/>
          <w:szCs w:val="20"/>
          <w:lang w:val="es-CL"/>
        </w:rPr>
        <w:t>L</w:t>
      </w:r>
      <w:r w:rsidRPr="000D099B">
        <w:rPr>
          <w:rFonts w:ascii="Times New Roman" w:hAnsi="Times New Roman" w:cs="Times New Roman"/>
          <w:sz w:val="20"/>
          <w:szCs w:val="20"/>
          <w:lang w:val="es-ES"/>
        </w:rPr>
        <w:t xml:space="preserve">as víctimas o potenciales víctimas de trata no se encuentran obligadas a acreditar y/o probar su condición de tales, sino que las autoridades tienen el deber de realizar una identificación basada en </w:t>
      </w:r>
      <w:r w:rsidRPr="000D099B">
        <w:rPr>
          <w:rFonts w:ascii="Times New Roman" w:hAnsi="Times New Roman" w:cs="Times New Roman"/>
          <w:sz w:val="20"/>
          <w:szCs w:val="20"/>
          <w:lang w:val="es-ES"/>
        </w:rPr>
        <w:lastRenderedPageBreak/>
        <w:t>indicios y, a partir de los mismos, disponer una investigación efectiva libre de estereotipos de género</w:t>
      </w:r>
      <w:r w:rsidRPr="000D099B">
        <w:rPr>
          <w:rStyle w:val="FootnoteReference"/>
          <w:rFonts w:ascii="Times New Roman" w:hAnsi="Times New Roman" w:cs="Times New Roman"/>
          <w:sz w:val="20"/>
          <w:szCs w:val="20"/>
          <w:lang w:val="es-ES"/>
        </w:rPr>
        <w:footnoteReference w:id="13"/>
      </w:r>
      <w:r w:rsidRPr="000D099B">
        <w:rPr>
          <w:rFonts w:ascii="Times New Roman" w:hAnsi="Times New Roman" w:cs="Times New Roman"/>
          <w:sz w:val="20"/>
          <w:szCs w:val="20"/>
          <w:lang w:val="es-ES"/>
        </w:rPr>
        <w:t>, raciales o de cualquier otro tipo</w:t>
      </w:r>
      <w:r w:rsidRPr="000D099B">
        <w:rPr>
          <w:rStyle w:val="FootnoteReference"/>
          <w:rFonts w:ascii="Times New Roman" w:hAnsi="Times New Roman" w:cs="Times New Roman"/>
          <w:sz w:val="20"/>
          <w:szCs w:val="20"/>
          <w:lang w:val="es-CL"/>
        </w:rPr>
        <w:footnoteReference w:id="14"/>
      </w:r>
      <w:r w:rsidR="003C749F" w:rsidRPr="000D099B">
        <w:rPr>
          <w:rFonts w:ascii="Times New Roman" w:hAnsi="Times New Roman" w:cs="Times New Roman"/>
          <w:sz w:val="20"/>
          <w:szCs w:val="20"/>
          <w:lang w:val="es-CL"/>
        </w:rPr>
        <w:t>; en tanto</w:t>
      </w:r>
      <w:r w:rsidRPr="000D099B">
        <w:rPr>
          <w:rFonts w:ascii="Times New Roman" w:hAnsi="Times New Roman" w:cs="Times New Roman"/>
          <w:sz w:val="20"/>
          <w:szCs w:val="20"/>
          <w:lang w:val="es-CL"/>
        </w:rPr>
        <w:t xml:space="preserve"> la aplicación de estereotipos en las investigaciones sobre</w:t>
      </w:r>
      <w:r w:rsidR="003C749F" w:rsidRPr="000D099B">
        <w:rPr>
          <w:rFonts w:ascii="Times New Roman" w:hAnsi="Times New Roman" w:cs="Times New Roman"/>
          <w:sz w:val="20"/>
          <w:szCs w:val="20"/>
          <w:lang w:val="es-CL"/>
        </w:rPr>
        <w:t xml:space="preserve"> violencias</w:t>
      </w:r>
      <w:r w:rsidRPr="000D099B">
        <w:rPr>
          <w:rFonts w:ascii="Times New Roman" w:hAnsi="Times New Roman" w:cs="Times New Roman"/>
          <w:sz w:val="20"/>
          <w:szCs w:val="20"/>
          <w:lang w:val="es-CL"/>
        </w:rPr>
        <w:t>, afecta a la credibilidad de sus declaraciones, los argumentos y los testimonios, pudiendo con ello ocasionar interpretaciones judiciales erradas o aplicaciones sesgadas de la ley e impedir por tanto el acceso de las mujeres a la justicia sin discriminación</w:t>
      </w:r>
      <w:r w:rsidRPr="000D099B">
        <w:rPr>
          <w:rStyle w:val="FootnoteReference"/>
          <w:rFonts w:ascii="Times New Roman" w:hAnsi="Times New Roman" w:cs="Times New Roman"/>
          <w:sz w:val="20"/>
          <w:szCs w:val="20"/>
          <w:lang w:val="es-CL"/>
        </w:rPr>
        <w:footnoteReference w:id="15"/>
      </w:r>
      <w:r w:rsidRPr="000D099B">
        <w:rPr>
          <w:rFonts w:ascii="Times New Roman" w:hAnsi="Times New Roman" w:cs="Times New Roman"/>
          <w:sz w:val="20"/>
          <w:szCs w:val="20"/>
          <w:lang w:val="es-CL"/>
        </w:rPr>
        <w:t xml:space="preserve">.  </w:t>
      </w:r>
    </w:p>
    <w:p w:rsidR="000C6704" w:rsidRPr="000D099B" w:rsidRDefault="000C6704" w:rsidP="00437B02">
      <w:pPr>
        <w:jc w:val="both"/>
        <w:rPr>
          <w:sz w:val="20"/>
          <w:szCs w:val="20"/>
        </w:rPr>
      </w:pPr>
    </w:p>
    <w:p w:rsidR="000C6704" w:rsidRPr="000D099B" w:rsidRDefault="000C6704" w:rsidP="00437B02">
      <w:pPr>
        <w:ind w:firstLine="708"/>
        <w:jc w:val="both"/>
        <w:rPr>
          <w:b/>
          <w:i/>
          <w:sz w:val="20"/>
          <w:szCs w:val="20"/>
        </w:rPr>
      </w:pPr>
      <w:r w:rsidRPr="000D099B">
        <w:rPr>
          <w:b/>
          <w:i/>
          <w:sz w:val="20"/>
          <w:szCs w:val="20"/>
        </w:rPr>
        <w:t xml:space="preserve">Sobre el Principio de no devolución. - </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Style w:val="PageNumber"/>
          <w:rFonts w:ascii="Times New Roman" w:hAnsi="Times New Roman" w:cs="Times New Roman"/>
          <w:sz w:val="20"/>
          <w:szCs w:val="20"/>
        </w:rPr>
      </w:pPr>
      <w:r w:rsidRPr="000D099B">
        <w:rPr>
          <w:rStyle w:val="PageNumber"/>
          <w:rFonts w:ascii="Times New Roman" w:hAnsi="Times New Roman" w:cs="Times New Roman"/>
          <w:sz w:val="20"/>
          <w:szCs w:val="20"/>
        </w:rPr>
        <w:t xml:space="preserve">En </w:t>
      </w:r>
      <w:r w:rsidRPr="000D099B">
        <w:rPr>
          <w:rFonts w:ascii="Times New Roman" w:hAnsi="Times New Roman" w:cs="Times New Roman"/>
          <w:sz w:val="20"/>
          <w:szCs w:val="20"/>
        </w:rPr>
        <w:t>una gran variedad de países de origen, tránsito y destino de mujeres víctimas de trata</w:t>
      </w:r>
      <w:r w:rsidRPr="000D099B">
        <w:rPr>
          <w:rStyle w:val="PageNumber"/>
          <w:rFonts w:ascii="Times New Roman" w:hAnsi="Times New Roman" w:cs="Times New Roman"/>
          <w:sz w:val="20"/>
          <w:szCs w:val="20"/>
        </w:rPr>
        <w:t xml:space="preserve"> aún perviven numerosos obstáculos para que las víctimas satisfagan su derecho a la protección integral, al acceso a la justicia y a una reparación </w:t>
      </w:r>
      <w:r w:rsidRPr="000D099B">
        <w:rPr>
          <w:rFonts w:ascii="Times New Roman" w:hAnsi="Times New Roman" w:cs="Times New Roman"/>
          <w:sz w:val="20"/>
          <w:szCs w:val="20"/>
        </w:rPr>
        <w:t>frente a las formas de violencia por razón de género que se cometen en contra de ellas</w:t>
      </w:r>
      <w:r w:rsidRPr="000D099B">
        <w:rPr>
          <w:rStyle w:val="FootnoteReference"/>
          <w:rFonts w:ascii="Times New Roman" w:hAnsi="Times New Roman" w:cs="Times New Roman"/>
          <w:sz w:val="20"/>
          <w:szCs w:val="20"/>
        </w:rPr>
        <w:footnoteReference w:id="16"/>
      </w:r>
      <w:r w:rsidRPr="000D099B">
        <w:rPr>
          <w:rFonts w:ascii="Times New Roman" w:hAnsi="Times New Roman" w:cs="Times New Roman"/>
          <w:sz w:val="20"/>
          <w:szCs w:val="20"/>
        </w:rPr>
        <w:t xml:space="preserve">. Entre estos obstáculos destaca la </w:t>
      </w:r>
      <w:r w:rsidRPr="000D099B">
        <w:rPr>
          <w:rStyle w:val="PageNumber"/>
          <w:rFonts w:ascii="Times New Roman" w:hAnsi="Times New Roman" w:cs="Times New Roman"/>
          <w:sz w:val="20"/>
          <w:szCs w:val="20"/>
        </w:rPr>
        <w:t>vulneración del principio de no devolución por parte de los Estados debida a la falta de adecuación de los mecanismos de identificación de víctimas derivada de la aplicación de un enfoque de control de la migración irregular</w:t>
      </w:r>
      <w:r w:rsidRPr="000D099B">
        <w:rPr>
          <w:rStyle w:val="PageNumber"/>
          <w:rFonts w:ascii="Times New Roman" w:hAnsi="Times New Roman" w:cs="Times New Roman"/>
          <w:sz w:val="20"/>
          <w:szCs w:val="20"/>
          <w:vertAlign w:val="superscript"/>
        </w:rPr>
        <w:footnoteReference w:id="17"/>
      </w:r>
      <w:r w:rsidRPr="000D099B">
        <w:rPr>
          <w:rStyle w:val="PageNumber"/>
          <w:rFonts w:ascii="Times New Roman" w:hAnsi="Times New Roman" w:cs="Times New Roman"/>
          <w:sz w:val="20"/>
          <w:szCs w:val="20"/>
        </w:rPr>
        <w:t xml:space="preserve">.  La priorización de un enfoque de control migratorio frente a un enfoque de derechos humanos a menudo deriva en una </w:t>
      </w:r>
      <w:r w:rsidRPr="000D099B">
        <w:rPr>
          <w:rStyle w:val="PageNumber"/>
          <w:rFonts w:ascii="Times New Roman" w:hAnsi="Times New Roman" w:cs="Times New Roman"/>
          <w:sz w:val="20"/>
          <w:szCs w:val="20"/>
        </w:rPr>
        <w:lastRenderedPageBreak/>
        <w:t>ceguera hacia las situaciones de vulnerabilidad y los riesgos que las víctimas de trata enfrentan en caso de devolución</w:t>
      </w:r>
      <w:r w:rsidRPr="000D099B">
        <w:rPr>
          <w:rStyle w:val="FootnoteReference"/>
          <w:rFonts w:ascii="Times New Roman" w:hAnsi="Times New Roman" w:cs="Times New Roman"/>
          <w:sz w:val="20"/>
          <w:szCs w:val="20"/>
        </w:rPr>
        <w:footnoteReference w:id="18"/>
      </w:r>
      <w:r w:rsidRPr="000D099B">
        <w:rPr>
          <w:rStyle w:val="PageNumber"/>
          <w:rFonts w:ascii="Times New Roman" w:hAnsi="Times New Roman" w:cs="Times New Roman"/>
          <w:sz w:val="20"/>
          <w:szCs w:val="20"/>
        </w:rPr>
        <w:t xml:space="preserve">. </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t>El principio de no devolución, establece que los Estados están obligados a garantizar la no expulsión de ninguna persona a otro país si esto causara su exposición a graves violaciones de sus derechos humanos, a formas de violencia por motivos de género, a tortura y a otros tratos o penas crueles, inhumanos o degradantes</w:t>
      </w:r>
      <w:r w:rsidRPr="000D099B">
        <w:rPr>
          <w:rStyle w:val="FootnoteReference"/>
          <w:rFonts w:ascii="Times New Roman" w:eastAsia="Times New Roman" w:hAnsi="Times New Roman" w:cs="Times New Roman"/>
          <w:sz w:val="20"/>
          <w:szCs w:val="20"/>
          <w:lang w:val="es-ES" w:eastAsia="es-ES_tradnl"/>
        </w:rPr>
        <w:footnoteReference w:id="19"/>
      </w:r>
      <w:r w:rsidRPr="000D099B">
        <w:rPr>
          <w:rFonts w:ascii="Times New Roman" w:eastAsia="Times New Roman" w:hAnsi="Times New Roman" w:cs="Times New Roman"/>
          <w:sz w:val="20"/>
          <w:szCs w:val="20"/>
          <w:lang w:val="es-ES" w:eastAsia="es-ES_tradnl"/>
        </w:rPr>
        <w:t xml:space="preserve">. En virtud de este principio, las víctimas de trata de personas tienen derecho a solicitar protección internacional por motivos de persecución de género y a no ser deportadas cuando tienen un temor fundado de persecución en caso de retorno o cuando hay riesgo de </w:t>
      </w:r>
      <w:r w:rsidRPr="000D099B">
        <w:rPr>
          <w:rFonts w:ascii="Times New Roman" w:eastAsia="Times New Roman" w:hAnsi="Times New Roman" w:cs="Times New Roman"/>
          <w:i/>
          <w:sz w:val="20"/>
          <w:szCs w:val="20"/>
          <w:lang w:val="es-ES" w:eastAsia="es-ES_tradnl"/>
        </w:rPr>
        <w:t>re-trafficking</w:t>
      </w:r>
      <w:r w:rsidRPr="000D099B">
        <w:rPr>
          <w:rStyle w:val="FootnoteReference"/>
          <w:rFonts w:ascii="Times New Roman" w:eastAsia="Times New Roman" w:hAnsi="Times New Roman" w:cs="Times New Roman"/>
          <w:i/>
          <w:sz w:val="20"/>
          <w:szCs w:val="20"/>
          <w:lang w:val="es-ES" w:eastAsia="es-ES_tradnl"/>
        </w:rPr>
        <w:footnoteReference w:id="20"/>
      </w:r>
      <w:r w:rsidRPr="000D099B">
        <w:rPr>
          <w:rFonts w:ascii="Times New Roman" w:eastAsia="Times New Roman" w:hAnsi="Times New Roman" w:cs="Times New Roman"/>
          <w:sz w:val="20"/>
          <w:szCs w:val="20"/>
          <w:lang w:val="es-ES" w:eastAsia="es-ES_tradnl"/>
        </w:rPr>
        <w:t xml:space="preserve">. </w:t>
      </w:r>
    </w:p>
    <w:p w:rsidR="000C6704" w:rsidRPr="000D099B" w:rsidRDefault="000C6704" w:rsidP="00437B02">
      <w:pPr>
        <w:jc w:val="both"/>
        <w:rPr>
          <w:sz w:val="20"/>
          <w:szCs w:val="20"/>
        </w:rPr>
      </w:pPr>
    </w:p>
    <w:p w:rsidR="000C6704" w:rsidRPr="000D099B" w:rsidRDefault="00437B02" w:rsidP="00437B02">
      <w:pPr>
        <w:pStyle w:val="ListParagraph"/>
        <w:numPr>
          <w:ilvl w:val="0"/>
          <w:numId w:val="9"/>
        </w:numPr>
        <w:ind w:left="0"/>
        <w:jc w:val="both"/>
        <w:rPr>
          <w:rFonts w:ascii="Times New Roman" w:hAnsi="Times New Roman" w:cs="Times New Roman"/>
          <w:sz w:val="20"/>
          <w:szCs w:val="20"/>
        </w:rPr>
      </w:pPr>
      <w:r>
        <w:rPr>
          <w:rFonts w:ascii="Times New Roman" w:hAnsi="Times New Roman" w:cs="Times New Roman"/>
          <w:sz w:val="20"/>
          <w:szCs w:val="20"/>
        </w:rPr>
        <w:t>Por tanto,</w:t>
      </w:r>
      <w:r w:rsidR="000C6704" w:rsidRPr="000D099B">
        <w:rPr>
          <w:rFonts w:ascii="Times New Roman" w:hAnsi="Times New Roman" w:cs="Times New Roman"/>
          <w:sz w:val="20"/>
          <w:szCs w:val="20"/>
        </w:rPr>
        <w:t xml:space="preserve"> es obligación de los Estados considerar los indicios de riesgo de tortura o malos tratos para abstenerse de expulsar a una persona de su territorio cuando se estima la existencia dicho riesgo</w:t>
      </w:r>
      <w:r w:rsidR="000C6704" w:rsidRPr="000D099B">
        <w:rPr>
          <w:rStyle w:val="FootnoteReference"/>
          <w:rFonts w:ascii="Times New Roman" w:hAnsi="Times New Roman" w:cs="Times New Roman"/>
          <w:sz w:val="20"/>
          <w:szCs w:val="20"/>
        </w:rPr>
        <w:footnoteReference w:id="21"/>
      </w:r>
      <w:r w:rsidR="000C6704" w:rsidRPr="000D099B">
        <w:rPr>
          <w:rFonts w:ascii="Times New Roman" w:hAnsi="Times New Roman" w:cs="Times New Roman"/>
          <w:sz w:val="20"/>
          <w:szCs w:val="20"/>
        </w:rPr>
        <w:t xml:space="preserve">. </w:t>
      </w:r>
      <w:r>
        <w:rPr>
          <w:rFonts w:ascii="Times New Roman" w:hAnsi="Times New Roman" w:cs="Times New Roman"/>
          <w:sz w:val="20"/>
          <w:szCs w:val="20"/>
        </w:rPr>
        <w:t>Los</w:t>
      </w:r>
      <w:r w:rsidR="000C6704" w:rsidRPr="000D099B">
        <w:rPr>
          <w:rFonts w:ascii="Times New Roman" w:hAnsi="Times New Roman" w:cs="Times New Roman"/>
          <w:sz w:val="20"/>
          <w:szCs w:val="20"/>
        </w:rPr>
        <w:t xml:space="preserve"> Estados deben realizar una evaluación individual del riesgo y tomar en consideración, en particular, si en el Estado de origen o al que se prevé expulsar a la persona, ésta ha sido o corre el riesgo de ser víctima de violencia, incluidas las violencias por razón de género y la violencia sexual, infligidas en público o en privado, persecución por motivos de género o mutilación genital femenina</w:t>
      </w:r>
      <w:r w:rsidR="000C6704" w:rsidRPr="000D099B">
        <w:rPr>
          <w:rStyle w:val="FootnoteReference"/>
          <w:rFonts w:ascii="Times New Roman" w:hAnsi="Times New Roman" w:cs="Times New Roman"/>
          <w:sz w:val="20"/>
          <w:szCs w:val="20"/>
        </w:rPr>
        <w:footnoteReference w:id="22"/>
      </w:r>
      <w:r w:rsidR="000C6704" w:rsidRPr="000D099B">
        <w:rPr>
          <w:rFonts w:ascii="Times New Roman" w:hAnsi="Times New Roman" w:cs="Times New Roman"/>
          <w:sz w:val="20"/>
          <w:szCs w:val="20"/>
        </w:rPr>
        <w:t xml:space="preserve">. </w:t>
      </w:r>
      <w:r w:rsidR="003B59F9" w:rsidRPr="000D099B">
        <w:rPr>
          <w:rFonts w:ascii="Times New Roman" w:hAnsi="Times New Roman" w:cs="Times New Roman"/>
          <w:sz w:val="20"/>
          <w:szCs w:val="20"/>
        </w:rPr>
        <w:t xml:space="preserve"> Por tanto, </w:t>
      </w:r>
      <w:r w:rsidR="000C6704" w:rsidRPr="000D099B">
        <w:rPr>
          <w:rFonts w:ascii="Times New Roman" w:hAnsi="Times New Roman" w:cs="Times New Roman"/>
          <w:sz w:val="20"/>
          <w:szCs w:val="20"/>
        </w:rPr>
        <w:t xml:space="preserve">el Estado debe abstenerse de la expulsión si la persona fuese a ser devuelta a un Estado en el </w:t>
      </w:r>
      <w:r w:rsidR="000C6704" w:rsidRPr="000D099B">
        <w:rPr>
          <w:rFonts w:ascii="Times New Roman" w:hAnsi="Times New Roman" w:cs="Times New Roman"/>
          <w:sz w:val="20"/>
          <w:szCs w:val="20"/>
        </w:rPr>
        <w:lastRenderedPageBreak/>
        <w:t>que fue sometida o correría el riesgo de ser sometida a esclavitud, trabajo forzoso</w:t>
      </w:r>
      <w:r w:rsidR="000C6704" w:rsidRPr="000D099B">
        <w:rPr>
          <w:rFonts w:ascii="Times New Roman" w:hAnsi="Times New Roman" w:cs="Times New Roman"/>
          <w:sz w:val="20"/>
          <w:szCs w:val="20"/>
          <w:vertAlign w:val="superscript"/>
        </w:rPr>
        <w:footnoteReference w:id="23"/>
      </w:r>
      <w:r w:rsidR="000C6704" w:rsidRPr="000D099B">
        <w:rPr>
          <w:rFonts w:ascii="Times New Roman" w:hAnsi="Times New Roman" w:cs="Times New Roman"/>
          <w:sz w:val="20"/>
          <w:szCs w:val="20"/>
          <w:vertAlign w:val="superscript"/>
        </w:rPr>
        <w:t xml:space="preserve"> </w:t>
      </w:r>
      <w:r w:rsidR="000C6704" w:rsidRPr="000D099B">
        <w:rPr>
          <w:rFonts w:ascii="Times New Roman" w:hAnsi="Times New Roman" w:cs="Times New Roman"/>
          <w:sz w:val="20"/>
          <w:szCs w:val="20"/>
        </w:rPr>
        <w:t>o trata de personas</w:t>
      </w:r>
      <w:r w:rsidR="000C6704" w:rsidRPr="000D099B">
        <w:rPr>
          <w:rFonts w:ascii="Times New Roman" w:hAnsi="Times New Roman" w:cs="Times New Roman"/>
          <w:sz w:val="20"/>
          <w:szCs w:val="20"/>
          <w:vertAlign w:val="superscript"/>
        </w:rPr>
        <w:footnoteReference w:id="24"/>
      </w:r>
      <w:r w:rsidR="000C6704" w:rsidRPr="000D099B">
        <w:rPr>
          <w:rFonts w:ascii="Times New Roman" w:hAnsi="Times New Roman" w:cs="Times New Roman"/>
          <w:sz w:val="20"/>
          <w:szCs w:val="20"/>
        </w:rPr>
        <w:t xml:space="preserve">. </w:t>
      </w:r>
    </w:p>
    <w:p w:rsidR="000C6704" w:rsidRPr="000D099B" w:rsidRDefault="000C6704" w:rsidP="00437B02">
      <w:pPr>
        <w:rPr>
          <w:sz w:val="20"/>
          <w:szCs w:val="20"/>
        </w:rPr>
      </w:pPr>
    </w:p>
    <w:p w:rsidR="000C6704" w:rsidRPr="000D099B" w:rsidRDefault="000C6704" w:rsidP="00437B02">
      <w:pPr>
        <w:ind w:firstLine="708"/>
        <w:jc w:val="both"/>
        <w:rPr>
          <w:b/>
          <w:i/>
          <w:sz w:val="20"/>
          <w:szCs w:val="20"/>
        </w:rPr>
      </w:pPr>
      <w:r w:rsidRPr="000D099B">
        <w:rPr>
          <w:b/>
          <w:i/>
          <w:sz w:val="20"/>
          <w:szCs w:val="20"/>
        </w:rPr>
        <w:t xml:space="preserve">Sobre el principio de non-punishment. – </w:t>
      </w:r>
    </w:p>
    <w:p w:rsidR="000C6704" w:rsidRPr="000D099B" w:rsidRDefault="000C6704" w:rsidP="00437B02">
      <w:pPr>
        <w:ind w:firstLine="708"/>
        <w:jc w:val="both"/>
        <w:rPr>
          <w:b/>
          <w:i/>
          <w:sz w:val="20"/>
          <w:szCs w:val="20"/>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hAnsi="Times New Roman" w:cs="Times New Roman"/>
          <w:sz w:val="20"/>
          <w:szCs w:val="20"/>
          <w:lang w:val="es-CL"/>
        </w:rPr>
        <w:t>Los órganos internacionales, han confirmado que este principio de no sancionar penal o administrativamente ni enjuiciar a las víctimas de trata de personas es la norma jurídica internacional pertinente y aplicable</w:t>
      </w:r>
      <w:r w:rsidRPr="000D099B">
        <w:rPr>
          <w:rStyle w:val="FootnoteReference"/>
          <w:rFonts w:ascii="Times New Roman" w:hAnsi="Times New Roman" w:cs="Times New Roman"/>
          <w:sz w:val="20"/>
          <w:szCs w:val="20"/>
          <w:lang w:val="es-CL"/>
        </w:rPr>
        <w:footnoteReference w:id="25"/>
      </w:r>
      <w:r w:rsidR="00175FF9" w:rsidRPr="000D099B">
        <w:rPr>
          <w:rFonts w:ascii="Times New Roman" w:hAnsi="Times New Roman" w:cs="Times New Roman"/>
          <w:sz w:val="20"/>
          <w:szCs w:val="20"/>
          <w:lang w:val="es-CL"/>
        </w:rPr>
        <w:t xml:space="preserve"> y </w:t>
      </w:r>
      <w:r w:rsidRPr="000D099B">
        <w:rPr>
          <w:rFonts w:ascii="Times New Roman" w:hAnsi="Times New Roman" w:cs="Times New Roman"/>
          <w:sz w:val="20"/>
          <w:szCs w:val="20"/>
          <w:lang w:val="es-CL"/>
        </w:rPr>
        <w:t>ha</w:t>
      </w:r>
      <w:r w:rsidR="00175FF9" w:rsidRPr="000D099B">
        <w:rPr>
          <w:rFonts w:ascii="Times New Roman" w:hAnsi="Times New Roman" w:cs="Times New Roman"/>
          <w:sz w:val="20"/>
          <w:szCs w:val="20"/>
          <w:lang w:val="es-CL"/>
        </w:rPr>
        <w:t>n</w:t>
      </w:r>
      <w:r w:rsidRPr="000D099B">
        <w:rPr>
          <w:rFonts w:ascii="Times New Roman" w:hAnsi="Times New Roman" w:cs="Times New Roman"/>
          <w:sz w:val="20"/>
          <w:szCs w:val="20"/>
          <w:lang w:val="es-CL"/>
        </w:rPr>
        <w:t xml:space="preserve"> reconocido que la penalización de las víctimas de trata es muy generalizada y</w:t>
      </w:r>
      <w:r w:rsidRPr="000D099B">
        <w:rPr>
          <w:rFonts w:ascii="Times New Roman" w:hAnsi="Times New Roman" w:cs="Times New Roman"/>
          <w:b/>
          <w:sz w:val="20"/>
          <w:szCs w:val="20"/>
          <w:lang w:val="es-CL"/>
        </w:rPr>
        <w:t xml:space="preserve"> </w:t>
      </w:r>
      <w:r w:rsidRPr="000D099B">
        <w:rPr>
          <w:rFonts w:ascii="Times New Roman" w:hAnsi="Times New Roman" w:cs="Times New Roman"/>
          <w:sz w:val="20"/>
          <w:szCs w:val="20"/>
          <w:lang w:val="es-CL"/>
        </w:rPr>
        <w:t>va ligada o es consecuen</w:t>
      </w:r>
      <w:r w:rsidR="003B59F9" w:rsidRPr="000D099B">
        <w:rPr>
          <w:rFonts w:ascii="Times New Roman" w:hAnsi="Times New Roman" w:cs="Times New Roman"/>
          <w:sz w:val="20"/>
          <w:szCs w:val="20"/>
          <w:lang w:val="es-CL"/>
        </w:rPr>
        <w:t>ci</w:t>
      </w:r>
      <w:r w:rsidRPr="000D099B">
        <w:rPr>
          <w:rFonts w:ascii="Times New Roman" w:hAnsi="Times New Roman" w:cs="Times New Roman"/>
          <w:sz w:val="20"/>
          <w:szCs w:val="20"/>
          <w:lang w:val="es-CL"/>
        </w:rPr>
        <w:t>a de la nula o indebida identificación de las víctimas por parte del Estado</w:t>
      </w:r>
      <w:r w:rsidR="00175FF9" w:rsidRPr="000D099B">
        <w:rPr>
          <w:rFonts w:ascii="Times New Roman" w:hAnsi="Times New Roman" w:cs="Times New Roman"/>
          <w:sz w:val="20"/>
          <w:szCs w:val="20"/>
          <w:lang w:val="es-CL"/>
        </w:rPr>
        <w:t xml:space="preserve">. </w:t>
      </w:r>
      <w:r w:rsidRPr="000D099B">
        <w:rPr>
          <w:rFonts w:ascii="Times New Roman" w:hAnsi="Times New Roman" w:cs="Times New Roman"/>
          <w:sz w:val="20"/>
          <w:szCs w:val="20"/>
          <w:lang w:val="es-CL"/>
        </w:rPr>
        <w:t>En otras palabras, las personas víctimas de trata no son identificadas como tales, son detenidas y después acusadas como migrantes en situación administrativa irregular o como partícipes en el delito de tráfico ilícito de migrantes, entre otros delitos relacionados</w:t>
      </w:r>
      <w:r w:rsidRPr="000D099B">
        <w:rPr>
          <w:rStyle w:val="FootnoteReference"/>
          <w:rFonts w:ascii="Times New Roman" w:hAnsi="Times New Roman" w:cs="Times New Roman"/>
          <w:sz w:val="20"/>
          <w:szCs w:val="20"/>
          <w:lang w:val="es-CL"/>
        </w:rPr>
        <w:footnoteReference w:id="26"/>
      </w:r>
      <w:r w:rsidRPr="000D099B">
        <w:rPr>
          <w:rFonts w:ascii="Times New Roman" w:hAnsi="Times New Roman" w:cs="Times New Roman"/>
          <w:sz w:val="20"/>
          <w:szCs w:val="20"/>
          <w:lang w:val="es-CL"/>
        </w:rPr>
        <w:t xml:space="preserve">. </w:t>
      </w:r>
    </w:p>
    <w:p w:rsidR="000C6704" w:rsidRPr="000D099B" w:rsidRDefault="000C6704" w:rsidP="00437B02">
      <w:pPr>
        <w:pStyle w:val="ListParagraph"/>
        <w:ind w:left="0"/>
        <w:jc w:val="both"/>
        <w:rPr>
          <w:rFonts w:ascii="Times New Roman" w:eastAsia="Times New Roman" w:hAnsi="Times New Roman" w:cs="Times New Roman"/>
          <w:sz w:val="20"/>
          <w:szCs w:val="20"/>
          <w:lang w:val="es-ES" w:eastAsia="es-ES_tradnl"/>
        </w:rPr>
      </w:pPr>
    </w:p>
    <w:p w:rsidR="000C6704" w:rsidRPr="000D099B" w:rsidRDefault="00175FF9"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t>L</w:t>
      </w:r>
      <w:r w:rsidR="000C6704" w:rsidRPr="000D099B">
        <w:rPr>
          <w:rFonts w:ascii="Times New Roman" w:eastAsia="Times New Roman" w:hAnsi="Times New Roman" w:cs="Times New Roman"/>
          <w:sz w:val="20"/>
          <w:szCs w:val="20"/>
          <w:lang w:val="es-ES" w:eastAsia="es-ES_tradnl"/>
        </w:rPr>
        <w:t xml:space="preserve">a penalización o el enjuiciamiento de víctimas de trata tiene impactos diferenciados y consecuencias muy graves en sus derechos y sus vidas. Las víctimas que tienen un expediente penal pueden experimentar dificultades en lo que respecta a su recuperación y reintegración. Además, la penalización de las víctimas es contraproducente para los procesos judiciales </w:t>
      </w:r>
      <w:r w:rsidR="00437B02">
        <w:rPr>
          <w:rFonts w:ascii="Times New Roman" w:eastAsia="Times New Roman" w:hAnsi="Times New Roman" w:cs="Times New Roman"/>
          <w:sz w:val="20"/>
          <w:szCs w:val="20"/>
          <w:lang w:val="es-ES" w:eastAsia="es-ES_tradnl"/>
        </w:rPr>
        <w:t xml:space="preserve">y su reparación integral </w:t>
      </w:r>
      <w:r w:rsidR="000C6704" w:rsidRPr="000D099B">
        <w:rPr>
          <w:rFonts w:ascii="Times New Roman" w:eastAsia="Times New Roman" w:hAnsi="Times New Roman" w:cs="Times New Roman"/>
          <w:sz w:val="20"/>
          <w:szCs w:val="20"/>
          <w:lang w:val="es-ES" w:eastAsia="es-ES_tradnl"/>
        </w:rPr>
        <w:t xml:space="preserve">dado que destruye la confianza, inflige un nuevo trauma a las víctimas y refuerza lo que los </w:t>
      </w:r>
      <w:r w:rsidR="00437B02" w:rsidRPr="000D099B">
        <w:rPr>
          <w:rFonts w:ascii="Times New Roman" w:eastAsia="Times New Roman" w:hAnsi="Times New Roman" w:cs="Times New Roman"/>
          <w:sz w:val="20"/>
          <w:szCs w:val="20"/>
          <w:lang w:val="es-ES" w:eastAsia="es-ES_tradnl"/>
        </w:rPr>
        <w:t>tratantes pueden</w:t>
      </w:r>
      <w:r w:rsidR="000C6704" w:rsidRPr="000D099B">
        <w:rPr>
          <w:rFonts w:ascii="Times New Roman" w:eastAsia="Times New Roman" w:hAnsi="Times New Roman" w:cs="Times New Roman"/>
          <w:sz w:val="20"/>
          <w:szCs w:val="20"/>
          <w:lang w:val="es-ES" w:eastAsia="es-ES_tradnl"/>
        </w:rPr>
        <w:t xml:space="preserve"> haber dicho a éstas respecto de las autoridades encargadas de hacer cumplir la ley</w:t>
      </w:r>
      <w:r w:rsidR="000C6704" w:rsidRPr="000D099B">
        <w:rPr>
          <w:rStyle w:val="FootnoteReference"/>
          <w:rFonts w:ascii="Times New Roman" w:eastAsia="Times New Roman" w:hAnsi="Times New Roman" w:cs="Times New Roman"/>
          <w:sz w:val="20"/>
          <w:szCs w:val="20"/>
          <w:lang w:val="es-ES" w:eastAsia="es-ES_tradnl"/>
        </w:rPr>
        <w:footnoteReference w:id="27"/>
      </w:r>
      <w:r w:rsidR="000C6704" w:rsidRPr="000D099B">
        <w:rPr>
          <w:rFonts w:ascii="Times New Roman" w:eastAsia="Times New Roman" w:hAnsi="Times New Roman" w:cs="Times New Roman"/>
          <w:sz w:val="20"/>
          <w:szCs w:val="20"/>
          <w:lang w:val="es-ES" w:eastAsia="es-ES_tradnl"/>
        </w:rPr>
        <w:t xml:space="preserve">. </w:t>
      </w:r>
    </w:p>
    <w:p w:rsidR="000C6704" w:rsidRPr="000D099B" w:rsidRDefault="000C6704" w:rsidP="00437B02">
      <w:pPr>
        <w:rPr>
          <w:color w:val="212121"/>
          <w:sz w:val="20"/>
          <w:szCs w:val="20"/>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color w:val="212121"/>
          <w:sz w:val="20"/>
          <w:szCs w:val="20"/>
          <w:lang w:val="es-ES" w:eastAsia="es-ES_tradnl"/>
        </w:rPr>
        <w:lastRenderedPageBreak/>
        <w:t xml:space="preserve">La interpretación de este principio desde una perspectiva de género indica que éste deba extenderse a las sanciones administrativas. Las mujeres víctimas de trata con fines de explotación sexual se enfrentan a un constante acoso policial cuando las redes de trata les obligan a ejercer la prostitución en las calles. Esto se debe a que muchos países han aprobado leyes que regulan y sancionan el ejercicio de la prostitución en lugares públicos, sin tener en cuenta la presencia de víctimas de la trata. Estas regulaciones, ciegas al género </w:t>
      </w:r>
      <w:r w:rsidR="000D099B">
        <w:rPr>
          <w:rFonts w:ascii="Times New Roman" w:eastAsia="Times New Roman" w:hAnsi="Times New Roman" w:cs="Times New Roman"/>
          <w:color w:val="212121"/>
          <w:sz w:val="20"/>
          <w:szCs w:val="20"/>
          <w:lang w:val="es-ES" w:eastAsia="es-ES_tradnl"/>
        </w:rPr>
        <w:t>tienen hacen que las mujeres</w:t>
      </w:r>
      <w:r w:rsidRPr="000D099B">
        <w:rPr>
          <w:rFonts w:ascii="Times New Roman" w:eastAsia="Times New Roman" w:hAnsi="Times New Roman" w:cs="Times New Roman"/>
          <w:color w:val="212121"/>
          <w:sz w:val="20"/>
          <w:szCs w:val="20"/>
          <w:lang w:val="es-ES" w:eastAsia="es-ES_tradnl"/>
        </w:rPr>
        <w:t xml:space="preserve"> s</w:t>
      </w:r>
      <w:r w:rsidR="000D099B">
        <w:rPr>
          <w:rFonts w:ascii="Times New Roman" w:eastAsia="Times New Roman" w:hAnsi="Times New Roman" w:cs="Times New Roman"/>
          <w:color w:val="212121"/>
          <w:sz w:val="20"/>
          <w:szCs w:val="20"/>
          <w:lang w:val="es-ES" w:eastAsia="es-ES_tradnl"/>
        </w:rPr>
        <w:t>ean</w:t>
      </w:r>
      <w:r w:rsidRPr="000D099B">
        <w:rPr>
          <w:rFonts w:ascii="Times New Roman" w:eastAsia="Times New Roman" w:hAnsi="Times New Roman" w:cs="Times New Roman"/>
          <w:color w:val="212121"/>
          <w:sz w:val="20"/>
          <w:szCs w:val="20"/>
          <w:lang w:val="es-ES" w:eastAsia="es-ES_tradnl"/>
        </w:rPr>
        <w:t xml:space="preserve"> multadas con sanciones administrativas que ponen en riesgo la obtención o la renovación de sus permisos de residencia y las ubican en una situación potenciada de vulnerabilidad.</w:t>
      </w:r>
    </w:p>
    <w:p w:rsidR="000C6704" w:rsidRPr="000D099B" w:rsidRDefault="000C6704" w:rsidP="00437B02">
      <w:pPr>
        <w:pStyle w:val="ListParagraph"/>
        <w:rPr>
          <w:rFonts w:ascii="Times New Roman" w:eastAsia="Times New Roman" w:hAnsi="Times New Roman" w:cs="Times New Roman"/>
          <w:color w:val="212121"/>
          <w:sz w:val="20"/>
          <w:szCs w:val="20"/>
          <w:lang w:val="es-ES" w:eastAsia="es-ES_tradnl"/>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color w:val="212121"/>
          <w:sz w:val="20"/>
          <w:szCs w:val="20"/>
          <w:lang w:val="es-ES" w:eastAsia="es-ES_tradnl"/>
        </w:rPr>
        <w:t xml:space="preserve">Al mismo tiempo, la implementación del principio de </w:t>
      </w:r>
      <w:r w:rsidRPr="000D099B">
        <w:rPr>
          <w:rFonts w:ascii="Times New Roman" w:eastAsia="Times New Roman" w:hAnsi="Times New Roman" w:cs="Times New Roman"/>
          <w:i/>
          <w:color w:val="212121"/>
          <w:sz w:val="20"/>
          <w:szCs w:val="20"/>
          <w:lang w:val="es-ES" w:eastAsia="es-ES_tradnl"/>
        </w:rPr>
        <w:t>non-punishment</w:t>
      </w:r>
      <w:r w:rsidRPr="000D099B">
        <w:rPr>
          <w:rFonts w:ascii="Times New Roman" w:eastAsia="Times New Roman" w:hAnsi="Times New Roman" w:cs="Times New Roman"/>
          <w:color w:val="212121"/>
          <w:sz w:val="20"/>
          <w:szCs w:val="20"/>
          <w:lang w:val="es-ES" w:eastAsia="es-ES_tradnl"/>
        </w:rPr>
        <w:t xml:space="preserve"> con perspectiva de género requiere una comprensión de cómo las redes de trata utilizan a las mujeres y sus cuerpos. Las estrategias empleadas por las redes incluyen el control de su capacidad reproductiva y la toma de decisiones sobre sus hijos e hijas. Las redes de trata de personas deciden cuándo las mujeres pueden quedar embarazadas y cuándo no, lo que con frecuencia las obliga a enfrentar abortos inseguros o forzados. Las mafias también determinan el destino de sus hijos/as y los utilizan como una estrategia en el cruce de fronteras que favorece sus intereses</w:t>
      </w:r>
      <w:r w:rsidRPr="000D099B">
        <w:rPr>
          <w:rStyle w:val="FootnoteReference"/>
          <w:rFonts w:ascii="Times New Roman" w:eastAsia="Times New Roman" w:hAnsi="Times New Roman" w:cs="Times New Roman"/>
          <w:color w:val="212121"/>
          <w:sz w:val="20"/>
          <w:szCs w:val="20"/>
          <w:lang w:val="es-ES" w:eastAsia="es-ES_tradnl"/>
        </w:rPr>
        <w:footnoteReference w:id="28"/>
      </w:r>
      <w:r w:rsidRPr="000D099B">
        <w:rPr>
          <w:rFonts w:ascii="Times New Roman" w:eastAsia="Times New Roman" w:hAnsi="Times New Roman" w:cs="Times New Roman"/>
          <w:color w:val="212121"/>
          <w:sz w:val="20"/>
          <w:szCs w:val="20"/>
          <w:lang w:val="es-ES" w:eastAsia="es-ES_tradnl"/>
        </w:rPr>
        <w:t xml:space="preserve">. </w:t>
      </w:r>
    </w:p>
    <w:p w:rsidR="000C6704" w:rsidRPr="000D099B" w:rsidRDefault="000C6704" w:rsidP="00437B02">
      <w:pPr>
        <w:jc w:val="both"/>
        <w:rPr>
          <w:sz w:val="20"/>
          <w:szCs w:val="20"/>
        </w:rPr>
      </w:pPr>
    </w:p>
    <w:p w:rsidR="000C6704" w:rsidRPr="000D099B" w:rsidRDefault="000C6704" w:rsidP="00437B02">
      <w:pPr>
        <w:pStyle w:val="ListParagraph"/>
        <w:numPr>
          <w:ilvl w:val="0"/>
          <w:numId w:val="1"/>
        </w:numPr>
        <w:ind w:left="0"/>
        <w:jc w:val="both"/>
        <w:rPr>
          <w:rFonts w:ascii="Times New Roman" w:hAnsi="Times New Roman" w:cs="Times New Roman"/>
          <w:b/>
          <w:sz w:val="20"/>
          <w:szCs w:val="20"/>
          <w:lang w:val="es-ES"/>
        </w:rPr>
      </w:pPr>
      <w:r w:rsidRPr="000D099B">
        <w:rPr>
          <w:rFonts w:ascii="Times New Roman" w:hAnsi="Times New Roman" w:cs="Times New Roman"/>
          <w:b/>
          <w:sz w:val="20"/>
          <w:szCs w:val="20"/>
          <w:lang w:val="es-ES"/>
        </w:rPr>
        <w:t>REPARACIONES</w:t>
      </w:r>
    </w:p>
    <w:p w:rsidR="000C6704" w:rsidRPr="000D099B" w:rsidRDefault="000C6704" w:rsidP="00437B02">
      <w:pPr>
        <w:jc w:val="both"/>
        <w:rPr>
          <w:sz w:val="20"/>
          <w:szCs w:val="20"/>
        </w:rPr>
      </w:pPr>
    </w:p>
    <w:p w:rsidR="000C6704" w:rsidRPr="00437B02" w:rsidRDefault="000C6704" w:rsidP="00437B02">
      <w:pPr>
        <w:pStyle w:val="ListParagraph"/>
        <w:numPr>
          <w:ilvl w:val="0"/>
          <w:numId w:val="9"/>
        </w:numPr>
        <w:ind w:left="0"/>
        <w:jc w:val="both"/>
        <w:rPr>
          <w:rStyle w:val="PageNumber"/>
          <w:rFonts w:ascii="Times New Roman" w:hAnsi="Times New Roman" w:cs="Times New Roman"/>
          <w:sz w:val="20"/>
          <w:szCs w:val="20"/>
        </w:rPr>
      </w:pPr>
      <w:r w:rsidRPr="000D099B">
        <w:rPr>
          <w:rStyle w:val="PageNumber"/>
          <w:rFonts w:ascii="Times New Roman" w:hAnsi="Times New Roman" w:cs="Times New Roman"/>
          <w:sz w:val="20"/>
          <w:szCs w:val="20"/>
        </w:rPr>
        <w:t>Las mujeres víctimas de trata, en la medida en que han experimentado violaciones a sus derechos humanos y formas de violencia por razón de género, tienen derecho a un recurso efectivo por los daños que se le hayan causado</w:t>
      </w:r>
      <w:r w:rsidRPr="000D099B">
        <w:rPr>
          <w:rStyle w:val="PageNumber"/>
          <w:rFonts w:ascii="Times New Roman" w:hAnsi="Times New Roman" w:cs="Times New Roman"/>
          <w:sz w:val="20"/>
          <w:szCs w:val="20"/>
          <w:vertAlign w:val="superscript"/>
        </w:rPr>
        <w:footnoteReference w:id="29"/>
      </w:r>
      <w:r w:rsidRPr="000D099B">
        <w:rPr>
          <w:rStyle w:val="PageNumber"/>
          <w:rFonts w:ascii="Times New Roman" w:hAnsi="Times New Roman" w:cs="Times New Roman"/>
          <w:sz w:val="20"/>
          <w:szCs w:val="20"/>
        </w:rPr>
        <w:t xml:space="preserve">. </w:t>
      </w:r>
      <w:r w:rsidRPr="000D099B">
        <w:rPr>
          <w:rFonts w:ascii="Times New Roman" w:hAnsi="Times New Roman" w:cs="Times New Roman"/>
          <w:sz w:val="20"/>
          <w:szCs w:val="20"/>
        </w:rPr>
        <w:t>L</w:t>
      </w:r>
      <w:r w:rsidRPr="000D099B">
        <w:rPr>
          <w:rStyle w:val="PageNumber"/>
          <w:rFonts w:ascii="Times New Roman" w:hAnsi="Times New Roman" w:cs="Times New Roman"/>
          <w:sz w:val="20"/>
          <w:szCs w:val="20"/>
        </w:rPr>
        <w:t xml:space="preserve">os Estados, incluidos los países de origen, tránsito y destino de la trata de personas, tienen la obligación de proporcionar medidas de reparación adecuadas, eficaces y efectivas </w:t>
      </w:r>
      <w:r w:rsidRPr="000D099B">
        <w:rPr>
          <w:rStyle w:val="PageNumber"/>
          <w:rFonts w:ascii="Times New Roman" w:hAnsi="Times New Roman" w:cs="Times New Roman"/>
          <w:sz w:val="20"/>
          <w:szCs w:val="20"/>
        </w:rPr>
        <w:lastRenderedPageBreak/>
        <w:t>a las víctimas de trata, incluidas las mujeres y las niñas. Este deber incluye los casos en los que el Estado no haya ejercido la debida diligencia para prevenir la trata, investigar y procesar a los tratantes, y prestar asistencia y protección a las víctimas</w:t>
      </w:r>
      <w:r w:rsidRPr="000D099B">
        <w:rPr>
          <w:rStyle w:val="FootnoteReference"/>
          <w:rFonts w:ascii="Times New Roman" w:hAnsi="Times New Roman" w:cs="Times New Roman"/>
          <w:sz w:val="20"/>
          <w:szCs w:val="20"/>
        </w:rPr>
        <w:footnoteReference w:id="30"/>
      </w:r>
      <w:r w:rsidRPr="000D099B">
        <w:rPr>
          <w:rStyle w:val="PageNumber"/>
          <w:rFonts w:ascii="Times New Roman" w:hAnsi="Times New Roman" w:cs="Times New Roman"/>
          <w:sz w:val="20"/>
          <w:szCs w:val="20"/>
        </w:rPr>
        <w:t>.</w:t>
      </w:r>
      <w:r w:rsidR="00437B02">
        <w:rPr>
          <w:rStyle w:val="PageNumber"/>
          <w:rFonts w:ascii="Times New Roman" w:hAnsi="Times New Roman" w:cs="Times New Roman"/>
          <w:sz w:val="20"/>
          <w:szCs w:val="20"/>
        </w:rPr>
        <w:t xml:space="preserve"> </w:t>
      </w:r>
      <w:r w:rsidRPr="00437B02">
        <w:rPr>
          <w:rFonts w:ascii="Times New Roman" w:hAnsi="Times New Roman" w:cs="Times New Roman"/>
          <w:color w:val="000000" w:themeColor="text1"/>
          <w:sz w:val="20"/>
          <w:szCs w:val="20"/>
          <w:lang w:val="es-ES"/>
        </w:rPr>
        <w:t>Los Estados tienen una obligación reforzada de actuar con la debida diligencia para prevenir, sancionar y erradicar la violencia contra las mujeres y, en contextos de migración y movilidad humana, deben tener en cuenta la situación de vulnerabilidad a la que se ven expuestas las mujeres y niñas tanto por la condición de exclusión y discriminación en sus países de origen, que a menudo provoca su huida, como por las violencias específicas que enfrentan en los tránsitos migratorios o en los desplazamientos internos o forzados</w:t>
      </w:r>
      <w:r w:rsidRPr="000D099B">
        <w:rPr>
          <w:rStyle w:val="FootnoteReference"/>
          <w:rFonts w:ascii="Times New Roman" w:hAnsi="Times New Roman" w:cs="Times New Roman"/>
          <w:color w:val="000000" w:themeColor="text1"/>
          <w:sz w:val="20"/>
          <w:szCs w:val="20"/>
          <w:lang w:val="es-ES"/>
        </w:rPr>
        <w:footnoteReference w:id="31"/>
      </w:r>
      <w:r w:rsidRPr="00437B02">
        <w:rPr>
          <w:rFonts w:ascii="Times New Roman" w:hAnsi="Times New Roman" w:cs="Times New Roman"/>
          <w:color w:val="000000" w:themeColor="text1"/>
          <w:sz w:val="20"/>
          <w:szCs w:val="20"/>
          <w:lang w:val="es-ES"/>
        </w:rPr>
        <w:t xml:space="preserve">.   </w:t>
      </w:r>
    </w:p>
    <w:p w:rsidR="000C6704" w:rsidRPr="000D099B" w:rsidRDefault="000C6704" w:rsidP="00437B02">
      <w:pPr>
        <w:pBdr>
          <w:top w:val="nil"/>
          <w:left w:val="nil"/>
          <w:bottom w:val="nil"/>
          <w:right w:val="nil"/>
          <w:between w:val="nil"/>
          <w:bar w:val="nil"/>
        </w:pBdr>
        <w:jc w:val="both"/>
        <w:rPr>
          <w:rStyle w:val="PageNumber"/>
          <w:sz w:val="20"/>
          <w:szCs w:val="20"/>
        </w:rPr>
      </w:pPr>
    </w:p>
    <w:p w:rsidR="000C6704" w:rsidRPr="000D099B" w:rsidRDefault="00175FF9" w:rsidP="00437B02">
      <w:pPr>
        <w:pStyle w:val="ListParagraph"/>
        <w:numPr>
          <w:ilvl w:val="0"/>
          <w:numId w:val="9"/>
        </w:numPr>
        <w:pBdr>
          <w:top w:val="nil"/>
          <w:left w:val="nil"/>
          <w:bottom w:val="nil"/>
          <w:right w:val="nil"/>
          <w:between w:val="nil"/>
          <w:bar w:val="nil"/>
        </w:pBdr>
        <w:ind w:left="0"/>
        <w:jc w:val="both"/>
        <w:rPr>
          <w:rStyle w:val="PageNumber"/>
          <w:rFonts w:ascii="Times New Roman" w:hAnsi="Times New Roman" w:cs="Times New Roman"/>
          <w:sz w:val="20"/>
          <w:szCs w:val="20"/>
        </w:rPr>
      </w:pPr>
      <w:r w:rsidRPr="000D099B">
        <w:rPr>
          <w:rStyle w:val="PageNumber"/>
          <w:rFonts w:ascii="Times New Roman" w:hAnsi="Times New Roman" w:cs="Times New Roman"/>
          <w:sz w:val="20"/>
          <w:szCs w:val="20"/>
        </w:rPr>
        <w:t xml:space="preserve">Incluso </w:t>
      </w:r>
      <w:r w:rsidR="000C6704" w:rsidRPr="000D099B">
        <w:rPr>
          <w:rStyle w:val="PageNumber"/>
          <w:rFonts w:ascii="Times New Roman" w:hAnsi="Times New Roman" w:cs="Times New Roman"/>
          <w:sz w:val="20"/>
          <w:szCs w:val="20"/>
        </w:rPr>
        <w:t>en casos donde se ha logrado la persecución penal y condena del responsable de la trata o explotación, queda en evidencia que cuando la respuesta del Estado se centra exclusivamente en el ámbito del derecho penal, las víctimas transcurren el proceso judicial sin acceder a ningún tipo de atención o reparación, lo que les sigue dejando en una situación de desprotección</w:t>
      </w:r>
      <w:r w:rsidR="003B59F9" w:rsidRPr="000D099B">
        <w:rPr>
          <w:rStyle w:val="PageNumber"/>
          <w:rFonts w:ascii="Times New Roman" w:hAnsi="Times New Roman" w:cs="Times New Roman"/>
          <w:sz w:val="20"/>
          <w:szCs w:val="20"/>
        </w:rPr>
        <w:t xml:space="preserve">. </w:t>
      </w:r>
      <w:r w:rsidR="000C6704" w:rsidRPr="000D099B">
        <w:rPr>
          <w:rStyle w:val="PageNumber"/>
          <w:rFonts w:ascii="Times New Roman" w:hAnsi="Times New Roman" w:cs="Times New Roman"/>
          <w:sz w:val="20"/>
          <w:szCs w:val="20"/>
        </w:rPr>
        <w:t xml:space="preserve">En casos de violencia sexual y otras formas de violencia por motivos de género como la trata de mujeres, los </w:t>
      </w:r>
      <w:r w:rsidR="000C6704" w:rsidRPr="000D099B">
        <w:rPr>
          <w:rStyle w:val="PageNumber"/>
          <w:rFonts w:ascii="Times New Roman" w:hAnsi="Times New Roman" w:cs="Times New Roman"/>
          <w:color w:val="000000" w:themeColor="text1"/>
          <w:sz w:val="20"/>
          <w:szCs w:val="20"/>
        </w:rPr>
        <w:t>Estados deben tomar en cuenta las consecuencias multidimensionales y a largo plazo de estos crímenes para las mujeres y las niñas, sus familias y comunidades, requiriéndose enfoques especializados, integrados y multidisciplinarios</w:t>
      </w:r>
      <w:r w:rsidR="000C6704" w:rsidRPr="000D099B">
        <w:rPr>
          <w:rStyle w:val="FootnoteReference"/>
          <w:rFonts w:ascii="Times New Roman" w:hAnsi="Times New Roman" w:cs="Times New Roman"/>
          <w:color w:val="000000" w:themeColor="text1"/>
          <w:sz w:val="20"/>
          <w:szCs w:val="20"/>
        </w:rPr>
        <w:footnoteReference w:id="32"/>
      </w:r>
      <w:r w:rsidR="000C6704" w:rsidRPr="000D099B">
        <w:rPr>
          <w:rStyle w:val="PageNumber"/>
          <w:rFonts w:ascii="Times New Roman" w:hAnsi="Times New Roman" w:cs="Times New Roman"/>
          <w:sz w:val="20"/>
          <w:szCs w:val="20"/>
        </w:rPr>
        <w:t>. Las reparaciones deben ir más allá de las razones y consecuencias inmediatas de los crímenes y las violaciones, y deben apuntar a la transformación de las desigualdades políticas y estructurales</w:t>
      </w:r>
      <w:r w:rsidR="000C6704" w:rsidRPr="000D099B">
        <w:rPr>
          <w:rStyle w:val="FootnoteReference"/>
          <w:rFonts w:ascii="Times New Roman" w:hAnsi="Times New Roman" w:cs="Times New Roman"/>
          <w:sz w:val="20"/>
          <w:szCs w:val="20"/>
        </w:rPr>
        <w:footnoteReference w:id="33"/>
      </w:r>
      <w:r w:rsidR="000C6704" w:rsidRPr="000D099B">
        <w:rPr>
          <w:rStyle w:val="PageNumber"/>
          <w:rFonts w:ascii="Times New Roman" w:hAnsi="Times New Roman" w:cs="Times New Roman"/>
          <w:sz w:val="20"/>
          <w:szCs w:val="20"/>
        </w:rPr>
        <w:t xml:space="preserve"> que influyen negativamente en la vida de las mujeres y las niñas</w:t>
      </w:r>
      <w:r w:rsidR="000C6704" w:rsidRPr="000D099B">
        <w:rPr>
          <w:rStyle w:val="FootnoteReference"/>
          <w:rFonts w:ascii="Times New Roman" w:hAnsi="Times New Roman" w:cs="Times New Roman"/>
          <w:sz w:val="20"/>
          <w:szCs w:val="20"/>
        </w:rPr>
        <w:footnoteReference w:id="34"/>
      </w:r>
      <w:r w:rsidR="000C6704" w:rsidRPr="000D099B">
        <w:rPr>
          <w:rStyle w:val="PageNumber"/>
          <w:rFonts w:ascii="Times New Roman" w:hAnsi="Times New Roman" w:cs="Times New Roman"/>
          <w:sz w:val="20"/>
          <w:szCs w:val="20"/>
        </w:rPr>
        <w:t xml:space="preserve">. </w:t>
      </w:r>
    </w:p>
    <w:p w:rsidR="000C6704" w:rsidRPr="000D099B" w:rsidRDefault="000C6704" w:rsidP="00437B02">
      <w:pPr>
        <w:pBdr>
          <w:top w:val="nil"/>
          <w:left w:val="nil"/>
          <w:bottom w:val="nil"/>
          <w:right w:val="nil"/>
          <w:between w:val="nil"/>
          <w:bar w:val="nil"/>
        </w:pBdr>
        <w:jc w:val="both"/>
        <w:rPr>
          <w:rStyle w:val="PageNumber"/>
          <w:sz w:val="20"/>
          <w:szCs w:val="20"/>
        </w:rPr>
      </w:pPr>
    </w:p>
    <w:p w:rsidR="000C6704" w:rsidRPr="000D099B" w:rsidRDefault="000C6704" w:rsidP="00437B02">
      <w:pPr>
        <w:pStyle w:val="ListParagraph"/>
        <w:numPr>
          <w:ilvl w:val="0"/>
          <w:numId w:val="9"/>
        </w:numPr>
        <w:pBdr>
          <w:top w:val="nil"/>
          <w:left w:val="nil"/>
          <w:bottom w:val="nil"/>
          <w:right w:val="nil"/>
          <w:between w:val="nil"/>
          <w:bar w:val="nil"/>
        </w:pBdr>
        <w:ind w:left="0"/>
        <w:jc w:val="both"/>
        <w:rPr>
          <w:i/>
          <w:sz w:val="20"/>
          <w:szCs w:val="20"/>
        </w:rPr>
      </w:pPr>
      <w:r w:rsidRPr="000D099B">
        <w:rPr>
          <w:rStyle w:val="PageNumber"/>
          <w:rFonts w:ascii="Times New Roman" w:hAnsi="Times New Roman" w:cs="Times New Roman"/>
          <w:sz w:val="20"/>
          <w:szCs w:val="20"/>
        </w:rPr>
        <w:lastRenderedPageBreak/>
        <w:t>Las mujeres y niñas enfrentan consecuencias y sufren daños específicos de género como resultado de la trata. En particular, están expuestas a formas de violencia de género como la violencia sexual, la violación de sus derechos reproductivos, los embarazos no deseados o los abortos forzados</w:t>
      </w:r>
      <w:r w:rsidRPr="000D099B">
        <w:rPr>
          <w:rStyle w:val="FootnoteReference"/>
          <w:rFonts w:ascii="Times New Roman" w:hAnsi="Times New Roman" w:cs="Times New Roman"/>
          <w:sz w:val="20"/>
          <w:szCs w:val="20"/>
        </w:rPr>
        <w:footnoteReference w:id="35"/>
      </w:r>
      <w:r w:rsidRPr="000D099B">
        <w:rPr>
          <w:rStyle w:val="PageNumber"/>
          <w:rFonts w:ascii="Times New Roman" w:hAnsi="Times New Roman" w:cs="Times New Roman"/>
          <w:sz w:val="20"/>
          <w:szCs w:val="20"/>
        </w:rPr>
        <w:t>. En este sentido, el principio de debida diligencia requiere que los Estados adopten medidas legislativas, reglamentarias y todas las demás necesarias para proteger a las víctimas de trata de las consecuencias de la violencia sexual, así como la protección a sus derechos sexuales y reproductivos, lo que implica proporcionar servicios de salud gratuitos, eficientes, completos, accesibles y sin demora</w:t>
      </w:r>
      <w:r w:rsidRPr="000D099B">
        <w:rPr>
          <w:rStyle w:val="FootnoteReference"/>
          <w:rFonts w:ascii="Times New Roman" w:hAnsi="Times New Roman" w:cs="Times New Roman"/>
          <w:sz w:val="20"/>
          <w:szCs w:val="20"/>
        </w:rPr>
        <w:footnoteReference w:id="36"/>
      </w:r>
      <w:r w:rsidRPr="000D099B">
        <w:rPr>
          <w:rFonts w:ascii="Times New Roman" w:hAnsi="Times New Roman" w:cs="Times New Roman"/>
          <w:sz w:val="20"/>
          <w:szCs w:val="20"/>
        </w:rPr>
        <w:t xml:space="preserve">.  </w:t>
      </w:r>
    </w:p>
    <w:p w:rsidR="000C6704" w:rsidRPr="000D099B" w:rsidRDefault="000C6704" w:rsidP="00437B02">
      <w:pPr>
        <w:jc w:val="both"/>
        <w:rPr>
          <w:sz w:val="20"/>
          <w:szCs w:val="20"/>
        </w:rPr>
      </w:pPr>
    </w:p>
    <w:p w:rsidR="000C6704" w:rsidRPr="000D099B" w:rsidRDefault="000C6704" w:rsidP="00437B02">
      <w:pPr>
        <w:pStyle w:val="ListParagraph"/>
        <w:numPr>
          <w:ilvl w:val="0"/>
          <w:numId w:val="1"/>
        </w:numPr>
        <w:rPr>
          <w:rFonts w:ascii="Times New Roman" w:hAnsi="Times New Roman" w:cs="Times New Roman"/>
          <w:b/>
          <w:sz w:val="20"/>
          <w:szCs w:val="20"/>
          <w:lang w:val="es-ES"/>
        </w:rPr>
      </w:pPr>
      <w:r w:rsidRPr="000D099B">
        <w:rPr>
          <w:rFonts w:ascii="Times New Roman" w:hAnsi="Times New Roman" w:cs="Times New Roman"/>
          <w:b/>
          <w:sz w:val="20"/>
          <w:szCs w:val="20"/>
          <w:lang w:val="es-ES"/>
        </w:rPr>
        <w:t>CONCLUSIONES</w:t>
      </w:r>
    </w:p>
    <w:p w:rsidR="000C6704" w:rsidRPr="000D099B" w:rsidRDefault="000C6704" w:rsidP="00437B02">
      <w:pPr>
        <w:jc w:val="both"/>
        <w:rPr>
          <w:sz w:val="20"/>
          <w:szCs w:val="20"/>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t>La trata de personas es una grave vulneración de derechos humanos y una forma de violencia y de discriminación contra las mujeres y, por ello, la estructura legal articulada por el derecho internacional de los derechos humanos debe aplicar a su abordaje por parte de los Estados. Esto significa que, con independencia de los tratados e instrumentos internacionales o regionales que hayan ratificado, los Estados tienen obligaciones de prevenir la trata, proteger a las víctimas, perseguir a los tratantes y reparar las vulneraciones de derechos generadas cuando tienen conocimiento de la situación. Estas obligaciones se refieren a actos u omisiones por parte de agentes estatales y no estatales, permanecen vigentes en tiempos de conflicto armado y tienen carácter extraterritorial</w:t>
      </w:r>
      <w:r w:rsidRPr="000D099B">
        <w:rPr>
          <w:rStyle w:val="FootnoteReference"/>
          <w:rFonts w:ascii="Times New Roman" w:eastAsia="Times New Roman" w:hAnsi="Times New Roman" w:cs="Times New Roman"/>
          <w:sz w:val="20"/>
          <w:szCs w:val="20"/>
          <w:lang w:val="es-ES" w:eastAsia="es-ES_tradnl"/>
        </w:rPr>
        <w:footnoteReference w:id="37"/>
      </w:r>
      <w:r w:rsidRPr="000D099B">
        <w:rPr>
          <w:rFonts w:ascii="Times New Roman" w:eastAsia="Times New Roman" w:hAnsi="Times New Roman" w:cs="Times New Roman"/>
          <w:sz w:val="20"/>
          <w:szCs w:val="20"/>
          <w:lang w:val="es-ES" w:eastAsia="es-ES_tradnl"/>
        </w:rPr>
        <w:t xml:space="preserve">. </w:t>
      </w:r>
    </w:p>
    <w:p w:rsidR="000C6704" w:rsidRPr="000D099B" w:rsidRDefault="000C6704" w:rsidP="00437B02">
      <w:pPr>
        <w:pStyle w:val="ListParagraph"/>
        <w:ind w:left="0"/>
        <w:jc w:val="both"/>
        <w:rPr>
          <w:rFonts w:ascii="Times New Roman" w:eastAsia="Times New Roman" w:hAnsi="Times New Roman" w:cs="Times New Roman"/>
          <w:sz w:val="20"/>
          <w:szCs w:val="20"/>
          <w:lang w:val="es-ES" w:eastAsia="es-ES_tradnl"/>
        </w:rPr>
      </w:pPr>
    </w:p>
    <w:p w:rsidR="000C6704" w:rsidRPr="000D099B" w:rsidRDefault="000C6704" w:rsidP="00437B02">
      <w:pPr>
        <w:pStyle w:val="ListParagraph"/>
        <w:numPr>
          <w:ilvl w:val="0"/>
          <w:numId w:val="9"/>
        </w:numPr>
        <w:ind w:left="0"/>
        <w:jc w:val="both"/>
        <w:rPr>
          <w:rFonts w:ascii="Times New Roman" w:eastAsia="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lastRenderedPageBreak/>
        <w:t>Si bien las redes de trata suelen estar formadas por actores no estatales, hay diversas maneras en que los Estados participan y contribuyen a la trata de personas, permitiendo que sea uno de los negocios más lucrativos para las redes y abordando de manera deficiente los vínculos entre la trata y la corrupción. La forma en que algunos Estados diseñan sus sistemas de visados o legislan en materia de migración y extranjería puede contribuir a generar vulnerabilidades de determinados grupos de mujeres a la trata</w:t>
      </w:r>
      <w:r w:rsidRPr="000D099B">
        <w:rPr>
          <w:rStyle w:val="FootnoteReference"/>
          <w:rFonts w:ascii="Times New Roman" w:eastAsia="Times New Roman" w:hAnsi="Times New Roman" w:cs="Times New Roman"/>
          <w:sz w:val="20"/>
          <w:szCs w:val="20"/>
          <w:lang w:val="es-ES" w:eastAsia="es-ES_tradnl"/>
        </w:rPr>
        <w:footnoteReference w:id="38"/>
      </w:r>
      <w:r w:rsidRPr="000D099B">
        <w:rPr>
          <w:rFonts w:ascii="Times New Roman" w:eastAsia="Times New Roman" w:hAnsi="Times New Roman" w:cs="Times New Roman"/>
          <w:sz w:val="20"/>
          <w:szCs w:val="20"/>
          <w:lang w:val="es-ES" w:eastAsia="es-ES_tradnl"/>
        </w:rPr>
        <w:t>. Asimismo, el cierre de las rutas migratorias seguras y legales por parte de ciertos Estados impacta de manera evidente en la creación de rutas migratorias alternativas que son inseguras y que quedan a merced del abuso y de la violencia de tratantes y traficantes de personas</w:t>
      </w:r>
      <w:r w:rsidRPr="000D099B">
        <w:rPr>
          <w:rStyle w:val="FootnoteReference"/>
          <w:rFonts w:ascii="Times New Roman" w:eastAsia="Times New Roman" w:hAnsi="Times New Roman" w:cs="Times New Roman"/>
          <w:sz w:val="20"/>
          <w:szCs w:val="20"/>
          <w:lang w:val="es-ES" w:eastAsia="es-ES_tradnl"/>
        </w:rPr>
        <w:footnoteReference w:id="39"/>
      </w:r>
      <w:r w:rsidRPr="000D099B">
        <w:rPr>
          <w:rFonts w:ascii="Times New Roman" w:eastAsia="Times New Roman" w:hAnsi="Times New Roman" w:cs="Times New Roman"/>
          <w:sz w:val="20"/>
          <w:szCs w:val="20"/>
          <w:lang w:val="es-ES" w:eastAsia="es-ES_tradnl"/>
        </w:rPr>
        <w:t xml:space="preserve">. La acción de los Estados en materia de trata de personas debe además guiarse por el principio de coherencia, de forma que las políticas y leyes relativas a seguridad, protección de fronteras, migración, extranjería y regulación del espacio público no menoscaben la protección que los Estados tienen la obligación de brindar a las víctimas, ni su derecho de acceso a la justicia y a reparaciones.  </w:t>
      </w:r>
    </w:p>
    <w:p w:rsidR="000C6704" w:rsidRPr="000D099B" w:rsidRDefault="000C6704" w:rsidP="00437B02">
      <w:pPr>
        <w:pStyle w:val="ListParagraph"/>
        <w:rPr>
          <w:rFonts w:ascii="Times New Roman" w:eastAsia="Times New Roman" w:hAnsi="Times New Roman" w:cs="Times New Roman"/>
          <w:sz w:val="20"/>
          <w:szCs w:val="20"/>
          <w:lang w:val="es-ES" w:eastAsia="es-ES_tradnl"/>
        </w:rPr>
      </w:pPr>
    </w:p>
    <w:p w:rsidR="000C6704" w:rsidRPr="000D099B" w:rsidRDefault="000C6704" w:rsidP="00437B02">
      <w:pPr>
        <w:pStyle w:val="ListParagraph"/>
        <w:numPr>
          <w:ilvl w:val="0"/>
          <w:numId w:val="9"/>
        </w:numPr>
        <w:ind w:left="0"/>
        <w:jc w:val="both"/>
        <w:rPr>
          <w:rFonts w:ascii="Times New Roman" w:hAnsi="Times New Roman" w:cs="Times New Roman"/>
          <w:sz w:val="20"/>
          <w:szCs w:val="20"/>
          <w:lang w:val="es-ES" w:eastAsia="es-ES_tradnl"/>
        </w:rPr>
      </w:pPr>
      <w:r w:rsidRPr="000D099B">
        <w:rPr>
          <w:rFonts w:ascii="Times New Roman" w:eastAsia="Times New Roman" w:hAnsi="Times New Roman" w:cs="Times New Roman"/>
          <w:sz w:val="20"/>
          <w:szCs w:val="20"/>
          <w:lang w:val="es-ES" w:eastAsia="es-ES_tradnl"/>
        </w:rPr>
        <w:t>La identificación de las víctimas sigue siendo un reto en un gran número de Estados</w:t>
      </w:r>
      <w:r w:rsidRPr="000D099B">
        <w:rPr>
          <w:rStyle w:val="FootnoteReference"/>
          <w:rFonts w:ascii="Times New Roman" w:eastAsia="Times New Roman" w:hAnsi="Times New Roman" w:cs="Times New Roman"/>
          <w:sz w:val="20"/>
          <w:szCs w:val="20"/>
          <w:lang w:val="es-ES" w:eastAsia="es-ES_tradnl"/>
        </w:rPr>
        <w:footnoteReference w:id="40"/>
      </w:r>
      <w:r w:rsidRPr="000D099B">
        <w:rPr>
          <w:rFonts w:ascii="Times New Roman" w:eastAsia="Times New Roman" w:hAnsi="Times New Roman" w:cs="Times New Roman"/>
          <w:sz w:val="20"/>
          <w:szCs w:val="20"/>
          <w:lang w:val="es-ES" w:eastAsia="es-ES_tradnl"/>
        </w:rPr>
        <w:t xml:space="preserve">. La identificación es el paso esencial para que cualquier víctima de trata tenga acceso al sistema de protección reconocido para las víctimas y a los derechos que se derivan del mismo. Una legislación sobre trata que no tenga un enfoque de derechos humanos ni incorpore una perspectiva de género deriva en procesos de identificación ineficientes y sin las debidas garantías para las víctimas. Los efectos perjudiciales del establecimiento de mecanismos de identificación deficientes afectan de manera desproporcionada a mujeres y niñas, por cuanto ellas constituyen el principal grupo afectado por la trata con </w:t>
      </w:r>
      <w:r w:rsidRPr="000D099B">
        <w:rPr>
          <w:rFonts w:ascii="Times New Roman" w:eastAsia="Times New Roman" w:hAnsi="Times New Roman" w:cs="Times New Roman"/>
          <w:sz w:val="20"/>
          <w:szCs w:val="20"/>
          <w:lang w:val="es-ES" w:eastAsia="es-ES_tradnl"/>
        </w:rPr>
        <w:lastRenderedPageBreak/>
        <w:t>fines de explotación sexual en el mundo</w:t>
      </w:r>
      <w:r w:rsidRPr="000D099B">
        <w:rPr>
          <w:rStyle w:val="FootnoteReference"/>
          <w:rFonts w:ascii="Times New Roman" w:eastAsia="Times New Roman" w:hAnsi="Times New Roman" w:cs="Times New Roman"/>
          <w:sz w:val="20"/>
          <w:szCs w:val="20"/>
          <w:lang w:val="es-ES" w:eastAsia="es-ES_tradnl"/>
        </w:rPr>
        <w:footnoteReference w:id="41"/>
      </w:r>
      <w:r w:rsidRPr="000D099B">
        <w:rPr>
          <w:rFonts w:ascii="Times New Roman" w:eastAsia="Times New Roman" w:hAnsi="Times New Roman" w:cs="Times New Roman"/>
          <w:sz w:val="20"/>
          <w:szCs w:val="20"/>
          <w:lang w:val="es-ES" w:eastAsia="es-ES_tradnl"/>
        </w:rPr>
        <w:t xml:space="preserve">. </w:t>
      </w:r>
      <w:r w:rsidRPr="000D099B">
        <w:rPr>
          <w:rFonts w:ascii="Times New Roman" w:hAnsi="Times New Roman" w:cs="Times New Roman"/>
          <w:sz w:val="20"/>
          <w:szCs w:val="20"/>
        </w:rPr>
        <w:t>La identificación debe producirse en base a indicios. La Organización Internacional del Trabajo (OIT) y la Oficina de Naciones Unidas contra la Droga y el Delito (UNODC) han elaborado listados de indicios para identificar a potenciales víctimas</w:t>
      </w:r>
      <w:r w:rsidRPr="000D099B">
        <w:rPr>
          <w:rFonts w:ascii="Times New Roman" w:hAnsi="Times New Roman" w:cs="Times New Roman"/>
          <w:sz w:val="20"/>
          <w:szCs w:val="20"/>
          <w:vertAlign w:val="superscript"/>
        </w:rPr>
        <w:footnoteReference w:id="42"/>
      </w:r>
      <w:r w:rsidRPr="000D099B">
        <w:rPr>
          <w:rFonts w:ascii="Times New Roman" w:hAnsi="Times New Roman" w:cs="Times New Roman"/>
          <w:sz w:val="20"/>
          <w:szCs w:val="20"/>
        </w:rPr>
        <w:t>. Las víctimas no están obligadas a “acreditar” su condición de víctima, sino que las autoridades deben realizar una identificación basada en indicios y, a partir de los mismos, iniciar una investigación desprovista de estereotipos de género, de raza o de cualquier otro tipo.</w:t>
      </w:r>
    </w:p>
    <w:p w:rsidR="00287A03" w:rsidRPr="000D099B" w:rsidRDefault="004F50D2" w:rsidP="00437B02">
      <w:pPr>
        <w:rPr>
          <w:sz w:val="20"/>
          <w:szCs w:val="20"/>
        </w:rPr>
      </w:pPr>
    </w:p>
    <w:sectPr w:rsidR="00287A03" w:rsidRPr="000D099B" w:rsidSect="000D099B">
      <w:headerReference w:type="default" r:id="rId7"/>
      <w:footerReference w:type="even" r:id="rId8"/>
      <w:footerReference w:type="default" r:id="rId9"/>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1FC" w:rsidRDefault="00C671FC" w:rsidP="000C6704">
      <w:r>
        <w:separator/>
      </w:r>
    </w:p>
  </w:endnote>
  <w:endnote w:type="continuationSeparator" w:id="0">
    <w:p w:rsidR="00C671FC" w:rsidRDefault="00C671FC" w:rsidP="000C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77147289"/>
      <w:docPartObj>
        <w:docPartGallery w:val="Page Numbers (Bottom of Page)"/>
        <w:docPartUnique/>
      </w:docPartObj>
    </w:sdtPr>
    <w:sdtEndPr>
      <w:rPr>
        <w:rStyle w:val="PageNumber"/>
      </w:rPr>
    </w:sdtEndPr>
    <w:sdtContent>
      <w:p w:rsidR="0006449E" w:rsidRDefault="00C671FC" w:rsidP="000644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6449E" w:rsidRDefault="004F50D2" w:rsidP="007227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Fonts w:ascii="Times New Roman" w:hAnsi="Times New Roman" w:cs="Times New Roman"/>
        <w:sz w:val="22"/>
      </w:rPr>
      <w:id w:val="2103991377"/>
      <w:docPartObj>
        <w:docPartGallery w:val="Page Numbers (Bottom of Page)"/>
        <w:docPartUnique/>
      </w:docPartObj>
    </w:sdtPr>
    <w:sdtEndPr>
      <w:rPr>
        <w:rStyle w:val="PageNumber"/>
        <w:sz w:val="16"/>
        <w:szCs w:val="18"/>
      </w:rPr>
    </w:sdtEndPr>
    <w:sdtContent>
      <w:p w:rsidR="0006449E" w:rsidRPr="00DE2F22" w:rsidRDefault="00C671FC" w:rsidP="0006449E">
        <w:pPr>
          <w:pStyle w:val="Footer"/>
          <w:framePr w:wrap="none" w:vAnchor="text" w:hAnchor="margin" w:xAlign="right" w:y="1"/>
          <w:rPr>
            <w:rStyle w:val="PageNumber"/>
            <w:rFonts w:ascii="Times New Roman" w:hAnsi="Times New Roman" w:cs="Times New Roman"/>
            <w:sz w:val="22"/>
          </w:rPr>
        </w:pPr>
        <w:r w:rsidRPr="00DE2F22">
          <w:rPr>
            <w:rStyle w:val="PageNumber"/>
            <w:rFonts w:ascii="Times New Roman" w:hAnsi="Times New Roman" w:cs="Times New Roman"/>
            <w:sz w:val="16"/>
            <w:szCs w:val="18"/>
          </w:rPr>
          <w:fldChar w:fldCharType="begin"/>
        </w:r>
        <w:r w:rsidRPr="00DE2F22">
          <w:rPr>
            <w:rStyle w:val="PageNumber"/>
            <w:rFonts w:ascii="Times New Roman" w:hAnsi="Times New Roman" w:cs="Times New Roman"/>
            <w:sz w:val="16"/>
            <w:szCs w:val="18"/>
          </w:rPr>
          <w:instrText xml:space="preserve"> PAGE </w:instrText>
        </w:r>
        <w:r w:rsidRPr="00DE2F22">
          <w:rPr>
            <w:rStyle w:val="PageNumber"/>
            <w:rFonts w:ascii="Times New Roman" w:hAnsi="Times New Roman" w:cs="Times New Roman"/>
            <w:sz w:val="16"/>
            <w:szCs w:val="18"/>
          </w:rPr>
          <w:fldChar w:fldCharType="separate"/>
        </w:r>
        <w:r w:rsidR="004F50D2">
          <w:rPr>
            <w:rStyle w:val="PageNumber"/>
            <w:rFonts w:ascii="Times New Roman" w:hAnsi="Times New Roman" w:cs="Times New Roman"/>
            <w:noProof/>
            <w:sz w:val="16"/>
            <w:szCs w:val="18"/>
          </w:rPr>
          <w:t>5</w:t>
        </w:r>
        <w:r w:rsidRPr="00DE2F22">
          <w:rPr>
            <w:rStyle w:val="PageNumber"/>
            <w:rFonts w:ascii="Times New Roman" w:hAnsi="Times New Roman" w:cs="Times New Roman"/>
            <w:sz w:val="16"/>
            <w:szCs w:val="18"/>
          </w:rPr>
          <w:fldChar w:fldCharType="end"/>
        </w:r>
      </w:p>
    </w:sdtContent>
  </w:sdt>
  <w:p w:rsidR="0006449E" w:rsidRDefault="004F50D2" w:rsidP="0072279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1FC" w:rsidRDefault="00C671FC" w:rsidP="000C6704">
      <w:r>
        <w:separator/>
      </w:r>
    </w:p>
  </w:footnote>
  <w:footnote w:type="continuationSeparator" w:id="0">
    <w:p w:rsidR="00C671FC" w:rsidRDefault="00C671FC" w:rsidP="000C6704">
      <w:r>
        <w:continuationSeparator/>
      </w:r>
    </w:p>
  </w:footnote>
  <w:footnote w:id="1">
    <w:p w:rsidR="000C6704" w:rsidRPr="00374C53" w:rsidRDefault="000C6704" w:rsidP="000C6704">
      <w:pPr>
        <w:pStyle w:val="FootnoteText"/>
        <w:spacing w:after="0" w:line="240" w:lineRule="auto"/>
        <w:jc w:val="both"/>
        <w:rPr>
          <w:color w:val="000000" w:themeColor="text1"/>
          <w:sz w:val="13"/>
          <w:szCs w:val="13"/>
        </w:rPr>
      </w:pPr>
      <w:r w:rsidRPr="00374C53">
        <w:rPr>
          <w:rStyle w:val="FootnoteReference"/>
          <w:color w:val="000000" w:themeColor="text1"/>
          <w:sz w:val="13"/>
          <w:szCs w:val="13"/>
        </w:rPr>
        <w:footnoteRef/>
      </w:r>
      <w:r w:rsidRPr="00374C53">
        <w:rPr>
          <w:color w:val="000000" w:themeColor="text1"/>
          <w:sz w:val="13"/>
          <w:szCs w:val="13"/>
        </w:rPr>
        <w:t xml:space="preserve"> </w:t>
      </w:r>
      <w:r w:rsidRPr="00374C53">
        <w:rPr>
          <w:color w:val="000000" w:themeColor="text1"/>
          <w:sz w:val="13"/>
          <w:szCs w:val="13"/>
          <w:lang w:val="es-ES"/>
        </w:rPr>
        <w:t xml:space="preserve">ONU. </w:t>
      </w:r>
      <w:r w:rsidRPr="00374C53">
        <w:rPr>
          <w:color w:val="000000" w:themeColor="text1"/>
          <w:sz w:val="13"/>
          <w:szCs w:val="13"/>
        </w:rPr>
        <w:t>Asamblea General de las Naciones Unidas</w:t>
      </w:r>
      <w:r w:rsidRPr="00374C53">
        <w:rPr>
          <w:color w:val="000000" w:themeColor="text1"/>
          <w:sz w:val="13"/>
          <w:szCs w:val="13"/>
          <w:lang w:val="es-ES"/>
        </w:rPr>
        <w:t>, 2015</w:t>
      </w:r>
      <w:r w:rsidRPr="00374C53">
        <w:rPr>
          <w:color w:val="000000" w:themeColor="text1"/>
          <w:sz w:val="13"/>
          <w:szCs w:val="13"/>
        </w:rPr>
        <w:t xml:space="preserve">. </w:t>
      </w:r>
      <w:r w:rsidRPr="00374C53">
        <w:rPr>
          <w:i/>
          <w:color w:val="000000" w:themeColor="text1"/>
          <w:sz w:val="13"/>
          <w:szCs w:val="13"/>
        </w:rPr>
        <w:t>Informe de la Relatora Especial sobre la trata de personas, especialmente mujeres y niños</w:t>
      </w:r>
      <w:r w:rsidRPr="00374C53">
        <w:rPr>
          <w:color w:val="000000" w:themeColor="text1"/>
          <w:sz w:val="13"/>
          <w:szCs w:val="13"/>
        </w:rPr>
        <w:t xml:space="preserve">, A/70/260, </w:t>
      </w:r>
      <w:r w:rsidRPr="00374C53">
        <w:rPr>
          <w:color w:val="000000" w:themeColor="text1"/>
          <w:sz w:val="13"/>
          <w:szCs w:val="13"/>
          <w:lang w:val="es-ES"/>
        </w:rPr>
        <w:t xml:space="preserve">de </w:t>
      </w:r>
      <w:r w:rsidRPr="00374C53">
        <w:rPr>
          <w:color w:val="000000" w:themeColor="text1"/>
          <w:sz w:val="13"/>
          <w:szCs w:val="13"/>
        </w:rPr>
        <w:t xml:space="preserve">03 de agosto, párr. 24. </w:t>
      </w:r>
    </w:p>
  </w:footnote>
  <w:footnote w:id="2">
    <w:p w:rsidR="000C6704" w:rsidRPr="00374C53" w:rsidRDefault="000C6704" w:rsidP="000C6704">
      <w:pPr>
        <w:jc w:val="both"/>
        <w:rPr>
          <w:sz w:val="13"/>
          <w:szCs w:val="13"/>
        </w:rPr>
      </w:pPr>
      <w:r w:rsidRPr="00374C53">
        <w:rPr>
          <w:color w:val="000000" w:themeColor="text1"/>
          <w:sz w:val="13"/>
          <w:szCs w:val="13"/>
          <w:vertAlign w:val="superscript"/>
        </w:rPr>
        <w:footnoteRef/>
      </w:r>
      <w:r w:rsidRPr="00374C53">
        <w:rPr>
          <w:color w:val="000000" w:themeColor="text1"/>
          <w:sz w:val="13"/>
          <w:szCs w:val="13"/>
          <w:vertAlign w:val="superscript"/>
        </w:rPr>
        <w:t xml:space="preserve"> </w:t>
      </w:r>
      <w:r w:rsidRPr="00374C53">
        <w:rPr>
          <w:color w:val="000000" w:themeColor="text1"/>
          <w:sz w:val="13"/>
          <w:szCs w:val="13"/>
        </w:rPr>
        <w:t xml:space="preserve">ONU. Asamblea General de las Naciones Unidas, 2018. </w:t>
      </w:r>
      <w:r w:rsidRPr="00374C53">
        <w:rPr>
          <w:i/>
          <w:color w:val="000000" w:themeColor="text1"/>
          <w:sz w:val="13"/>
          <w:szCs w:val="13"/>
        </w:rPr>
        <w:t xml:space="preserve">Informe de la Relatora Especial sobre la trata de personas, especialmente mujeres y niños, sobre su misión a Cuba, </w:t>
      </w:r>
      <w:r w:rsidRPr="00374C53">
        <w:rPr>
          <w:color w:val="000000" w:themeColor="text1"/>
          <w:sz w:val="13"/>
          <w:szCs w:val="13"/>
        </w:rPr>
        <w:t>A/HRC/38/45/Add.1</w:t>
      </w:r>
      <w:r w:rsidRPr="00374C53">
        <w:rPr>
          <w:color w:val="000000" w:themeColor="text1"/>
          <w:sz w:val="13"/>
          <w:szCs w:val="13"/>
          <w:lang w:val="nl-NL"/>
        </w:rPr>
        <w:t>.</w:t>
      </w:r>
      <w:r w:rsidRPr="00374C53">
        <w:rPr>
          <w:rFonts w:eastAsia="Calibri"/>
          <w:color w:val="000000" w:themeColor="text1"/>
          <w:sz w:val="13"/>
          <w:szCs w:val="13"/>
          <w:lang w:val="x-none"/>
        </w:rPr>
        <w:t>, párr. 91. Véase</w:t>
      </w:r>
      <w:r w:rsidRPr="00374C53">
        <w:rPr>
          <w:rFonts w:eastAsia="Calibri"/>
          <w:color w:val="000000" w:themeColor="text1"/>
          <w:sz w:val="13"/>
          <w:szCs w:val="13"/>
        </w:rPr>
        <w:t xml:space="preserve">, también: TEDH, 2010. </w:t>
      </w:r>
      <w:r w:rsidRPr="00374C53">
        <w:rPr>
          <w:rFonts w:eastAsia="Calibri"/>
          <w:i/>
          <w:color w:val="000000" w:themeColor="text1"/>
          <w:sz w:val="13"/>
          <w:szCs w:val="13"/>
        </w:rPr>
        <w:t>Caso</w:t>
      </w:r>
      <w:r w:rsidRPr="00374C53">
        <w:rPr>
          <w:rFonts w:eastAsia="Calibri"/>
          <w:i/>
          <w:color w:val="000000" w:themeColor="text1"/>
          <w:sz w:val="13"/>
          <w:szCs w:val="13"/>
          <w:lang w:val="x-none"/>
        </w:rPr>
        <w:t xml:space="preserve"> Rantsev c. Chipre y Rusia</w:t>
      </w:r>
      <w:r w:rsidRPr="00374C53">
        <w:rPr>
          <w:rFonts w:eastAsia="Calibri"/>
          <w:color w:val="000000" w:themeColor="text1"/>
          <w:sz w:val="13"/>
          <w:szCs w:val="13"/>
          <w:lang w:val="x-none"/>
        </w:rPr>
        <w:t>,</w:t>
      </w:r>
      <w:r w:rsidRPr="00374C53">
        <w:rPr>
          <w:rFonts w:eastAsia="Calibri"/>
          <w:color w:val="000000" w:themeColor="text1"/>
          <w:sz w:val="13"/>
          <w:szCs w:val="13"/>
        </w:rPr>
        <w:t xml:space="preserve"> Comunicación núm.</w:t>
      </w:r>
      <w:r w:rsidRPr="00374C53">
        <w:rPr>
          <w:rFonts w:eastAsia="Calibri"/>
          <w:color w:val="000000" w:themeColor="text1"/>
          <w:sz w:val="13"/>
          <w:szCs w:val="13"/>
          <w:lang w:val="x-none"/>
        </w:rPr>
        <w:t xml:space="preserve"> </w:t>
      </w:r>
      <w:r w:rsidRPr="00374C53">
        <w:rPr>
          <w:rFonts w:eastAsia="Calibri"/>
          <w:color w:val="000000" w:themeColor="text1"/>
          <w:sz w:val="13"/>
          <w:szCs w:val="13"/>
        </w:rPr>
        <w:t>25965/04, de 7 de enero</w:t>
      </w:r>
      <w:r w:rsidRPr="00374C53">
        <w:rPr>
          <w:rFonts w:eastAsia="Calibri"/>
          <w:color w:val="000000" w:themeColor="text1"/>
          <w:sz w:val="13"/>
          <w:szCs w:val="13"/>
          <w:lang w:val="x-none"/>
        </w:rPr>
        <w:t>.</w:t>
      </w:r>
    </w:p>
  </w:footnote>
  <w:footnote w:id="3">
    <w:p w:rsidR="000C6704" w:rsidRPr="00374C53" w:rsidRDefault="000C6704" w:rsidP="000C6704">
      <w:pPr>
        <w:pStyle w:val="FootnoteText"/>
        <w:spacing w:after="0" w:line="240" w:lineRule="auto"/>
        <w:jc w:val="both"/>
        <w:rPr>
          <w:sz w:val="13"/>
          <w:szCs w:val="13"/>
        </w:rPr>
      </w:pPr>
      <w:r w:rsidRPr="00374C53">
        <w:rPr>
          <w:rStyle w:val="PageNumber"/>
          <w:sz w:val="13"/>
          <w:szCs w:val="13"/>
          <w:vertAlign w:val="superscript"/>
        </w:rPr>
        <w:footnoteRef/>
      </w:r>
      <w:r w:rsidRPr="00374C53">
        <w:rPr>
          <w:rStyle w:val="PageNumber"/>
          <w:sz w:val="13"/>
          <w:szCs w:val="13"/>
        </w:rPr>
        <w:t xml:space="preserve"> ONU. Asamblea General, 2015. </w:t>
      </w:r>
      <w:r w:rsidRPr="00374C53">
        <w:rPr>
          <w:rStyle w:val="PageNumber"/>
          <w:i/>
          <w:iCs/>
          <w:sz w:val="13"/>
          <w:szCs w:val="13"/>
        </w:rPr>
        <w:t>Informe de la Relatora Especial sobre la trata de personas, especialmente mujeres y niños</w:t>
      </w:r>
      <w:r w:rsidRPr="00374C53">
        <w:rPr>
          <w:rStyle w:val="PageNumber"/>
          <w:sz w:val="13"/>
          <w:szCs w:val="13"/>
        </w:rPr>
        <w:t>, A/70/260,</w:t>
      </w:r>
      <w:r w:rsidRPr="00374C53">
        <w:rPr>
          <w:color w:val="000000" w:themeColor="text1"/>
          <w:sz w:val="13"/>
          <w:szCs w:val="13"/>
          <w:lang w:val="es-ES"/>
        </w:rPr>
        <w:t xml:space="preserve"> de </w:t>
      </w:r>
      <w:r w:rsidRPr="00374C53">
        <w:rPr>
          <w:color w:val="000000" w:themeColor="text1"/>
          <w:sz w:val="13"/>
          <w:szCs w:val="13"/>
        </w:rPr>
        <w:t>03 de agosto</w:t>
      </w:r>
      <w:r w:rsidRPr="00374C53">
        <w:rPr>
          <w:color w:val="000000" w:themeColor="text1"/>
          <w:sz w:val="13"/>
          <w:szCs w:val="13"/>
          <w:lang w:val="es-ES"/>
        </w:rPr>
        <w:t>,</w:t>
      </w:r>
      <w:r w:rsidRPr="00374C53">
        <w:rPr>
          <w:rStyle w:val="PageNumber"/>
          <w:sz w:val="13"/>
          <w:szCs w:val="13"/>
        </w:rPr>
        <w:t xml:space="preserve"> párr</w:t>
      </w:r>
      <w:r w:rsidRPr="00374C53">
        <w:rPr>
          <w:rStyle w:val="PageNumber"/>
          <w:sz w:val="13"/>
          <w:szCs w:val="13"/>
          <w:lang w:val="es-ES"/>
        </w:rPr>
        <w:t>.</w:t>
      </w:r>
      <w:r w:rsidRPr="00374C53">
        <w:rPr>
          <w:rStyle w:val="PageNumber"/>
          <w:sz w:val="13"/>
          <w:szCs w:val="13"/>
        </w:rPr>
        <w:t xml:space="preserve"> 36.</w:t>
      </w:r>
    </w:p>
  </w:footnote>
  <w:footnote w:id="4">
    <w:p w:rsidR="000C6704" w:rsidRPr="00374C53" w:rsidRDefault="000C6704" w:rsidP="000C6704">
      <w:pPr>
        <w:pStyle w:val="FootnoteText"/>
        <w:spacing w:after="0" w:line="240" w:lineRule="auto"/>
        <w:jc w:val="both"/>
        <w:rPr>
          <w:sz w:val="13"/>
          <w:szCs w:val="13"/>
          <w:lang w:val="es-ES"/>
        </w:rPr>
      </w:pPr>
      <w:r w:rsidRPr="00374C53">
        <w:rPr>
          <w:rStyle w:val="PageNumber"/>
          <w:sz w:val="13"/>
          <w:szCs w:val="13"/>
          <w:vertAlign w:val="superscript"/>
        </w:rPr>
        <w:footnoteRef/>
      </w:r>
      <w:r w:rsidRPr="00374C53">
        <w:rPr>
          <w:rStyle w:val="PageNumber"/>
          <w:sz w:val="13"/>
          <w:szCs w:val="13"/>
        </w:rPr>
        <w:t xml:space="preserve"> ONU. Asamblea General, 2015. </w:t>
      </w:r>
      <w:r w:rsidRPr="00374C53">
        <w:rPr>
          <w:rStyle w:val="PageNumber"/>
          <w:i/>
          <w:iCs/>
          <w:sz w:val="13"/>
          <w:szCs w:val="13"/>
        </w:rPr>
        <w:t>Informe de la Relatora Especial sobre la trata de personas, especialmente mujeres y niños</w:t>
      </w:r>
      <w:r w:rsidRPr="00374C53">
        <w:rPr>
          <w:rStyle w:val="PageNumber"/>
          <w:sz w:val="13"/>
          <w:szCs w:val="13"/>
        </w:rPr>
        <w:t xml:space="preserve">, A/70/260, </w:t>
      </w:r>
      <w:r w:rsidRPr="00374C53">
        <w:rPr>
          <w:color w:val="000000" w:themeColor="text1"/>
          <w:sz w:val="13"/>
          <w:szCs w:val="13"/>
          <w:lang w:val="es-ES"/>
        </w:rPr>
        <w:t xml:space="preserve">de </w:t>
      </w:r>
      <w:r w:rsidRPr="00374C53">
        <w:rPr>
          <w:color w:val="000000" w:themeColor="text1"/>
          <w:sz w:val="13"/>
          <w:szCs w:val="13"/>
        </w:rPr>
        <w:t>03 de agosto</w:t>
      </w:r>
      <w:r w:rsidRPr="00374C53">
        <w:rPr>
          <w:color w:val="000000" w:themeColor="text1"/>
          <w:sz w:val="13"/>
          <w:szCs w:val="13"/>
          <w:lang w:val="es-ES"/>
        </w:rPr>
        <w:t>,</w:t>
      </w:r>
      <w:r w:rsidRPr="00374C53">
        <w:rPr>
          <w:rStyle w:val="PageNumber"/>
          <w:sz w:val="13"/>
          <w:szCs w:val="13"/>
        </w:rPr>
        <w:t xml:space="preserve"> párr</w:t>
      </w:r>
      <w:r w:rsidRPr="00374C53">
        <w:rPr>
          <w:rStyle w:val="PageNumber"/>
          <w:sz w:val="13"/>
          <w:szCs w:val="13"/>
          <w:lang w:val="es-ES"/>
        </w:rPr>
        <w:t>.</w:t>
      </w:r>
      <w:r w:rsidRPr="00374C53">
        <w:rPr>
          <w:rStyle w:val="PageNumber"/>
          <w:sz w:val="13"/>
          <w:szCs w:val="13"/>
        </w:rPr>
        <w:t xml:space="preserve"> 36</w:t>
      </w:r>
      <w:r w:rsidRPr="00374C53">
        <w:rPr>
          <w:rStyle w:val="PageNumber"/>
          <w:sz w:val="13"/>
          <w:szCs w:val="13"/>
          <w:lang w:val="es-ES"/>
        </w:rPr>
        <w:t>.</w:t>
      </w:r>
    </w:p>
  </w:footnote>
  <w:footnote w:id="5">
    <w:p w:rsidR="000C6704" w:rsidRPr="00374C53" w:rsidRDefault="000C6704" w:rsidP="000C6704">
      <w:pPr>
        <w:jc w:val="both"/>
        <w:rPr>
          <w:sz w:val="13"/>
          <w:szCs w:val="13"/>
        </w:rPr>
      </w:pPr>
      <w:r w:rsidRPr="00374C53">
        <w:rPr>
          <w:rStyle w:val="FootnoteReference"/>
          <w:sz w:val="13"/>
          <w:szCs w:val="13"/>
        </w:rPr>
        <w:footnoteRef/>
      </w:r>
      <w:r w:rsidRPr="00374C53">
        <w:rPr>
          <w:sz w:val="13"/>
          <w:szCs w:val="13"/>
          <w:lang w:val="en-US"/>
        </w:rPr>
        <w:t xml:space="preserve"> </w:t>
      </w:r>
      <w:r w:rsidRPr="00374C53">
        <w:rPr>
          <w:rStyle w:val="PageNumber"/>
          <w:rFonts w:eastAsia="Calibri"/>
          <w:sz w:val="13"/>
          <w:szCs w:val="13"/>
          <w:lang w:val="x-none" w:eastAsia="en-US"/>
        </w:rPr>
        <w:t>P</w:t>
      </w:r>
      <w:r w:rsidRPr="00374C53">
        <w:rPr>
          <w:rStyle w:val="PageNumber"/>
          <w:sz w:val="13"/>
          <w:szCs w:val="13"/>
          <w:lang w:val="en-US"/>
        </w:rPr>
        <w:t xml:space="preserve">arlamento Europeo, 2016. “Anex 6. Implementation of Directive 2011/36/EU from a gender perspective in Spain” en </w:t>
      </w:r>
      <w:r w:rsidRPr="00374C53">
        <w:rPr>
          <w:rStyle w:val="PageNumber"/>
          <w:rFonts w:eastAsia="Calibri"/>
          <w:i/>
          <w:iCs/>
          <w:sz w:val="13"/>
          <w:szCs w:val="13"/>
          <w:lang w:val="x-none" w:eastAsia="en-US"/>
        </w:rPr>
        <w:t>Trafficking in Human Beings from a Gender Perspective Directive 2011/36/EU</w:t>
      </w:r>
      <w:r w:rsidRPr="00374C53">
        <w:rPr>
          <w:rStyle w:val="PageNumber"/>
          <w:rFonts w:eastAsia="Calibri"/>
          <w:i/>
          <w:iCs/>
          <w:sz w:val="13"/>
          <w:szCs w:val="13"/>
          <w:lang w:val="en-US" w:eastAsia="en-US"/>
        </w:rPr>
        <w:t xml:space="preserve">. </w:t>
      </w:r>
      <w:r w:rsidRPr="00374C53">
        <w:rPr>
          <w:rStyle w:val="PageNumber"/>
          <w:rFonts w:eastAsia="Calibri"/>
          <w:i/>
          <w:iCs/>
          <w:sz w:val="13"/>
          <w:szCs w:val="13"/>
          <w:lang w:eastAsia="en-US"/>
        </w:rPr>
        <w:t xml:space="preserve">European Implementation Assesment, </w:t>
      </w:r>
      <w:r w:rsidRPr="00374C53">
        <w:rPr>
          <w:rStyle w:val="PageNumber"/>
          <w:rFonts w:eastAsia="Calibri"/>
          <w:iCs/>
          <w:sz w:val="13"/>
          <w:szCs w:val="13"/>
          <w:lang w:eastAsia="en-US"/>
        </w:rPr>
        <w:t xml:space="preserve">p. 227. </w:t>
      </w:r>
      <w:r w:rsidRPr="00374C53">
        <w:rPr>
          <w:color w:val="000000" w:themeColor="text1"/>
          <w:sz w:val="13"/>
          <w:szCs w:val="13"/>
        </w:rPr>
        <w:t xml:space="preserve">[En línea] Disponible en: </w:t>
      </w:r>
      <w:hyperlink r:id="rId1" w:history="1">
        <w:r w:rsidRPr="00374C53">
          <w:rPr>
            <w:rStyle w:val="Hyperlink"/>
            <w:rFonts w:eastAsia="Calibri"/>
            <w:iCs/>
            <w:sz w:val="13"/>
            <w:szCs w:val="13"/>
            <w:lang w:eastAsia="en-US"/>
          </w:rPr>
          <w:t>www.europarl.europa.eu/RegData/etudes/STUD/2016/581412/EPRS_STU(2016)581412_EN.pdf</w:t>
        </w:r>
      </w:hyperlink>
    </w:p>
  </w:footnote>
  <w:footnote w:id="6">
    <w:p w:rsidR="000C6704" w:rsidRPr="00374C53" w:rsidRDefault="000C6704" w:rsidP="000C6704">
      <w:pPr>
        <w:jc w:val="both"/>
        <w:rPr>
          <w:sz w:val="13"/>
          <w:szCs w:val="13"/>
        </w:rPr>
      </w:pPr>
      <w:r w:rsidRPr="00374C53">
        <w:rPr>
          <w:rStyle w:val="FootnoteReference"/>
          <w:sz w:val="13"/>
          <w:szCs w:val="13"/>
        </w:rPr>
        <w:footnoteRef/>
      </w:r>
      <w:r w:rsidRPr="00374C53">
        <w:rPr>
          <w:sz w:val="13"/>
          <w:szCs w:val="13"/>
          <w:lang w:val="en-US"/>
        </w:rPr>
        <w:t xml:space="preserve"> </w:t>
      </w:r>
      <w:r w:rsidRPr="00374C53">
        <w:rPr>
          <w:rStyle w:val="PageNumber"/>
          <w:sz w:val="13"/>
          <w:szCs w:val="13"/>
          <w:lang w:val="en-US"/>
        </w:rPr>
        <w:t xml:space="preserve">Parlamento Europeo, 2016. “Anex 6. Implementation of Directive 2011/36/EU from a gender perspective in Spain” en </w:t>
      </w:r>
      <w:r w:rsidRPr="00374C53">
        <w:rPr>
          <w:rStyle w:val="PageNumber"/>
          <w:rFonts w:eastAsia="Calibri"/>
          <w:i/>
          <w:iCs/>
          <w:sz w:val="13"/>
          <w:szCs w:val="13"/>
          <w:lang w:val="x-none" w:eastAsia="en-US"/>
        </w:rPr>
        <w:t>Trafficking in Human Beings from a Gender Perspective Directive 2011/36/EU</w:t>
      </w:r>
      <w:r w:rsidRPr="00374C53">
        <w:rPr>
          <w:rStyle w:val="PageNumber"/>
          <w:rFonts w:eastAsia="Calibri"/>
          <w:i/>
          <w:iCs/>
          <w:sz w:val="13"/>
          <w:szCs w:val="13"/>
          <w:lang w:val="en-US" w:eastAsia="en-US"/>
        </w:rPr>
        <w:t xml:space="preserve">. </w:t>
      </w:r>
      <w:r w:rsidRPr="00374C53">
        <w:rPr>
          <w:rStyle w:val="PageNumber"/>
          <w:rFonts w:eastAsia="Calibri"/>
          <w:i/>
          <w:iCs/>
          <w:sz w:val="13"/>
          <w:szCs w:val="13"/>
          <w:lang w:eastAsia="en-US"/>
        </w:rPr>
        <w:t xml:space="preserve">European Implementation Assesment, </w:t>
      </w:r>
      <w:r w:rsidRPr="00374C53">
        <w:rPr>
          <w:rStyle w:val="PageNumber"/>
          <w:rFonts w:eastAsia="Calibri"/>
          <w:iCs/>
          <w:sz w:val="13"/>
          <w:szCs w:val="13"/>
          <w:lang w:eastAsia="en-US"/>
        </w:rPr>
        <w:t xml:space="preserve">p. 227. [En línea] Disponible en: </w:t>
      </w:r>
      <w:hyperlink r:id="rId2" w:history="1">
        <w:r w:rsidRPr="00374C53">
          <w:rPr>
            <w:rStyle w:val="Hyperlink"/>
            <w:rFonts w:eastAsia="Calibri"/>
            <w:iCs/>
            <w:sz w:val="13"/>
            <w:szCs w:val="13"/>
            <w:lang w:eastAsia="en-US"/>
          </w:rPr>
          <w:t>www.europarl.europa.eu/RegData/etudes/STUD/2016/581412/EPRS_STU(2016)581412_EN.pdf</w:t>
        </w:r>
      </w:hyperlink>
      <w:r w:rsidRPr="00374C53">
        <w:rPr>
          <w:rStyle w:val="PageNumber"/>
          <w:rFonts w:eastAsia="Calibri"/>
          <w:iCs/>
          <w:sz w:val="13"/>
          <w:szCs w:val="13"/>
          <w:lang w:eastAsia="en-US"/>
        </w:rPr>
        <w:t xml:space="preserve"> </w:t>
      </w:r>
    </w:p>
  </w:footnote>
  <w:footnote w:id="7">
    <w:p w:rsidR="000C6704" w:rsidRPr="00425C1B" w:rsidRDefault="000C6704" w:rsidP="000C6704">
      <w:pPr>
        <w:jc w:val="both"/>
        <w:rPr>
          <w:sz w:val="13"/>
          <w:szCs w:val="13"/>
        </w:rPr>
      </w:pPr>
      <w:r w:rsidRPr="00425C1B">
        <w:rPr>
          <w:rStyle w:val="FootnoteReference"/>
          <w:sz w:val="13"/>
          <w:szCs w:val="13"/>
        </w:rPr>
        <w:footnoteRef/>
      </w:r>
      <w:r w:rsidRPr="00425C1B">
        <w:rPr>
          <w:sz w:val="13"/>
          <w:szCs w:val="13"/>
        </w:rPr>
        <w:t xml:space="preserve"> “En caso de que la edad de la víctima sea incierta y haya razones para creer que tiene menos de dieciocho años, debe presumirse que se trata de un </w:t>
      </w:r>
      <w:r w:rsidRPr="00425C1B">
        <w:rPr>
          <w:rStyle w:val="highlight"/>
          <w:sz w:val="13"/>
          <w:szCs w:val="13"/>
        </w:rPr>
        <w:t>menor</w:t>
      </w:r>
      <w:r w:rsidRPr="00425C1B">
        <w:rPr>
          <w:sz w:val="13"/>
          <w:szCs w:val="13"/>
        </w:rPr>
        <w:t xml:space="preserve"> y debe prestársele inmediatamente asistencia, apoyo y protección.”</w:t>
      </w:r>
      <w:r w:rsidRPr="00374C53">
        <w:rPr>
          <w:sz w:val="13"/>
          <w:szCs w:val="13"/>
        </w:rPr>
        <w:t xml:space="preserve"> </w:t>
      </w:r>
      <w:r w:rsidRPr="00374C53">
        <w:rPr>
          <w:rStyle w:val="PageNumber"/>
          <w:sz w:val="13"/>
          <w:szCs w:val="13"/>
        </w:rPr>
        <w:t>Directiva 2011/36/UE del Parlamento Europeo y del Consejo, Considerando 22</w:t>
      </w:r>
      <w:r w:rsidRPr="00425C1B">
        <w:rPr>
          <w:sz w:val="13"/>
          <w:szCs w:val="13"/>
        </w:rPr>
        <w:t xml:space="preserve">. </w:t>
      </w:r>
    </w:p>
  </w:footnote>
  <w:footnote w:id="8">
    <w:p w:rsidR="000C6704" w:rsidRPr="00374C53" w:rsidRDefault="000C6704" w:rsidP="000C6704">
      <w:pPr>
        <w:pStyle w:val="FootnoteText"/>
        <w:spacing w:after="0" w:line="240" w:lineRule="auto"/>
        <w:jc w:val="both"/>
        <w:rPr>
          <w:sz w:val="13"/>
          <w:szCs w:val="13"/>
          <w:lang w:val="es-ES"/>
        </w:rPr>
      </w:pPr>
      <w:r w:rsidRPr="00374C53">
        <w:rPr>
          <w:rStyle w:val="PageNumber"/>
          <w:sz w:val="13"/>
          <w:szCs w:val="13"/>
          <w:vertAlign w:val="superscript"/>
        </w:rPr>
        <w:footnoteRef/>
      </w:r>
      <w:r w:rsidRPr="00374C53">
        <w:rPr>
          <w:rStyle w:val="PageNumber"/>
          <w:sz w:val="13"/>
          <w:szCs w:val="13"/>
          <w:vertAlign w:val="superscript"/>
        </w:rPr>
        <w:t xml:space="preserve"> </w:t>
      </w:r>
      <w:bookmarkStart w:id="1" w:name="_Toc534386732"/>
      <w:r w:rsidRPr="00374C53">
        <w:rPr>
          <w:rStyle w:val="PageNumber"/>
          <w:sz w:val="13"/>
          <w:szCs w:val="13"/>
          <w:lang w:val="es-ES"/>
        </w:rPr>
        <w:t xml:space="preserve">ONU. Asamblea General, 2012. </w:t>
      </w:r>
      <w:r w:rsidRPr="00374C53">
        <w:rPr>
          <w:rStyle w:val="PageNumber"/>
          <w:i/>
          <w:iCs/>
          <w:sz w:val="13"/>
          <w:szCs w:val="13"/>
        </w:rPr>
        <w:t>Informe</w:t>
      </w:r>
      <w:r w:rsidRPr="00374C53">
        <w:rPr>
          <w:rStyle w:val="PageNumber"/>
          <w:i/>
          <w:sz w:val="13"/>
          <w:szCs w:val="13"/>
        </w:rPr>
        <w:t xml:space="preserve"> anual</w:t>
      </w:r>
      <w:r w:rsidRPr="00374C53">
        <w:rPr>
          <w:rStyle w:val="PageNumber"/>
          <w:i/>
          <w:sz w:val="13"/>
          <w:szCs w:val="13"/>
          <w:lang w:val="es-ES"/>
        </w:rPr>
        <w:t xml:space="preserve"> de la Relatora Especial sobre la trata de personas, especialmente mujeres y niños</w:t>
      </w:r>
      <w:r w:rsidRPr="00374C53">
        <w:rPr>
          <w:rStyle w:val="PageNumber"/>
          <w:i/>
          <w:sz w:val="13"/>
          <w:szCs w:val="13"/>
        </w:rPr>
        <w:t xml:space="preserve"> al Consejo de Derechos Humanos sobre la aplicación de un enfoque de derechos humanos en la administración de justicia en casos de trata de personas</w:t>
      </w:r>
      <w:r w:rsidRPr="00374C53">
        <w:rPr>
          <w:rStyle w:val="PageNumber"/>
          <w:sz w:val="13"/>
          <w:szCs w:val="13"/>
        </w:rPr>
        <w:t>, A/HRC/20/18 (2012)</w:t>
      </w:r>
      <w:bookmarkEnd w:id="1"/>
      <w:r w:rsidRPr="00374C53">
        <w:rPr>
          <w:rStyle w:val="PageNumber"/>
          <w:sz w:val="13"/>
          <w:szCs w:val="13"/>
          <w:lang w:val="es-ES"/>
        </w:rPr>
        <w:t>, párr. 12.</w:t>
      </w:r>
    </w:p>
  </w:footnote>
  <w:footnote w:id="9">
    <w:p w:rsidR="000C6704" w:rsidRPr="00BC1694"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rStyle w:val="PageNumber"/>
          <w:sz w:val="13"/>
          <w:szCs w:val="13"/>
        </w:rPr>
        <w:t xml:space="preserve">ONU. Asamblea General, 2015. </w:t>
      </w:r>
      <w:r w:rsidRPr="00374C53">
        <w:rPr>
          <w:rStyle w:val="PageNumber"/>
          <w:i/>
          <w:iCs/>
          <w:sz w:val="13"/>
          <w:szCs w:val="13"/>
        </w:rPr>
        <w:t>Informe de la Relatora Especial sobre la trata de personas, especialmente mujeres y niños</w:t>
      </w:r>
      <w:r w:rsidRPr="00374C53">
        <w:rPr>
          <w:rStyle w:val="PageNumber"/>
          <w:sz w:val="13"/>
          <w:szCs w:val="13"/>
        </w:rPr>
        <w:t xml:space="preserve">, A/70/260, </w:t>
      </w:r>
      <w:r w:rsidRPr="00374C53">
        <w:rPr>
          <w:color w:val="000000" w:themeColor="text1"/>
          <w:sz w:val="13"/>
          <w:szCs w:val="13"/>
          <w:lang w:val="es-ES"/>
        </w:rPr>
        <w:t xml:space="preserve">de </w:t>
      </w:r>
      <w:r w:rsidRPr="00374C53">
        <w:rPr>
          <w:color w:val="000000" w:themeColor="text1"/>
          <w:sz w:val="13"/>
          <w:szCs w:val="13"/>
        </w:rPr>
        <w:t>03 de agosto</w:t>
      </w:r>
      <w:r w:rsidRPr="00374C53">
        <w:rPr>
          <w:color w:val="000000" w:themeColor="text1"/>
          <w:sz w:val="13"/>
          <w:szCs w:val="13"/>
          <w:lang w:val="es-ES"/>
        </w:rPr>
        <w:t xml:space="preserve">, </w:t>
      </w:r>
      <w:r w:rsidRPr="00374C53">
        <w:rPr>
          <w:rStyle w:val="PageNumber"/>
          <w:sz w:val="13"/>
          <w:szCs w:val="13"/>
        </w:rPr>
        <w:t>párr</w:t>
      </w:r>
      <w:r w:rsidRPr="00374C53">
        <w:rPr>
          <w:rStyle w:val="PageNumber"/>
          <w:sz w:val="13"/>
          <w:szCs w:val="13"/>
          <w:lang w:val="es-ES"/>
        </w:rPr>
        <w:t>.</w:t>
      </w:r>
      <w:r w:rsidRPr="00374C53">
        <w:rPr>
          <w:rStyle w:val="PageNumber"/>
          <w:sz w:val="13"/>
          <w:szCs w:val="13"/>
        </w:rPr>
        <w:t xml:space="preserve"> </w:t>
      </w:r>
      <w:r w:rsidRPr="00BC1694">
        <w:rPr>
          <w:rStyle w:val="PageNumber"/>
          <w:sz w:val="13"/>
          <w:szCs w:val="13"/>
          <w:lang w:val="es-ES"/>
        </w:rPr>
        <w:t>29.</w:t>
      </w:r>
    </w:p>
  </w:footnote>
  <w:footnote w:id="10">
    <w:p w:rsidR="000C6704" w:rsidRPr="00BC1694" w:rsidRDefault="000C6704" w:rsidP="000C6704">
      <w:pPr>
        <w:pStyle w:val="FootnoteText"/>
        <w:spacing w:after="0" w:line="240" w:lineRule="auto"/>
        <w:jc w:val="both"/>
        <w:rPr>
          <w:sz w:val="13"/>
          <w:szCs w:val="13"/>
          <w:lang w:val="en-US"/>
        </w:rPr>
      </w:pPr>
      <w:r w:rsidRPr="00425C1B">
        <w:rPr>
          <w:rStyle w:val="FootnoteReference"/>
          <w:sz w:val="13"/>
          <w:szCs w:val="13"/>
        </w:rPr>
        <w:footnoteRef/>
      </w:r>
      <w:r w:rsidRPr="00425C1B">
        <w:rPr>
          <w:sz w:val="13"/>
          <w:szCs w:val="13"/>
        </w:rPr>
        <w:t xml:space="preserve"> </w:t>
      </w:r>
      <w:r w:rsidRPr="00374C53">
        <w:rPr>
          <w:sz w:val="13"/>
          <w:szCs w:val="13"/>
          <w:lang w:val="es-ES"/>
        </w:rPr>
        <w:t xml:space="preserve">ONU. </w:t>
      </w:r>
      <w:r w:rsidRPr="00425C1B">
        <w:rPr>
          <w:sz w:val="13"/>
          <w:szCs w:val="13"/>
          <w:lang w:val="es-ES"/>
        </w:rPr>
        <w:t xml:space="preserve">Comité CEDAW. </w:t>
      </w:r>
      <w:r w:rsidRPr="00425C1B">
        <w:rPr>
          <w:i/>
          <w:sz w:val="13"/>
          <w:szCs w:val="13"/>
          <w:lang w:val="es-ES"/>
        </w:rPr>
        <w:t>Recomendación general núm. 33 sobre el acceso de las mujeres a la justicia</w:t>
      </w:r>
      <w:r w:rsidRPr="00425C1B">
        <w:rPr>
          <w:sz w:val="13"/>
          <w:szCs w:val="13"/>
          <w:lang w:val="es-ES"/>
        </w:rPr>
        <w:t xml:space="preserve">, 2015. </w:t>
      </w:r>
      <w:r w:rsidRPr="00BC1694">
        <w:rPr>
          <w:sz w:val="13"/>
          <w:szCs w:val="13"/>
          <w:lang w:val="en-US"/>
        </w:rPr>
        <w:t>CEDAW/C/GC/33.</w:t>
      </w:r>
    </w:p>
  </w:footnote>
  <w:footnote w:id="11">
    <w:p w:rsidR="000C6704" w:rsidRPr="00795F89" w:rsidRDefault="000C6704" w:rsidP="000C6704">
      <w:pPr>
        <w:pStyle w:val="FootnoteText"/>
        <w:spacing w:after="0" w:line="240" w:lineRule="auto"/>
        <w:jc w:val="both"/>
        <w:rPr>
          <w:color w:val="000000" w:themeColor="text1"/>
          <w:sz w:val="13"/>
          <w:szCs w:val="13"/>
          <w:lang w:val="es-ES"/>
        </w:rPr>
      </w:pPr>
      <w:r w:rsidRPr="00374C53">
        <w:rPr>
          <w:rFonts w:eastAsia="Book Antiqua"/>
          <w:color w:val="000000" w:themeColor="text1"/>
          <w:sz w:val="13"/>
          <w:szCs w:val="13"/>
          <w:vertAlign w:val="superscript"/>
        </w:rPr>
        <w:footnoteRef/>
      </w:r>
      <w:r w:rsidRPr="00374C53">
        <w:rPr>
          <w:color w:val="000000" w:themeColor="text1"/>
          <w:sz w:val="13"/>
          <w:szCs w:val="13"/>
          <w:lang w:val="en-US"/>
        </w:rPr>
        <w:t xml:space="preserve"> ONU. Organización Internacional del Trabajo, 2009. </w:t>
      </w:r>
      <w:r w:rsidRPr="00374C53">
        <w:rPr>
          <w:i/>
          <w:iCs/>
          <w:color w:val="000000" w:themeColor="text1"/>
          <w:sz w:val="13"/>
          <w:szCs w:val="13"/>
          <w:lang w:val="en-US"/>
        </w:rPr>
        <w:t>Operational indicators of trafficking in human beings.</w:t>
      </w:r>
      <w:r w:rsidRPr="00374C53">
        <w:rPr>
          <w:color w:val="000000" w:themeColor="text1"/>
          <w:sz w:val="13"/>
          <w:szCs w:val="13"/>
          <w:lang w:val="en-US"/>
        </w:rPr>
        <w:t xml:space="preserve"> </w:t>
      </w:r>
      <w:r w:rsidRPr="00374C53">
        <w:rPr>
          <w:color w:val="000000" w:themeColor="text1"/>
          <w:sz w:val="13"/>
          <w:szCs w:val="13"/>
        </w:rPr>
        <w:t xml:space="preserve">[En línea] Disponible en: </w:t>
      </w:r>
      <w:hyperlink r:id="rId3" w:history="1">
        <w:r w:rsidRPr="00374C53">
          <w:rPr>
            <w:rStyle w:val="Hyperlink"/>
            <w:iCs/>
            <w:sz w:val="13"/>
            <w:szCs w:val="13"/>
            <w:lang w:val="es-ES"/>
          </w:rPr>
          <w:t>www.ilo.org/wcmsp5/groups/public/@ed_norm/@declaration/documents/publication/wcms_105023.pdf</w:t>
        </w:r>
      </w:hyperlink>
      <w:r w:rsidRPr="00374C53">
        <w:rPr>
          <w:color w:val="000000" w:themeColor="text1"/>
          <w:sz w:val="13"/>
          <w:szCs w:val="13"/>
          <w:lang w:val="es-ES"/>
        </w:rPr>
        <w:t>. Véase, también: UNODC</w:t>
      </w:r>
      <w:r w:rsidRPr="00374C53">
        <w:rPr>
          <w:color w:val="000000" w:themeColor="text1"/>
          <w:sz w:val="13"/>
          <w:szCs w:val="13"/>
        </w:rPr>
        <w:t xml:space="preserve">. </w:t>
      </w:r>
      <w:r w:rsidRPr="00374C53">
        <w:rPr>
          <w:i/>
          <w:iCs/>
          <w:color w:val="000000" w:themeColor="text1"/>
          <w:sz w:val="13"/>
          <w:szCs w:val="13"/>
        </w:rPr>
        <w:t xml:space="preserve">Indicadores de Trata de Personas. </w:t>
      </w:r>
      <w:r w:rsidRPr="00374C53">
        <w:rPr>
          <w:color w:val="000000" w:themeColor="text1"/>
          <w:sz w:val="13"/>
          <w:szCs w:val="13"/>
        </w:rPr>
        <w:t xml:space="preserve">[En línea] Disponible en: </w:t>
      </w:r>
      <w:hyperlink r:id="rId4" w:history="1">
        <w:r w:rsidRPr="00374C53">
          <w:rPr>
            <w:rStyle w:val="Hyperlink"/>
            <w:rFonts w:eastAsia="Book Antiqua"/>
            <w:color w:val="000000" w:themeColor="text1"/>
            <w:sz w:val="13"/>
            <w:szCs w:val="13"/>
          </w:rPr>
          <w:t>www.unodc.org/documents/human-trafficking/HT_indicators_S_LOWRES.pdf</w:t>
        </w:r>
      </w:hyperlink>
    </w:p>
  </w:footnote>
  <w:footnote w:id="12">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sz w:val="13"/>
          <w:szCs w:val="13"/>
          <w:lang w:val="es-CL"/>
        </w:rPr>
        <w:t>Es por ello por lo que resulta trascendental e imperativo reconocer que la sustitución del testimonio de la víctima por pruebas de otra índole le otorga un valor añadido a la investigación, sobre todo porque la diligencia de pruebas complementarias o corroborantes mitigan la presión desproporcionada a la que están sometidas las víctimas durante el juicio y muchas veces las condenas de tratantes condicionadas únicamente al testimonio de las víctimas.</w:t>
      </w:r>
    </w:p>
  </w:footnote>
  <w:footnote w:id="13">
    <w:p w:rsidR="000C6704" w:rsidRPr="00374C53" w:rsidRDefault="000C6704" w:rsidP="000C6704">
      <w:pPr>
        <w:pStyle w:val="FootnoteText"/>
        <w:spacing w:after="0" w:line="240" w:lineRule="auto"/>
        <w:jc w:val="both"/>
        <w:rPr>
          <w:bCs/>
          <w:color w:val="000000" w:themeColor="text1"/>
          <w:sz w:val="13"/>
          <w:szCs w:val="13"/>
        </w:rPr>
      </w:pPr>
      <w:r w:rsidRPr="00374C53">
        <w:rPr>
          <w:rStyle w:val="FootnoteReference"/>
          <w:color w:val="000000" w:themeColor="text1"/>
          <w:sz w:val="13"/>
          <w:szCs w:val="13"/>
        </w:rPr>
        <w:footnoteRef/>
      </w:r>
      <w:r w:rsidRPr="00374C53">
        <w:rPr>
          <w:color w:val="000000" w:themeColor="text1"/>
          <w:sz w:val="13"/>
          <w:szCs w:val="13"/>
        </w:rPr>
        <w:t xml:space="preserve"> </w:t>
      </w:r>
      <w:r w:rsidRPr="00374C53">
        <w:rPr>
          <w:color w:val="000000" w:themeColor="text1"/>
          <w:sz w:val="13"/>
          <w:szCs w:val="13"/>
          <w:lang w:val="es-ES"/>
        </w:rPr>
        <w:t xml:space="preserve">ONU. </w:t>
      </w:r>
      <w:r w:rsidRPr="00374C53">
        <w:rPr>
          <w:color w:val="000000" w:themeColor="text1"/>
          <w:sz w:val="13"/>
          <w:szCs w:val="13"/>
        </w:rPr>
        <w:t xml:space="preserve">Comité CEDAW. </w:t>
      </w:r>
      <w:r w:rsidRPr="00374C53">
        <w:rPr>
          <w:i/>
          <w:color w:val="000000" w:themeColor="text1"/>
          <w:sz w:val="13"/>
          <w:szCs w:val="13"/>
        </w:rPr>
        <w:t>Recomendación General núm. 35 sobre la violencia de género contra la mujer, por la que se actualiza la recomendación general Nº 19</w:t>
      </w:r>
      <w:r w:rsidRPr="00374C53">
        <w:rPr>
          <w:color w:val="000000" w:themeColor="text1"/>
          <w:sz w:val="13"/>
          <w:szCs w:val="13"/>
        </w:rPr>
        <w:t xml:space="preserve">, </w:t>
      </w:r>
      <w:r w:rsidRPr="00374C53">
        <w:rPr>
          <w:rFonts w:eastAsia="Times New Roman"/>
          <w:color w:val="000000" w:themeColor="text1"/>
          <w:sz w:val="13"/>
          <w:szCs w:val="13"/>
          <w:lang w:eastAsia="es-ES_tradnl"/>
        </w:rPr>
        <w:t xml:space="preserve">CEDAW/C/GC/35, </w:t>
      </w:r>
      <w:r w:rsidRPr="00374C53">
        <w:rPr>
          <w:rFonts w:eastAsia="Times New Roman"/>
          <w:color w:val="000000" w:themeColor="text1"/>
          <w:sz w:val="13"/>
          <w:szCs w:val="13"/>
          <w:lang w:val="es-ES" w:eastAsia="es-ES_tradnl"/>
        </w:rPr>
        <w:t xml:space="preserve">de </w:t>
      </w:r>
      <w:r w:rsidRPr="00374C53">
        <w:rPr>
          <w:rFonts w:eastAsia="Times New Roman"/>
          <w:color w:val="000000" w:themeColor="text1"/>
          <w:sz w:val="13"/>
          <w:szCs w:val="13"/>
          <w:lang w:eastAsia="es-ES_tradnl"/>
        </w:rPr>
        <w:t>26 de julio</w:t>
      </w:r>
      <w:r w:rsidRPr="00374C53">
        <w:rPr>
          <w:color w:val="000000" w:themeColor="text1"/>
          <w:sz w:val="13"/>
          <w:szCs w:val="13"/>
        </w:rPr>
        <w:t xml:space="preserve">, párrs. 23 y 24. </w:t>
      </w:r>
      <w:r w:rsidRPr="00374C53">
        <w:rPr>
          <w:i/>
          <w:color w:val="000000" w:themeColor="text1"/>
          <w:sz w:val="13"/>
          <w:szCs w:val="13"/>
        </w:rPr>
        <w:t>Recomendación General núm. 33 sobre el acceso de las mujeres a la justicia</w:t>
      </w:r>
      <w:r w:rsidRPr="00374C53">
        <w:rPr>
          <w:color w:val="000000" w:themeColor="text1"/>
          <w:sz w:val="13"/>
          <w:szCs w:val="13"/>
        </w:rPr>
        <w:t>, CEDAW/C/GC/33, 03 de agosto, párrs. 18 e), 23,</w:t>
      </w:r>
      <w:r w:rsidRPr="00374C53">
        <w:rPr>
          <w:color w:val="000000" w:themeColor="text1"/>
          <w:sz w:val="13"/>
          <w:szCs w:val="13"/>
          <w:lang w:val="es-ES"/>
        </w:rPr>
        <w:t xml:space="preserve"> 26,</w:t>
      </w:r>
      <w:r w:rsidRPr="00374C53">
        <w:rPr>
          <w:color w:val="000000" w:themeColor="text1"/>
          <w:sz w:val="13"/>
          <w:szCs w:val="13"/>
        </w:rPr>
        <w:t xml:space="preserve"> 27, 51 a); </w:t>
      </w:r>
      <w:r w:rsidRPr="00374C53">
        <w:rPr>
          <w:bCs/>
          <w:i/>
          <w:color w:val="000000" w:themeColor="text1"/>
          <w:sz w:val="13"/>
          <w:szCs w:val="13"/>
        </w:rPr>
        <w:t>Recomendación General núm. 32 sobre las dimensiones de género del estatuto de refugiada, el asilo, la nacionalidad y la apatridia de las mujeres</w:t>
      </w:r>
      <w:r w:rsidRPr="00374C53">
        <w:rPr>
          <w:bCs/>
          <w:color w:val="000000" w:themeColor="text1"/>
          <w:sz w:val="13"/>
          <w:szCs w:val="13"/>
        </w:rPr>
        <w:t xml:space="preserve">, CEDAW/C/GC/32, </w:t>
      </w:r>
      <w:r w:rsidRPr="00374C53">
        <w:rPr>
          <w:bCs/>
          <w:color w:val="000000" w:themeColor="text1"/>
          <w:sz w:val="13"/>
          <w:szCs w:val="13"/>
          <w:lang w:val="es-ES"/>
        </w:rPr>
        <w:t xml:space="preserve">de </w:t>
      </w:r>
      <w:r w:rsidRPr="00374C53">
        <w:rPr>
          <w:bCs/>
          <w:color w:val="000000" w:themeColor="text1"/>
          <w:sz w:val="13"/>
          <w:szCs w:val="13"/>
        </w:rPr>
        <w:t>14 de noviembre, párr. 44.</w:t>
      </w:r>
    </w:p>
  </w:footnote>
  <w:footnote w:id="14">
    <w:p w:rsidR="000C6704" w:rsidRPr="00374C53" w:rsidRDefault="000C6704" w:rsidP="000C6704">
      <w:pPr>
        <w:jc w:val="both"/>
        <w:rPr>
          <w:sz w:val="13"/>
          <w:szCs w:val="13"/>
        </w:rPr>
      </w:pPr>
      <w:r w:rsidRPr="00374C53">
        <w:rPr>
          <w:rStyle w:val="FootnoteReference"/>
          <w:sz w:val="13"/>
          <w:szCs w:val="13"/>
        </w:rPr>
        <w:footnoteRef/>
      </w:r>
      <w:r w:rsidRPr="00374C53">
        <w:rPr>
          <w:sz w:val="13"/>
          <w:szCs w:val="13"/>
        </w:rPr>
        <w:t xml:space="preserve"> </w:t>
      </w:r>
      <w:r w:rsidRPr="00374C53">
        <w:rPr>
          <w:rStyle w:val="PageNumber"/>
          <w:sz w:val="13"/>
          <w:szCs w:val="13"/>
        </w:rPr>
        <w:t xml:space="preserve">ONU. Asamblea General. </w:t>
      </w:r>
      <w:r w:rsidRPr="00374C53">
        <w:rPr>
          <w:rStyle w:val="PageNumber"/>
          <w:i/>
          <w:sz w:val="13"/>
          <w:szCs w:val="13"/>
        </w:rPr>
        <w:t>Informe anual de la Relatora Especial sobre la trata de personas, especialmente mujeres y niños al Consejo de Derechos Humanos sobre la aplicación de un enfoque de derechos humanos en la administración de justicia en casos de trata de personas</w:t>
      </w:r>
      <w:r w:rsidRPr="00374C53">
        <w:rPr>
          <w:rStyle w:val="PageNumber"/>
          <w:sz w:val="13"/>
          <w:szCs w:val="13"/>
        </w:rPr>
        <w:t xml:space="preserve">, A/HRC/20/18 (2012), párr. 57. </w:t>
      </w:r>
    </w:p>
  </w:footnote>
  <w:footnote w:id="15">
    <w:p w:rsidR="000C6704" w:rsidRPr="00374C53" w:rsidRDefault="000C6704" w:rsidP="000C6704">
      <w:pPr>
        <w:pStyle w:val="FootnoteText"/>
        <w:spacing w:after="0" w:line="240" w:lineRule="auto"/>
        <w:jc w:val="both"/>
        <w:rPr>
          <w:sz w:val="13"/>
          <w:szCs w:val="13"/>
        </w:rPr>
      </w:pPr>
      <w:r w:rsidRPr="00374C53">
        <w:rPr>
          <w:rStyle w:val="FootnoteReference"/>
          <w:sz w:val="13"/>
          <w:szCs w:val="13"/>
        </w:rPr>
        <w:footnoteRef/>
      </w:r>
      <w:r w:rsidRPr="00374C53">
        <w:rPr>
          <w:sz w:val="13"/>
          <w:szCs w:val="13"/>
        </w:rPr>
        <w:t xml:space="preserve"> </w:t>
      </w:r>
      <w:r w:rsidRPr="00374C53">
        <w:rPr>
          <w:color w:val="000000" w:themeColor="text1"/>
          <w:sz w:val="13"/>
          <w:szCs w:val="13"/>
          <w:lang w:val="es-ES"/>
        </w:rPr>
        <w:t xml:space="preserve">ONU. </w:t>
      </w:r>
      <w:r w:rsidRPr="00374C53">
        <w:rPr>
          <w:color w:val="000000" w:themeColor="text1"/>
          <w:sz w:val="13"/>
          <w:szCs w:val="13"/>
        </w:rPr>
        <w:t>Comité CEDAW</w:t>
      </w:r>
      <w:r w:rsidRPr="00374C53">
        <w:rPr>
          <w:color w:val="000000" w:themeColor="text1"/>
          <w:sz w:val="13"/>
          <w:szCs w:val="13"/>
          <w:lang w:val="es-ES"/>
        </w:rPr>
        <w:t>, 2015</w:t>
      </w:r>
      <w:r w:rsidRPr="00374C53">
        <w:rPr>
          <w:color w:val="000000" w:themeColor="text1"/>
          <w:sz w:val="13"/>
          <w:szCs w:val="13"/>
        </w:rPr>
        <w:t>.</w:t>
      </w:r>
      <w:r w:rsidRPr="00374C53">
        <w:rPr>
          <w:color w:val="000000" w:themeColor="text1"/>
          <w:sz w:val="13"/>
          <w:szCs w:val="13"/>
          <w:lang w:val="es-ES"/>
        </w:rPr>
        <w:t xml:space="preserve"> </w:t>
      </w:r>
      <w:r w:rsidRPr="00374C53">
        <w:rPr>
          <w:i/>
          <w:color w:val="000000" w:themeColor="text1"/>
          <w:sz w:val="13"/>
          <w:szCs w:val="13"/>
        </w:rPr>
        <w:t>Recomendación General núm. 33 sobre el acceso de las mujeres a la justicia</w:t>
      </w:r>
      <w:r w:rsidRPr="00374C53">
        <w:rPr>
          <w:color w:val="000000" w:themeColor="text1"/>
          <w:sz w:val="13"/>
          <w:szCs w:val="13"/>
        </w:rPr>
        <w:t xml:space="preserve">, CEDAW/C/GC/33, </w:t>
      </w:r>
      <w:r w:rsidRPr="00374C53">
        <w:rPr>
          <w:color w:val="000000" w:themeColor="text1"/>
          <w:sz w:val="13"/>
          <w:szCs w:val="13"/>
          <w:lang w:val="es-ES"/>
        </w:rPr>
        <w:t xml:space="preserve">de </w:t>
      </w:r>
      <w:r w:rsidRPr="00374C53">
        <w:rPr>
          <w:color w:val="000000" w:themeColor="text1"/>
          <w:sz w:val="13"/>
          <w:szCs w:val="13"/>
        </w:rPr>
        <w:t>03 de agosto, párr</w:t>
      </w:r>
      <w:r w:rsidRPr="00374C53">
        <w:rPr>
          <w:color w:val="000000" w:themeColor="text1"/>
          <w:sz w:val="13"/>
          <w:szCs w:val="13"/>
          <w:lang w:val="es-ES"/>
        </w:rPr>
        <w:t>. 26.</w:t>
      </w:r>
    </w:p>
  </w:footnote>
  <w:footnote w:id="16">
    <w:p w:rsidR="000C6704" w:rsidRPr="00425C1B" w:rsidRDefault="000C6704" w:rsidP="000C6704">
      <w:pPr>
        <w:pStyle w:val="Cuerpo"/>
        <w:jc w:val="both"/>
        <w:rPr>
          <w:rFonts w:cs="Times New Roman"/>
          <w:sz w:val="13"/>
          <w:szCs w:val="13"/>
        </w:rPr>
      </w:pPr>
      <w:r w:rsidRPr="00374C53">
        <w:rPr>
          <w:rStyle w:val="FootnoteReference"/>
          <w:rFonts w:cs="Times New Roman"/>
          <w:sz w:val="13"/>
          <w:szCs w:val="13"/>
        </w:rPr>
        <w:footnoteRef/>
      </w:r>
      <w:r w:rsidRPr="00374C53">
        <w:rPr>
          <w:rStyle w:val="PageNumber"/>
          <w:rFonts w:cs="Times New Roman"/>
          <w:sz w:val="13"/>
          <w:szCs w:val="13"/>
        </w:rPr>
        <w:t xml:space="preserve"> ONU. Comité contra la Tortura, 2015. </w:t>
      </w:r>
      <w:r w:rsidRPr="00425C1B">
        <w:rPr>
          <w:rFonts w:eastAsia="Calibri" w:cs="Times New Roman"/>
          <w:i/>
          <w:color w:val="000000" w:themeColor="text1"/>
          <w:sz w:val="13"/>
          <w:szCs w:val="13"/>
          <w:lang w:eastAsia="en-US"/>
        </w:rPr>
        <w:t>Observaciones finales sobre el sexto informe periódico de España</w:t>
      </w:r>
      <w:r w:rsidRPr="00374C53">
        <w:rPr>
          <w:rStyle w:val="PageNumber"/>
          <w:rFonts w:cs="Times New Roman"/>
          <w:sz w:val="13"/>
          <w:szCs w:val="13"/>
        </w:rPr>
        <w:t xml:space="preserve">, CAT/C/ESP/CO/6, párrs. </w:t>
      </w:r>
      <w:r w:rsidRPr="00425C1B">
        <w:rPr>
          <w:rStyle w:val="PageNumber"/>
          <w:rFonts w:cs="Times New Roman"/>
          <w:sz w:val="13"/>
          <w:szCs w:val="13"/>
        </w:rPr>
        <w:t>20, 21 y 22</w:t>
      </w:r>
      <w:r w:rsidRPr="00425C1B">
        <w:rPr>
          <w:rStyle w:val="PageNumber"/>
          <w:rFonts w:cs="Times New Roman"/>
          <w:i/>
          <w:iCs/>
          <w:sz w:val="13"/>
          <w:szCs w:val="13"/>
        </w:rPr>
        <w:t xml:space="preserve">. </w:t>
      </w:r>
      <w:r w:rsidRPr="00425C1B">
        <w:rPr>
          <w:rStyle w:val="PageNumber"/>
          <w:rFonts w:cs="Times New Roman"/>
          <w:sz w:val="13"/>
          <w:szCs w:val="13"/>
        </w:rPr>
        <w:t xml:space="preserve">[En línea] Disponible en: </w:t>
      </w:r>
      <w:r w:rsidRPr="00425C1B">
        <w:rPr>
          <w:rStyle w:val="Hyperlink0"/>
          <w:rFonts w:cs="Times New Roman"/>
          <w:sz w:val="13"/>
          <w:szCs w:val="13"/>
        </w:rPr>
        <w:t xml:space="preserve">tbinternet.ohchr.org/_layouts/treatybodyexternal/Download.aspx?symbolno=CAT/C/ESP/CO/6&amp;Lang=En. </w:t>
      </w:r>
      <w:r w:rsidRPr="00374C53">
        <w:rPr>
          <w:rStyle w:val="Hyperlink0"/>
          <w:rFonts w:cs="Times New Roman"/>
          <w:sz w:val="13"/>
          <w:szCs w:val="13"/>
        </w:rPr>
        <w:t>Véase</w:t>
      </w:r>
      <w:r w:rsidRPr="00425C1B">
        <w:rPr>
          <w:rStyle w:val="Hyperlink0"/>
          <w:rFonts w:cs="Times New Roman"/>
          <w:sz w:val="13"/>
          <w:szCs w:val="13"/>
        </w:rPr>
        <w:t xml:space="preserve"> </w:t>
      </w:r>
      <w:r w:rsidRPr="00374C53">
        <w:rPr>
          <w:rStyle w:val="Hyperlink0"/>
          <w:rFonts w:cs="Times New Roman"/>
          <w:sz w:val="13"/>
          <w:szCs w:val="13"/>
        </w:rPr>
        <w:t xml:space="preserve">también </w:t>
      </w:r>
      <w:r w:rsidRPr="00374C53">
        <w:rPr>
          <w:rStyle w:val="PageNumber"/>
          <w:rFonts w:cs="Times New Roman"/>
          <w:sz w:val="13"/>
          <w:szCs w:val="13"/>
        </w:rPr>
        <w:t xml:space="preserve">La Vanguardia, 2018. </w:t>
      </w:r>
      <w:r w:rsidRPr="00374C53">
        <w:rPr>
          <w:rStyle w:val="PageNumber"/>
          <w:rFonts w:cs="Times New Roman"/>
          <w:i/>
          <w:iCs/>
          <w:sz w:val="13"/>
          <w:szCs w:val="13"/>
        </w:rPr>
        <w:t xml:space="preserve">Pocos casos de trata llegan a los tribunales, pese a su magnitud en España. </w:t>
      </w:r>
      <w:r w:rsidRPr="00374C53">
        <w:rPr>
          <w:rStyle w:val="PageNumber"/>
          <w:rFonts w:cs="Times New Roman"/>
          <w:sz w:val="13"/>
          <w:szCs w:val="13"/>
        </w:rPr>
        <w:t xml:space="preserve">[En línea] Disponible en: </w:t>
      </w:r>
      <w:hyperlink r:id="rId5" w:history="1">
        <w:r w:rsidRPr="00374C53">
          <w:rPr>
            <w:rStyle w:val="Hyperlink"/>
            <w:rFonts w:cs="Times New Roman"/>
            <w:sz w:val="13"/>
            <w:szCs w:val="13"/>
            <w:lang w:val="es-ES"/>
          </w:rPr>
          <w:t>www.lavanguardia.com/vida/20181121/453082338721/pocos-casos-de-trata-llegan-a-los-tribunales-pese-a-su-magnitud-en-espana.html</w:t>
        </w:r>
      </w:hyperlink>
    </w:p>
  </w:footnote>
  <w:footnote w:id="17">
    <w:p w:rsidR="000C6704" w:rsidRPr="00374C53" w:rsidRDefault="000C6704" w:rsidP="000C6704">
      <w:pPr>
        <w:pStyle w:val="Cuerpo"/>
        <w:jc w:val="both"/>
        <w:rPr>
          <w:rFonts w:cs="Times New Roman"/>
          <w:sz w:val="13"/>
          <w:szCs w:val="13"/>
        </w:rPr>
      </w:pPr>
      <w:r w:rsidRPr="00374C53">
        <w:rPr>
          <w:rStyle w:val="FootnoteReference"/>
          <w:rFonts w:cs="Times New Roman"/>
          <w:sz w:val="13"/>
          <w:szCs w:val="13"/>
        </w:rPr>
        <w:footnoteRef/>
      </w:r>
      <w:r w:rsidRPr="00BC1694">
        <w:rPr>
          <w:rFonts w:cs="Times New Roman"/>
          <w:sz w:val="13"/>
          <w:szCs w:val="13"/>
          <w:lang w:val="es-ES"/>
        </w:rPr>
        <w:t xml:space="preserve"> </w:t>
      </w:r>
      <w:r w:rsidRPr="00BC1694">
        <w:rPr>
          <w:rStyle w:val="PageNumber"/>
          <w:rFonts w:cs="Times New Roman"/>
          <w:sz w:val="13"/>
          <w:szCs w:val="13"/>
          <w:lang w:val="es-ES"/>
        </w:rPr>
        <w:t xml:space="preserve">Rights International Spain, 2017. </w:t>
      </w:r>
      <w:r w:rsidRPr="00374C53">
        <w:rPr>
          <w:rStyle w:val="PageNumber"/>
          <w:rFonts w:cs="Times New Roman"/>
          <w:i/>
          <w:iCs/>
          <w:sz w:val="13"/>
          <w:szCs w:val="13"/>
        </w:rPr>
        <w:t xml:space="preserve">Aportaciones para el listado de cuestiones relativas al VII Informe periódico de España ante el Comité contra la Tortura. </w:t>
      </w:r>
      <w:r w:rsidRPr="00374C53">
        <w:rPr>
          <w:rStyle w:val="PageNumber"/>
          <w:rFonts w:cs="Times New Roman"/>
          <w:sz w:val="13"/>
          <w:szCs w:val="13"/>
        </w:rPr>
        <w:t xml:space="preserve">Sobre la trata de seres </w:t>
      </w:r>
      <w:r w:rsidRPr="00374C53">
        <w:rPr>
          <w:rStyle w:val="PageNumber"/>
          <w:rFonts w:cs="Times New Roman"/>
          <w:sz w:val="13"/>
          <w:szCs w:val="13"/>
          <w:lang w:val="pt-PT"/>
        </w:rPr>
        <w:t xml:space="preserve">humanos, de </w:t>
      </w:r>
      <w:r w:rsidRPr="00374C53">
        <w:rPr>
          <w:rStyle w:val="PageNumber"/>
          <w:rFonts w:cs="Times New Roman"/>
          <w:sz w:val="13"/>
          <w:szCs w:val="13"/>
        </w:rPr>
        <w:t xml:space="preserve">26 de junio Disponible [En línea] en: </w:t>
      </w:r>
      <w:hyperlink r:id="rId6" w:history="1">
        <w:r w:rsidRPr="00BC1694">
          <w:rPr>
            <w:rStyle w:val="Hyperlink0"/>
            <w:rFonts w:cs="Times New Roman"/>
            <w:sz w:val="13"/>
            <w:szCs w:val="13"/>
            <w:lang w:val="es-ES"/>
          </w:rPr>
          <w:t>tbinternet.ohchr.org/Treaties/CAT/Shared%20Documents/ESP/INT_CAT_ICS_ESP_27995_S.pdf</w:t>
        </w:r>
      </w:hyperlink>
      <w:r w:rsidRPr="00BC1694">
        <w:rPr>
          <w:rFonts w:cs="Times New Roman"/>
          <w:sz w:val="13"/>
          <w:szCs w:val="13"/>
          <w:lang w:val="es-ES"/>
        </w:rPr>
        <w:t xml:space="preserve">. </w:t>
      </w:r>
      <w:r w:rsidRPr="00374C53">
        <w:rPr>
          <w:rFonts w:cs="Times New Roman"/>
          <w:sz w:val="13"/>
          <w:szCs w:val="13"/>
          <w:lang w:val="en-US"/>
        </w:rPr>
        <w:t xml:space="preserve">Véase, también: Consejo de Europa, 2018. </w:t>
      </w:r>
      <w:r w:rsidRPr="00374C53">
        <w:rPr>
          <w:rFonts w:cs="Times New Roman"/>
          <w:i/>
          <w:sz w:val="13"/>
          <w:szCs w:val="13"/>
          <w:lang w:val="en-US"/>
        </w:rPr>
        <w:t xml:space="preserve">Report concerning the implementation of the Council of Europe Convention on Action against Trafficking in Human Beings by Spain, </w:t>
      </w:r>
      <w:r w:rsidRPr="00374C53">
        <w:rPr>
          <w:rFonts w:cs="Times New Roman"/>
          <w:sz w:val="13"/>
          <w:szCs w:val="13"/>
          <w:lang w:val="en-US"/>
        </w:rPr>
        <w:t xml:space="preserve">Segundo examen, de 20 de junio, párr. </w:t>
      </w:r>
      <w:r w:rsidRPr="00374C53">
        <w:rPr>
          <w:rFonts w:cs="Times New Roman"/>
          <w:sz w:val="13"/>
          <w:szCs w:val="13"/>
        </w:rPr>
        <w:t>17.</w:t>
      </w:r>
      <w:r w:rsidRPr="00374C53">
        <w:rPr>
          <w:rStyle w:val="PageNumber"/>
          <w:rFonts w:cs="Times New Roman"/>
          <w:i/>
          <w:iCs/>
          <w:sz w:val="13"/>
          <w:szCs w:val="13"/>
        </w:rPr>
        <w:t xml:space="preserve"> </w:t>
      </w:r>
      <w:r w:rsidRPr="00374C53">
        <w:rPr>
          <w:rStyle w:val="PageNumber"/>
          <w:rFonts w:cs="Times New Roman"/>
          <w:sz w:val="13"/>
          <w:szCs w:val="13"/>
        </w:rPr>
        <w:t>[En línea] Disponible en:</w:t>
      </w:r>
      <w:r>
        <w:rPr>
          <w:rStyle w:val="PageNumber"/>
          <w:rFonts w:cs="Times New Roman"/>
          <w:sz w:val="13"/>
          <w:szCs w:val="13"/>
        </w:rPr>
        <w:t xml:space="preserve"> </w:t>
      </w:r>
      <w:hyperlink r:id="rId7" w:history="1">
        <w:r w:rsidRPr="00374C53">
          <w:rPr>
            <w:rStyle w:val="Hyperlink"/>
            <w:rFonts w:cs="Times New Roman"/>
            <w:sz w:val="13"/>
            <w:szCs w:val="13"/>
            <w:lang w:val="es-ES"/>
          </w:rPr>
          <w:t>www.coe.int/en/web/anti-human-trafficking/news/-/asset_publisher/fX6ZWufj34JY/content/greta-publishes-second-report-on-spain?_101_INSTANCE_fX6ZWufj34JY_viewMode=view/</w:t>
        </w:r>
      </w:hyperlink>
      <w:r w:rsidRPr="00374C53">
        <w:rPr>
          <w:rFonts w:cs="Times New Roman"/>
          <w:sz w:val="13"/>
          <w:szCs w:val="13"/>
        </w:rPr>
        <w:t xml:space="preserve"> </w:t>
      </w:r>
    </w:p>
  </w:footnote>
  <w:footnote w:id="18">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color w:val="000000" w:themeColor="text1"/>
          <w:sz w:val="13"/>
          <w:szCs w:val="13"/>
          <w:lang w:val="es-ES"/>
        </w:rPr>
        <w:t xml:space="preserve">ONU. </w:t>
      </w:r>
      <w:r w:rsidRPr="00374C53">
        <w:rPr>
          <w:color w:val="000000" w:themeColor="text1"/>
          <w:sz w:val="13"/>
          <w:szCs w:val="13"/>
        </w:rPr>
        <w:t>Comité CEDAW</w:t>
      </w:r>
      <w:r w:rsidRPr="00374C53">
        <w:rPr>
          <w:color w:val="000000" w:themeColor="text1"/>
          <w:sz w:val="13"/>
          <w:szCs w:val="13"/>
          <w:lang w:val="es-ES"/>
        </w:rPr>
        <w:t>, 2015</w:t>
      </w:r>
      <w:r w:rsidRPr="00374C53">
        <w:rPr>
          <w:color w:val="000000" w:themeColor="text1"/>
          <w:sz w:val="13"/>
          <w:szCs w:val="13"/>
        </w:rPr>
        <w:t>.</w:t>
      </w:r>
      <w:r w:rsidRPr="00374C53">
        <w:rPr>
          <w:color w:val="000000" w:themeColor="text1"/>
          <w:sz w:val="13"/>
          <w:szCs w:val="13"/>
          <w:lang w:val="es-ES"/>
        </w:rPr>
        <w:t xml:space="preserve"> </w:t>
      </w:r>
      <w:r w:rsidRPr="00374C53">
        <w:rPr>
          <w:i/>
          <w:color w:val="000000" w:themeColor="text1"/>
          <w:sz w:val="13"/>
          <w:szCs w:val="13"/>
        </w:rPr>
        <w:t>Recomendación General núm. 33 sobre el acceso de las mujeres a la justicia</w:t>
      </w:r>
      <w:r w:rsidRPr="00374C53">
        <w:rPr>
          <w:color w:val="000000" w:themeColor="text1"/>
          <w:sz w:val="13"/>
          <w:szCs w:val="13"/>
        </w:rPr>
        <w:t xml:space="preserve">, CEDAW/C/GC/33, </w:t>
      </w:r>
      <w:r w:rsidRPr="00374C53">
        <w:rPr>
          <w:color w:val="000000" w:themeColor="text1"/>
          <w:sz w:val="13"/>
          <w:szCs w:val="13"/>
          <w:lang w:val="es-ES"/>
        </w:rPr>
        <w:t xml:space="preserve">de </w:t>
      </w:r>
      <w:r w:rsidRPr="00374C53">
        <w:rPr>
          <w:color w:val="000000" w:themeColor="text1"/>
          <w:sz w:val="13"/>
          <w:szCs w:val="13"/>
        </w:rPr>
        <w:t>03 de agosto, párrs</w:t>
      </w:r>
      <w:r w:rsidRPr="00374C53">
        <w:rPr>
          <w:color w:val="000000" w:themeColor="text1"/>
          <w:sz w:val="13"/>
          <w:szCs w:val="13"/>
          <w:lang w:val="es-ES"/>
        </w:rPr>
        <w:t>. 8 y 10.</w:t>
      </w:r>
    </w:p>
  </w:footnote>
  <w:footnote w:id="19">
    <w:p w:rsidR="000C6704" w:rsidRPr="00374C53" w:rsidRDefault="000C6704" w:rsidP="000C6704">
      <w:pPr>
        <w:jc w:val="both"/>
        <w:rPr>
          <w:sz w:val="13"/>
          <w:szCs w:val="13"/>
        </w:rPr>
      </w:pPr>
      <w:r w:rsidRPr="00374C53">
        <w:rPr>
          <w:rStyle w:val="FootnoteReference"/>
          <w:sz w:val="13"/>
          <w:szCs w:val="13"/>
        </w:rPr>
        <w:footnoteRef/>
      </w:r>
      <w:r w:rsidRPr="00374C53">
        <w:rPr>
          <w:sz w:val="13"/>
          <w:szCs w:val="13"/>
        </w:rPr>
        <w:t xml:space="preserve"> El derecho a vivir libre de tortura está garantizado en el artículo 1 de la Convención contra la Tortura y Otros Tratos o Penas Crueles, Inhumanos o Degradantes de 1984 y el artículo 2 de la Convención Interamericana para Prevenir y Sancionar la Tortura de 1985. El artículo 16 de la Convención contra la Tortura prohíbe otros tratos o penas crueles, inhumanos o degradantes. El artículo 7 del Pacto Internacional de Derechos Civiles y Políticos garantiza la prohibición de la tortura y otros tratos o penas crueles, inhumanos o degradantes y la Observación General núm. 2 del Comité contra la Tortura en relación con la aplicación del artículo 2 de la Convención. Asimismo, se encuentran disposiciones en tratados regionales de derechos humanos, tales como, por ejemplo, el artículo 3 del Convenio Europeo de Derechos Humanos; el artículo 5(2) de la Convenció Americana sobre Derechos Humanos o el artículo 5 de la Carta Africana de Derechos Humanos y de los Pueblos.</w:t>
      </w:r>
    </w:p>
  </w:footnote>
  <w:footnote w:id="20">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rStyle w:val="PageNumber"/>
          <w:sz w:val="13"/>
          <w:szCs w:val="13"/>
          <w:lang w:val="en-US"/>
        </w:rPr>
        <w:t xml:space="preserve">Parlamento Europeo, 2016. “Anex 6. Implementation of Directive 2011/36/EU from a gender perspective in Spain” en </w:t>
      </w:r>
      <w:r w:rsidRPr="00374C53">
        <w:rPr>
          <w:rStyle w:val="PageNumber"/>
          <w:i/>
          <w:iCs/>
          <w:sz w:val="13"/>
          <w:szCs w:val="13"/>
        </w:rPr>
        <w:t>Trafficking in Human Beings from a Gender Perspective Directive 2011/36/EU</w:t>
      </w:r>
      <w:r w:rsidRPr="00374C53">
        <w:rPr>
          <w:rStyle w:val="PageNumber"/>
          <w:i/>
          <w:iCs/>
          <w:sz w:val="13"/>
          <w:szCs w:val="13"/>
          <w:lang w:val="en-US"/>
        </w:rPr>
        <w:t xml:space="preserve">. </w:t>
      </w:r>
      <w:r w:rsidRPr="00374C53">
        <w:rPr>
          <w:rStyle w:val="PageNumber"/>
          <w:i/>
          <w:iCs/>
          <w:sz w:val="13"/>
          <w:szCs w:val="13"/>
          <w:lang w:val="es-ES"/>
        </w:rPr>
        <w:t xml:space="preserve">European Implementation Assesment, </w:t>
      </w:r>
      <w:r w:rsidRPr="00374C53">
        <w:rPr>
          <w:rStyle w:val="PageNumber"/>
          <w:iCs/>
          <w:sz w:val="13"/>
          <w:szCs w:val="13"/>
          <w:lang w:val="es-ES"/>
        </w:rPr>
        <w:t>pp. 212ss</w:t>
      </w:r>
      <w:r w:rsidRPr="00374C53">
        <w:rPr>
          <w:rStyle w:val="PageNumber"/>
          <w:iCs/>
          <w:sz w:val="13"/>
          <w:szCs w:val="13"/>
        </w:rPr>
        <w:t xml:space="preserve"> </w:t>
      </w:r>
      <w:r w:rsidRPr="00374C53">
        <w:rPr>
          <w:rStyle w:val="PageNumber"/>
          <w:iCs/>
          <w:sz w:val="13"/>
          <w:szCs w:val="13"/>
          <w:lang w:val="es-ES"/>
        </w:rPr>
        <w:t xml:space="preserve">[En línea] Disponible en: </w:t>
      </w:r>
      <w:hyperlink r:id="rId8" w:history="1">
        <w:r w:rsidRPr="00374C53">
          <w:rPr>
            <w:rStyle w:val="Hyperlink"/>
            <w:iCs/>
            <w:sz w:val="13"/>
            <w:szCs w:val="13"/>
            <w:lang w:val="es-ES"/>
          </w:rPr>
          <w:t>www.europarl.europa.eu/RegData/etudes/STUD/2016/581412/EPRS_STU(2016)581412_EN.pdf</w:t>
        </w:r>
      </w:hyperlink>
    </w:p>
  </w:footnote>
  <w:footnote w:id="21">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lang w:val="es-ES"/>
        </w:rPr>
        <w:t xml:space="preserve"> ONU.</w:t>
      </w:r>
      <w:r w:rsidRPr="00374C53">
        <w:rPr>
          <w:sz w:val="13"/>
          <w:szCs w:val="13"/>
        </w:rPr>
        <w:t xml:space="preserve"> </w:t>
      </w:r>
      <w:r w:rsidRPr="00374C53">
        <w:rPr>
          <w:sz w:val="13"/>
          <w:szCs w:val="13"/>
          <w:lang w:val="es-ES"/>
        </w:rPr>
        <w:t xml:space="preserve">Comité contra la Tortura, 2017. </w:t>
      </w:r>
      <w:r w:rsidRPr="00374C53">
        <w:rPr>
          <w:i/>
          <w:sz w:val="13"/>
          <w:szCs w:val="13"/>
          <w:lang w:val="es-ES"/>
        </w:rPr>
        <w:t>Observación General núm. 4(2017), relativa a la aplicación del artículo 3 de la Convención en el contexto del artículo 22</w:t>
      </w:r>
      <w:r w:rsidRPr="00374C53">
        <w:rPr>
          <w:sz w:val="13"/>
          <w:szCs w:val="13"/>
          <w:lang w:val="es-ES"/>
        </w:rPr>
        <w:t>, CAT/C/GC/4, párr. 29. C)</w:t>
      </w:r>
    </w:p>
  </w:footnote>
  <w:footnote w:id="22">
    <w:p w:rsidR="000C6704" w:rsidRPr="00374C53" w:rsidRDefault="000C6704" w:rsidP="000C6704">
      <w:pPr>
        <w:pStyle w:val="FootnoteText"/>
        <w:spacing w:after="0" w:line="240" w:lineRule="auto"/>
        <w:jc w:val="both"/>
        <w:rPr>
          <w:sz w:val="13"/>
          <w:szCs w:val="13"/>
          <w:lang w:val="es-ES"/>
        </w:rPr>
      </w:pPr>
      <w:r w:rsidRPr="00374C53">
        <w:rPr>
          <w:sz w:val="13"/>
          <w:szCs w:val="13"/>
          <w:vertAlign w:val="superscript"/>
          <w:lang w:val="es-ES"/>
        </w:rPr>
        <w:footnoteRef/>
      </w:r>
      <w:r w:rsidRPr="00374C53">
        <w:rPr>
          <w:sz w:val="13"/>
          <w:szCs w:val="13"/>
          <w:vertAlign w:val="superscript"/>
          <w:lang w:val="es-ES"/>
        </w:rPr>
        <w:t xml:space="preserve">  </w:t>
      </w:r>
      <w:r w:rsidRPr="00374C53">
        <w:rPr>
          <w:rFonts w:eastAsia="Times New Roman"/>
          <w:sz w:val="13"/>
          <w:szCs w:val="13"/>
          <w:lang w:val="es-ES" w:eastAsia="es-ES_tradnl"/>
        </w:rPr>
        <w:t>O</w:t>
      </w:r>
      <w:r w:rsidRPr="00374C53">
        <w:rPr>
          <w:sz w:val="13"/>
          <w:szCs w:val="13"/>
          <w:lang w:val="es-ES"/>
        </w:rPr>
        <w:t>NU.</w:t>
      </w:r>
      <w:r w:rsidRPr="00374C53">
        <w:rPr>
          <w:sz w:val="13"/>
          <w:szCs w:val="13"/>
        </w:rPr>
        <w:t xml:space="preserve"> </w:t>
      </w:r>
      <w:r w:rsidRPr="00374C53">
        <w:rPr>
          <w:sz w:val="13"/>
          <w:szCs w:val="13"/>
          <w:lang w:val="es-ES"/>
        </w:rPr>
        <w:t xml:space="preserve">Comité contra la Tortura, 2011. Caso </w:t>
      </w:r>
      <w:r w:rsidRPr="00374C53">
        <w:rPr>
          <w:i/>
          <w:sz w:val="13"/>
          <w:szCs w:val="13"/>
          <w:lang w:val="es-ES"/>
        </w:rPr>
        <w:t>Sylvie Bakatu-Bia c. Suecia</w:t>
      </w:r>
      <w:r w:rsidRPr="00374C53">
        <w:rPr>
          <w:sz w:val="13"/>
          <w:szCs w:val="13"/>
          <w:lang w:val="es-ES"/>
        </w:rPr>
        <w:t>, CAT/C/46/D/379/2009, párrs. 10.5 - 10.7.</w:t>
      </w:r>
    </w:p>
  </w:footnote>
  <w:footnote w:id="23">
    <w:p w:rsidR="000C6704" w:rsidRPr="00374C53" w:rsidRDefault="000C6704" w:rsidP="000C6704">
      <w:pPr>
        <w:jc w:val="both"/>
        <w:rPr>
          <w:sz w:val="13"/>
          <w:szCs w:val="13"/>
        </w:rPr>
      </w:pPr>
      <w:r w:rsidRPr="00374C53">
        <w:rPr>
          <w:sz w:val="13"/>
          <w:szCs w:val="13"/>
          <w:vertAlign w:val="superscript"/>
        </w:rPr>
        <w:footnoteRef/>
      </w:r>
      <w:r w:rsidRPr="00374C53">
        <w:rPr>
          <w:sz w:val="13"/>
          <w:szCs w:val="13"/>
        </w:rPr>
        <w:t xml:space="preserve"> ONU. Comité contra la Tortura, 2011. Caso </w:t>
      </w:r>
      <w:r w:rsidRPr="00374C53">
        <w:rPr>
          <w:i/>
          <w:sz w:val="13"/>
          <w:szCs w:val="13"/>
        </w:rPr>
        <w:t>Tony Chahin c. Suecia</w:t>
      </w:r>
      <w:r w:rsidRPr="00374C53">
        <w:rPr>
          <w:sz w:val="13"/>
          <w:szCs w:val="13"/>
        </w:rPr>
        <w:t xml:space="preserve">, </w:t>
      </w:r>
      <w:r w:rsidRPr="00374C53">
        <w:rPr>
          <w:rFonts w:eastAsia="Calibri"/>
          <w:sz w:val="13"/>
          <w:szCs w:val="13"/>
          <w:lang w:eastAsia="en-US"/>
        </w:rPr>
        <w:t>CAT/C/46/D/310/2007,</w:t>
      </w:r>
      <w:r w:rsidRPr="00374C53">
        <w:rPr>
          <w:sz w:val="13"/>
          <w:szCs w:val="13"/>
        </w:rPr>
        <w:t xml:space="preserve"> párr. 9.5).</w:t>
      </w:r>
    </w:p>
  </w:footnote>
  <w:footnote w:id="24">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sz w:val="13"/>
          <w:szCs w:val="13"/>
          <w:lang w:val="es-ES"/>
        </w:rPr>
        <w:t>ONU.</w:t>
      </w:r>
      <w:r w:rsidRPr="00374C53">
        <w:rPr>
          <w:sz w:val="13"/>
          <w:szCs w:val="13"/>
        </w:rPr>
        <w:t xml:space="preserve"> </w:t>
      </w:r>
      <w:r w:rsidRPr="00374C53">
        <w:rPr>
          <w:sz w:val="13"/>
          <w:szCs w:val="13"/>
          <w:lang w:val="es-ES"/>
        </w:rPr>
        <w:t xml:space="preserve">Comité contra la Tortura, 2017. </w:t>
      </w:r>
      <w:r w:rsidRPr="00374C53">
        <w:rPr>
          <w:i/>
          <w:sz w:val="13"/>
          <w:szCs w:val="13"/>
          <w:lang w:val="es-ES"/>
        </w:rPr>
        <w:t>Observación General núm. 4(2017), relativa a la aplicación del artículo 3 de la Convención en el contexto del artículo 22</w:t>
      </w:r>
      <w:r w:rsidRPr="00374C53">
        <w:rPr>
          <w:sz w:val="13"/>
          <w:szCs w:val="13"/>
          <w:lang w:val="es-ES"/>
        </w:rPr>
        <w:t>, CAT/C/GC/4, párr. 29. N)</w:t>
      </w:r>
    </w:p>
  </w:footnote>
  <w:footnote w:id="25">
    <w:p w:rsidR="000C6704" w:rsidRPr="00374C53" w:rsidRDefault="000C6704" w:rsidP="000C6704">
      <w:pPr>
        <w:jc w:val="both"/>
        <w:rPr>
          <w:sz w:val="13"/>
          <w:szCs w:val="13"/>
        </w:rPr>
      </w:pPr>
      <w:r w:rsidRPr="00374C53">
        <w:rPr>
          <w:rStyle w:val="FootnoteReference"/>
          <w:sz w:val="13"/>
          <w:szCs w:val="13"/>
        </w:rPr>
        <w:footnoteRef/>
      </w:r>
      <w:r w:rsidRPr="00374C53">
        <w:rPr>
          <w:sz w:val="13"/>
          <w:szCs w:val="13"/>
        </w:rPr>
        <w:t xml:space="preserve"> ONU. </w:t>
      </w:r>
      <w:r w:rsidRPr="00374C53">
        <w:rPr>
          <w:rFonts w:eastAsia="Calibri"/>
          <w:sz w:val="13"/>
          <w:szCs w:val="13"/>
          <w:lang w:eastAsia="en-US"/>
        </w:rPr>
        <w:t xml:space="preserve">Conferencia de las Partes en la Convención de las Naciones Unidas contra la Delincuencia Organizada Transnacional, 2009. Grupo de Trabajo sobre Trata de Personas. </w:t>
      </w:r>
      <w:r w:rsidRPr="00374C53">
        <w:rPr>
          <w:rFonts w:eastAsia="Calibri"/>
          <w:i/>
          <w:sz w:val="13"/>
          <w:szCs w:val="13"/>
          <w:lang w:eastAsia="en-US"/>
        </w:rPr>
        <w:t xml:space="preserve">Informe de la reunión del Grupo de Trabajo sobre Trata de Personas celebrada en Viena los días 14 y 15 de abril de 2009, </w:t>
      </w:r>
      <w:r w:rsidRPr="00374C53">
        <w:rPr>
          <w:rFonts w:eastAsia="Calibri"/>
          <w:sz w:val="13"/>
          <w:szCs w:val="13"/>
          <w:lang w:eastAsia="en-US"/>
        </w:rPr>
        <w:t>CTOC/COP/WG.4/2009/2</w:t>
      </w:r>
      <w:r w:rsidRPr="00374C53">
        <w:rPr>
          <w:sz w:val="13"/>
          <w:szCs w:val="13"/>
        </w:rPr>
        <w:t>, párr. 12.</w:t>
      </w:r>
    </w:p>
  </w:footnote>
  <w:footnote w:id="26">
    <w:p w:rsidR="000C6704" w:rsidRPr="00374C53" w:rsidRDefault="000C6704" w:rsidP="000C6704">
      <w:pPr>
        <w:pStyle w:val="FootnoteText"/>
        <w:spacing w:after="0" w:line="240" w:lineRule="auto"/>
        <w:jc w:val="both"/>
        <w:rPr>
          <w:sz w:val="13"/>
          <w:szCs w:val="13"/>
          <w:lang w:val="es-ES"/>
        </w:rPr>
      </w:pPr>
      <w:r w:rsidRPr="00374C53">
        <w:rPr>
          <w:sz w:val="13"/>
          <w:szCs w:val="13"/>
          <w:vertAlign w:val="superscript"/>
          <w:lang w:val="en-US"/>
        </w:rPr>
        <w:footnoteRef/>
      </w:r>
      <w:r w:rsidRPr="00374C53">
        <w:rPr>
          <w:sz w:val="13"/>
          <w:szCs w:val="13"/>
          <w:vertAlign w:val="superscript"/>
          <w:lang w:val="es-ES"/>
        </w:rPr>
        <w:t xml:space="preserve"> </w:t>
      </w:r>
      <w:r w:rsidRPr="00374C53">
        <w:rPr>
          <w:sz w:val="13"/>
          <w:szCs w:val="13"/>
          <w:lang w:val="es-ES"/>
        </w:rPr>
        <w:t xml:space="preserve">ONU. Oficina del Alto Comisionado para los Derechos Humanos, 2014. </w:t>
      </w:r>
      <w:r w:rsidRPr="00374C53">
        <w:rPr>
          <w:i/>
          <w:sz w:val="13"/>
          <w:szCs w:val="13"/>
          <w:lang w:val="es-ES"/>
        </w:rPr>
        <w:t>Los derechos humanos y la trata de personas</w:t>
      </w:r>
      <w:r w:rsidRPr="00374C53">
        <w:rPr>
          <w:sz w:val="13"/>
          <w:szCs w:val="13"/>
          <w:lang w:val="es-ES"/>
        </w:rPr>
        <w:t>, Folleto Informativo Nº 36, pp. 12ss.</w:t>
      </w:r>
    </w:p>
  </w:footnote>
  <w:footnote w:id="27">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sz w:val="13"/>
          <w:szCs w:val="13"/>
          <w:lang w:val="es-ES"/>
        </w:rPr>
        <w:t xml:space="preserve">ONU. Asamblea General, 2012. Relatora Especial sobre la trata de personas, especialmente mujeres y niños. </w:t>
      </w:r>
      <w:r w:rsidRPr="00374C53">
        <w:rPr>
          <w:i/>
          <w:sz w:val="13"/>
          <w:szCs w:val="13"/>
          <w:lang w:val="es-ES"/>
        </w:rPr>
        <w:t>Informe anual al Consejo de Derechos Humanos sobre la aplicación de un enfoque de derechos humanos en la administración de justicia en casos de trata de personas</w:t>
      </w:r>
      <w:r w:rsidRPr="00374C53">
        <w:rPr>
          <w:sz w:val="13"/>
          <w:szCs w:val="13"/>
          <w:lang w:val="es-ES"/>
        </w:rPr>
        <w:t>, A/HRC/20/18, párr. 26.</w:t>
      </w:r>
    </w:p>
  </w:footnote>
  <w:footnote w:id="28">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sz w:val="13"/>
          <w:szCs w:val="13"/>
          <w:lang w:val="es-ES"/>
        </w:rPr>
        <w:t xml:space="preserve">Women’s Link Worldwide, 2018. </w:t>
      </w:r>
      <w:r w:rsidRPr="00374C53">
        <w:rPr>
          <w:i/>
          <w:sz w:val="13"/>
          <w:szCs w:val="13"/>
          <w:lang w:val="es-ES"/>
        </w:rPr>
        <w:t>Madres en las redes de trata: derechos robados</w:t>
      </w:r>
      <w:r w:rsidRPr="00374C53">
        <w:rPr>
          <w:sz w:val="13"/>
          <w:szCs w:val="13"/>
          <w:lang w:val="es-ES"/>
        </w:rPr>
        <w:t xml:space="preserve">. [En línea] Disponible en: </w:t>
      </w:r>
      <w:hyperlink r:id="rId9" w:history="1">
        <w:r w:rsidRPr="00374C53">
          <w:rPr>
            <w:rStyle w:val="Hyperlink"/>
            <w:sz w:val="13"/>
            <w:szCs w:val="13"/>
            <w:lang w:val="es-ES"/>
          </w:rPr>
          <w:t>www.womenslinkworldwide.org/en/files/3028/mothers-in-the-trafficking-networks.pdf</w:t>
        </w:r>
      </w:hyperlink>
      <w:r w:rsidRPr="00374C53">
        <w:rPr>
          <w:sz w:val="13"/>
          <w:szCs w:val="13"/>
          <w:lang w:val="es-ES"/>
        </w:rPr>
        <w:t xml:space="preserve"> </w:t>
      </w:r>
    </w:p>
  </w:footnote>
  <w:footnote w:id="29">
    <w:p w:rsidR="000C6704" w:rsidRPr="00374C53" w:rsidRDefault="000C6704" w:rsidP="000C6704">
      <w:pPr>
        <w:pStyle w:val="FootnoteText"/>
        <w:spacing w:after="0" w:line="240" w:lineRule="auto"/>
        <w:jc w:val="both"/>
        <w:rPr>
          <w:sz w:val="13"/>
          <w:szCs w:val="13"/>
        </w:rPr>
      </w:pPr>
      <w:r w:rsidRPr="00374C53">
        <w:rPr>
          <w:rStyle w:val="FootnoteReference"/>
          <w:sz w:val="13"/>
          <w:szCs w:val="13"/>
        </w:rPr>
        <w:footnoteRef/>
      </w:r>
      <w:r w:rsidRPr="00374C53">
        <w:rPr>
          <w:rStyle w:val="PageNumber"/>
          <w:sz w:val="13"/>
          <w:szCs w:val="13"/>
        </w:rPr>
        <w:t xml:space="preserve"> ONU. Asamblea General, 2014</w:t>
      </w:r>
      <w:r w:rsidRPr="00374C53">
        <w:rPr>
          <w:rStyle w:val="PageNumber"/>
          <w:i/>
          <w:iCs/>
          <w:sz w:val="13"/>
          <w:szCs w:val="13"/>
        </w:rPr>
        <w:t>. Resumen de las consultas celebradas acerca del proyecto de principios básicos sobre el derecho de las víctimas de la trata de personas a una reparación efectiva</w:t>
      </w:r>
      <w:r w:rsidRPr="00374C53">
        <w:rPr>
          <w:rStyle w:val="PageNumber"/>
          <w:sz w:val="13"/>
          <w:szCs w:val="13"/>
        </w:rPr>
        <w:t>, Anexo, A/HRC/26/18, párr</w:t>
      </w:r>
      <w:r w:rsidRPr="00374C53">
        <w:rPr>
          <w:rStyle w:val="PageNumber"/>
          <w:sz w:val="13"/>
          <w:szCs w:val="13"/>
          <w:lang w:val="es-ES"/>
        </w:rPr>
        <w:t>.</w:t>
      </w:r>
      <w:r w:rsidRPr="00374C53">
        <w:rPr>
          <w:rStyle w:val="PageNumber"/>
          <w:sz w:val="13"/>
          <w:szCs w:val="13"/>
        </w:rPr>
        <w:t>1.</w:t>
      </w:r>
    </w:p>
  </w:footnote>
  <w:footnote w:id="30">
    <w:p w:rsidR="000C6704" w:rsidRPr="00374C53" w:rsidRDefault="000C6704" w:rsidP="000C6704">
      <w:pPr>
        <w:pStyle w:val="FootnoteText"/>
        <w:spacing w:after="0" w:line="240" w:lineRule="auto"/>
        <w:jc w:val="both"/>
        <w:rPr>
          <w:sz w:val="13"/>
          <w:szCs w:val="13"/>
        </w:rPr>
      </w:pPr>
      <w:r w:rsidRPr="00374C53">
        <w:rPr>
          <w:rStyle w:val="PageNumber"/>
          <w:sz w:val="13"/>
          <w:szCs w:val="13"/>
          <w:vertAlign w:val="superscript"/>
        </w:rPr>
        <w:footnoteRef/>
      </w:r>
      <w:r w:rsidRPr="00374C53">
        <w:rPr>
          <w:rStyle w:val="PageNumber"/>
          <w:sz w:val="13"/>
          <w:szCs w:val="13"/>
        </w:rPr>
        <w:t xml:space="preserve"> ONU. Asamblea General, 2014. </w:t>
      </w:r>
      <w:r w:rsidRPr="00374C53">
        <w:rPr>
          <w:rStyle w:val="PageNumber"/>
          <w:i/>
          <w:iCs/>
          <w:sz w:val="13"/>
          <w:szCs w:val="13"/>
        </w:rPr>
        <w:t>Resumen de las consultas celebradas acerca del proyecto de principios básicos sobre el derecho de las víctimas de la trata de personas a una reparación efectiva</w:t>
      </w:r>
      <w:r w:rsidRPr="00374C53">
        <w:rPr>
          <w:rStyle w:val="PageNumber"/>
          <w:sz w:val="13"/>
          <w:szCs w:val="13"/>
        </w:rPr>
        <w:t>, Anexo, A/HRC/26/18 párr</w:t>
      </w:r>
      <w:r w:rsidRPr="00374C53">
        <w:rPr>
          <w:rStyle w:val="PageNumber"/>
          <w:sz w:val="13"/>
          <w:szCs w:val="13"/>
          <w:lang w:val="es-ES"/>
        </w:rPr>
        <w:t>.</w:t>
      </w:r>
      <w:r w:rsidRPr="00374C53">
        <w:rPr>
          <w:rStyle w:val="PageNumber"/>
          <w:sz w:val="13"/>
          <w:szCs w:val="13"/>
        </w:rPr>
        <w:t xml:space="preserve"> 2.</w:t>
      </w:r>
    </w:p>
  </w:footnote>
  <w:footnote w:id="31">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sz w:val="13"/>
          <w:szCs w:val="13"/>
          <w:lang w:val="es-ES"/>
        </w:rPr>
        <w:t>OEA. Comisión Interamericana de Derechos Humanos</w:t>
      </w:r>
      <w:r w:rsidRPr="00374C53">
        <w:rPr>
          <w:sz w:val="13"/>
          <w:szCs w:val="13"/>
        </w:rPr>
        <w:t xml:space="preserve">. </w:t>
      </w:r>
      <w:r w:rsidRPr="00374C53">
        <w:rPr>
          <w:i/>
          <w:sz w:val="13"/>
          <w:szCs w:val="13"/>
        </w:rPr>
        <w:t>Derechos humanos de los migrantes y otras personas en el contexto de la movilidad humana en méxico</w:t>
      </w:r>
      <w:r w:rsidRPr="00374C53">
        <w:rPr>
          <w:sz w:val="13"/>
          <w:szCs w:val="13"/>
        </w:rPr>
        <w:t xml:space="preserve">. OEA/Ser.L/V/II. Doc. 48/13 30 de diciembre 2013, párrs. 352-353. </w:t>
      </w:r>
    </w:p>
  </w:footnote>
  <w:footnote w:id="32">
    <w:p w:rsidR="000C6704" w:rsidRPr="00374C53" w:rsidRDefault="000C6704" w:rsidP="000C6704">
      <w:pPr>
        <w:pStyle w:val="FootnoteText"/>
        <w:spacing w:after="0" w:line="240" w:lineRule="auto"/>
        <w:jc w:val="both"/>
        <w:rPr>
          <w:sz w:val="13"/>
          <w:szCs w:val="13"/>
        </w:rPr>
      </w:pPr>
      <w:r w:rsidRPr="00374C53">
        <w:rPr>
          <w:rStyle w:val="FootnoteReference"/>
          <w:sz w:val="13"/>
          <w:szCs w:val="13"/>
        </w:rPr>
        <w:footnoteRef/>
      </w:r>
      <w:r w:rsidRPr="00374C53">
        <w:rPr>
          <w:sz w:val="13"/>
          <w:szCs w:val="13"/>
        </w:rPr>
        <w:t xml:space="preserve"> </w:t>
      </w:r>
      <w:r w:rsidRPr="00374C53">
        <w:rPr>
          <w:sz w:val="13"/>
          <w:szCs w:val="13"/>
          <w:lang w:val="es-ES"/>
        </w:rPr>
        <w:t xml:space="preserve">OEA. Corte Interamericana de Derechos Humanos, 2018. </w:t>
      </w:r>
      <w:r w:rsidRPr="00374C53">
        <w:rPr>
          <w:i/>
          <w:sz w:val="13"/>
          <w:szCs w:val="13"/>
          <w:lang w:val="es-ES"/>
        </w:rPr>
        <w:t>Caso López Soto y otros vs. Venezuela</w:t>
      </w:r>
      <w:r w:rsidRPr="00374C53">
        <w:rPr>
          <w:sz w:val="13"/>
          <w:szCs w:val="13"/>
          <w:lang w:val="es-ES"/>
        </w:rPr>
        <w:t>. Fondo, Reparaciones y Costas. Sentencia de 26 de septiembre de 2018. Serie C No. 362. Capítulo IX sobre reparaciones.</w:t>
      </w:r>
    </w:p>
  </w:footnote>
  <w:footnote w:id="33">
    <w:p w:rsidR="000C6704" w:rsidRPr="00374C53"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lang w:val="es-ES"/>
        </w:rPr>
        <w:t xml:space="preserve"> OEA. Corte Interamericana de Derechos Humanos, 2009. </w:t>
      </w:r>
      <w:r w:rsidRPr="00374C53">
        <w:rPr>
          <w:i/>
          <w:sz w:val="13"/>
          <w:szCs w:val="13"/>
          <w:lang w:val="es-ES"/>
        </w:rPr>
        <w:t xml:space="preserve">Caso González y otras (“Campo Algodonero”) vs. México.  </w:t>
      </w:r>
      <w:r w:rsidRPr="00374C53">
        <w:rPr>
          <w:sz w:val="13"/>
          <w:szCs w:val="13"/>
          <w:lang w:val="es-ES"/>
        </w:rPr>
        <w:t>Excepción Preliminar, Fondo, Reparaciones y Costas. Sentencia de 16 de noviembre de 2009. Serie C No. 205, párr. 450.</w:t>
      </w:r>
    </w:p>
  </w:footnote>
  <w:footnote w:id="34">
    <w:p w:rsidR="000C6704" w:rsidRPr="00374C53" w:rsidRDefault="000C6704" w:rsidP="000C6704">
      <w:pPr>
        <w:pStyle w:val="FootnoteText"/>
        <w:spacing w:after="0" w:line="240" w:lineRule="auto"/>
        <w:jc w:val="both"/>
        <w:rPr>
          <w:sz w:val="13"/>
          <w:szCs w:val="13"/>
        </w:rPr>
      </w:pPr>
      <w:r w:rsidRPr="00374C53">
        <w:rPr>
          <w:rStyle w:val="PageNumber"/>
          <w:sz w:val="13"/>
          <w:szCs w:val="13"/>
          <w:vertAlign w:val="superscript"/>
        </w:rPr>
        <w:footnoteRef/>
      </w:r>
      <w:r w:rsidRPr="00374C53">
        <w:rPr>
          <w:rStyle w:val="PageNumber"/>
          <w:sz w:val="13"/>
          <w:szCs w:val="13"/>
          <w:lang w:val="es-ES"/>
        </w:rPr>
        <w:t xml:space="preserve"> </w:t>
      </w:r>
      <w:r w:rsidRPr="00374C53">
        <w:rPr>
          <w:rStyle w:val="PageNumber"/>
          <w:sz w:val="13"/>
          <w:szCs w:val="13"/>
        </w:rPr>
        <w:t xml:space="preserve">Declaración de Nairobi sobre el Derecho de las mujeres y las niñas a interponer recursos y obtener reparaciones, 2007. [En línea] </w:t>
      </w:r>
      <w:r w:rsidRPr="00374C53">
        <w:rPr>
          <w:rStyle w:val="PageNumber"/>
          <w:sz w:val="13"/>
          <w:szCs w:val="13"/>
          <w:lang w:val="es-ES"/>
        </w:rPr>
        <w:t xml:space="preserve">Disponible </w:t>
      </w:r>
      <w:r w:rsidRPr="00374C53">
        <w:rPr>
          <w:rStyle w:val="PageNumber"/>
          <w:sz w:val="13"/>
          <w:szCs w:val="13"/>
        </w:rPr>
        <w:t xml:space="preserve">en: </w:t>
      </w:r>
      <w:hyperlink r:id="rId10" w:history="1">
        <w:r w:rsidRPr="00374C53">
          <w:rPr>
            <w:rStyle w:val="Hyperlink1"/>
            <w:sz w:val="13"/>
            <w:szCs w:val="13"/>
          </w:rPr>
          <w:t>www.fidh.org/IMG/pdf/DeclaraciondeNairobi-es.pdf</w:t>
        </w:r>
      </w:hyperlink>
    </w:p>
  </w:footnote>
  <w:footnote w:id="35">
    <w:p w:rsidR="000C6704" w:rsidRPr="00374C53" w:rsidRDefault="000C6704" w:rsidP="000C6704">
      <w:pPr>
        <w:pStyle w:val="FootnoteText"/>
        <w:spacing w:after="0" w:line="240" w:lineRule="auto"/>
        <w:jc w:val="both"/>
        <w:rPr>
          <w:sz w:val="13"/>
          <w:szCs w:val="13"/>
        </w:rPr>
      </w:pPr>
      <w:r w:rsidRPr="00374C53">
        <w:rPr>
          <w:rStyle w:val="FootnoteReference"/>
          <w:sz w:val="13"/>
          <w:szCs w:val="13"/>
        </w:rPr>
        <w:footnoteRef/>
      </w:r>
      <w:r w:rsidRPr="00374C53">
        <w:rPr>
          <w:sz w:val="13"/>
          <w:szCs w:val="13"/>
        </w:rPr>
        <w:t xml:space="preserve"> </w:t>
      </w:r>
      <w:r w:rsidRPr="00374C53">
        <w:rPr>
          <w:sz w:val="13"/>
          <w:szCs w:val="13"/>
          <w:lang w:val="es-ES"/>
        </w:rPr>
        <w:t xml:space="preserve">ONU. Asamblea General, 2009. </w:t>
      </w:r>
      <w:r w:rsidRPr="00374C53">
        <w:rPr>
          <w:i/>
          <w:sz w:val="13"/>
          <w:szCs w:val="13"/>
          <w:lang w:val="es-ES"/>
        </w:rPr>
        <w:t>Informe de la Relatora Especial sobre la trata de personas, especialmente mujeres y niños</w:t>
      </w:r>
      <w:r w:rsidRPr="00374C53">
        <w:rPr>
          <w:sz w:val="13"/>
          <w:szCs w:val="13"/>
          <w:lang w:val="es-ES"/>
        </w:rPr>
        <w:t xml:space="preserve">, A/64/290, párr. </w:t>
      </w:r>
      <w:r w:rsidRPr="00BC1694">
        <w:rPr>
          <w:sz w:val="13"/>
          <w:szCs w:val="13"/>
          <w:lang w:val="es-ES"/>
        </w:rPr>
        <w:t>57.</w:t>
      </w:r>
    </w:p>
  </w:footnote>
  <w:footnote w:id="36">
    <w:p w:rsidR="000C6704" w:rsidRPr="00374C53" w:rsidRDefault="000C6704" w:rsidP="000C6704">
      <w:pPr>
        <w:jc w:val="both"/>
        <w:rPr>
          <w:sz w:val="13"/>
          <w:szCs w:val="13"/>
        </w:rPr>
      </w:pPr>
      <w:r w:rsidRPr="00374C53">
        <w:rPr>
          <w:rStyle w:val="FootnoteReference"/>
          <w:sz w:val="13"/>
          <w:szCs w:val="13"/>
        </w:rPr>
        <w:footnoteRef/>
      </w:r>
      <w:r w:rsidRPr="00374C53">
        <w:rPr>
          <w:sz w:val="13"/>
          <w:szCs w:val="13"/>
        </w:rPr>
        <w:t xml:space="preserve"> ONU. Consejo Económico Social, 2006. </w:t>
      </w:r>
      <w:r w:rsidRPr="00374C53">
        <w:rPr>
          <w:i/>
          <w:sz w:val="13"/>
          <w:szCs w:val="13"/>
        </w:rPr>
        <w:t>Informe de la Relatora Especial sobre la violencia contra la mujer, sus causas y consecuencias</w:t>
      </w:r>
      <w:r w:rsidRPr="00374C53">
        <w:rPr>
          <w:sz w:val="13"/>
          <w:szCs w:val="13"/>
        </w:rPr>
        <w:t>, Yakin Ertürk, E/CN.4/2006/61</w:t>
      </w:r>
      <w:r w:rsidRPr="00374C53">
        <w:rPr>
          <w:i/>
          <w:iCs/>
          <w:sz w:val="13"/>
          <w:szCs w:val="13"/>
        </w:rPr>
        <w:t xml:space="preserve">, </w:t>
      </w:r>
      <w:r w:rsidRPr="00374C53">
        <w:rPr>
          <w:sz w:val="13"/>
          <w:szCs w:val="13"/>
        </w:rPr>
        <w:t xml:space="preserve">párr. 82. Véase, también: Comisión Africana de Derechos Humanos y de los Pueblos, 2017. Guía para combatir la violencia sexual y sus consecuencias en África, Parte 3, párr. 24. </w:t>
      </w:r>
      <w:r w:rsidRPr="00374C53">
        <w:rPr>
          <w:rStyle w:val="PageNumber"/>
          <w:sz w:val="13"/>
          <w:szCs w:val="13"/>
        </w:rPr>
        <w:t xml:space="preserve">[En línea] Disponible en: </w:t>
      </w:r>
      <w:hyperlink r:id="rId11" w:history="1">
        <w:r w:rsidRPr="00374C53">
          <w:rPr>
            <w:rStyle w:val="Hyperlink"/>
            <w:sz w:val="13"/>
            <w:szCs w:val="13"/>
          </w:rPr>
          <w:t>www.achpr.org/files/instruments/combating-sexual-violence/achpr_eng_guidelines_on_combating_sexual_violence_and_its_consequences.pdf</w:t>
        </w:r>
      </w:hyperlink>
      <w:r w:rsidRPr="00374C53">
        <w:rPr>
          <w:sz w:val="13"/>
          <w:szCs w:val="13"/>
        </w:rPr>
        <w:t xml:space="preserve">; Protocolo a la Carta Africana de Derechos Humanos y de los Pueblos, artículo 4. e). </w:t>
      </w:r>
    </w:p>
  </w:footnote>
  <w:footnote w:id="37">
    <w:p w:rsidR="000C6704" w:rsidRPr="00425C1B" w:rsidRDefault="000C6704" w:rsidP="000C6704">
      <w:pPr>
        <w:pStyle w:val="FootnoteText"/>
        <w:spacing w:after="0" w:line="240" w:lineRule="auto"/>
        <w:jc w:val="both"/>
        <w:rPr>
          <w:sz w:val="13"/>
          <w:szCs w:val="13"/>
          <w:lang w:val="es-ES"/>
        </w:rPr>
      </w:pPr>
      <w:r w:rsidRPr="00374C53">
        <w:rPr>
          <w:rStyle w:val="FootnoteReference"/>
          <w:sz w:val="13"/>
          <w:szCs w:val="13"/>
        </w:rPr>
        <w:footnoteRef/>
      </w:r>
      <w:r w:rsidRPr="00374C53">
        <w:rPr>
          <w:sz w:val="13"/>
          <w:szCs w:val="13"/>
        </w:rPr>
        <w:t xml:space="preserve"> </w:t>
      </w:r>
      <w:r w:rsidRPr="00374C53">
        <w:rPr>
          <w:sz w:val="13"/>
          <w:szCs w:val="13"/>
          <w:lang w:val="es-ES"/>
        </w:rPr>
        <w:t xml:space="preserve">“La violencia por razón de género contra la mujer puede derivarse de los actos u omisiones de agentes estatales o no estatales, que actúan territorialmente o extraterritorialmente, incluidas las acciones militares extraterritoriales de los Estados, a título individual o como miembros de organizaciones o coaliciones internacionales o intergubernamentales, o las operaciones extraterritoriales de las empresas privadas”, </w:t>
      </w:r>
      <w:r w:rsidRPr="00374C53">
        <w:rPr>
          <w:color w:val="000000" w:themeColor="text1"/>
          <w:sz w:val="13"/>
          <w:szCs w:val="13"/>
          <w:lang w:val="es-ES"/>
        </w:rPr>
        <w:t xml:space="preserve">ONU. </w:t>
      </w:r>
      <w:r w:rsidRPr="00374C53">
        <w:rPr>
          <w:color w:val="000000" w:themeColor="text1"/>
          <w:sz w:val="13"/>
          <w:szCs w:val="13"/>
        </w:rPr>
        <w:t xml:space="preserve">Comité CEDAW. </w:t>
      </w:r>
      <w:r w:rsidRPr="00374C53">
        <w:rPr>
          <w:i/>
          <w:color w:val="000000" w:themeColor="text1"/>
          <w:sz w:val="13"/>
          <w:szCs w:val="13"/>
        </w:rPr>
        <w:t xml:space="preserve">Recomendación General núm. 35 sobre la violencia de género contra la mujer, por la que se actualiza </w:t>
      </w:r>
      <w:r w:rsidRPr="0071666C">
        <w:rPr>
          <w:i/>
          <w:color w:val="000000" w:themeColor="text1"/>
          <w:sz w:val="13"/>
          <w:szCs w:val="13"/>
        </w:rPr>
        <w:t>la recomendación general Nº 19</w:t>
      </w:r>
      <w:r w:rsidRPr="0071666C">
        <w:rPr>
          <w:color w:val="000000" w:themeColor="text1"/>
          <w:sz w:val="13"/>
          <w:szCs w:val="13"/>
        </w:rPr>
        <w:t xml:space="preserve">, </w:t>
      </w:r>
      <w:r w:rsidRPr="0071666C">
        <w:rPr>
          <w:rFonts w:eastAsia="Times New Roman"/>
          <w:color w:val="000000" w:themeColor="text1"/>
          <w:sz w:val="13"/>
          <w:szCs w:val="13"/>
          <w:lang w:eastAsia="es-ES_tradnl"/>
        </w:rPr>
        <w:t xml:space="preserve">CEDAW/C/GC/35, </w:t>
      </w:r>
      <w:r w:rsidRPr="0071666C">
        <w:rPr>
          <w:rFonts w:eastAsia="Times New Roman"/>
          <w:color w:val="000000" w:themeColor="text1"/>
          <w:sz w:val="13"/>
          <w:szCs w:val="13"/>
          <w:lang w:val="es-ES" w:eastAsia="es-ES_tradnl"/>
        </w:rPr>
        <w:t xml:space="preserve">de </w:t>
      </w:r>
      <w:r w:rsidRPr="0071666C">
        <w:rPr>
          <w:rFonts w:eastAsia="Times New Roman"/>
          <w:color w:val="000000" w:themeColor="text1"/>
          <w:sz w:val="13"/>
          <w:szCs w:val="13"/>
          <w:lang w:eastAsia="es-ES_tradnl"/>
        </w:rPr>
        <w:t>26 de julio</w:t>
      </w:r>
      <w:r w:rsidRPr="0071666C">
        <w:rPr>
          <w:rFonts w:eastAsia="Times New Roman"/>
          <w:color w:val="000000" w:themeColor="text1"/>
          <w:sz w:val="13"/>
          <w:szCs w:val="13"/>
          <w:lang w:val="es-ES" w:eastAsia="es-ES_tradnl"/>
        </w:rPr>
        <w:t xml:space="preserve">, párr. 20. </w:t>
      </w:r>
    </w:p>
  </w:footnote>
  <w:footnote w:id="38">
    <w:p w:rsidR="000C6704" w:rsidRPr="00425C1B" w:rsidRDefault="000C6704" w:rsidP="000C6704">
      <w:pPr>
        <w:jc w:val="both"/>
        <w:rPr>
          <w:rFonts w:eastAsia="Calibri"/>
          <w:sz w:val="13"/>
          <w:szCs w:val="13"/>
          <w:lang w:eastAsia="en-US"/>
        </w:rPr>
      </w:pPr>
      <w:r w:rsidRPr="0071666C">
        <w:rPr>
          <w:rStyle w:val="FootnoteReference"/>
          <w:sz w:val="13"/>
          <w:szCs w:val="13"/>
        </w:rPr>
        <w:footnoteRef/>
      </w:r>
      <w:r w:rsidRPr="0071666C">
        <w:rPr>
          <w:sz w:val="13"/>
          <w:szCs w:val="13"/>
        </w:rPr>
        <w:t xml:space="preserve"> Tribunal Europeo de Derechos Humanos</w:t>
      </w:r>
      <w:r>
        <w:rPr>
          <w:sz w:val="13"/>
          <w:szCs w:val="13"/>
        </w:rPr>
        <w:t>, 2010</w:t>
      </w:r>
      <w:r w:rsidRPr="0071666C">
        <w:rPr>
          <w:sz w:val="13"/>
          <w:szCs w:val="13"/>
        </w:rPr>
        <w:t xml:space="preserve">. </w:t>
      </w:r>
      <w:r>
        <w:rPr>
          <w:sz w:val="13"/>
          <w:szCs w:val="13"/>
        </w:rPr>
        <w:t xml:space="preserve">Caso </w:t>
      </w:r>
      <w:r w:rsidRPr="0071666C">
        <w:rPr>
          <w:rFonts w:eastAsia="Calibri"/>
          <w:i/>
          <w:sz w:val="13"/>
          <w:szCs w:val="13"/>
          <w:lang w:eastAsia="en-US"/>
        </w:rPr>
        <w:t>Rantsev c. Chipre y Rusia</w:t>
      </w:r>
      <w:r w:rsidRPr="0071666C">
        <w:rPr>
          <w:rFonts w:eastAsia="Calibri"/>
          <w:sz w:val="13"/>
          <w:szCs w:val="13"/>
          <w:lang w:eastAsia="en-US"/>
        </w:rPr>
        <w:t xml:space="preserve">, </w:t>
      </w:r>
      <w:r>
        <w:rPr>
          <w:rFonts w:eastAsia="Calibri"/>
          <w:sz w:val="13"/>
          <w:szCs w:val="13"/>
          <w:lang w:eastAsia="en-US"/>
        </w:rPr>
        <w:t>comunicación</w:t>
      </w:r>
      <w:r w:rsidRPr="0071666C">
        <w:rPr>
          <w:rFonts w:eastAsia="Calibri"/>
          <w:sz w:val="13"/>
          <w:szCs w:val="13"/>
          <w:lang w:eastAsia="en-US"/>
        </w:rPr>
        <w:t xml:space="preserve"> no. 25965/04. Sentencia de 7 de enero. </w:t>
      </w:r>
      <w:r w:rsidRPr="0071666C">
        <w:rPr>
          <w:rStyle w:val="PageNumber"/>
          <w:sz w:val="13"/>
          <w:szCs w:val="13"/>
        </w:rPr>
        <w:t>[En línea] Disponible en: hudoc.echr.coe.int/eng?i=001-96549</w:t>
      </w:r>
      <w:r>
        <w:rPr>
          <w:rStyle w:val="PageNumber"/>
          <w:sz w:val="13"/>
          <w:szCs w:val="13"/>
        </w:rPr>
        <w:t xml:space="preserve"> </w:t>
      </w:r>
    </w:p>
  </w:footnote>
  <w:footnote w:id="39">
    <w:p w:rsidR="000C6704" w:rsidRPr="00425C1B" w:rsidRDefault="000C6704" w:rsidP="000C6704">
      <w:pPr>
        <w:pStyle w:val="FootnoteText"/>
        <w:spacing w:after="0" w:line="240" w:lineRule="auto"/>
        <w:jc w:val="both"/>
        <w:rPr>
          <w:sz w:val="13"/>
          <w:szCs w:val="13"/>
          <w:lang w:val="es-ES"/>
        </w:rPr>
      </w:pPr>
      <w:r w:rsidRPr="0071666C">
        <w:rPr>
          <w:rStyle w:val="FootnoteReference"/>
          <w:sz w:val="13"/>
          <w:szCs w:val="13"/>
        </w:rPr>
        <w:footnoteRef/>
      </w:r>
      <w:r w:rsidRPr="0071666C">
        <w:rPr>
          <w:sz w:val="13"/>
          <w:szCs w:val="13"/>
        </w:rPr>
        <w:t xml:space="preserve"> </w:t>
      </w:r>
      <w:r w:rsidRPr="0071666C">
        <w:rPr>
          <w:sz w:val="13"/>
          <w:szCs w:val="13"/>
          <w:lang w:val="es-ES"/>
        </w:rPr>
        <w:t>ONU Mujeres, 2017.</w:t>
      </w:r>
      <w:r>
        <w:rPr>
          <w:sz w:val="13"/>
          <w:szCs w:val="13"/>
          <w:lang w:val="es-ES"/>
        </w:rPr>
        <w:t xml:space="preserve"> </w:t>
      </w:r>
      <w:r w:rsidRPr="004366B8">
        <w:rPr>
          <w:i/>
          <w:sz w:val="13"/>
          <w:szCs w:val="13"/>
          <w:lang w:val="es-ES"/>
        </w:rPr>
        <w:t>Recomendaciones para abordar los derechos humanos de las mujeres en el pacto mundial para una migración segura, ordenada y regular</w:t>
      </w:r>
      <w:r w:rsidRPr="0071666C">
        <w:rPr>
          <w:sz w:val="13"/>
          <w:szCs w:val="13"/>
          <w:lang w:val="es-ES"/>
        </w:rPr>
        <w:t xml:space="preserve">. Resultado de la reunión de personas expertas celebrada en Ginebra en noviembre de 2016. </w:t>
      </w:r>
      <w:r w:rsidRPr="0071666C">
        <w:rPr>
          <w:rStyle w:val="PageNumber"/>
          <w:sz w:val="13"/>
          <w:szCs w:val="13"/>
        </w:rPr>
        <w:t xml:space="preserve">[En línea] Disponible en: </w:t>
      </w:r>
      <w:hyperlink r:id="rId12" w:history="1">
        <w:r w:rsidRPr="00C361AE">
          <w:rPr>
            <w:rStyle w:val="Hyperlink"/>
            <w:sz w:val="13"/>
            <w:szCs w:val="13"/>
          </w:rPr>
          <w:t>www.unwomen.org/-/media/headquarters/attachments/sections/library/publications/2017/addressing-womens-human-rights-migration-es.pdf?la=en&amp;vs=4110</w:t>
        </w:r>
      </w:hyperlink>
      <w:r>
        <w:rPr>
          <w:sz w:val="13"/>
          <w:szCs w:val="13"/>
          <w:lang w:val="es-ES"/>
        </w:rPr>
        <w:t xml:space="preserve"> </w:t>
      </w:r>
    </w:p>
  </w:footnote>
  <w:footnote w:id="40">
    <w:p w:rsidR="000C6704" w:rsidRPr="000A2325" w:rsidRDefault="000C6704" w:rsidP="000C6704">
      <w:pPr>
        <w:pStyle w:val="FootnoteText"/>
        <w:spacing w:after="0" w:line="240" w:lineRule="auto"/>
        <w:jc w:val="both"/>
        <w:rPr>
          <w:sz w:val="13"/>
          <w:szCs w:val="13"/>
          <w:lang w:val="en-US"/>
        </w:rPr>
      </w:pPr>
      <w:r w:rsidRPr="00425C1B">
        <w:rPr>
          <w:rStyle w:val="FootnoteReference"/>
          <w:sz w:val="13"/>
          <w:szCs w:val="13"/>
        </w:rPr>
        <w:footnoteRef/>
      </w:r>
      <w:r w:rsidRPr="00425C1B">
        <w:rPr>
          <w:sz w:val="13"/>
          <w:szCs w:val="13"/>
        </w:rPr>
        <w:t xml:space="preserve"> </w:t>
      </w:r>
      <w:r w:rsidRPr="00BC1694">
        <w:rPr>
          <w:sz w:val="13"/>
          <w:szCs w:val="13"/>
          <w:lang w:val="en-US"/>
        </w:rPr>
        <w:t xml:space="preserve">Trafficking in Human Beings. Working Paper 2015. </w:t>
      </w:r>
      <w:r w:rsidRPr="00DD6594">
        <w:rPr>
          <w:sz w:val="13"/>
          <w:szCs w:val="13"/>
          <w:lang w:val="en-US"/>
        </w:rPr>
        <w:t xml:space="preserve">Eurostat. Unión Europea, 2015, pág. 21. </w:t>
      </w:r>
      <w:r w:rsidRPr="00055FCF">
        <w:rPr>
          <w:rStyle w:val="PageNumber"/>
          <w:sz w:val="13"/>
          <w:szCs w:val="13"/>
        </w:rPr>
        <w:t xml:space="preserve">[En línea] Disponible en: </w:t>
      </w:r>
      <w:hyperlink r:id="rId13" w:history="1">
        <w:r w:rsidRPr="00C361AE">
          <w:rPr>
            <w:rStyle w:val="Hyperlink"/>
            <w:sz w:val="13"/>
            <w:szCs w:val="13"/>
          </w:rPr>
          <w:t>ec.europa.eu/anti-trafficking/sites/antitrafficking/files/eurostat_report_on_trafficking_in_human_beings_-_2015_edition.pdf</w:t>
        </w:r>
      </w:hyperlink>
      <w:r w:rsidRPr="000A2325">
        <w:rPr>
          <w:sz w:val="13"/>
          <w:szCs w:val="13"/>
          <w:lang w:val="en-US"/>
        </w:rPr>
        <w:t xml:space="preserve"> </w:t>
      </w:r>
    </w:p>
  </w:footnote>
  <w:footnote w:id="41">
    <w:p w:rsidR="000C6704" w:rsidRPr="00425C1B" w:rsidRDefault="000C6704" w:rsidP="000C6704">
      <w:pPr>
        <w:pStyle w:val="FootnoteText"/>
        <w:spacing w:after="0" w:line="240" w:lineRule="auto"/>
        <w:jc w:val="both"/>
        <w:rPr>
          <w:sz w:val="13"/>
          <w:szCs w:val="13"/>
          <w:lang w:val="es-ES"/>
        </w:rPr>
      </w:pPr>
      <w:r w:rsidRPr="00126035">
        <w:rPr>
          <w:rStyle w:val="FootnoteReference"/>
          <w:sz w:val="13"/>
          <w:szCs w:val="13"/>
        </w:rPr>
        <w:footnoteRef/>
      </w:r>
      <w:r w:rsidRPr="00126035">
        <w:rPr>
          <w:sz w:val="13"/>
          <w:szCs w:val="13"/>
        </w:rPr>
        <w:t xml:space="preserve"> </w:t>
      </w:r>
      <w:r w:rsidRPr="00126035">
        <w:rPr>
          <w:sz w:val="13"/>
          <w:szCs w:val="13"/>
          <w:lang w:val="es-ES"/>
        </w:rPr>
        <w:t xml:space="preserve">Según las últimas estimaciones de la Organización Internacional del Trabajo, las mujeres y las niñas representan el 99% de las víctimas en la industria del sexo y el 58% de las víctimas del trabajo forzoso en otros sectores. </w:t>
      </w:r>
      <w:r w:rsidRPr="00126035">
        <w:rPr>
          <w:sz w:val="13"/>
          <w:szCs w:val="13"/>
        </w:rPr>
        <w:t>Organización Internacional del Trabajo y Walk Free Foundation, Global Estimates of Modern Slavery: Forced Labour and Forced Marriage, Ginebra, Oficina Internacional del Trabajo, 2017</w:t>
      </w:r>
      <w:r w:rsidRPr="00126035">
        <w:rPr>
          <w:sz w:val="13"/>
          <w:szCs w:val="13"/>
          <w:lang w:val="es-ES"/>
        </w:rPr>
        <w:t xml:space="preserve">. </w:t>
      </w:r>
    </w:p>
  </w:footnote>
  <w:footnote w:id="42">
    <w:p w:rsidR="000C6704" w:rsidRPr="00126035" w:rsidRDefault="000C6704" w:rsidP="000C6704">
      <w:pPr>
        <w:pStyle w:val="FootnoteText"/>
        <w:spacing w:after="0" w:line="240" w:lineRule="auto"/>
        <w:jc w:val="both"/>
        <w:rPr>
          <w:sz w:val="13"/>
          <w:szCs w:val="13"/>
          <w:lang w:val="es-ES"/>
        </w:rPr>
      </w:pPr>
      <w:r w:rsidRPr="00126035">
        <w:rPr>
          <w:rFonts w:eastAsia="Book Antiqua"/>
          <w:sz w:val="13"/>
          <w:szCs w:val="13"/>
          <w:vertAlign w:val="superscript"/>
          <w:lang w:val="es-ES"/>
        </w:rPr>
        <w:footnoteRef/>
      </w:r>
      <w:r w:rsidRPr="00126035">
        <w:rPr>
          <w:sz w:val="13"/>
          <w:szCs w:val="13"/>
          <w:lang w:val="en-US"/>
        </w:rPr>
        <w:t xml:space="preserve"> </w:t>
      </w:r>
      <w:r>
        <w:rPr>
          <w:sz w:val="13"/>
          <w:szCs w:val="13"/>
          <w:lang w:val="en-US"/>
        </w:rPr>
        <w:t xml:space="preserve">ONU. </w:t>
      </w:r>
      <w:r w:rsidRPr="00126035">
        <w:rPr>
          <w:sz w:val="13"/>
          <w:szCs w:val="13"/>
          <w:lang w:val="en-US"/>
        </w:rPr>
        <w:t>International Labor Office</w:t>
      </w:r>
      <w:r>
        <w:rPr>
          <w:sz w:val="13"/>
          <w:szCs w:val="13"/>
          <w:lang w:val="en-US"/>
        </w:rPr>
        <w:t>, 2009</w:t>
      </w:r>
      <w:r w:rsidRPr="00126035">
        <w:rPr>
          <w:sz w:val="13"/>
          <w:szCs w:val="13"/>
          <w:lang w:val="en-US"/>
        </w:rPr>
        <w:t xml:space="preserve">. </w:t>
      </w:r>
      <w:r w:rsidRPr="00126035">
        <w:rPr>
          <w:i/>
          <w:iCs/>
          <w:sz w:val="13"/>
          <w:szCs w:val="13"/>
          <w:lang w:val="en-US"/>
        </w:rPr>
        <w:t>Operational indicators of trafficking in human beings.</w:t>
      </w:r>
      <w:r w:rsidRPr="00126035">
        <w:rPr>
          <w:sz w:val="13"/>
          <w:szCs w:val="13"/>
          <w:lang w:val="en-US"/>
        </w:rPr>
        <w:t xml:space="preserve"> </w:t>
      </w:r>
      <w:r w:rsidRPr="00126035">
        <w:rPr>
          <w:sz w:val="13"/>
          <w:szCs w:val="13"/>
          <w:lang w:val="es-ES_tradnl"/>
        </w:rPr>
        <w:t xml:space="preserve">[En línea] Disponible: (en inglés) </w:t>
      </w:r>
      <w:hyperlink r:id="rId14" w:history="1">
        <w:r w:rsidRPr="00126035">
          <w:rPr>
            <w:rStyle w:val="Hyperlink"/>
            <w:rFonts w:eastAsia="Book Antiqua"/>
            <w:sz w:val="13"/>
            <w:szCs w:val="13"/>
            <w:lang w:val="es-ES"/>
          </w:rPr>
          <w:t>www.ilo.org/wcmsp5/groups/public/@ed_norm/@declaration/documents/publication/wcms_105023.pdf</w:t>
        </w:r>
      </w:hyperlink>
      <w:r w:rsidRPr="00126035">
        <w:rPr>
          <w:sz w:val="13"/>
          <w:szCs w:val="13"/>
          <w:lang w:val="es-ES"/>
        </w:rPr>
        <w:t xml:space="preserve">; Oficina de las Naciones Unidas contra la Droga y el Delito (UNODC). </w:t>
      </w:r>
      <w:r w:rsidRPr="00126035">
        <w:rPr>
          <w:i/>
          <w:iCs/>
          <w:sz w:val="13"/>
          <w:szCs w:val="13"/>
          <w:lang w:val="es-ES"/>
        </w:rPr>
        <w:t xml:space="preserve">Indicadores de Trata de Personas.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449E" w:rsidRDefault="00C671FC" w:rsidP="001C3B26">
    <w:pPr>
      <w:pStyle w:val="Header"/>
      <w:jc w:val="center"/>
    </w:pPr>
    <w:r w:rsidRPr="001E41B2">
      <w:rPr>
        <w:noProof/>
        <w:lang w:val="en-GB" w:eastAsia="en-GB"/>
      </w:rPr>
      <w:drawing>
        <wp:inline distT="0" distB="0" distL="0" distR="0" wp14:anchorId="2024FC9C" wp14:editId="45FBB2F4">
          <wp:extent cx="2908453" cy="370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2006" cy="382608"/>
                  </a:xfrm>
                  <a:prstGeom prst="rect">
                    <a:avLst/>
                  </a:prstGeom>
                  <a:noFill/>
                  <a:ln>
                    <a:noFill/>
                  </a:ln>
                </pic:spPr>
              </pic:pic>
            </a:graphicData>
          </a:graphic>
        </wp:inline>
      </w:drawing>
    </w:r>
  </w:p>
  <w:p w:rsidR="0006449E" w:rsidRDefault="004F50D2" w:rsidP="001C3B2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22682"/>
    <w:multiLevelType w:val="hybridMultilevel"/>
    <w:tmpl w:val="853826BE"/>
    <w:lvl w:ilvl="0" w:tplc="A1C470FA">
      <w:start w:val="1"/>
      <w:numFmt w:val="decimal"/>
      <w:lvlText w:val="%1."/>
      <w:lvlJc w:val="left"/>
      <w:pPr>
        <w:ind w:left="360" w:hanging="360"/>
      </w:pPr>
      <w:rPr>
        <w:rFonts w:ascii="Times New Roman" w:hAnsi="Times New Roman" w:cs="Times New Roman" w:hint="default"/>
        <w:b w:val="0"/>
        <w:sz w:val="18"/>
        <w:szCs w:val="18"/>
        <w:lang w:val="en-U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nsid w:val="036A3898"/>
    <w:multiLevelType w:val="hybridMultilevel"/>
    <w:tmpl w:val="DAB85B68"/>
    <w:styleLink w:val="Estiloimportado2"/>
    <w:lvl w:ilvl="0" w:tplc="29867AF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28EC0A">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D02068">
      <w:start w:val="1"/>
      <w:numFmt w:val="lowerRoman"/>
      <w:lvlText w:val="%3."/>
      <w:lvlJc w:val="left"/>
      <w:pPr>
        <w:ind w:left="1800"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A6E2C12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C1C440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99EF9D8">
      <w:start w:val="1"/>
      <w:numFmt w:val="lowerRoman"/>
      <w:lvlText w:val="%6."/>
      <w:lvlJc w:val="left"/>
      <w:pPr>
        <w:ind w:left="3960" w:hanging="276"/>
      </w:pPr>
      <w:rPr>
        <w:rFonts w:hAnsi="Arial Unicode MS"/>
        <w:caps w:val="0"/>
        <w:smallCaps w:val="0"/>
        <w:strike w:val="0"/>
        <w:dstrike w:val="0"/>
        <w:outline w:val="0"/>
        <w:emboss w:val="0"/>
        <w:imprint w:val="0"/>
        <w:spacing w:val="0"/>
        <w:w w:val="100"/>
        <w:kern w:val="0"/>
        <w:position w:val="0"/>
        <w:highlight w:val="none"/>
        <w:vertAlign w:val="baseline"/>
      </w:rPr>
    </w:lvl>
    <w:lvl w:ilvl="6" w:tplc="692E9BE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76580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6E67B4">
      <w:start w:val="1"/>
      <w:numFmt w:val="lowerRoman"/>
      <w:lvlText w:val="%9."/>
      <w:lvlJc w:val="left"/>
      <w:pPr>
        <w:ind w:left="6120" w:hanging="27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7417A31"/>
    <w:multiLevelType w:val="hybridMultilevel"/>
    <w:tmpl w:val="1B5E300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16712CE9"/>
    <w:multiLevelType w:val="hybridMultilevel"/>
    <w:tmpl w:val="5FB65732"/>
    <w:lvl w:ilvl="0" w:tplc="6972C42E">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84007B7"/>
    <w:multiLevelType w:val="hybridMultilevel"/>
    <w:tmpl w:val="51A833BC"/>
    <w:lvl w:ilvl="0" w:tplc="6972C42E">
      <w:start w:val="1"/>
      <w:numFmt w:val="upp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22344F9A"/>
    <w:multiLevelType w:val="hybridMultilevel"/>
    <w:tmpl w:val="4558C7D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22C402EE"/>
    <w:multiLevelType w:val="hybridMultilevel"/>
    <w:tmpl w:val="40C085F8"/>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50B4F2D"/>
    <w:multiLevelType w:val="hybridMultilevel"/>
    <w:tmpl w:val="7172AE8E"/>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268618FB"/>
    <w:multiLevelType w:val="hybridMultilevel"/>
    <w:tmpl w:val="B00667EC"/>
    <w:lvl w:ilvl="0" w:tplc="040A0017">
      <w:start w:val="1"/>
      <w:numFmt w:val="lowerLetter"/>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9">
    <w:nsid w:val="2CFE595B"/>
    <w:multiLevelType w:val="hybridMultilevel"/>
    <w:tmpl w:val="DAB85B68"/>
    <w:numStyleLink w:val="Estiloimportado2"/>
  </w:abstractNum>
  <w:abstractNum w:abstractNumId="10">
    <w:nsid w:val="2E16340B"/>
    <w:multiLevelType w:val="hybridMultilevel"/>
    <w:tmpl w:val="4F1AF3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nsid w:val="3ADF44D3"/>
    <w:multiLevelType w:val="hybridMultilevel"/>
    <w:tmpl w:val="360CB50E"/>
    <w:lvl w:ilvl="0" w:tplc="0C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582F4A67"/>
    <w:multiLevelType w:val="hybridMultilevel"/>
    <w:tmpl w:val="A68AA23C"/>
    <w:lvl w:ilvl="0" w:tplc="4876540C">
      <w:start w:val="1"/>
      <w:numFmt w:val="decimal"/>
      <w:lvlText w:val="%1."/>
      <w:lvlJc w:val="left"/>
      <w:pPr>
        <w:ind w:left="360" w:hanging="360"/>
      </w:pPr>
      <w:rPr>
        <w:rFonts w:hint="default"/>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6E772BF9"/>
    <w:multiLevelType w:val="hybridMultilevel"/>
    <w:tmpl w:val="638447AA"/>
    <w:lvl w:ilvl="0" w:tplc="DA044858">
      <w:start w:val="1"/>
      <w:numFmt w:val="decimal"/>
      <w:lvlText w:val="%1."/>
      <w:lvlJc w:val="left"/>
      <w:pPr>
        <w:ind w:left="1212" w:hanging="852"/>
      </w:pPr>
      <w:rPr>
        <w:rFonts w:ascii="Times New Roman" w:hAnsi="Times New Roman"/>
        <w:b w:val="0"/>
        <w:i w:val="0"/>
        <w:caps w:val="0"/>
        <w:strike w:val="0"/>
        <w:dstrike w:val="0"/>
        <w:outline w:val="0"/>
        <w:shadow w:val="0"/>
        <w:emboss w:val="0"/>
        <w:imprint w:val="0"/>
        <w:vanish w:val="0"/>
        <w:color w:val="auto"/>
        <w:sz w:val="24"/>
        <w:szCs w:val="24"/>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2"/>
  </w:num>
  <w:num w:numId="4">
    <w:abstractNumId w:val="8"/>
  </w:num>
  <w:num w:numId="5">
    <w:abstractNumId w:val="1"/>
  </w:num>
  <w:num w:numId="6">
    <w:abstractNumId w:val="9"/>
  </w:num>
  <w:num w:numId="7">
    <w:abstractNumId w:val="2"/>
  </w:num>
  <w:num w:numId="8">
    <w:abstractNumId w:val="5"/>
  </w:num>
  <w:num w:numId="9">
    <w:abstractNumId w:val="0"/>
  </w:num>
  <w:num w:numId="10">
    <w:abstractNumId w:val="6"/>
  </w:num>
  <w:num w:numId="11">
    <w:abstractNumId w:val="7"/>
  </w:num>
  <w:num w:numId="12">
    <w:abstractNumId w:val="11"/>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704"/>
    <w:rsid w:val="000C6704"/>
    <w:rsid w:val="000D099B"/>
    <w:rsid w:val="00175FF9"/>
    <w:rsid w:val="001814B4"/>
    <w:rsid w:val="00293B24"/>
    <w:rsid w:val="003B59F9"/>
    <w:rsid w:val="003C749F"/>
    <w:rsid w:val="00437B02"/>
    <w:rsid w:val="004D1D1A"/>
    <w:rsid w:val="004F50D2"/>
    <w:rsid w:val="00580DEC"/>
    <w:rsid w:val="00605D0C"/>
    <w:rsid w:val="008572D0"/>
    <w:rsid w:val="008E7744"/>
    <w:rsid w:val="00AB3E56"/>
    <w:rsid w:val="00C671FC"/>
    <w:rsid w:val="00C944C8"/>
    <w:rsid w:val="00CF1E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993C6C43-4B85-9E46-97A4-CD385625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704"/>
    <w:rPr>
      <w:rFonts w:ascii="Times New Roman" w:eastAsia="Times New Roman" w:hAnsi="Times New Roman" w:cs="Times New Roman"/>
      <w:lang w:val="es-ES"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704"/>
    <w:pPr>
      <w:tabs>
        <w:tab w:val="center" w:pos="4252"/>
        <w:tab w:val="right" w:pos="8504"/>
      </w:tabs>
    </w:pPr>
    <w:rPr>
      <w:rFonts w:asciiTheme="minorHAnsi" w:eastAsiaTheme="minorHAnsi" w:hAnsiTheme="minorHAnsi" w:cstheme="minorBidi"/>
      <w:lang w:val="es-ES_tradnl" w:eastAsia="en-US"/>
    </w:rPr>
  </w:style>
  <w:style w:type="character" w:customStyle="1" w:styleId="HeaderChar">
    <w:name w:val="Header Char"/>
    <w:basedOn w:val="DefaultParagraphFont"/>
    <w:link w:val="Header"/>
    <w:uiPriority w:val="99"/>
    <w:rsid w:val="000C6704"/>
  </w:style>
  <w:style w:type="paragraph" w:styleId="Footer">
    <w:name w:val="footer"/>
    <w:basedOn w:val="Normal"/>
    <w:link w:val="FooterChar"/>
    <w:uiPriority w:val="99"/>
    <w:unhideWhenUsed/>
    <w:rsid w:val="000C6704"/>
    <w:pPr>
      <w:tabs>
        <w:tab w:val="center" w:pos="4252"/>
        <w:tab w:val="right" w:pos="8504"/>
      </w:tabs>
    </w:pPr>
    <w:rPr>
      <w:rFonts w:asciiTheme="minorHAnsi" w:eastAsiaTheme="minorHAnsi" w:hAnsiTheme="minorHAnsi" w:cstheme="minorBidi"/>
      <w:lang w:val="es-ES_tradnl" w:eastAsia="en-US"/>
    </w:rPr>
  </w:style>
  <w:style w:type="character" w:customStyle="1" w:styleId="FooterChar">
    <w:name w:val="Footer Char"/>
    <w:basedOn w:val="DefaultParagraphFont"/>
    <w:link w:val="Footer"/>
    <w:uiPriority w:val="99"/>
    <w:rsid w:val="000C6704"/>
  </w:style>
  <w:style w:type="character" w:styleId="Strong">
    <w:name w:val="Strong"/>
    <w:basedOn w:val="DefaultParagraphFont"/>
    <w:uiPriority w:val="22"/>
    <w:qFormat/>
    <w:rsid w:val="000C6704"/>
    <w:rPr>
      <w:b/>
      <w:bCs/>
    </w:rPr>
  </w:style>
  <w:style w:type="paragraph" w:styleId="ListParagraph">
    <w:name w:val="List Paragraph"/>
    <w:basedOn w:val="Normal"/>
    <w:uiPriority w:val="34"/>
    <w:qFormat/>
    <w:rsid w:val="000C6704"/>
    <w:pPr>
      <w:ind w:left="720"/>
      <w:contextualSpacing/>
    </w:pPr>
    <w:rPr>
      <w:rFonts w:asciiTheme="minorHAnsi" w:eastAsiaTheme="minorHAnsi" w:hAnsiTheme="minorHAnsi" w:cstheme="minorBidi"/>
      <w:lang w:val="es-ES_tradnl" w:eastAsia="en-US"/>
    </w:rPr>
  </w:style>
  <w:style w:type="paragraph" w:styleId="FootnoteText">
    <w:name w:val="footnote text"/>
    <w:aliases w:val="Footnote Text Char2,Footnote Text Char Char Char Char Char1,Footnote Text Char Char2,FA Char1,FA Fußnotentext Char1,Footnote Text Char Char Char2,Footnote Text Char Char Char Char Char Char Char1,Footnote Text Char Char Char Char2,FA Fu,C"/>
    <w:basedOn w:val="Normal"/>
    <w:link w:val="FootnoteTextChar"/>
    <w:uiPriority w:val="99"/>
    <w:unhideWhenUsed/>
    <w:qFormat/>
    <w:rsid w:val="000C6704"/>
    <w:pPr>
      <w:spacing w:after="200" w:line="276" w:lineRule="auto"/>
    </w:pPr>
    <w:rPr>
      <w:rFonts w:eastAsia="Calibri"/>
      <w:sz w:val="20"/>
      <w:szCs w:val="20"/>
      <w:lang w:val="x-none" w:eastAsia="en-US"/>
    </w:rPr>
  </w:style>
  <w:style w:type="character" w:customStyle="1" w:styleId="FootnoteTextChar">
    <w:name w:val="Footnote Text Char"/>
    <w:aliases w:val="Footnote Text Char2 Char,Footnote Text Char Char Char Char Char1 Char,Footnote Text Char Char2 Char,FA Char1 Char,FA Fußnotentext Char1 Char,Footnote Text Char Char Char2 Char,Footnote Text Char Char Char Char Char Char Char1 Char"/>
    <w:basedOn w:val="DefaultParagraphFont"/>
    <w:link w:val="FootnoteText"/>
    <w:uiPriority w:val="99"/>
    <w:qFormat/>
    <w:rsid w:val="000C6704"/>
    <w:rPr>
      <w:rFonts w:ascii="Times New Roman" w:eastAsia="Calibri" w:hAnsi="Times New Roman" w:cs="Times New Roman"/>
      <w:sz w:val="20"/>
      <w:szCs w:val="20"/>
      <w:lang w:val="x-none"/>
    </w:rPr>
  </w:style>
  <w:style w:type="character" w:styleId="FootnoteReference">
    <w:name w:val="footnote reference"/>
    <w:aliases w:val="Appel note de bas de page,Footnotes refss,Texto de nota al pie,f,4_G,Footnote number,referencia nota al pie,BVI fnr,16 Point,Superscript 6 Point,Footnote Reference Char3,Footnote Reference Char1 Char,Footnote Reference Char Char Char"/>
    <w:uiPriority w:val="99"/>
    <w:unhideWhenUsed/>
    <w:qFormat/>
    <w:rsid w:val="000C6704"/>
    <w:rPr>
      <w:vertAlign w:val="superscript"/>
    </w:rPr>
  </w:style>
  <w:style w:type="character" w:styleId="Hyperlink">
    <w:name w:val="Hyperlink"/>
    <w:uiPriority w:val="99"/>
    <w:unhideWhenUsed/>
    <w:rsid w:val="000C6704"/>
    <w:rPr>
      <w:color w:val="0563C1"/>
      <w:u w:val="single"/>
    </w:rPr>
  </w:style>
  <w:style w:type="character" w:styleId="PageNumber">
    <w:name w:val="page number"/>
    <w:rsid w:val="000C6704"/>
  </w:style>
  <w:style w:type="character" w:customStyle="1" w:styleId="UnresolvedMention">
    <w:name w:val="Unresolved Mention"/>
    <w:basedOn w:val="DefaultParagraphFont"/>
    <w:uiPriority w:val="99"/>
    <w:rsid w:val="000C6704"/>
    <w:rPr>
      <w:color w:val="605E5C"/>
      <w:shd w:val="clear" w:color="auto" w:fill="E1DFDD"/>
    </w:rPr>
  </w:style>
  <w:style w:type="character" w:styleId="FollowedHyperlink">
    <w:name w:val="FollowedHyperlink"/>
    <w:basedOn w:val="DefaultParagraphFont"/>
    <w:uiPriority w:val="99"/>
    <w:semiHidden/>
    <w:unhideWhenUsed/>
    <w:rsid w:val="000C6704"/>
    <w:rPr>
      <w:color w:val="954F72" w:themeColor="followedHyperlink"/>
      <w:u w:val="single"/>
    </w:rPr>
  </w:style>
  <w:style w:type="paragraph" w:customStyle="1" w:styleId="Cuerpo">
    <w:name w:val="Cuerpo"/>
    <w:rsid w:val="000C6704"/>
    <w:pPr>
      <w:pBdr>
        <w:top w:val="nil"/>
        <w:left w:val="nil"/>
        <w:bottom w:val="nil"/>
        <w:right w:val="nil"/>
        <w:between w:val="nil"/>
        <w:bar w:val="nil"/>
      </w:pBdr>
    </w:pPr>
    <w:rPr>
      <w:rFonts w:ascii="Times New Roman" w:eastAsia="Arial Unicode MS" w:hAnsi="Times New Roman" w:cs="Arial Unicode MS"/>
      <w:color w:val="000000"/>
      <w:u w:color="000000"/>
      <w:bdr w:val="nil"/>
      <w:lang w:eastAsia="es-ES_tradnl"/>
    </w:rPr>
  </w:style>
  <w:style w:type="character" w:customStyle="1" w:styleId="Hyperlink0">
    <w:name w:val="Hyperlink.0"/>
    <w:basedOn w:val="DefaultParagraphFont"/>
    <w:rsid w:val="000C6704"/>
    <w:rPr>
      <w:color w:val="0563C1"/>
      <w:sz w:val="17"/>
      <w:szCs w:val="17"/>
      <w:u w:val="single" w:color="0563C1"/>
    </w:rPr>
  </w:style>
  <w:style w:type="numbering" w:customStyle="1" w:styleId="Estiloimportado2">
    <w:name w:val="Estilo importado 2"/>
    <w:rsid w:val="000C6704"/>
    <w:pPr>
      <w:numPr>
        <w:numId w:val="5"/>
      </w:numPr>
    </w:pPr>
  </w:style>
  <w:style w:type="character" w:customStyle="1" w:styleId="Hyperlink1">
    <w:name w:val="Hyperlink.1"/>
    <w:basedOn w:val="DefaultParagraphFont"/>
    <w:rsid w:val="000C6704"/>
    <w:rPr>
      <w:color w:val="0563C1"/>
      <w:sz w:val="17"/>
      <w:szCs w:val="17"/>
      <w:u w:val="single" w:color="0563C1"/>
    </w:rPr>
  </w:style>
  <w:style w:type="paragraph" w:customStyle="1" w:styleId="SingleTxtG">
    <w:name w:val="_ Single Txt_G"/>
    <w:basedOn w:val="Normal"/>
    <w:link w:val="SingleTxtGChar"/>
    <w:qFormat/>
    <w:rsid w:val="000C6704"/>
    <w:pPr>
      <w:spacing w:after="120" w:line="240" w:lineRule="atLeast"/>
      <w:ind w:left="1134" w:right="1134"/>
      <w:jc w:val="both"/>
    </w:pPr>
    <w:rPr>
      <w:sz w:val="20"/>
      <w:szCs w:val="20"/>
      <w:lang w:eastAsia="es-ES"/>
    </w:rPr>
  </w:style>
  <w:style w:type="character" w:customStyle="1" w:styleId="SingleTxtGChar">
    <w:name w:val="_ Single Txt_G Char"/>
    <w:link w:val="SingleTxtG"/>
    <w:rsid w:val="000C6704"/>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0C6704"/>
    <w:pPr>
      <w:spacing w:before="100" w:beforeAutospacing="1" w:after="100" w:afterAutospacing="1"/>
    </w:pPr>
    <w:rPr>
      <w:lang w:val="es-CO"/>
    </w:rPr>
  </w:style>
  <w:style w:type="paragraph" w:styleId="HTMLPreformatted">
    <w:name w:val="HTML Preformatted"/>
    <w:basedOn w:val="Normal"/>
    <w:link w:val="HTMLPreformattedChar"/>
    <w:uiPriority w:val="99"/>
    <w:semiHidden/>
    <w:unhideWhenUsed/>
    <w:rsid w:val="000C6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C6704"/>
    <w:rPr>
      <w:rFonts w:ascii="Courier New" w:eastAsia="Times New Roman" w:hAnsi="Courier New" w:cs="Courier New"/>
      <w:sz w:val="20"/>
      <w:szCs w:val="20"/>
      <w:lang w:val="es-ES" w:eastAsia="es-ES_tradnl"/>
    </w:rPr>
  </w:style>
  <w:style w:type="character" w:styleId="CommentReference">
    <w:name w:val="annotation reference"/>
    <w:basedOn w:val="DefaultParagraphFont"/>
    <w:uiPriority w:val="99"/>
    <w:semiHidden/>
    <w:unhideWhenUsed/>
    <w:rsid w:val="000C6704"/>
    <w:rPr>
      <w:sz w:val="16"/>
      <w:szCs w:val="16"/>
    </w:rPr>
  </w:style>
  <w:style w:type="paragraph" w:styleId="CommentText">
    <w:name w:val="annotation text"/>
    <w:basedOn w:val="Normal"/>
    <w:link w:val="CommentTextChar"/>
    <w:uiPriority w:val="99"/>
    <w:semiHidden/>
    <w:unhideWhenUsed/>
    <w:rsid w:val="000C6704"/>
    <w:rPr>
      <w:rFonts w:asciiTheme="minorHAnsi" w:eastAsiaTheme="minorHAnsi" w:hAnsiTheme="minorHAnsi" w:cstheme="minorBidi"/>
      <w:sz w:val="20"/>
      <w:szCs w:val="20"/>
      <w:lang w:val="es-ES_tradnl" w:eastAsia="en-US"/>
    </w:rPr>
  </w:style>
  <w:style w:type="character" w:customStyle="1" w:styleId="CommentTextChar">
    <w:name w:val="Comment Text Char"/>
    <w:basedOn w:val="DefaultParagraphFont"/>
    <w:link w:val="CommentText"/>
    <w:uiPriority w:val="99"/>
    <w:semiHidden/>
    <w:rsid w:val="000C6704"/>
    <w:rPr>
      <w:sz w:val="20"/>
      <w:szCs w:val="20"/>
    </w:rPr>
  </w:style>
  <w:style w:type="paragraph" w:styleId="CommentSubject">
    <w:name w:val="annotation subject"/>
    <w:basedOn w:val="CommentText"/>
    <w:next w:val="CommentText"/>
    <w:link w:val="CommentSubjectChar"/>
    <w:uiPriority w:val="99"/>
    <w:semiHidden/>
    <w:unhideWhenUsed/>
    <w:rsid w:val="000C6704"/>
    <w:rPr>
      <w:b/>
      <w:bCs/>
    </w:rPr>
  </w:style>
  <w:style w:type="character" w:customStyle="1" w:styleId="CommentSubjectChar">
    <w:name w:val="Comment Subject Char"/>
    <w:basedOn w:val="CommentTextChar"/>
    <w:link w:val="CommentSubject"/>
    <w:uiPriority w:val="99"/>
    <w:semiHidden/>
    <w:rsid w:val="000C6704"/>
    <w:rPr>
      <w:b/>
      <w:bCs/>
      <w:sz w:val="20"/>
      <w:szCs w:val="20"/>
    </w:rPr>
  </w:style>
  <w:style w:type="paragraph" w:styleId="BalloonText">
    <w:name w:val="Balloon Text"/>
    <w:basedOn w:val="Normal"/>
    <w:link w:val="BalloonTextChar"/>
    <w:uiPriority w:val="99"/>
    <w:semiHidden/>
    <w:unhideWhenUsed/>
    <w:rsid w:val="000C6704"/>
    <w:rPr>
      <w:rFonts w:eastAsiaTheme="minorHAnsi"/>
      <w:sz w:val="18"/>
      <w:szCs w:val="18"/>
      <w:lang w:val="es-ES_tradnl" w:eastAsia="en-US"/>
    </w:rPr>
  </w:style>
  <w:style w:type="character" w:customStyle="1" w:styleId="BalloonTextChar">
    <w:name w:val="Balloon Text Char"/>
    <w:basedOn w:val="DefaultParagraphFont"/>
    <w:link w:val="BalloonText"/>
    <w:uiPriority w:val="99"/>
    <w:semiHidden/>
    <w:rsid w:val="000C6704"/>
    <w:rPr>
      <w:rFonts w:ascii="Times New Roman" w:hAnsi="Times New Roman" w:cs="Times New Roman"/>
      <w:sz w:val="18"/>
      <w:szCs w:val="18"/>
    </w:rPr>
  </w:style>
  <w:style w:type="character" w:customStyle="1" w:styleId="normaltextrun">
    <w:name w:val="normaltextrun"/>
    <w:basedOn w:val="DefaultParagraphFont"/>
    <w:rsid w:val="000C6704"/>
  </w:style>
  <w:style w:type="character" w:customStyle="1" w:styleId="scxw213693002">
    <w:name w:val="scxw213693002"/>
    <w:basedOn w:val="DefaultParagraphFont"/>
    <w:rsid w:val="000C6704"/>
  </w:style>
  <w:style w:type="paragraph" w:styleId="Revision">
    <w:name w:val="Revision"/>
    <w:hidden/>
    <w:uiPriority w:val="99"/>
    <w:semiHidden/>
    <w:rsid w:val="000C6704"/>
    <w:rPr>
      <w:rFonts w:ascii="Times New Roman" w:eastAsia="Times New Roman" w:hAnsi="Times New Roman" w:cs="Times New Roman"/>
      <w:lang w:val="es-ES" w:eastAsia="es-ES_tradnl"/>
    </w:rPr>
  </w:style>
  <w:style w:type="character" w:customStyle="1" w:styleId="highlight">
    <w:name w:val="highlight"/>
    <w:basedOn w:val="DefaultParagraphFont"/>
    <w:rsid w:val="000C6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europarl.europa.eu/RegData/etudes/STUD/2016/581412/EPRS_STU(2016)581412_EN.pdf" TargetMode="External"/><Relationship Id="rId13" Type="http://schemas.openxmlformats.org/officeDocument/2006/relationships/hyperlink" Target="https://ec.europa.eu/anti-trafficking/sites/antitrafficking/files/eurostat_report_on_trafficking_in_human_beings_-_2015_edition.pdf" TargetMode="External"/><Relationship Id="rId3" Type="http://schemas.openxmlformats.org/officeDocument/2006/relationships/hyperlink" Target="http://www.ilo.org/wcmsp5/groups/public/@ed_norm/@declaration/documents/publication/wcms_105023.pdf" TargetMode="External"/><Relationship Id="rId7" Type="http://schemas.openxmlformats.org/officeDocument/2006/relationships/hyperlink" Target="http://www.coe.int/en/web/anti-human-trafficking/news/-/asset_publisher/fX6ZWufj34JY/content/greta-publishes-second-report-on-spain?_101_INSTANCE_fX6ZWufj34JY_viewMode=view/" TargetMode="External"/><Relationship Id="rId12" Type="http://schemas.openxmlformats.org/officeDocument/2006/relationships/hyperlink" Target="http://www.unwomen.org/-/media/headquarters/attachments/sections/library/publications/2017/addressing-womens-human-rights-migration-es.pdf?la=en&amp;vs=4110" TargetMode="External"/><Relationship Id="rId2" Type="http://schemas.openxmlformats.org/officeDocument/2006/relationships/hyperlink" Target="http://www.europarl.europa.eu/RegData/etudes/STUD/2016/581412/EPRS_STU(2016)581412_EN.pdf" TargetMode="External"/><Relationship Id="rId1" Type="http://schemas.openxmlformats.org/officeDocument/2006/relationships/hyperlink" Target="http://www.europarl.europa.eu/RegData/etudes/STUD/2016/581412/EPRS_STU(2016)581412_EN.pdf" TargetMode="External"/><Relationship Id="rId6" Type="http://schemas.openxmlformats.org/officeDocument/2006/relationships/hyperlink" Target="https://tbinternet.ohchr.org/Treaties/CAT/Shared%20Documents/ESP/INT_CAT_ICS_ESP_27995_S.pdf" TargetMode="External"/><Relationship Id="rId11" Type="http://schemas.openxmlformats.org/officeDocument/2006/relationships/hyperlink" Target="http://www.achpr.org/files/instruments/combating-sexual-violence/achpr_eng_guidelines_on_combating_sexual_violence_and_its_consequences.pdf" TargetMode="External"/><Relationship Id="rId5" Type="http://schemas.openxmlformats.org/officeDocument/2006/relationships/hyperlink" Target="http://www.lavanguardia.com/vida/20181121/453082338721/pocos-casos-de-trata-llegan-a-los-tribunales-pese-a-su-magnitud-en-espana.html" TargetMode="External"/><Relationship Id="rId10" Type="http://schemas.openxmlformats.org/officeDocument/2006/relationships/hyperlink" Target="http://www.fidh.org/IMG/pdf/DeclaraciondeNairobi-es.pdf" TargetMode="External"/><Relationship Id="rId4" Type="http://schemas.openxmlformats.org/officeDocument/2006/relationships/hyperlink" Target="http://www.unodc.org/documents/human-trafficking/HT_indicators_S_LOWRES.pdf" TargetMode="External"/><Relationship Id="rId9" Type="http://schemas.openxmlformats.org/officeDocument/2006/relationships/hyperlink" Target="http://www.womenslinkworldwide.org/en/files/3028/mothers-in-the-trafficking-networks.pdf" TargetMode="External"/><Relationship Id="rId14" Type="http://schemas.openxmlformats.org/officeDocument/2006/relationships/hyperlink" Target="http://www.ilo.org/wcmsp5/groups/public/@ed_norm/@declaration/documents/publication/wcms_105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A03DE60-8E3E-4A33-B7DE-59DABCAE4B16}"/>
</file>

<file path=customXml/itemProps2.xml><?xml version="1.0" encoding="utf-8"?>
<ds:datastoreItem xmlns:ds="http://schemas.openxmlformats.org/officeDocument/2006/customXml" ds:itemID="{936BF581-60A7-4CB6-A34A-50C81F09FE4A}"/>
</file>

<file path=customXml/itemProps3.xml><?xml version="1.0" encoding="utf-8"?>
<ds:datastoreItem xmlns:ds="http://schemas.openxmlformats.org/officeDocument/2006/customXml" ds:itemID="{BE37706C-8F66-48F7-A91E-89BD4E48DB13}"/>
</file>

<file path=docProps/app.xml><?xml version="1.0" encoding="utf-8"?>
<Properties xmlns="http://schemas.openxmlformats.org/officeDocument/2006/extended-properties" xmlns:vt="http://schemas.openxmlformats.org/officeDocument/2006/docPropsVTypes">
  <Template>Normal.dotm</Template>
  <TotalTime>0</TotalTime>
  <Pages>5</Pages>
  <Words>2723</Words>
  <Characters>15522</Characters>
  <Application>Microsoft Office Word</Application>
  <DocSecurity>4</DocSecurity>
  <Lines>129</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e.molina@womenslinkworldwide.org</dc:creator>
  <cp:keywords/>
  <dc:description/>
  <cp:lastModifiedBy>Daniela Buchmann</cp:lastModifiedBy>
  <cp:revision>2</cp:revision>
  <dcterms:created xsi:type="dcterms:W3CDTF">2019-02-19T10:19:00Z</dcterms:created>
  <dcterms:modified xsi:type="dcterms:W3CDTF">2019-02-19T10:19:00Z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