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4EB0" w:rsidRDefault="00A54EB0" w:rsidP="00273EFF">
      <w:pPr>
        <w:suppressAutoHyphens w:val="0"/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035A0E" w:rsidRDefault="00035A0E" w:rsidP="00035A0E">
      <w:pPr>
        <w:suppressAutoHyphens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Amicale du Nid, Coordination Française du Lobby Européen des Femmes,</w:t>
      </w:r>
    </w:p>
    <w:p w:rsidR="00035A0E" w:rsidRDefault="00035A0E" w:rsidP="00035A0E">
      <w:pPr>
        <w:suppressAutoHyphens w:val="0"/>
        <w:jc w:val="center"/>
        <w:rPr>
          <w:rFonts w:ascii="Calibri" w:hAnsi="Calibri" w:cs="Calibri"/>
          <w:color w:val="1F497D"/>
          <w:sz w:val="22"/>
          <w:szCs w:val="22"/>
          <w:lang w:val="fr-CH"/>
        </w:rPr>
      </w:pPr>
      <w:r>
        <w:rPr>
          <w:rFonts w:eastAsia="Calibri"/>
          <w:lang w:eastAsia="en-US"/>
        </w:rPr>
        <w:t>Femmes Solidaires et Regards de femmes</w:t>
      </w:r>
    </w:p>
    <w:p w:rsidR="00D520C6" w:rsidRDefault="007B6787" w:rsidP="004F1C3C">
      <w:pPr>
        <w:suppressAutoHyphens w:val="0"/>
        <w:jc w:val="center"/>
        <w:rPr>
          <w:b/>
          <w:lang w:val="fr-CH"/>
        </w:rPr>
      </w:pPr>
      <w:r w:rsidRPr="004F1C3C">
        <w:rPr>
          <w:rFonts w:eastAsia="Calibri"/>
          <w:b/>
          <w:lang w:eastAsia="en-US"/>
        </w:rPr>
        <w:t>Contribution</w:t>
      </w:r>
      <w:r w:rsidR="00BE761B">
        <w:rPr>
          <w:rFonts w:eastAsia="Calibri"/>
          <w:b/>
          <w:lang w:eastAsia="en-US"/>
        </w:rPr>
        <w:t xml:space="preserve"> orale</w:t>
      </w:r>
      <w:r w:rsidRPr="004F1C3C">
        <w:rPr>
          <w:rFonts w:eastAsia="Calibri"/>
          <w:b/>
          <w:lang w:eastAsia="en-US"/>
        </w:rPr>
        <w:t xml:space="preserve"> </w:t>
      </w:r>
      <w:r w:rsidRPr="004F1C3C">
        <w:rPr>
          <w:b/>
          <w:lang w:val="fr-CH"/>
        </w:rPr>
        <w:t xml:space="preserve">au Comité CEDEF </w:t>
      </w:r>
      <w:r w:rsidR="004F1C3C" w:rsidRPr="004F1C3C">
        <w:rPr>
          <w:b/>
          <w:lang w:val="fr-CH"/>
        </w:rPr>
        <w:t>au sujet de la</w:t>
      </w:r>
      <w:r w:rsidRPr="004F1C3C">
        <w:rPr>
          <w:b/>
          <w:lang w:val="fr-CH"/>
        </w:rPr>
        <w:t xml:space="preserve"> recommandation générale</w:t>
      </w:r>
    </w:p>
    <w:p w:rsidR="007B6787" w:rsidRDefault="007B6787" w:rsidP="00D520C6">
      <w:pPr>
        <w:suppressAutoHyphens w:val="0"/>
        <w:jc w:val="center"/>
        <w:rPr>
          <w:b/>
          <w:lang w:val="fr-CH"/>
        </w:rPr>
      </w:pPr>
      <w:r w:rsidRPr="004F1C3C">
        <w:rPr>
          <w:b/>
          <w:lang w:val="fr-CH"/>
        </w:rPr>
        <w:t xml:space="preserve"> </w:t>
      </w:r>
      <w:r w:rsidR="004F1C3C" w:rsidRPr="004F1C3C">
        <w:rPr>
          <w:b/>
          <w:lang w:val="fr-CH"/>
        </w:rPr>
        <w:t>sur</w:t>
      </w:r>
      <w:r w:rsidRPr="004F1C3C">
        <w:rPr>
          <w:b/>
          <w:lang w:val="fr-CH"/>
        </w:rPr>
        <w:t xml:space="preserve"> la traite des femmes et des filles dans le contexte des migrations mondiales</w:t>
      </w:r>
    </w:p>
    <w:p w:rsidR="00035A0E" w:rsidRPr="00035A0E" w:rsidRDefault="00035A0E" w:rsidP="00D520C6">
      <w:pPr>
        <w:suppressAutoHyphens w:val="0"/>
        <w:jc w:val="center"/>
        <w:rPr>
          <w:lang w:val="fr-CH"/>
        </w:rPr>
      </w:pPr>
      <w:r w:rsidRPr="00035A0E">
        <w:rPr>
          <w:lang w:val="fr-CH"/>
        </w:rPr>
        <w:t>Michèle Vianès, Présidente de Regards de femmes, ONU Genève, 21 février 2019</w:t>
      </w:r>
    </w:p>
    <w:p w:rsidR="00273EFF" w:rsidRPr="00273EFF" w:rsidRDefault="00273EFF" w:rsidP="007B6787">
      <w:pPr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7525D" w:rsidRDefault="0077525D" w:rsidP="00273EFF">
      <w:pPr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</w:t>
      </w:r>
      <w:r w:rsidR="001B6E91">
        <w:rPr>
          <w:rFonts w:eastAsia="Calibri"/>
          <w:lang w:eastAsia="en-US"/>
        </w:rPr>
        <w:t>é</w:t>
      </w:r>
      <w:r>
        <w:rPr>
          <w:rFonts w:eastAsia="Calibri"/>
          <w:lang w:eastAsia="en-US"/>
        </w:rPr>
        <w:t xml:space="preserve">sidente de </w:t>
      </w:r>
      <w:r w:rsidR="004F1C3C">
        <w:rPr>
          <w:rFonts w:eastAsia="Calibri"/>
          <w:lang w:eastAsia="en-US"/>
        </w:rPr>
        <w:t>R</w:t>
      </w:r>
      <w:r>
        <w:rPr>
          <w:rFonts w:eastAsia="Calibri"/>
          <w:lang w:eastAsia="en-US"/>
        </w:rPr>
        <w:t xml:space="preserve">egards de </w:t>
      </w:r>
      <w:r w:rsidR="004F1C3C">
        <w:rPr>
          <w:rFonts w:eastAsia="Calibri"/>
          <w:lang w:eastAsia="en-US"/>
        </w:rPr>
        <w:t>F</w:t>
      </w:r>
      <w:r>
        <w:rPr>
          <w:rFonts w:eastAsia="Calibri"/>
          <w:lang w:eastAsia="en-US"/>
        </w:rPr>
        <w:t xml:space="preserve">emmes, je </w:t>
      </w:r>
      <w:r w:rsidR="005A474A">
        <w:rPr>
          <w:rFonts w:eastAsia="Calibri"/>
          <w:lang w:eastAsia="en-US"/>
        </w:rPr>
        <w:t>soumets</w:t>
      </w:r>
      <w:r>
        <w:rPr>
          <w:rFonts w:eastAsia="Calibri"/>
          <w:lang w:eastAsia="en-US"/>
        </w:rPr>
        <w:t xml:space="preserve"> cette contribution au nom de </w:t>
      </w:r>
      <w:bookmarkStart w:id="1" w:name="_Hlk1118470"/>
      <w:r>
        <w:rPr>
          <w:rFonts w:eastAsia="Calibri"/>
          <w:lang w:eastAsia="en-US"/>
        </w:rPr>
        <w:t>l’</w:t>
      </w:r>
      <w:r w:rsidR="005A474A">
        <w:rPr>
          <w:rFonts w:eastAsia="Calibri"/>
          <w:lang w:eastAsia="en-US"/>
        </w:rPr>
        <w:t>Amicale</w:t>
      </w:r>
      <w:r>
        <w:rPr>
          <w:rFonts w:eastAsia="Calibri"/>
          <w:lang w:eastAsia="en-US"/>
        </w:rPr>
        <w:t xml:space="preserve"> du Nid, de la </w:t>
      </w:r>
      <w:r w:rsidR="00344EDC">
        <w:rPr>
          <w:rFonts w:eastAsia="Calibri"/>
          <w:lang w:eastAsia="en-US"/>
        </w:rPr>
        <w:t>C</w:t>
      </w:r>
      <w:r w:rsidR="005A474A">
        <w:rPr>
          <w:rFonts w:eastAsia="Calibri"/>
          <w:lang w:eastAsia="en-US"/>
        </w:rPr>
        <w:t>oordination</w:t>
      </w:r>
      <w:r>
        <w:rPr>
          <w:rFonts w:eastAsia="Calibri"/>
          <w:lang w:eastAsia="en-US"/>
        </w:rPr>
        <w:t xml:space="preserve"> </w:t>
      </w:r>
      <w:r w:rsidR="00344EDC">
        <w:rPr>
          <w:rFonts w:eastAsia="Calibri"/>
          <w:lang w:eastAsia="en-US"/>
        </w:rPr>
        <w:t>F</w:t>
      </w:r>
      <w:r w:rsidR="005A474A">
        <w:rPr>
          <w:rFonts w:eastAsia="Calibri"/>
          <w:lang w:eastAsia="en-US"/>
        </w:rPr>
        <w:t>rançaise</w:t>
      </w:r>
      <w:r>
        <w:rPr>
          <w:rFonts w:eastAsia="Calibri"/>
          <w:lang w:eastAsia="en-US"/>
        </w:rPr>
        <w:t xml:space="preserve"> du </w:t>
      </w:r>
      <w:r w:rsidR="00344EDC">
        <w:rPr>
          <w:rFonts w:eastAsia="Calibri"/>
          <w:lang w:eastAsia="en-US"/>
        </w:rPr>
        <w:t>L</w:t>
      </w:r>
      <w:r>
        <w:rPr>
          <w:rFonts w:eastAsia="Calibri"/>
          <w:lang w:eastAsia="en-US"/>
        </w:rPr>
        <w:t xml:space="preserve">obby </w:t>
      </w:r>
      <w:r w:rsidR="00344EDC">
        <w:rPr>
          <w:rFonts w:eastAsia="Calibri"/>
          <w:lang w:eastAsia="en-US"/>
        </w:rPr>
        <w:t>E</w:t>
      </w:r>
      <w:r w:rsidR="005A474A">
        <w:rPr>
          <w:rFonts w:eastAsia="Calibri"/>
          <w:lang w:eastAsia="en-US"/>
        </w:rPr>
        <w:t>uropéen</w:t>
      </w:r>
      <w:r w:rsidR="00344EDC">
        <w:rPr>
          <w:rFonts w:eastAsia="Calibri"/>
          <w:lang w:eastAsia="en-US"/>
        </w:rPr>
        <w:t xml:space="preserve"> des Femmes</w:t>
      </w:r>
      <w:r>
        <w:rPr>
          <w:rFonts w:eastAsia="Calibri"/>
          <w:lang w:eastAsia="en-US"/>
        </w:rPr>
        <w:t xml:space="preserve">, de </w:t>
      </w:r>
      <w:r w:rsidR="00344EDC">
        <w:rPr>
          <w:rFonts w:eastAsia="Calibri"/>
          <w:lang w:eastAsia="en-US"/>
        </w:rPr>
        <w:t>F</w:t>
      </w:r>
      <w:r>
        <w:rPr>
          <w:rFonts w:eastAsia="Calibri"/>
          <w:lang w:eastAsia="en-US"/>
        </w:rPr>
        <w:t xml:space="preserve">emmes </w:t>
      </w:r>
      <w:r w:rsidR="00344EDC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 xml:space="preserve">olidaires et de Regards de </w:t>
      </w:r>
      <w:r w:rsidR="005A474A">
        <w:rPr>
          <w:rFonts w:eastAsia="Calibri"/>
          <w:lang w:eastAsia="en-US"/>
        </w:rPr>
        <w:t>femmes</w:t>
      </w:r>
      <w:bookmarkEnd w:id="1"/>
      <w:r>
        <w:rPr>
          <w:rFonts w:eastAsia="Calibri"/>
          <w:lang w:eastAsia="en-US"/>
        </w:rPr>
        <w:t xml:space="preserve">. </w:t>
      </w:r>
      <w:r w:rsidR="005A474A">
        <w:rPr>
          <w:rFonts w:eastAsia="Calibri"/>
          <w:lang w:eastAsia="en-US"/>
        </w:rPr>
        <w:t>M</w:t>
      </w:r>
      <w:r>
        <w:rPr>
          <w:rFonts w:eastAsia="Calibri"/>
          <w:lang w:eastAsia="en-US"/>
        </w:rPr>
        <w:t>embres de la coalition Abolition 2012</w:t>
      </w:r>
      <w:r w:rsidR="005A474A">
        <w:rPr>
          <w:rFonts w:eastAsia="Calibri"/>
          <w:lang w:eastAsia="en-US"/>
        </w:rPr>
        <w:t>, n</w:t>
      </w:r>
      <w:r>
        <w:rPr>
          <w:rFonts w:eastAsia="Calibri"/>
          <w:lang w:eastAsia="en-US"/>
        </w:rPr>
        <w:t xml:space="preserve">ous agissons pour </w:t>
      </w:r>
      <w:r w:rsidR="00344EDC">
        <w:rPr>
          <w:rFonts w:eastAsia="Calibri"/>
          <w:lang w:eastAsia="en-US"/>
        </w:rPr>
        <w:t>que</w:t>
      </w:r>
      <w:r>
        <w:rPr>
          <w:rFonts w:eastAsia="Calibri"/>
          <w:lang w:eastAsia="en-US"/>
        </w:rPr>
        <w:t xml:space="preserve"> chaque </w:t>
      </w:r>
      <w:r w:rsidR="001B6E91">
        <w:rPr>
          <w:rFonts w:eastAsia="Calibri"/>
          <w:lang w:eastAsia="en-US"/>
        </w:rPr>
        <w:t>femme</w:t>
      </w:r>
      <w:r>
        <w:rPr>
          <w:rFonts w:eastAsia="Calibri"/>
          <w:lang w:eastAsia="en-US"/>
        </w:rPr>
        <w:t xml:space="preserve"> et chaque fille </w:t>
      </w:r>
      <w:r w:rsidR="00344EDC">
        <w:rPr>
          <w:rFonts w:eastAsia="Calibri"/>
          <w:lang w:eastAsia="en-US"/>
        </w:rPr>
        <w:t xml:space="preserve">ait accès </w:t>
      </w:r>
      <w:r>
        <w:rPr>
          <w:rFonts w:eastAsia="Calibri"/>
          <w:lang w:eastAsia="en-US"/>
        </w:rPr>
        <w:t>aux droits humains universels. Aucun prétexte de traditions</w:t>
      </w:r>
      <w:r w:rsidR="001B6E9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coutumes ou religions ne peut justifier discrimination ou violence envers les femmes.</w:t>
      </w:r>
      <w:r w:rsidR="00344EDC" w:rsidRPr="00344EDC">
        <w:rPr>
          <w:rFonts w:eastAsia="Calibri"/>
          <w:lang w:eastAsia="en-US"/>
        </w:rPr>
        <w:t xml:space="preserve"> </w:t>
      </w:r>
      <w:r w:rsidR="00344EDC">
        <w:rPr>
          <w:rFonts w:eastAsia="Calibri"/>
          <w:lang w:eastAsia="en-US"/>
        </w:rPr>
        <w:t>Chacune des 4 ONG vous a adressé une contribution écrite détaillée et argumentée.</w:t>
      </w:r>
    </w:p>
    <w:p w:rsidR="001B6E91" w:rsidRDefault="001B6E91" w:rsidP="00273EFF">
      <w:pPr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Le système prostitutionnel proliférant sur la misère économique, psychologique et sociale, la fragilité des femmes migrantes en fait des proies idéales</w:t>
      </w:r>
      <w:r w:rsidR="00344ED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pour les réseaux du crime organisé et les prédateurs de la prostitution.</w:t>
      </w:r>
    </w:p>
    <w:p w:rsidR="00BC3411" w:rsidRDefault="00273EFF" w:rsidP="0037155D">
      <w:pPr>
        <w:suppressAutoHyphens w:val="0"/>
        <w:spacing w:after="160" w:line="259" w:lineRule="auto"/>
        <w:jc w:val="both"/>
      </w:pPr>
      <w:r w:rsidRPr="00273EFF">
        <w:rPr>
          <w:rFonts w:eastAsia="Calibri"/>
          <w:lang w:eastAsia="en-US"/>
        </w:rPr>
        <w:t xml:space="preserve">Le système prostitutionnel est un des piliers de l’inégalité </w:t>
      </w:r>
      <w:r w:rsidR="000D2CD3">
        <w:rPr>
          <w:rFonts w:eastAsia="Calibri"/>
          <w:lang w:eastAsia="en-US"/>
        </w:rPr>
        <w:t xml:space="preserve">entre les femmes et les hommes </w:t>
      </w:r>
      <w:r w:rsidRPr="00273EFF">
        <w:rPr>
          <w:rFonts w:eastAsia="Calibri"/>
          <w:lang w:eastAsia="en-US"/>
        </w:rPr>
        <w:t>et des violences envers les femmes.</w:t>
      </w:r>
      <w:r w:rsidR="007B6787">
        <w:rPr>
          <w:rFonts w:eastAsia="Calibri"/>
          <w:lang w:eastAsia="en-US"/>
        </w:rPr>
        <w:t xml:space="preserve"> </w:t>
      </w:r>
      <w:r w:rsidR="007B6787" w:rsidRPr="00B421B1">
        <w:t>L’échange tarifé</w:t>
      </w:r>
      <w:r w:rsidR="007B6787" w:rsidRPr="00397A2A">
        <w:t xml:space="preserve"> </w:t>
      </w:r>
      <w:r w:rsidR="007B6787" w:rsidRPr="00B421B1">
        <w:t xml:space="preserve">d’actes sexuels, qu’il soit monétaire ou d’avantages en compensation, comporte une relation déséquilibrée de dépendance </w:t>
      </w:r>
      <w:r w:rsidR="007B6787" w:rsidRPr="00B421B1">
        <w:lastRenderedPageBreak/>
        <w:t>économique ou psychologique des victimes, les contraignant à la prostitution. Il ne peut être question de consentement</w:t>
      </w:r>
      <w:r w:rsidR="0037155D">
        <w:t>.</w:t>
      </w:r>
    </w:p>
    <w:p w:rsidR="00344EDC" w:rsidRPr="000D2CD3" w:rsidRDefault="000D2CD3" w:rsidP="00344EDC">
      <w:pPr>
        <w:pStyle w:val="NoSpacing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2CD3">
        <w:rPr>
          <w:rFonts w:ascii="Times New Roman" w:hAnsi="Times New Roman"/>
          <w:sz w:val="24"/>
          <w:szCs w:val="24"/>
          <w:lang w:eastAsia="en-US"/>
        </w:rPr>
        <w:t xml:space="preserve">La prostitution est intrinsèquement une violence et a des conséquences dramatiques sur la santé et la vie des </w:t>
      </w:r>
      <w:r w:rsidR="00081EE1" w:rsidRPr="000D2CD3">
        <w:rPr>
          <w:rFonts w:ascii="Times New Roman" w:hAnsi="Times New Roman"/>
          <w:sz w:val="24"/>
          <w:szCs w:val="24"/>
          <w:lang w:eastAsia="en-US"/>
        </w:rPr>
        <w:t>femmes</w:t>
      </w:r>
      <w:r w:rsidR="00081EE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081EE1" w:rsidRPr="004F1C3C">
        <w:rPr>
          <w:rFonts w:ascii="Times New Roman" w:hAnsi="Times New Roman"/>
          <w:sz w:val="24"/>
          <w:szCs w:val="24"/>
          <w:lang w:eastAsia="en-US"/>
        </w:rPr>
        <w:t>Les</w:t>
      </w:r>
      <w:r w:rsidR="00344EDC" w:rsidRPr="004F1C3C">
        <w:rPr>
          <w:rFonts w:ascii="Times New Roman" w:hAnsi="Times New Roman"/>
          <w:sz w:val="24"/>
          <w:szCs w:val="24"/>
          <w:lang w:eastAsia="en-US"/>
        </w:rPr>
        <w:t xml:space="preserve"> expressions « prostitution forcée » ou « exploitation sexuelle forcée » figurant dans la note de concept </w:t>
      </w:r>
      <w:r w:rsidR="00344EDC" w:rsidRPr="004F1C3C">
        <w:rPr>
          <w:rFonts w:ascii="Times New Roman" w:hAnsi="Times New Roman"/>
          <w:b/>
          <w:sz w:val="24"/>
          <w:szCs w:val="24"/>
          <w:u w:val="single"/>
          <w:lang w:eastAsia="en-US"/>
        </w:rPr>
        <w:t>sont à bannir de la rédaction des recommandations générales.</w:t>
      </w:r>
      <w:r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</w:t>
      </w:r>
    </w:p>
    <w:p w:rsidR="00027780" w:rsidRPr="00397A2A" w:rsidRDefault="00027780" w:rsidP="00344ED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73EFF" w:rsidRPr="00273EFF" w:rsidRDefault="002B75CD" w:rsidP="00273EFF">
      <w:pPr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273EFF" w:rsidRPr="00273EFF">
        <w:rPr>
          <w:rFonts w:eastAsia="Calibri"/>
          <w:lang w:eastAsia="en-US"/>
        </w:rPr>
        <w:t>L</w:t>
      </w:r>
      <w:r w:rsidR="0077307A">
        <w:rPr>
          <w:rFonts w:eastAsia="Calibri"/>
          <w:lang w:eastAsia="en-US"/>
        </w:rPr>
        <w:t>es recommandations du Comité CEDF</w:t>
      </w:r>
      <w:r>
        <w:rPr>
          <w:rFonts w:eastAsia="Calibri"/>
          <w:lang w:eastAsia="en-US"/>
        </w:rPr>
        <w:t xml:space="preserve"> aux Etats-parties </w:t>
      </w:r>
      <w:r w:rsidR="0077307A">
        <w:rPr>
          <w:rFonts w:eastAsia="Calibri"/>
          <w:lang w:eastAsia="en-US"/>
        </w:rPr>
        <w:t>d</w:t>
      </w:r>
      <w:r w:rsidR="004F1C3C">
        <w:rPr>
          <w:rFonts w:eastAsia="Calibri"/>
          <w:lang w:eastAsia="en-US"/>
        </w:rPr>
        <w:t>evraien</w:t>
      </w:r>
      <w:r w:rsidR="0077307A">
        <w:rPr>
          <w:rFonts w:eastAsia="Calibri"/>
          <w:lang w:eastAsia="en-US"/>
        </w:rPr>
        <w:t>t porter sur</w:t>
      </w:r>
      <w:r w:rsidR="00D520C6">
        <w:rPr>
          <w:rFonts w:eastAsia="Calibri"/>
          <w:lang w:eastAsia="en-US"/>
        </w:rPr>
        <w:t> :</w:t>
      </w:r>
    </w:p>
    <w:p w:rsidR="00397A2A" w:rsidRDefault="00273EFF" w:rsidP="00397A2A">
      <w:pPr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273EFF">
        <w:rPr>
          <w:rFonts w:eastAsia="Calibri"/>
          <w:lang w:eastAsia="en-US"/>
        </w:rPr>
        <w:t>1</w:t>
      </w:r>
      <w:r w:rsidRPr="00273EFF">
        <w:rPr>
          <w:rFonts w:eastAsia="Calibri"/>
          <w:u w:val="single"/>
          <w:lang w:eastAsia="en-US"/>
        </w:rPr>
        <w:t>-</w:t>
      </w:r>
      <w:r w:rsidR="0077307A">
        <w:rPr>
          <w:rFonts w:eastAsia="Calibri"/>
          <w:u w:val="single"/>
          <w:lang w:eastAsia="en-US"/>
        </w:rPr>
        <w:t>L’obligation d’</w:t>
      </w:r>
      <w:r w:rsidRPr="00273EFF">
        <w:rPr>
          <w:rFonts w:eastAsia="Calibri"/>
          <w:u w:val="single"/>
          <w:lang w:eastAsia="en-US"/>
        </w:rPr>
        <w:t>un système de déclaration de naissances public</w:t>
      </w:r>
      <w:r w:rsidR="0077307A">
        <w:rPr>
          <w:rFonts w:eastAsia="Calibri"/>
          <w:u w:val="single"/>
          <w:lang w:eastAsia="en-US"/>
        </w:rPr>
        <w:t xml:space="preserve"> et </w:t>
      </w:r>
      <w:r w:rsidRPr="00273EFF">
        <w:rPr>
          <w:rFonts w:eastAsia="Calibri"/>
          <w:u w:val="single"/>
          <w:lang w:eastAsia="en-US"/>
        </w:rPr>
        <w:t>gratuit</w:t>
      </w:r>
      <w:r w:rsidRPr="00273EFF">
        <w:rPr>
          <w:rFonts w:eastAsia="Calibri"/>
          <w:lang w:eastAsia="en-US"/>
        </w:rPr>
        <w:t xml:space="preserve">. </w:t>
      </w:r>
    </w:p>
    <w:p w:rsidR="00273EFF" w:rsidRPr="00273EFF" w:rsidRDefault="004F1C3C" w:rsidP="00273EFF">
      <w:pPr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273EFF">
        <w:rPr>
          <w:rFonts w:eastAsia="Calibri"/>
          <w:lang w:eastAsia="en-US"/>
        </w:rPr>
        <w:t>L’identité</w:t>
      </w:r>
      <w:r w:rsidR="00397A2A" w:rsidRPr="00273EFF">
        <w:rPr>
          <w:rFonts w:eastAsia="Calibri"/>
          <w:lang w:eastAsia="en-US"/>
        </w:rPr>
        <w:t xml:space="preserve"> juridique </w:t>
      </w:r>
      <w:r w:rsidR="00BC3411">
        <w:rPr>
          <w:rFonts w:eastAsia="Calibri"/>
          <w:lang w:eastAsia="en-US"/>
        </w:rPr>
        <w:t>est indispensable pour être un sujet de droits.</w:t>
      </w:r>
      <w:r w:rsidR="0077307A">
        <w:rPr>
          <w:rFonts w:eastAsia="Calibri"/>
          <w:lang w:eastAsia="en-US"/>
        </w:rPr>
        <w:t xml:space="preserve"> </w:t>
      </w:r>
      <w:r w:rsidR="00273EFF" w:rsidRPr="00273EFF">
        <w:rPr>
          <w:rFonts w:eastAsia="Calibri"/>
          <w:lang w:eastAsia="en-US"/>
        </w:rPr>
        <w:t xml:space="preserve">Il est plus aisé de trafiquer et de contraindre à la prostitution, </w:t>
      </w:r>
      <w:r w:rsidR="00BC3411">
        <w:rPr>
          <w:rFonts w:eastAsia="Calibri"/>
          <w:lang w:eastAsia="en-US"/>
        </w:rPr>
        <w:t>au mariage précoce</w:t>
      </w:r>
      <w:r w:rsidR="00273EFF" w:rsidRPr="00273EFF">
        <w:rPr>
          <w:rFonts w:eastAsia="Calibri"/>
          <w:lang w:eastAsia="en-US"/>
        </w:rPr>
        <w:t>, au trafic d'organes, à l’enrôlement d’enfants soldats</w:t>
      </w:r>
      <w:r w:rsidR="00BC3411">
        <w:rPr>
          <w:rFonts w:eastAsia="Calibri"/>
          <w:lang w:eastAsia="en-US"/>
        </w:rPr>
        <w:t xml:space="preserve"> </w:t>
      </w:r>
      <w:r w:rsidR="00273EFF" w:rsidRPr="00273EFF">
        <w:rPr>
          <w:rFonts w:eastAsia="Calibri"/>
          <w:lang w:eastAsia="en-US"/>
        </w:rPr>
        <w:t xml:space="preserve">les personnes dépourvues d'identité juridique. </w:t>
      </w:r>
    </w:p>
    <w:p w:rsidR="00273EFF" w:rsidRPr="00273EFF" w:rsidRDefault="00273EFF" w:rsidP="00273EFF">
      <w:pPr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273EFF">
        <w:rPr>
          <w:rFonts w:eastAsia="Calibri"/>
          <w:lang w:eastAsia="en-US"/>
        </w:rPr>
        <w:t>Dans les parcours migratoire</w:t>
      </w:r>
      <w:r w:rsidR="00BC3411">
        <w:rPr>
          <w:rFonts w:eastAsia="Calibri"/>
          <w:lang w:eastAsia="en-US"/>
        </w:rPr>
        <w:t>s</w:t>
      </w:r>
      <w:r w:rsidRPr="00273EFF">
        <w:rPr>
          <w:rFonts w:eastAsia="Calibri"/>
          <w:lang w:eastAsia="en-US"/>
        </w:rPr>
        <w:t xml:space="preserve"> et l’accès aux camps de réfugiés, les femmes sans documents d’identité sont </w:t>
      </w:r>
      <w:r w:rsidR="002B75CD">
        <w:rPr>
          <w:rFonts w:eastAsia="Calibri"/>
          <w:lang w:eastAsia="en-US"/>
        </w:rPr>
        <w:t xml:space="preserve">les </w:t>
      </w:r>
      <w:r w:rsidRPr="00273EFF">
        <w:rPr>
          <w:rFonts w:eastAsia="Calibri"/>
          <w:lang w:eastAsia="en-US"/>
        </w:rPr>
        <w:t xml:space="preserve">plus vulnérables et ne peuvent faire reconnaitre leurs droits. </w:t>
      </w:r>
    </w:p>
    <w:p w:rsidR="002D3591" w:rsidRDefault="00273EFF" w:rsidP="0037155D">
      <w:pPr>
        <w:jc w:val="both"/>
        <w:rPr>
          <w:rFonts w:eastAsia="Calibri"/>
          <w:lang w:eastAsia="en-US"/>
        </w:rPr>
      </w:pPr>
      <w:r w:rsidRPr="00273EFF">
        <w:rPr>
          <w:rFonts w:eastAsia="Calibri"/>
          <w:lang w:eastAsia="en-US"/>
        </w:rPr>
        <w:t>2-</w:t>
      </w:r>
      <w:r w:rsidRPr="00397A2A">
        <w:rPr>
          <w:rFonts w:eastAsia="Calibri"/>
          <w:u w:val="single"/>
          <w:lang w:eastAsia="en-US"/>
        </w:rPr>
        <w:t>L</w:t>
      </w:r>
      <w:r w:rsidR="0077307A">
        <w:rPr>
          <w:rFonts w:eastAsia="Calibri"/>
          <w:u w:val="single"/>
          <w:lang w:eastAsia="en-US"/>
        </w:rPr>
        <w:t xml:space="preserve">’adoption </w:t>
      </w:r>
      <w:r w:rsidRPr="00397A2A">
        <w:rPr>
          <w:rFonts w:eastAsia="Calibri"/>
          <w:u w:val="single"/>
          <w:lang w:eastAsia="en-US"/>
        </w:rPr>
        <w:t>de législations dépénalisant et protégeant les personnes</w:t>
      </w:r>
      <w:r w:rsidR="000D2CD3">
        <w:rPr>
          <w:rFonts w:eastAsia="Calibri"/>
          <w:u w:val="single"/>
          <w:lang w:eastAsia="en-US"/>
        </w:rPr>
        <w:t xml:space="preserve"> en situation de prostitution</w:t>
      </w:r>
      <w:r w:rsidRPr="00273EFF">
        <w:rPr>
          <w:rFonts w:eastAsia="Calibri"/>
          <w:lang w:eastAsia="en-US"/>
        </w:rPr>
        <w:t>,</w:t>
      </w:r>
    </w:p>
    <w:p w:rsidR="00556A78" w:rsidRDefault="00556A78" w:rsidP="0037155D">
      <w:pPr>
        <w:jc w:val="both"/>
        <w:rPr>
          <w:rFonts w:eastAsia="Calibri"/>
          <w:lang w:eastAsia="en-US"/>
        </w:rPr>
      </w:pPr>
    </w:p>
    <w:p w:rsidR="00BC3411" w:rsidRPr="0037155D" w:rsidRDefault="004F1C3C" w:rsidP="0037155D">
      <w:pPr>
        <w:jc w:val="both"/>
      </w:pPr>
      <w:r>
        <w:rPr>
          <w:rFonts w:eastAsia="Calibri"/>
          <w:lang w:eastAsia="en-US"/>
        </w:rPr>
        <w:t xml:space="preserve">Elles doivent </w:t>
      </w:r>
      <w:r w:rsidR="00035A0E">
        <w:rPr>
          <w:rFonts w:eastAsia="Calibri"/>
          <w:lang w:eastAsia="en-US"/>
        </w:rPr>
        <w:t xml:space="preserve">inclure </w:t>
      </w:r>
      <w:r w:rsidR="001E37AA">
        <w:rPr>
          <w:rFonts w:eastAsia="Calibri"/>
          <w:lang w:eastAsia="en-US"/>
        </w:rPr>
        <w:t>une écoute attentive de</w:t>
      </w:r>
      <w:r w:rsidR="000D2CD3">
        <w:rPr>
          <w:rFonts w:eastAsia="Calibri"/>
          <w:lang w:eastAsia="en-US"/>
        </w:rPr>
        <w:t xml:space="preserve">s victimes pour comprendre leur situation, </w:t>
      </w:r>
      <w:r>
        <w:rPr>
          <w:rFonts w:eastAsia="Calibri"/>
          <w:lang w:eastAsia="en-US"/>
        </w:rPr>
        <w:t>d</w:t>
      </w:r>
      <w:r w:rsidR="0037155D" w:rsidRPr="00B421B1">
        <w:t xml:space="preserve">es mesures </w:t>
      </w:r>
      <w:r w:rsidR="0037155D">
        <w:t xml:space="preserve">concrètes </w:t>
      </w:r>
      <w:r w:rsidR="0037155D" w:rsidRPr="00B421B1">
        <w:t>f</w:t>
      </w:r>
      <w:r w:rsidR="002B75CD">
        <w:t>acilit</w:t>
      </w:r>
      <w:r>
        <w:t>a</w:t>
      </w:r>
      <w:r w:rsidR="002B75CD">
        <w:t xml:space="preserve">nt </w:t>
      </w:r>
      <w:r w:rsidR="0037155D" w:rsidRPr="00B421B1">
        <w:t>les moyens de sortie de la prostitution</w:t>
      </w:r>
      <w:r w:rsidR="0037155D" w:rsidRPr="0037155D">
        <w:t xml:space="preserve"> </w:t>
      </w:r>
      <w:r w:rsidR="0077307A">
        <w:t xml:space="preserve">et </w:t>
      </w:r>
      <w:r w:rsidR="0037155D" w:rsidRPr="00B421B1">
        <w:t>pren</w:t>
      </w:r>
      <w:r>
        <w:t>a</w:t>
      </w:r>
      <w:r w:rsidR="002B75CD">
        <w:t>nt</w:t>
      </w:r>
      <w:r w:rsidR="0037155D" w:rsidRPr="00B421B1">
        <w:t xml:space="preserve"> en compte les conditions de séjour de</w:t>
      </w:r>
      <w:r w:rsidR="002B75CD">
        <w:t xml:space="preserve">s </w:t>
      </w:r>
      <w:r w:rsidR="0037155D" w:rsidRPr="00B421B1">
        <w:t xml:space="preserve">victimes de la traite qui le souhaitent. </w:t>
      </w:r>
    </w:p>
    <w:p w:rsidR="00102777" w:rsidRPr="00B421B1" w:rsidRDefault="00102777" w:rsidP="004D5C99">
      <w:pPr>
        <w:jc w:val="both"/>
      </w:pPr>
    </w:p>
    <w:p w:rsidR="004D5C99" w:rsidRDefault="004D5C99" w:rsidP="004D5C99">
      <w:pPr>
        <w:jc w:val="both"/>
      </w:pPr>
      <w:r>
        <w:lastRenderedPageBreak/>
        <w:t>Les Etats</w:t>
      </w:r>
      <w:r w:rsidR="00102777">
        <w:t>-</w:t>
      </w:r>
      <w:r>
        <w:t>Parties d’origine</w:t>
      </w:r>
      <w:r w:rsidR="0037155D">
        <w:t xml:space="preserve"> des trafics</w:t>
      </w:r>
      <w:r>
        <w:t xml:space="preserve"> d</w:t>
      </w:r>
      <w:r w:rsidR="00D520C6">
        <w:t>evrai</w:t>
      </w:r>
      <w:r>
        <w:t>ent être interrogés sur les actions mises en place pour prévenir leur population</w:t>
      </w:r>
      <w:r w:rsidR="0077307A">
        <w:t xml:space="preserve"> des méthodes des trafiquants.</w:t>
      </w:r>
    </w:p>
    <w:p w:rsidR="00102777" w:rsidRPr="00B421B1" w:rsidRDefault="00102777" w:rsidP="004D5C99">
      <w:pPr>
        <w:jc w:val="both"/>
      </w:pPr>
    </w:p>
    <w:p w:rsidR="004D5C99" w:rsidRPr="00B421B1" w:rsidRDefault="004D5C99" w:rsidP="004D5C99">
      <w:pPr>
        <w:jc w:val="both"/>
      </w:pPr>
      <w:r w:rsidRPr="008E1553">
        <w:rPr>
          <w:u w:val="single"/>
        </w:rPr>
        <w:t>3</w:t>
      </w:r>
      <w:r w:rsidR="00D520C6">
        <w:rPr>
          <w:u w:val="single"/>
        </w:rPr>
        <w:t>-</w:t>
      </w:r>
      <w:r w:rsidRPr="008E1553">
        <w:rPr>
          <w:u w:val="single"/>
        </w:rPr>
        <w:t xml:space="preserve"> </w:t>
      </w:r>
      <w:r w:rsidR="0077307A">
        <w:rPr>
          <w:u w:val="single"/>
        </w:rPr>
        <w:t xml:space="preserve">L’interdiction </w:t>
      </w:r>
      <w:r w:rsidRPr="008E1553">
        <w:rPr>
          <w:u w:val="single"/>
        </w:rPr>
        <w:t>de l'achat de services sexuels</w:t>
      </w:r>
      <w:r w:rsidRPr="00B421B1">
        <w:t xml:space="preserve">. </w:t>
      </w:r>
    </w:p>
    <w:p w:rsidR="00556A78" w:rsidRDefault="00556A78" w:rsidP="00DD16EC">
      <w:pPr>
        <w:jc w:val="both"/>
        <w:rPr>
          <w:rFonts w:eastAsia="Calibri"/>
          <w:lang w:eastAsia="en-US"/>
        </w:rPr>
      </w:pPr>
    </w:p>
    <w:p w:rsidR="002B75CD" w:rsidRDefault="0037155D" w:rsidP="00DD16EC">
      <w:pPr>
        <w:jc w:val="both"/>
      </w:pPr>
      <w:r w:rsidRPr="00273EFF">
        <w:rPr>
          <w:rFonts w:eastAsia="Calibri"/>
          <w:lang w:eastAsia="en-US"/>
        </w:rPr>
        <w:t>Pour lutter efficacement contre le système prostitutionnel et les profits astronomiques qu’il engendre pour les réseaux mafieux transfrontaliers, il est indispensable d’agir contre la demande</w:t>
      </w:r>
      <w:r w:rsidR="003141CB">
        <w:rPr>
          <w:rFonts w:eastAsia="Calibri"/>
          <w:lang w:eastAsia="en-US"/>
        </w:rPr>
        <w:t xml:space="preserve"> e</w:t>
      </w:r>
      <w:r w:rsidR="0077307A">
        <w:rPr>
          <w:rFonts w:eastAsia="Calibri"/>
          <w:lang w:eastAsia="en-US"/>
        </w:rPr>
        <w:t xml:space="preserve">t </w:t>
      </w:r>
      <w:r w:rsidR="003141CB">
        <w:rPr>
          <w:rFonts w:eastAsia="Calibri"/>
          <w:lang w:eastAsia="en-US"/>
        </w:rPr>
        <w:t xml:space="preserve">de </w:t>
      </w:r>
      <w:r w:rsidRPr="00273EFF">
        <w:rPr>
          <w:rFonts w:eastAsia="Calibri"/>
          <w:lang w:eastAsia="en-US"/>
        </w:rPr>
        <w:t>pénaliser les « acheteurs » de service sexuel.</w:t>
      </w:r>
      <w:r w:rsidR="00DD16EC" w:rsidRPr="00DD16EC">
        <w:t xml:space="preserve"> </w:t>
      </w:r>
    </w:p>
    <w:p w:rsidR="00035A0E" w:rsidRDefault="00035A0E" w:rsidP="004C2B7F">
      <w:pPr>
        <w:jc w:val="both"/>
      </w:pPr>
    </w:p>
    <w:p w:rsidR="004C2B7F" w:rsidRDefault="00DD16EC" w:rsidP="004C2B7F">
      <w:pPr>
        <w:jc w:val="both"/>
      </w:pPr>
      <w:r>
        <w:t>Ce sont les proxénètes et les clients qui commettent les actes délictueux.</w:t>
      </w:r>
      <w:r w:rsidR="002B75CD">
        <w:t xml:space="preserve"> </w:t>
      </w:r>
      <w:r w:rsidR="004C2B7F" w:rsidRPr="00B421B1">
        <w:t xml:space="preserve">La pénalisation des réseaux et des </w:t>
      </w:r>
      <w:r w:rsidR="004C2B7F">
        <w:t>« clients »</w:t>
      </w:r>
      <w:r w:rsidR="004C2B7F" w:rsidRPr="00B421B1">
        <w:t xml:space="preserve"> doit être affirmée par la loi</w:t>
      </w:r>
      <w:r w:rsidR="004C2B7F">
        <w:t>, avec amendes, saisies des biens et</w:t>
      </w:r>
      <w:r w:rsidR="004C2B7F" w:rsidRPr="00B421B1">
        <w:t xml:space="preserve"> peines proportionnelles aux délits</w:t>
      </w:r>
      <w:r w:rsidR="004C2B7F">
        <w:t>.</w:t>
      </w:r>
    </w:p>
    <w:p w:rsidR="002B75CD" w:rsidRDefault="002B75CD" w:rsidP="004C2B7F">
      <w:pPr>
        <w:jc w:val="both"/>
      </w:pPr>
    </w:p>
    <w:p w:rsidR="00027780" w:rsidRDefault="004C2B7F" w:rsidP="00027780">
      <w:pPr>
        <w:jc w:val="both"/>
      </w:pPr>
      <w:r w:rsidRPr="00B421B1">
        <w:t>Poser l'interdit par la loi est indispensable</w:t>
      </w:r>
      <w:r w:rsidR="00EF7113">
        <w:t xml:space="preserve">. Comment faire comprendre aux jeunes le </w:t>
      </w:r>
      <w:r w:rsidR="00EF7113" w:rsidRPr="00B421B1">
        <w:t>respect de son corps et de celui de l’autre</w:t>
      </w:r>
      <w:r w:rsidR="00EF7113">
        <w:t>, comment les éduquer à une égalité femmes-hommes si l’achat d’actes sexuels est autorisé ?</w:t>
      </w:r>
      <w:r w:rsidR="00EF7113" w:rsidRPr="00B421B1">
        <w:t xml:space="preserve"> </w:t>
      </w:r>
      <w:r w:rsidR="00AB279D">
        <w:t xml:space="preserve">Informer </w:t>
      </w:r>
      <w:r w:rsidR="000B371B">
        <w:t>l</w:t>
      </w:r>
      <w:r w:rsidR="002B75CD">
        <w:t xml:space="preserve">es jeunes </w:t>
      </w:r>
      <w:r w:rsidR="000B371B">
        <w:t>sur</w:t>
      </w:r>
      <w:r w:rsidR="002B75CD">
        <w:t xml:space="preserve"> </w:t>
      </w:r>
      <w:r w:rsidR="002B75CD" w:rsidRPr="004A11A6">
        <w:t xml:space="preserve">la violence subie par les personnes </w:t>
      </w:r>
      <w:r w:rsidR="00EF7113">
        <w:t xml:space="preserve">en situation de prostitution </w:t>
      </w:r>
      <w:r w:rsidR="002B75CD">
        <w:t xml:space="preserve">permettra de </w:t>
      </w:r>
      <w:r w:rsidR="00EF7113">
        <w:t xml:space="preserve">les </w:t>
      </w:r>
      <w:r w:rsidR="002B75CD">
        <w:t>p</w:t>
      </w:r>
      <w:r w:rsidRPr="004A11A6">
        <w:t xml:space="preserve">révenir </w:t>
      </w:r>
      <w:r w:rsidR="00EF7113">
        <w:t xml:space="preserve">face aux discours insidieux et pervers </w:t>
      </w:r>
      <w:r w:rsidRPr="004A11A6">
        <w:t>des réseaux mafieux</w:t>
      </w:r>
      <w:r w:rsidR="000B371B">
        <w:t>, y compris via Internet</w:t>
      </w:r>
      <w:r w:rsidR="00EF7113">
        <w:t>.</w:t>
      </w:r>
    </w:p>
    <w:p w:rsidR="004C2B7F" w:rsidRPr="004A11A6" w:rsidRDefault="004C2B7F" w:rsidP="002B75CD">
      <w:pPr>
        <w:jc w:val="both"/>
      </w:pPr>
    </w:p>
    <w:p w:rsidR="00F31F34" w:rsidRDefault="00AB3D63" w:rsidP="004D5C99">
      <w:pPr>
        <w:jc w:val="both"/>
      </w:pPr>
      <w:r>
        <w:t xml:space="preserve">Il conviendrait </w:t>
      </w:r>
      <w:r w:rsidR="0077307A">
        <w:t>d</w:t>
      </w:r>
      <w:r>
        <w:t>’</w:t>
      </w:r>
      <w:r w:rsidR="00486F4C">
        <w:t>interrog</w:t>
      </w:r>
      <w:r>
        <w:t xml:space="preserve">er les Etats-Parties règlementaristes </w:t>
      </w:r>
      <w:r w:rsidR="00486F4C">
        <w:t>sur les conditions de vie et la sécurité des personnes prostituées</w:t>
      </w:r>
      <w:r>
        <w:t xml:space="preserve">, d’autant plus que </w:t>
      </w:r>
      <w:r w:rsidR="004C2B7F">
        <w:t xml:space="preserve">traite et exploitation sexuelle des adultes et des enfants aux fins de prostitution </w:t>
      </w:r>
      <w:r w:rsidR="00630647">
        <w:t>sont</w:t>
      </w:r>
      <w:r w:rsidR="004C2B7F">
        <w:t xml:space="preserve"> facilitée</w:t>
      </w:r>
      <w:r w:rsidR="00630647">
        <w:t>s</w:t>
      </w:r>
      <w:r w:rsidRPr="00AB3D63">
        <w:t xml:space="preserve"> </w:t>
      </w:r>
      <w:r>
        <w:t>quand les « industries » du sexe sont légalisées.</w:t>
      </w:r>
      <w:r w:rsidR="00F31F34">
        <w:t xml:space="preserve"> </w:t>
      </w:r>
    </w:p>
    <w:p w:rsidR="00027780" w:rsidRDefault="00027780" w:rsidP="004D5C99">
      <w:pPr>
        <w:jc w:val="both"/>
      </w:pPr>
      <w:r>
        <w:lastRenderedPageBreak/>
        <w:t xml:space="preserve">Il conviendrait également de les interroger sur le respect de la non-patrimonialité du corps humain dans leur arsenal législatif et sur la pénalisation des crimes et délits sexuels. </w:t>
      </w:r>
    </w:p>
    <w:p w:rsidR="00027780" w:rsidRDefault="00027780" w:rsidP="004D5C99">
      <w:pPr>
        <w:jc w:val="both"/>
      </w:pPr>
    </w:p>
    <w:p w:rsidR="002D3591" w:rsidRDefault="001E37AA" w:rsidP="004D5C99">
      <w:pPr>
        <w:jc w:val="both"/>
      </w:pPr>
      <w:r>
        <w:t xml:space="preserve">La vigilance s’impose </w:t>
      </w:r>
      <w:r w:rsidR="00EF7113">
        <w:t xml:space="preserve">face </w:t>
      </w:r>
      <w:r>
        <w:t xml:space="preserve">aux nouvelles formes de </w:t>
      </w:r>
      <w:r w:rsidR="00EF7113">
        <w:t>traite des femmes</w:t>
      </w:r>
      <w:r>
        <w:t xml:space="preserve"> et des filles</w:t>
      </w:r>
      <w:r w:rsidR="00EF7113">
        <w:t xml:space="preserve"> p</w:t>
      </w:r>
      <w:r>
        <w:t>a</w:t>
      </w:r>
      <w:r w:rsidR="00EF7113">
        <w:t>r le trafic triangulaire</w:t>
      </w:r>
      <w:r>
        <w:t>, tel celui entre l’Inde, le Kenya et des pays développés, aux fins de maternité de substitution. Ce trafic repose sur l’instrumentalisation du corps des femmes</w:t>
      </w:r>
      <w:r w:rsidR="000D2CD3">
        <w:t>, considérées comme des objets marchands</w:t>
      </w:r>
      <w:r>
        <w:t xml:space="preserve"> et l’exploitation de la misère</w:t>
      </w:r>
      <w:r w:rsidR="00EF7113">
        <w:t xml:space="preserve"> </w:t>
      </w:r>
    </w:p>
    <w:p w:rsidR="00273EFF" w:rsidRPr="00273EFF" w:rsidRDefault="00273EFF" w:rsidP="00273EFF">
      <w:pPr>
        <w:suppressAutoHyphens w:val="0"/>
        <w:spacing w:after="160" w:line="259" w:lineRule="auto"/>
        <w:jc w:val="both"/>
        <w:rPr>
          <w:rFonts w:eastAsia="Calibri"/>
          <w:lang w:eastAsia="en-US"/>
        </w:rPr>
      </w:pPr>
    </w:p>
    <w:sectPr w:rsidR="00273EFF" w:rsidRPr="00273EFF" w:rsidSect="00FA5D91">
      <w:headerReference w:type="first" r:id="rId8"/>
      <w:footnotePr>
        <w:pos w:val="beneathText"/>
      </w:footnotePr>
      <w:pgSz w:w="12240" w:h="15840"/>
      <w:pgMar w:top="851" w:right="1418" w:bottom="567" w:left="1418" w:header="567" w:footer="1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D9" w:rsidRDefault="00DD67D9">
      <w:r>
        <w:separator/>
      </w:r>
    </w:p>
  </w:endnote>
  <w:endnote w:type="continuationSeparator" w:id="0">
    <w:p w:rsidR="00DD67D9" w:rsidRDefault="00DD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D9" w:rsidRDefault="00DD67D9">
      <w:r>
        <w:separator/>
      </w:r>
    </w:p>
  </w:footnote>
  <w:footnote w:type="continuationSeparator" w:id="0">
    <w:p w:rsidR="00DD67D9" w:rsidRDefault="00DD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3C" w:rsidRDefault="00214A47" w:rsidP="00DD16EC">
    <w:pPr>
      <w:autoSpaceDE w:val="0"/>
      <w:ind w:left="4956"/>
      <w:rPr>
        <w:rFonts w:ascii="AGaramond-Italic" w:hAnsi="AGaramond-Italic" w:cs="AGaramond-Italic"/>
        <w:i/>
        <w:iCs/>
        <w:color w:val="0B0A0A"/>
        <w:sz w:val="22"/>
        <w:szCs w:val="22"/>
      </w:rPr>
    </w:pPr>
    <w:r>
      <w:rPr>
        <w:rFonts w:ascii="Arial" w:hAnsi="Arial" w:cs="Arial"/>
        <w:noProof/>
        <w:color w:val="0B0A0A"/>
        <w:sz w:val="22"/>
        <w:szCs w:val="22"/>
        <w:lang w:val="en-GB"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1726724</wp:posOffset>
          </wp:positionH>
          <wp:positionV relativeFrom="paragraph">
            <wp:posOffset>-431165</wp:posOffset>
          </wp:positionV>
          <wp:extent cx="1064260" cy="1064260"/>
          <wp:effectExtent l="0" t="0" r="2540" b="254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l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B0A0A"/>
        <w:sz w:val="22"/>
        <w:szCs w:val="22"/>
        <w:lang w:val="en-GB"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5079206</wp:posOffset>
          </wp:positionH>
          <wp:positionV relativeFrom="paragraph">
            <wp:posOffset>-302260</wp:posOffset>
          </wp:positionV>
          <wp:extent cx="1116330" cy="867410"/>
          <wp:effectExtent l="0" t="0" r="127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d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59D">
      <w:rPr>
        <w:noProof/>
        <w:color w:val="0B0A0A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-200342</wp:posOffset>
          </wp:positionH>
          <wp:positionV relativeFrom="paragraph">
            <wp:posOffset>-323482</wp:posOffset>
          </wp:positionV>
          <wp:extent cx="1578768" cy="797827"/>
          <wp:effectExtent l="0" t="0" r="0" b="2540"/>
          <wp:wrapNone/>
          <wp:docPr id="4" name="Image 3" descr="logo_r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df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643" cy="803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B0A0A"/>
        <w:lang w:val="en-GB"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3317714</wp:posOffset>
          </wp:positionH>
          <wp:positionV relativeFrom="paragraph">
            <wp:posOffset>-92551</wp:posOffset>
          </wp:positionV>
          <wp:extent cx="1126800" cy="392400"/>
          <wp:effectExtent l="0" t="0" r="3810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emmes solidaire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2245" w:rsidRDefault="00912245" w:rsidP="00FA5D91">
    <w:pPr>
      <w:autoSpaceDE w:val="0"/>
      <w:rPr>
        <w:rFonts w:ascii="Arial" w:hAnsi="Arial" w:cs="Arial"/>
        <w:color w:val="0B0A0A"/>
        <w:sz w:val="22"/>
        <w:szCs w:val="22"/>
      </w:rPr>
    </w:pPr>
  </w:p>
  <w:p w:rsidR="004F1C3C" w:rsidRPr="00FA5D91" w:rsidRDefault="004F1C3C" w:rsidP="00FA5D91">
    <w:pPr>
      <w:autoSpaceDE w:val="0"/>
      <w:rPr>
        <w:rFonts w:ascii="Arial" w:hAnsi="Arial" w:cs="Arial"/>
        <w:color w:val="0B0A0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952C53"/>
    <w:multiLevelType w:val="hybridMultilevel"/>
    <w:tmpl w:val="5ADC18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D2B96"/>
    <w:multiLevelType w:val="hybridMultilevel"/>
    <w:tmpl w:val="64F0D4E8"/>
    <w:lvl w:ilvl="0" w:tplc="635E8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F66AE"/>
    <w:multiLevelType w:val="hybridMultilevel"/>
    <w:tmpl w:val="8A50969C"/>
    <w:lvl w:ilvl="0" w:tplc="221E28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42"/>
    <w:rsid w:val="00002753"/>
    <w:rsid w:val="000113C3"/>
    <w:rsid w:val="00012973"/>
    <w:rsid w:val="000245A7"/>
    <w:rsid w:val="00026033"/>
    <w:rsid w:val="00027780"/>
    <w:rsid w:val="000349D8"/>
    <w:rsid w:val="00035A0E"/>
    <w:rsid w:val="000445D3"/>
    <w:rsid w:val="000707BD"/>
    <w:rsid w:val="0007159C"/>
    <w:rsid w:val="00081EE1"/>
    <w:rsid w:val="0009493C"/>
    <w:rsid w:val="00096C24"/>
    <w:rsid w:val="000B371B"/>
    <w:rsid w:val="000D2CD3"/>
    <w:rsid w:val="000F0A39"/>
    <w:rsid w:val="000F163A"/>
    <w:rsid w:val="000F3868"/>
    <w:rsid w:val="000F4439"/>
    <w:rsid w:val="00102777"/>
    <w:rsid w:val="00124CC1"/>
    <w:rsid w:val="00140E22"/>
    <w:rsid w:val="00160CDD"/>
    <w:rsid w:val="001B6E91"/>
    <w:rsid w:val="001D47E7"/>
    <w:rsid w:val="001E0382"/>
    <w:rsid w:val="001E37AA"/>
    <w:rsid w:val="0020103A"/>
    <w:rsid w:val="00206AC8"/>
    <w:rsid w:val="00214A47"/>
    <w:rsid w:val="00250D4B"/>
    <w:rsid w:val="00256525"/>
    <w:rsid w:val="002603F1"/>
    <w:rsid w:val="00273EFF"/>
    <w:rsid w:val="00286C14"/>
    <w:rsid w:val="002B75CD"/>
    <w:rsid w:val="002D3591"/>
    <w:rsid w:val="002E0210"/>
    <w:rsid w:val="002F59DD"/>
    <w:rsid w:val="003141CB"/>
    <w:rsid w:val="00344EDC"/>
    <w:rsid w:val="00352ABD"/>
    <w:rsid w:val="00367EC7"/>
    <w:rsid w:val="0037155D"/>
    <w:rsid w:val="00397A2A"/>
    <w:rsid w:val="003E16C2"/>
    <w:rsid w:val="00426AF0"/>
    <w:rsid w:val="00431B56"/>
    <w:rsid w:val="00441BC5"/>
    <w:rsid w:val="004434EF"/>
    <w:rsid w:val="00451D0E"/>
    <w:rsid w:val="0048648E"/>
    <w:rsid w:val="00486F4C"/>
    <w:rsid w:val="00496B55"/>
    <w:rsid w:val="004A1963"/>
    <w:rsid w:val="004B4377"/>
    <w:rsid w:val="004C2425"/>
    <w:rsid w:val="004C2B7F"/>
    <w:rsid w:val="004D394C"/>
    <w:rsid w:val="004D5C99"/>
    <w:rsid w:val="004F1C3C"/>
    <w:rsid w:val="00505484"/>
    <w:rsid w:val="00507D8B"/>
    <w:rsid w:val="0051417C"/>
    <w:rsid w:val="00525FD6"/>
    <w:rsid w:val="00536B45"/>
    <w:rsid w:val="00556A78"/>
    <w:rsid w:val="00560821"/>
    <w:rsid w:val="005A474A"/>
    <w:rsid w:val="006200C0"/>
    <w:rsid w:val="00630647"/>
    <w:rsid w:val="00637DA1"/>
    <w:rsid w:val="00677A8C"/>
    <w:rsid w:val="006A000B"/>
    <w:rsid w:val="006A4993"/>
    <w:rsid w:val="006A6F77"/>
    <w:rsid w:val="006C2CCE"/>
    <w:rsid w:val="006C2E60"/>
    <w:rsid w:val="006D1429"/>
    <w:rsid w:val="006F30F5"/>
    <w:rsid w:val="0070499B"/>
    <w:rsid w:val="00741B16"/>
    <w:rsid w:val="0077307A"/>
    <w:rsid w:val="0077525D"/>
    <w:rsid w:val="00783EE8"/>
    <w:rsid w:val="007B6787"/>
    <w:rsid w:val="007C0FD6"/>
    <w:rsid w:val="007D4F0C"/>
    <w:rsid w:val="007F14AE"/>
    <w:rsid w:val="00806B36"/>
    <w:rsid w:val="008361F9"/>
    <w:rsid w:val="008523A0"/>
    <w:rsid w:val="00892C76"/>
    <w:rsid w:val="008A366B"/>
    <w:rsid w:val="008B534B"/>
    <w:rsid w:val="008B57B2"/>
    <w:rsid w:val="008E0487"/>
    <w:rsid w:val="008F2F3E"/>
    <w:rsid w:val="008F3CF6"/>
    <w:rsid w:val="00912245"/>
    <w:rsid w:val="00915B2E"/>
    <w:rsid w:val="00933F73"/>
    <w:rsid w:val="00942CF3"/>
    <w:rsid w:val="00946C81"/>
    <w:rsid w:val="0097319F"/>
    <w:rsid w:val="009764D4"/>
    <w:rsid w:val="009E3C8B"/>
    <w:rsid w:val="009F0618"/>
    <w:rsid w:val="009F3C3E"/>
    <w:rsid w:val="00A1159D"/>
    <w:rsid w:val="00A2633D"/>
    <w:rsid w:val="00A26BB4"/>
    <w:rsid w:val="00A275BC"/>
    <w:rsid w:val="00A42B57"/>
    <w:rsid w:val="00A54EB0"/>
    <w:rsid w:val="00A755CA"/>
    <w:rsid w:val="00A835F3"/>
    <w:rsid w:val="00A85280"/>
    <w:rsid w:val="00AB279D"/>
    <w:rsid w:val="00AB3D63"/>
    <w:rsid w:val="00AC64D6"/>
    <w:rsid w:val="00B26469"/>
    <w:rsid w:val="00B32242"/>
    <w:rsid w:val="00B34F07"/>
    <w:rsid w:val="00B5218A"/>
    <w:rsid w:val="00B72DFE"/>
    <w:rsid w:val="00B84A8C"/>
    <w:rsid w:val="00BA2587"/>
    <w:rsid w:val="00BC3411"/>
    <w:rsid w:val="00BE761B"/>
    <w:rsid w:val="00C07C65"/>
    <w:rsid w:val="00C15ED3"/>
    <w:rsid w:val="00C427EF"/>
    <w:rsid w:val="00C55DD6"/>
    <w:rsid w:val="00C76307"/>
    <w:rsid w:val="00C90E0D"/>
    <w:rsid w:val="00CA350C"/>
    <w:rsid w:val="00CC6699"/>
    <w:rsid w:val="00D466E0"/>
    <w:rsid w:val="00D520C6"/>
    <w:rsid w:val="00D56F6A"/>
    <w:rsid w:val="00D65011"/>
    <w:rsid w:val="00D91A8A"/>
    <w:rsid w:val="00DA4431"/>
    <w:rsid w:val="00DA78E8"/>
    <w:rsid w:val="00DD16EC"/>
    <w:rsid w:val="00DD67D9"/>
    <w:rsid w:val="00DF2F47"/>
    <w:rsid w:val="00DF46E6"/>
    <w:rsid w:val="00DF54AD"/>
    <w:rsid w:val="00DF579D"/>
    <w:rsid w:val="00E0098B"/>
    <w:rsid w:val="00E1282B"/>
    <w:rsid w:val="00E24FCB"/>
    <w:rsid w:val="00E43EFB"/>
    <w:rsid w:val="00E51CC2"/>
    <w:rsid w:val="00E54E5C"/>
    <w:rsid w:val="00E77407"/>
    <w:rsid w:val="00E8326C"/>
    <w:rsid w:val="00E945A2"/>
    <w:rsid w:val="00EA130B"/>
    <w:rsid w:val="00ED4E2C"/>
    <w:rsid w:val="00EF7113"/>
    <w:rsid w:val="00F01E75"/>
    <w:rsid w:val="00F2515B"/>
    <w:rsid w:val="00F31F34"/>
    <w:rsid w:val="00F335A6"/>
    <w:rsid w:val="00F72FCF"/>
    <w:rsid w:val="00F77669"/>
    <w:rsid w:val="00F87AF1"/>
    <w:rsid w:val="00FA5D91"/>
    <w:rsid w:val="00FB4149"/>
    <w:rsid w:val="00FD0AA4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C7C2A3E-C1F1-9A46-84E1-5FC4EEB2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right="70"/>
      <w:jc w:val="center"/>
      <w:outlineLvl w:val="4"/>
    </w:pPr>
    <w:rPr>
      <w:rFonts w:ascii="Comic Sans MS" w:hAnsi="Comic Sans MS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right="70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Policepardfaut2">
    <w:name w:val="Police par défaut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Policepardfaut1">
    <w:name w:val="Police par défaut1"/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Policepardfaut1"/>
  </w:style>
  <w:style w:type="character" w:customStyle="1" w:styleId="text21">
    <w:name w:val="text21"/>
    <w:basedOn w:val="Policepardfaut1"/>
  </w:style>
  <w:style w:type="character" w:customStyle="1" w:styleId="CorpsdetexteCar">
    <w:name w:val="Corps de texte Car"/>
    <w:rPr>
      <w:rFonts w:eastAsia="Lucida Sans Unicode"/>
      <w:sz w:val="24"/>
      <w:szCs w:val="24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widowControl w:val="0"/>
      <w:spacing w:after="120"/>
    </w:pPr>
    <w:rPr>
      <w:rFonts w:eastAsia="Lucida Sans Unicode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jc w:val="both"/>
    </w:pPr>
    <w:rPr>
      <w:rFonts w:ascii="Arial" w:hAnsi="Arial"/>
      <w:sz w:val="22"/>
    </w:r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Strong">
    <w:name w:val="Strong"/>
    <w:uiPriority w:val="22"/>
    <w:qFormat/>
    <w:rsid w:val="000707BD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096C2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rmalWeb">
    <w:name w:val="Normal (Web)"/>
    <w:basedOn w:val="Normal"/>
    <w:rsid w:val="00096C24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UnresolvedMention">
    <w:name w:val="Unresolved Mention"/>
    <w:uiPriority w:val="99"/>
    <w:semiHidden/>
    <w:unhideWhenUsed/>
    <w:rsid w:val="00160CD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C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2C76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4D5C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D5C9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A54EB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363C16-AF49-45CA-AC95-74DBA8E274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8A604F-9A3F-4051-AF16-2894980810C2}"/>
</file>

<file path=customXml/itemProps3.xml><?xml version="1.0" encoding="utf-8"?>
<ds:datastoreItem xmlns:ds="http://schemas.openxmlformats.org/officeDocument/2006/customXml" ds:itemID="{7B33A2E4-030D-41A1-A898-613C28B87009}"/>
</file>

<file path=customXml/itemProps4.xml><?xml version="1.0" encoding="utf-8"?>
<ds:datastoreItem xmlns:ds="http://schemas.openxmlformats.org/officeDocument/2006/customXml" ds:itemID="{9BFE7992-B23A-4489-953D-AEE0C203D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3950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BUDGET  PREVISIONNEL</vt:lpstr>
      <vt:lpstr>BUDGET  PREVISIONNEL</vt:lpstr>
    </vt:vector>
  </TitlesOfParts>
  <Company>Regards de Femmes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 PREVISIONNEL</dc:title>
  <dc:subject/>
  <dc:creator>AV</dc:creator>
  <cp:keywords/>
  <cp:lastModifiedBy>Daniela Buchmann</cp:lastModifiedBy>
  <cp:revision>2</cp:revision>
  <cp:lastPrinted>2019-02-15T10:07:00Z</cp:lastPrinted>
  <dcterms:created xsi:type="dcterms:W3CDTF">2019-02-18T10:45:00Z</dcterms:created>
  <dcterms:modified xsi:type="dcterms:W3CDTF">2019-02-18T10:45:00Z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