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967F2" w:rsidRDefault="003967F2">
      <w:pPr>
        <w:pStyle w:val="BodyText3"/>
        <w:spacing w:after="80"/>
        <w:rPr>
          <w:rFonts w:ascii="Calibri" w:hAnsi="Calibri"/>
          <w:b/>
          <w:szCs w:val="22"/>
        </w:rPr>
      </w:pPr>
      <w:r w:rsidRPr="000C1529">
        <w:rPr>
          <w:rFonts w:asciiTheme="minorHAnsi" w:hAnsiTheme="minorHAnsi"/>
          <w:noProof/>
          <w:sz w:val="20"/>
          <w:szCs w:val="20"/>
          <w:lang w:eastAsia="en-GB"/>
        </w:rPr>
        <mc:AlternateContent>
          <mc:Choice Requires="wps">
            <w:drawing>
              <wp:anchor distT="0" distB="0" distL="114300" distR="114300" simplePos="0" relativeHeight="251659264" behindDoc="0" locked="0" layoutInCell="1" allowOverlap="1" wp14:anchorId="5E9A8ABF" wp14:editId="69C9B42A">
                <wp:simplePos x="0" y="0"/>
                <wp:positionH relativeFrom="column">
                  <wp:posOffset>4377055</wp:posOffset>
                </wp:positionH>
                <wp:positionV relativeFrom="paragraph">
                  <wp:posOffset>-937895</wp:posOffset>
                </wp:positionV>
                <wp:extent cx="1838325"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714500"/>
                        </a:xfrm>
                        <a:prstGeom prst="rect">
                          <a:avLst/>
                        </a:prstGeom>
                        <a:noFill/>
                        <a:ln w="190500">
                          <a:noFill/>
                          <a:miter lim="800000"/>
                          <a:headEnd/>
                          <a:tailEnd/>
                        </a:ln>
                        <a:extLst>
                          <a:ext uri="{909E8E84-426E-40DD-AFC4-6F175D3DCCD1}">
                            <a14:hiddenFill xmlns:a14="http://schemas.microsoft.com/office/drawing/2010/main">
                              <a:solidFill>
                                <a:srgbClr val="333333"/>
                              </a:solidFill>
                            </a14:hiddenFill>
                          </a:ext>
                        </a:extLst>
                      </wps:spPr>
                      <wps:txbx>
                        <w:txbxContent>
                          <w:p w:rsidR="003967F2" w:rsidRDefault="003967F2" w:rsidP="003967F2">
                            <w:pPr>
                              <w:jc w:val="both"/>
                            </w:pPr>
                          </w:p>
                          <w:p w:rsidR="003967F2" w:rsidRDefault="003967F2" w:rsidP="003967F2">
                            <w:pPr>
                              <w:jc w:val="both"/>
                            </w:pPr>
                            <w:r w:rsidRPr="009C3002">
                              <w:rPr>
                                <w:noProof/>
                                <w:lang w:eastAsia="en-GB"/>
                              </w:rPr>
                              <w:drawing>
                                <wp:inline distT="0" distB="0" distL="0" distR="0" wp14:anchorId="734B5406" wp14:editId="2BE36729">
                                  <wp:extent cx="1371600" cy="1158765"/>
                                  <wp:effectExtent l="0" t="0" r="0" b="3810"/>
                                  <wp:docPr id="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0636" cy="116639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A8ABF" id="_x0000_t202" coordsize="21600,21600" o:spt="202" path="m,l,21600r21600,l21600,xe">
                <v:stroke joinstyle="miter"/>
                <v:path gradientshapeok="t" o:connecttype="rect"/>
              </v:shapetype>
              <v:shape id="Text Box 6" o:spid="_x0000_s1026" type="#_x0000_t202" style="position:absolute;margin-left:344.65pt;margin-top:-73.85pt;width:144.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" filled="f" fillcolor="#333" stroked="f" strokeweight="15pt">
                <v:textbox>
                  <w:txbxContent>
                    <w:p w:rsidR="003967F2" w:rsidRDefault="003967F2" w:rsidP="003967F2">
                      <w:pPr>
                        <w:jc w:val="both"/>
                      </w:pPr>
                    </w:p>
                    <w:p w:rsidR="003967F2" w:rsidRDefault="003967F2" w:rsidP="003967F2">
                      <w:pPr>
                        <w:jc w:val="both"/>
                      </w:pPr>
                      <w:r w:rsidRPr="009C3002">
                        <w:rPr>
                          <w:noProof/>
                          <w:lang w:val="de-DE" w:eastAsia="de-DE"/>
                        </w:rPr>
                        <w:drawing>
                          <wp:inline distT="0" distB="0" distL="0" distR="0" wp14:anchorId="734B5406" wp14:editId="2BE36729">
                            <wp:extent cx="1371600" cy="1158765"/>
                            <wp:effectExtent l="0" t="0" r="0" b="3810"/>
                            <wp:docPr id="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636" cy="1166398"/>
                                    </a:xfrm>
                                    <a:prstGeom prst="rect">
                                      <a:avLst/>
                                    </a:prstGeom>
                                    <a:noFill/>
                                    <a:ln>
                                      <a:noFill/>
                                    </a:ln>
                                  </pic:spPr>
                                </pic:pic>
                              </a:graphicData>
                            </a:graphic>
                          </wp:inline>
                        </w:drawing>
                      </w:r>
                    </w:p>
                  </w:txbxContent>
                </v:textbox>
              </v:shape>
            </w:pict>
          </mc:Fallback>
        </mc:AlternateContent>
      </w:r>
    </w:p>
    <w:p w:rsidR="003967F2" w:rsidRDefault="003967F2">
      <w:pPr>
        <w:pStyle w:val="BodyText3"/>
        <w:spacing w:after="80"/>
        <w:rPr>
          <w:rFonts w:ascii="Calibri" w:hAnsi="Calibri"/>
          <w:b/>
          <w:szCs w:val="22"/>
        </w:rPr>
      </w:pPr>
    </w:p>
    <w:p w:rsidR="003967F2" w:rsidRDefault="003967F2">
      <w:pPr>
        <w:pStyle w:val="BodyText3"/>
        <w:spacing w:after="80"/>
        <w:rPr>
          <w:rFonts w:ascii="Calibri" w:hAnsi="Calibri"/>
          <w:b/>
          <w:szCs w:val="22"/>
        </w:rPr>
      </w:pPr>
    </w:p>
    <w:p w:rsidR="003967F2" w:rsidRDefault="003967F2">
      <w:pPr>
        <w:pStyle w:val="BodyText3"/>
        <w:spacing w:after="80"/>
        <w:rPr>
          <w:rFonts w:ascii="Calibri" w:hAnsi="Calibri"/>
          <w:b/>
          <w:szCs w:val="22"/>
        </w:rPr>
      </w:pPr>
    </w:p>
    <w:p w:rsidR="003967F2" w:rsidRDefault="003967F2" w:rsidP="003967F2">
      <w:pPr>
        <w:pStyle w:val="BodyText3"/>
        <w:shd w:val="clear" w:color="auto" w:fill="C00000"/>
        <w:spacing w:after="80"/>
        <w:rPr>
          <w:rFonts w:ascii="Calibri" w:hAnsi="Calibri"/>
          <w:b/>
          <w:color w:val="FFFFFF"/>
          <w:szCs w:val="22"/>
        </w:rPr>
      </w:pPr>
      <w:r>
        <w:rPr>
          <w:rFonts w:ascii="Calibri" w:hAnsi="Calibri"/>
          <w:b/>
          <w:color w:val="FFFFFF"/>
          <w:szCs w:val="22"/>
        </w:rPr>
        <w:t>TAMPEP | European Network for the Promotion of Rights and Health among Migrant Sex Workers</w:t>
      </w:r>
    </w:p>
    <w:p w:rsidR="005F4AB5" w:rsidRDefault="00AB1B78">
      <w:pPr>
        <w:pStyle w:val="BodyText3"/>
        <w:spacing w:after="80"/>
        <w:rPr>
          <w:rFonts w:ascii="Calibri" w:hAnsi="Calibri"/>
          <w:b/>
          <w:szCs w:val="22"/>
        </w:rPr>
      </w:pPr>
      <w:r>
        <w:rPr>
          <w:rFonts w:ascii="Calibri" w:hAnsi="Calibri"/>
          <w:b/>
          <w:szCs w:val="22"/>
        </w:rPr>
        <w:t>Oral Intervention</w:t>
      </w:r>
    </w:p>
    <w:p w:rsidR="005F4AB5" w:rsidRDefault="00AB1B78">
      <w:pPr>
        <w:pStyle w:val="BodyText3"/>
        <w:spacing w:after="80"/>
        <w:rPr>
          <w:rFonts w:ascii="Calibri" w:hAnsi="Calibri"/>
          <w:b/>
          <w:szCs w:val="22"/>
        </w:rPr>
      </w:pPr>
      <w:r>
        <w:rPr>
          <w:rFonts w:ascii="Calibri" w:hAnsi="Calibri"/>
          <w:b/>
          <w:szCs w:val="22"/>
        </w:rPr>
        <w:t>CEDAW | February 2019</w:t>
      </w:r>
    </w:p>
    <w:p w:rsidR="005F4AB5" w:rsidRDefault="005F4AB5">
      <w:pPr>
        <w:pStyle w:val="BodyText3"/>
        <w:spacing w:after="80"/>
        <w:rPr>
          <w:rFonts w:ascii="Calibri" w:hAnsi="Calibri"/>
          <w:szCs w:val="22"/>
        </w:rPr>
      </w:pPr>
    </w:p>
    <w:p w:rsidR="005F4AB5" w:rsidRDefault="005F4AB5">
      <w:pPr>
        <w:pStyle w:val="BodyText3"/>
        <w:spacing w:after="80"/>
        <w:rPr>
          <w:rFonts w:ascii="Calibri" w:hAnsi="Calibri"/>
          <w:szCs w:val="22"/>
        </w:rPr>
      </w:pPr>
    </w:p>
    <w:p w:rsidR="003967F2" w:rsidRDefault="003967F2">
      <w:pPr>
        <w:pStyle w:val="BodyText3"/>
        <w:spacing w:after="80"/>
        <w:rPr>
          <w:rFonts w:ascii="Calibri" w:hAnsi="Calibri"/>
          <w:szCs w:val="22"/>
        </w:rPr>
      </w:pPr>
    </w:p>
    <w:p w:rsidR="005F4AB5" w:rsidRPr="003967F2" w:rsidRDefault="00AB1B78" w:rsidP="003967F2">
      <w:pPr>
        <w:pStyle w:val="BodyText3"/>
        <w:spacing w:after="80"/>
        <w:rPr>
          <w:szCs w:val="22"/>
        </w:rPr>
      </w:pPr>
      <w:r w:rsidRPr="003967F2">
        <w:rPr>
          <w:rFonts w:ascii="Calibri" w:hAnsi="Calibri"/>
          <w:szCs w:val="22"/>
        </w:rPr>
        <w:t>The TAMPEP Network has 25 years of experience in assessing the intersection of migration and sex work in Europe, in implementing programmes and services that support the human rights of migrant people in the sex industry, including trafficked women.</w:t>
      </w:r>
    </w:p>
    <w:p w:rsidR="005F4AB5" w:rsidRPr="003967F2" w:rsidRDefault="00AB1B78" w:rsidP="003967F2">
      <w:pPr>
        <w:pStyle w:val="BodyText3"/>
        <w:spacing w:after="80"/>
        <w:rPr>
          <w:rFonts w:ascii="Calibri" w:hAnsi="Calibri"/>
          <w:szCs w:val="22"/>
        </w:rPr>
      </w:pPr>
      <w:r w:rsidRPr="003967F2">
        <w:rPr>
          <w:rFonts w:ascii="Calibri" w:hAnsi="Calibri"/>
          <w:szCs w:val="22"/>
        </w:rPr>
        <w:t>We appreciate an opportunity to contribute to the Committee’s efforts to provide clarity to CEDAW’s Article 6, and we offer the following recommendations:</w:t>
      </w:r>
    </w:p>
    <w:p w:rsidR="005F4AB5" w:rsidRPr="003967F2" w:rsidRDefault="005F4AB5" w:rsidP="003967F2">
      <w:pPr>
        <w:pStyle w:val="NormalWeb"/>
        <w:spacing w:before="0" w:after="80"/>
        <w:rPr>
          <w:sz w:val="22"/>
          <w:szCs w:val="22"/>
          <w:lang w:val="en-GB"/>
        </w:rPr>
      </w:pPr>
    </w:p>
    <w:p w:rsidR="005F4AB5" w:rsidRDefault="003967F2" w:rsidP="003967F2">
      <w:pPr>
        <w:pStyle w:val="BodyText3"/>
        <w:rPr>
          <w:rFonts w:ascii="Calibri" w:hAnsi="Calibri"/>
          <w:szCs w:val="22"/>
        </w:rPr>
      </w:pPr>
      <w:r w:rsidRPr="003967F2">
        <w:rPr>
          <w:rFonts w:asciiTheme="minorHAnsi" w:hAnsiTheme="minorHAnsi"/>
          <w:color w:val="C00000"/>
          <w:szCs w:val="22"/>
        </w:rPr>
        <w:sym w:font="Webdings" w:char="F03C"/>
      </w:r>
      <w:r w:rsidR="00AB1B78" w:rsidRPr="003967F2">
        <w:rPr>
          <w:rFonts w:ascii="Calibri" w:hAnsi="Calibri"/>
          <w:b/>
          <w:szCs w:val="22"/>
        </w:rPr>
        <w:t>Victims of trafficking must not be further exploited as witnesses.</w:t>
      </w:r>
      <w:r w:rsidR="00AB1B78" w:rsidRPr="003967F2">
        <w:rPr>
          <w:rFonts w:ascii="Calibri" w:hAnsi="Calibri"/>
          <w:szCs w:val="22"/>
        </w:rPr>
        <w:t xml:space="preserve"> States should acknowledge their responsibility to assist and protect victims </w:t>
      </w:r>
      <w:r w:rsidR="00AB1B78" w:rsidRPr="003967F2">
        <w:rPr>
          <w:rFonts w:ascii="Calibri" w:hAnsi="Calibri"/>
          <w:szCs w:val="22"/>
        </w:rPr>
        <w:lastRenderedPageBreak/>
        <w:t>of trafficking – regardless of their ability or willingness to co-operate or testify in court proceedings. States' obligation for assistance to women who have been trafficked should extend to providing realistic opportunities for a safe environment, instead of being deported after they testify against their traffickers.</w:t>
      </w:r>
    </w:p>
    <w:p w:rsidR="003967F2" w:rsidRPr="003967F2" w:rsidRDefault="003967F2" w:rsidP="003967F2">
      <w:pPr>
        <w:pStyle w:val="BodyText3"/>
        <w:rPr>
          <w:szCs w:val="22"/>
        </w:rPr>
      </w:pPr>
    </w:p>
    <w:p w:rsidR="005F4AB5" w:rsidRDefault="003967F2" w:rsidP="003967F2">
      <w:pPr>
        <w:pStyle w:val="NormalWeb"/>
        <w:spacing w:before="0" w:after="0"/>
        <w:rPr>
          <w:rFonts w:ascii="Calibri" w:hAnsi="Calibri"/>
          <w:sz w:val="22"/>
          <w:szCs w:val="22"/>
          <w:lang w:val="en-GB"/>
        </w:rPr>
      </w:pPr>
      <w:r w:rsidRPr="003967F2">
        <w:rPr>
          <w:rFonts w:asciiTheme="minorHAnsi" w:hAnsiTheme="minorHAnsi"/>
          <w:color w:val="C00000"/>
          <w:sz w:val="22"/>
          <w:szCs w:val="22"/>
        </w:rPr>
        <w:sym w:font="Webdings" w:char="F03C"/>
      </w:r>
      <w:r w:rsidR="00AB1B78" w:rsidRPr="003967F2">
        <w:rPr>
          <w:rFonts w:ascii="Calibri" w:hAnsi="Calibri"/>
          <w:sz w:val="22"/>
          <w:szCs w:val="22"/>
          <w:lang w:val="en-GB"/>
        </w:rPr>
        <w:t>Governments should address women's poverty, education for girls and the protection of women's rights as a global anti-trafficking strategy.</w:t>
      </w:r>
    </w:p>
    <w:p w:rsidR="003967F2" w:rsidRPr="003967F2" w:rsidRDefault="003967F2" w:rsidP="003967F2">
      <w:pPr>
        <w:pStyle w:val="NormalWeb"/>
        <w:spacing w:before="0" w:after="0"/>
        <w:rPr>
          <w:sz w:val="22"/>
          <w:szCs w:val="22"/>
          <w:lang w:val="en-GB"/>
        </w:rPr>
      </w:pPr>
    </w:p>
    <w:p w:rsidR="005F4AB5" w:rsidRDefault="003967F2" w:rsidP="003967F2">
      <w:pPr>
        <w:rPr>
          <w:rFonts w:cs="Arial"/>
          <w:sz w:val="22"/>
          <w:szCs w:val="22"/>
        </w:rPr>
      </w:pPr>
      <w:r w:rsidRPr="003967F2">
        <w:rPr>
          <w:rFonts w:asciiTheme="minorHAnsi" w:hAnsiTheme="minorHAnsi"/>
          <w:color w:val="C00000"/>
          <w:sz w:val="22"/>
          <w:szCs w:val="22"/>
        </w:rPr>
        <w:sym w:font="Webdings" w:char="F03C"/>
      </w:r>
      <w:r w:rsidR="00AB1B78" w:rsidRPr="003967F2">
        <w:rPr>
          <w:rFonts w:cs="Arial"/>
          <w:b/>
          <w:sz w:val="22"/>
          <w:szCs w:val="22"/>
        </w:rPr>
        <w:t>Consider sex work and forced labour as two separate phenomena</w:t>
      </w:r>
      <w:r w:rsidR="00AB1B78" w:rsidRPr="003967F2">
        <w:rPr>
          <w:rFonts w:cs="Arial"/>
          <w:sz w:val="22"/>
          <w:szCs w:val="22"/>
        </w:rPr>
        <w:t>. Anti-trafficking laws must not be used to target sex workers - in particular migrant sex workers - and curtail their</w:t>
      </w:r>
      <w:r w:rsidR="00AB1B78" w:rsidRPr="003967F2">
        <w:rPr>
          <w:rFonts w:cs="Arial"/>
          <w:sz w:val="22"/>
          <w:szCs w:val="22"/>
          <w:lang w:eastAsia="nl-NL"/>
        </w:rPr>
        <w:t xml:space="preserve"> </w:t>
      </w:r>
      <w:r w:rsidR="00AB1B78" w:rsidRPr="003967F2">
        <w:rPr>
          <w:rFonts w:cs="Arial"/>
          <w:sz w:val="22"/>
          <w:szCs w:val="22"/>
        </w:rPr>
        <w:t>rights.</w:t>
      </w:r>
    </w:p>
    <w:p w:rsidR="003967F2" w:rsidRPr="003967F2" w:rsidRDefault="003967F2" w:rsidP="003967F2">
      <w:pPr>
        <w:rPr>
          <w:sz w:val="22"/>
          <w:szCs w:val="22"/>
        </w:rPr>
      </w:pPr>
    </w:p>
    <w:p w:rsidR="005F4AB5" w:rsidRDefault="003967F2" w:rsidP="003967F2">
      <w:pPr>
        <w:rPr>
          <w:rFonts w:cs="Arial"/>
          <w:sz w:val="22"/>
          <w:szCs w:val="22"/>
        </w:rPr>
      </w:pPr>
      <w:r w:rsidRPr="003967F2">
        <w:rPr>
          <w:rFonts w:asciiTheme="minorHAnsi" w:hAnsiTheme="minorHAnsi"/>
          <w:color w:val="C00000"/>
          <w:sz w:val="22"/>
          <w:szCs w:val="22"/>
        </w:rPr>
        <w:sym w:font="Webdings" w:char="F03C"/>
      </w:r>
      <w:r w:rsidR="00AB1B78" w:rsidRPr="003967F2">
        <w:rPr>
          <w:rFonts w:cs="Arial"/>
          <w:b/>
          <w:sz w:val="22"/>
          <w:szCs w:val="22"/>
        </w:rPr>
        <w:t>Acknowledge the global reality of migration, including for sex work</w:t>
      </w:r>
      <w:r w:rsidR="00AB1B78" w:rsidRPr="003967F2">
        <w:rPr>
          <w:rFonts w:cs="Arial"/>
          <w:sz w:val="22"/>
          <w:szCs w:val="22"/>
        </w:rPr>
        <w:t>. Abolish laws and policies that criminalise migration and sex work, and provide the possibility for migrant sex workers to obtain residence and work permits in order to increase their independence, and to prevent exploitation.</w:t>
      </w:r>
    </w:p>
    <w:p w:rsidR="003967F2" w:rsidRPr="003967F2" w:rsidRDefault="003967F2" w:rsidP="003967F2">
      <w:pPr>
        <w:rPr>
          <w:sz w:val="22"/>
          <w:szCs w:val="22"/>
        </w:rPr>
      </w:pPr>
    </w:p>
    <w:p w:rsidR="005F4AB5" w:rsidRPr="003967F2" w:rsidRDefault="003967F2" w:rsidP="003967F2">
      <w:pPr>
        <w:rPr>
          <w:sz w:val="22"/>
          <w:szCs w:val="22"/>
        </w:rPr>
      </w:pPr>
      <w:r w:rsidRPr="003967F2">
        <w:rPr>
          <w:rFonts w:asciiTheme="minorHAnsi" w:hAnsiTheme="minorHAnsi"/>
          <w:color w:val="C00000"/>
          <w:sz w:val="22"/>
          <w:szCs w:val="22"/>
        </w:rPr>
        <w:sym w:font="Webdings" w:char="F03C"/>
      </w:r>
      <w:r w:rsidR="00AB1B78" w:rsidRPr="003967F2">
        <w:rPr>
          <w:b/>
          <w:color w:val="000000"/>
          <w:sz w:val="22"/>
          <w:szCs w:val="22"/>
        </w:rPr>
        <w:t xml:space="preserve">Encourage the </w:t>
      </w:r>
      <w:r w:rsidR="00AB1B78" w:rsidRPr="003967F2">
        <w:rPr>
          <w:rFonts w:cs="Arial"/>
          <w:b/>
          <w:color w:val="000000"/>
          <w:sz w:val="22"/>
          <w:szCs w:val="22"/>
        </w:rPr>
        <w:t xml:space="preserve">respect </w:t>
      </w:r>
      <w:r w:rsidR="00AB1B78" w:rsidRPr="003967F2">
        <w:rPr>
          <w:rFonts w:cs="Arial"/>
          <w:b/>
          <w:sz w:val="22"/>
          <w:szCs w:val="22"/>
        </w:rPr>
        <w:t>and protection of migrant sex workers’ human rights</w:t>
      </w:r>
      <w:r w:rsidR="00AB1B78" w:rsidRPr="003967F2">
        <w:rPr>
          <w:rFonts w:cs="Arial"/>
          <w:sz w:val="22"/>
          <w:szCs w:val="22"/>
        </w:rPr>
        <w:t xml:space="preserve">, </w:t>
      </w:r>
      <w:r w:rsidR="00AB1B78" w:rsidRPr="003967F2">
        <w:rPr>
          <w:rFonts w:cs="Arial"/>
          <w:b/>
          <w:sz w:val="22"/>
          <w:szCs w:val="22"/>
        </w:rPr>
        <w:t>including their right:</w:t>
      </w:r>
    </w:p>
    <w:p w:rsidR="005F4AB5" w:rsidRPr="003967F2" w:rsidRDefault="00AB1B78" w:rsidP="003967F2">
      <w:pPr>
        <w:numPr>
          <w:ilvl w:val="0"/>
          <w:numId w:val="2"/>
        </w:numPr>
        <w:rPr>
          <w:rFonts w:cs="Arial"/>
          <w:sz w:val="22"/>
          <w:szCs w:val="22"/>
        </w:rPr>
      </w:pPr>
      <w:r w:rsidRPr="003967F2">
        <w:rPr>
          <w:rFonts w:cs="Arial"/>
          <w:sz w:val="22"/>
          <w:szCs w:val="22"/>
        </w:rPr>
        <w:t>to equal protection under the law</w:t>
      </w:r>
    </w:p>
    <w:p w:rsidR="005F4AB5" w:rsidRPr="003967F2" w:rsidRDefault="00AB1B78" w:rsidP="003967F2">
      <w:pPr>
        <w:numPr>
          <w:ilvl w:val="0"/>
          <w:numId w:val="2"/>
        </w:numPr>
        <w:rPr>
          <w:rFonts w:cs="Arial"/>
          <w:sz w:val="22"/>
          <w:szCs w:val="22"/>
        </w:rPr>
      </w:pPr>
      <w:r w:rsidRPr="003967F2">
        <w:rPr>
          <w:rFonts w:cs="Arial"/>
          <w:sz w:val="22"/>
          <w:szCs w:val="22"/>
        </w:rPr>
        <w:t>to freedom of movement and residence</w:t>
      </w:r>
    </w:p>
    <w:p w:rsidR="005F4AB5" w:rsidRPr="003967F2" w:rsidRDefault="00AB1B78" w:rsidP="003967F2">
      <w:pPr>
        <w:numPr>
          <w:ilvl w:val="0"/>
          <w:numId w:val="2"/>
        </w:numPr>
        <w:rPr>
          <w:rFonts w:cs="Arial"/>
          <w:sz w:val="22"/>
          <w:szCs w:val="22"/>
        </w:rPr>
      </w:pPr>
      <w:r w:rsidRPr="003967F2">
        <w:rPr>
          <w:rFonts w:cs="Arial"/>
          <w:sz w:val="22"/>
          <w:szCs w:val="22"/>
        </w:rPr>
        <w:lastRenderedPageBreak/>
        <w:t>to work</w:t>
      </w:r>
    </w:p>
    <w:p w:rsidR="005F4AB5" w:rsidRPr="003967F2" w:rsidRDefault="00AB1B78" w:rsidP="003967F2">
      <w:pPr>
        <w:numPr>
          <w:ilvl w:val="0"/>
          <w:numId w:val="2"/>
        </w:numPr>
        <w:rPr>
          <w:rFonts w:cs="Arial"/>
          <w:sz w:val="22"/>
          <w:szCs w:val="22"/>
        </w:rPr>
      </w:pPr>
      <w:r w:rsidRPr="003967F2">
        <w:rPr>
          <w:rFonts w:cs="Arial"/>
          <w:sz w:val="22"/>
          <w:szCs w:val="22"/>
        </w:rPr>
        <w:t>to free choice of employment</w:t>
      </w:r>
    </w:p>
    <w:p w:rsidR="005F4AB5" w:rsidRDefault="00AB1B78" w:rsidP="003967F2">
      <w:pPr>
        <w:numPr>
          <w:ilvl w:val="0"/>
          <w:numId w:val="2"/>
        </w:numPr>
        <w:rPr>
          <w:rFonts w:cs="Arial"/>
          <w:sz w:val="22"/>
          <w:szCs w:val="22"/>
        </w:rPr>
      </w:pPr>
      <w:r w:rsidRPr="003967F2">
        <w:rPr>
          <w:rFonts w:cs="Arial"/>
          <w:sz w:val="22"/>
          <w:szCs w:val="22"/>
        </w:rPr>
        <w:t>to just and favourable working conditions</w:t>
      </w:r>
    </w:p>
    <w:p w:rsidR="00F86709" w:rsidRPr="00F86709" w:rsidRDefault="00F86709" w:rsidP="00F86709">
      <w:pPr>
        <w:numPr>
          <w:ilvl w:val="0"/>
          <w:numId w:val="2"/>
        </w:numPr>
        <w:rPr>
          <w:rFonts w:cs="Arial"/>
          <w:sz w:val="22"/>
          <w:szCs w:val="22"/>
        </w:rPr>
      </w:pPr>
      <w:r w:rsidRPr="003967F2">
        <w:rPr>
          <w:rFonts w:cs="Arial"/>
          <w:sz w:val="22"/>
          <w:szCs w:val="22"/>
        </w:rPr>
        <w:t>to the highest attainable standards of physical and mental health</w:t>
      </w:r>
    </w:p>
    <w:p w:rsidR="003967F2" w:rsidRPr="003967F2" w:rsidRDefault="003967F2" w:rsidP="003967F2">
      <w:pPr>
        <w:ind w:left="360"/>
        <w:rPr>
          <w:rFonts w:cs="Arial"/>
          <w:sz w:val="22"/>
          <w:szCs w:val="22"/>
        </w:rPr>
      </w:pPr>
    </w:p>
    <w:p w:rsidR="005F4AB5" w:rsidRDefault="003967F2" w:rsidP="003967F2">
      <w:pPr>
        <w:pStyle w:val="BodyText3"/>
        <w:rPr>
          <w:rFonts w:ascii="Calibri" w:hAnsi="Calibri"/>
          <w:color w:val="000000"/>
          <w:szCs w:val="22"/>
        </w:rPr>
      </w:pPr>
      <w:r w:rsidRPr="003967F2">
        <w:rPr>
          <w:rFonts w:asciiTheme="minorHAnsi" w:hAnsiTheme="minorHAnsi"/>
          <w:color w:val="C00000"/>
          <w:szCs w:val="22"/>
        </w:rPr>
        <w:sym w:font="Webdings" w:char="F03C"/>
      </w:r>
      <w:r w:rsidR="00AB1B78" w:rsidRPr="003967F2">
        <w:rPr>
          <w:rFonts w:ascii="Calibri" w:hAnsi="Calibri"/>
          <w:b/>
          <w:color w:val="000000"/>
          <w:szCs w:val="22"/>
        </w:rPr>
        <w:t>Encourage a clear separation between immigration enforcement and the provision of essential services</w:t>
      </w:r>
      <w:r w:rsidR="00AB1B78" w:rsidRPr="003967F2">
        <w:rPr>
          <w:rFonts w:ascii="Calibri" w:hAnsi="Calibri"/>
          <w:color w:val="000000"/>
          <w:szCs w:val="22"/>
        </w:rPr>
        <w:t>. Putting the enforcement of immigration rules ahead of people’s fundamental rights prevents migrant sex workers without regular status from accessing services, reporting crimes and receiving justice.</w:t>
      </w:r>
    </w:p>
    <w:p w:rsidR="003967F2" w:rsidRPr="003967F2" w:rsidRDefault="003967F2" w:rsidP="003967F2">
      <w:pPr>
        <w:pStyle w:val="BodyText3"/>
        <w:rPr>
          <w:szCs w:val="22"/>
        </w:rPr>
      </w:pPr>
    </w:p>
    <w:p w:rsidR="005F4AB5" w:rsidRPr="003967F2" w:rsidRDefault="003967F2" w:rsidP="003967F2">
      <w:pPr>
        <w:pStyle w:val="NormalWeb"/>
        <w:spacing w:before="0" w:after="0"/>
        <w:rPr>
          <w:sz w:val="22"/>
          <w:szCs w:val="22"/>
        </w:rPr>
      </w:pPr>
      <w:r w:rsidRPr="003967F2">
        <w:rPr>
          <w:rFonts w:asciiTheme="minorHAnsi" w:hAnsiTheme="minorHAnsi"/>
          <w:color w:val="C00000"/>
          <w:sz w:val="22"/>
          <w:szCs w:val="22"/>
        </w:rPr>
        <w:sym w:font="Webdings" w:char="F03C"/>
      </w:r>
      <w:r w:rsidR="00AB1B78" w:rsidRPr="003967F2">
        <w:rPr>
          <w:rFonts w:ascii="Calibri" w:hAnsi="Calibri"/>
          <w:b/>
          <w:sz w:val="22"/>
          <w:szCs w:val="22"/>
          <w:lang w:val="en-GB"/>
        </w:rPr>
        <w:t>State bodies</w:t>
      </w:r>
      <w:r w:rsidR="00AB1B78" w:rsidRPr="003967F2">
        <w:rPr>
          <w:rFonts w:ascii="Calibri" w:hAnsi="Calibri"/>
          <w:sz w:val="22"/>
          <w:szCs w:val="22"/>
          <w:lang w:val="en-GB"/>
        </w:rPr>
        <w:t xml:space="preserve"> should recognise restrictive immigration legislation, and anti-prostitution policies as contributing factors to human trafficking and related abuses.</w:t>
      </w:r>
    </w:p>
    <w:p w:rsidR="005F4AB5" w:rsidRPr="003967F2" w:rsidRDefault="005F4AB5" w:rsidP="003967F2">
      <w:pPr>
        <w:pStyle w:val="Textbody"/>
        <w:spacing w:after="80"/>
        <w:rPr>
          <w:sz w:val="22"/>
          <w:szCs w:val="22"/>
        </w:rPr>
      </w:pPr>
    </w:p>
    <w:sectPr w:rsidR="005F4AB5" w:rsidRPr="003967F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B78" w:rsidRDefault="00AB1B78">
      <w:r>
        <w:separator/>
      </w:r>
    </w:p>
  </w:endnote>
  <w:endnote w:type="continuationSeparator" w:id="0">
    <w:p w:rsidR="00AB1B78" w:rsidRDefault="00AB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B78" w:rsidRDefault="00AB1B78">
      <w:r>
        <w:rPr>
          <w:color w:val="000000"/>
        </w:rPr>
        <w:separator/>
      </w:r>
    </w:p>
  </w:footnote>
  <w:footnote w:type="continuationSeparator" w:id="0">
    <w:p w:rsidR="00AB1B78" w:rsidRDefault="00AB1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40268"/>
    <w:multiLevelType w:val="multilevel"/>
    <w:tmpl w:val="FBD241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7EF01DA9"/>
    <w:multiLevelType w:val="multilevel"/>
    <w:tmpl w:val="4BCC37E0"/>
    <w:styleLink w:val="WWNum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B5"/>
    <w:rsid w:val="003967F2"/>
    <w:rsid w:val="005F4AB5"/>
    <w:rsid w:val="00AB1B78"/>
    <w:rsid w:val="00B619DE"/>
    <w:rsid w:val="00B7720E"/>
    <w:rsid w:val="00E07ACB"/>
    <w:rsid w:val="00F86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ED534-E816-4517-A058-D25313C4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kern w:val="3"/>
        <w:sz w:val="24"/>
        <w:szCs w:val="24"/>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100" w:after="100"/>
    </w:pPr>
    <w:rPr>
      <w:rFonts w:ascii="Times New Roman" w:eastAsia="Times New Roman" w:hAnsi="Times New Roman" w:cs="Times New Roman"/>
      <w:lang w:val="nl-NL" w:eastAsia="nl-NL"/>
    </w:rPr>
  </w:style>
  <w:style w:type="paragraph" w:styleId="BodyText3">
    <w:name w:val="Body Text 3"/>
    <w:basedOn w:val="Normal"/>
    <w:rPr>
      <w:rFonts w:ascii="Arial Narrow" w:eastAsia="Times New Roman" w:hAnsi="Arial Narrow" w:cs="Arial"/>
      <w:sz w:val="22"/>
    </w:rPr>
  </w:style>
  <w:style w:type="paragraph" w:styleId="ListParagraph">
    <w:name w:val="List Paragraph"/>
    <w:basedOn w:val="Normal"/>
    <w:pPr>
      <w:ind w:left="720"/>
    </w:pPr>
    <w:rPr>
      <w:rFonts w:ascii="Times New Roman" w:eastAsia="Times New Roman" w:hAnsi="Times New Roman" w:cs="Times New Roman"/>
      <w:lang w:val="pt-PT" w:eastAsia="pt-BR"/>
    </w:rPr>
  </w:style>
  <w:style w:type="character" w:customStyle="1" w:styleId="Plattetekst3Char">
    <w:name w:val="Platte tekst 3 Char"/>
    <w:basedOn w:val="DefaultParagraphFont"/>
    <w:rPr>
      <w:rFonts w:ascii="Arial Narrow" w:eastAsia="Times New Roman" w:hAnsi="Arial Narrow" w:cs="Arial"/>
      <w:kern w:val="3"/>
      <w:sz w:val="22"/>
      <w:lang w:val="en-GB"/>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3BC86A-0BAB-4A68-92BA-EBBF001A71DD}"/>
</file>

<file path=customXml/itemProps2.xml><?xml version="1.0" encoding="utf-8"?>
<ds:datastoreItem xmlns:ds="http://schemas.openxmlformats.org/officeDocument/2006/customXml" ds:itemID="{6D41573E-35E3-4FA9-B799-79F517A4D2AF}"/>
</file>

<file path=customXml/itemProps3.xml><?xml version="1.0" encoding="utf-8"?>
<ds:datastoreItem xmlns:ds="http://schemas.openxmlformats.org/officeDocument/2006/customXml" ds:itemID="{54A4BDEF-7B36-4380-B5CA-D8F687EF8E65}"/>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2064</Characters>
  <Application>Microsoft Office Word</Application>
  <DocSecurity>4</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TAMPEP</dc:title>
  <dc:creator>Microsoft Office-gebruiker</dc:creator>
  <cp:lastModifiedBy>Daniela Buchmann</cp:lastModifiedBy>
  <cp:revision>2</cp:revision>
  <dcterms:created xsi:type="dcterms:W3CDTF">2019-02-12T12:39:00Z</dcterms:created>
  <dcterms:modified xsi:type="dcterms:W3CDTF">2019-02-12T12:39:00Z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