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270CA" w:rsidRDefault="0000229E">
      <w:pPr>
        <w:widowControl w:val="0"/>
        <w:jc w:val="both"/>
        <w:rPr>
          <w:b/>
        </w:rPr>
      </w:pPr>
      <w:r>
        <w:rPr>
          <w:b/>
        </w:rPr>
        <w:t>Comments regarding the draft rules of procedure of the United Nations (UN) Committee on Economic, Social and Cultural Rights (CESCR) under the Optional Protocol of the International Covenant on Economic, Social and Cultural Rights (OP-ICESCR)</w:t>
      </w:r>
    </w:p>
    <w:p w14:paraId="00000002" w14:textId="77777777" w:rsidR="008270CA" w:rsidRDefault="0000229E">
      <w:pPr>
        <w:widowControl w:val="0"/>
        <w:jc w:val="both"/>
      </w:pPr>
      <w:r>
        <w:t xml:space="preserve">Dear Members </w:t>
      </w:r>
      <w:r>
        <w:t>and Secretariat of the Working Group on Individual Communications,</w:t>
      </w:r>
    </w:p>
    <w:p w14:paraId="00000003" w14:textId="77777777" w:rsidR="008270CA" w:rsidRDefault="0000229E">
      <w:pPr>
        <w:widowControl w:val="0"/>
        <w:jc w:val="both"/>
      </w:pPr>
      <w:r>
        <w:t xml:space="preserve">As per CESCR’s </w:t>
      </w:r>
      <w:hyperlink r:id="rId8">
        <w:r>
          <w:rPr>
            <w:color w:val="0563C1"/>
            <w:u w:val="single"/>
          </w:rPr>
          <w:t>invitation</w:t>
        </w:r>
      </w:hyperlink>
      <w:r>
        <w:t xml:space="preserve"> of written contributions on its draft rules of procedure under the OP</w:t>
      </w:r>
      <w:r>
        <w:t xml:space="preserve">-ICESCR, the comments in the present document are synthesized from discussions and consultations with various members of </w:t>
      </w:r>
      <w:r>
        <w:rPr>
          <w:b/>
        </w:rPr>
        <w:t xml:space="preserve">ESCR-Net – International Network for Economic, Social and Cultural Rights. </w:t>
      </w:r>
      <w:r w:rsidRPr="00600CDB">
        <w:rPr>
          <w:bCs/>
        </w:rPr>
        <w:t>Network</w:t>
      </w:r>
      <w:r>
        <w:t xml:space="preserve"> members involved in these discussions and submitting</w:t>
      </w:r>
      <w:r>
        <w:t xml:space="preserve"> this present written contribution include the </w:t>
      </w:r>
      <w:hyperlink r:id="rId9">
        <w:r>
          <w:rPr>
            <w:color w:val="0563C1"/>
            <w:u w:val="single"/>
          </w:rPr>
          <w:t>Center for Reproductive Rights (CRR)</w:t>
        </w:r>
      </w:hyperlink>
      <w:r>
        <w:t xml:space="preserve">; the </w:t>
      </w:r>
      <w:hyperlink r:id="rId10">
        <w:r>
          <w:rPr>
            <w:color w:val="0563C1"/>
            <w:u w:val="single"/>
          </w:rPr>
          <w:t>Global Initiative for Economic, Social and Cultural Rights (GI-ESCR)</w:t>
        </w:r>
      </w:hyperlink>
      <w:r>
        <w:t xml:space="preserve">; </w:t>
      </w:r>
      <w:hyperlink r:id="rId11">
        <w:proofErr w:type="spellStart"/>
        <w:r>
          <w:rPr>
            <w:color w:val="0563C1"/>
            <w:u w:val="single"/>
          </w:rPr>
          <w:t>Observatori</w:t>
        </w:r>
        <w:proofErr w:type="spellEnd"/>
        <w:r>
          <w:rPr>
            <w:color w:val="0563C1"/>
            <w:u w:val="single"/>
          </w:rPr>
          <w:t xml:space="preserve"> DESC</w:t>
        </w:r>
      </w:hyperlink>
      <w:r>
        <w:t xml:space="preserve">, and the </w:t>
      </w:r>
      <w:hyperlink r:id="rId12">
        <w:r>
          <w:rPr>
            <w:color w:val="0563C1"/>
            <w:u w:val="single"/>
          </w:rPr>
          <w:t>Social Rights Advocacy Centre (SRAC)</w:t>
        </w:r>
      </w:hyperlink>
      <w:r>
        <w:t>.</w:t>
      </w:r>
    </w:p>
    <w:p w14:paraId="00000004" w14:textId="77777777" w:rsidR="008270CA" w:rsidRDefault="0000229E">
      <w:pPr>
        <w:widowControl w:val="0"/>
        <w:shd w:val="clear" w:color="auto" w:fill="FFFFFF"/>
        <w:jc w:val="both"/>
        <w:rPr>
          <w:color w:val="222222"/>
        </w:rPr>
      </w:pPr>
      <w:bookmarkStart w:id="0" w:name="_heading=h.gjdgxs" w:colFirst="0" w:colLast="0"/>
      <w:bookmarkEnd w:id="0"/>
      <w:r>
        <w:rPr>
          <w:color w:val="222222"/>
        </w:rPr>
        <w:t xml:space="preserve">The </w:t>
      </w:r>
      <w:r>
        <w:rPr>
          <w:b/>
          <w:color w:val="222222"/>
        </w:rPr>
        <w:t>Center for Reproductive Rights (the Center)</w:t>
      </w:r>
      <w:r>
        <w:rPr>
          <w:color w:val="222222"/>
        </w:rPr>
        <w:t>—an international non-profit legal advocacy organi</w:t>
      </w:r>
      <w:r>
        <w:rPr>
          <w:color w:val="222222"/>
        </w:rPr>
        <w:t>zation headquartered in New York City, with regional offices in Nairobi, Bogotá, Geneva, and Washington, D.C.—uses the law to advance reproductive freedom as a fundamental human right that all governments are legally obligated to respect, protect, and fulf</w:t>
      </w:r>
      <w:r>
        <w:rPr>
          <w:color w:val="222222"/>
        </w:rPr>
        <w:t xml:space="preserve">ill. Since its inception 27 years ago, the Center has advocated for the realization of women and girls’ human rights on a broad range of issues, including on the right to access sexual and reproductive health services free from coercion, </w:t>
      </w:r>
      <w:proofErr w:type="gramStart"/>
      <w:r>
        <w:rPr>
          <w:color w:val="222222"/>
        </w:rPr>
        <w:t>discrimination</w:t>
      </w:r>
      <w:proofErr w:type="gramEnd"/>
      <w:r>
        <w:rPr>
          <w:color w:val="222222"/>
        </w:rPr>
        <w:t xml:space="preserve"> and</w:t>
      </w:r>
      <w:r>
        <w:rPr>
          <w:color w:val="222222"/>
        </w:rPr>
        <w:t xml:space="preserve"> violence; on the right to bodily autonomy; preventing and addressing sexual violence; and the eradication of harmful traditional practices. </w:t>
      </w:r>
    </w:p>
    <w:p w14:paraId="00000005" w14:textId="77777777" w:rsidR="008270CA" w:rsidRDefault="0000229E">
      <w:pPr>
        <w:widowControl w:val="0"/>
        <w:shd w:val="clear" w:color="auto" w:fill="FFFFFF"/>
        <w:jc w:val="both"/>
        <w:rPr>
          <w:color w:val="222222"/>
        </w:rPr>
      </w:pPr>
      <w:r>
        <w:rPr>
          <w:color w:val="222222"/>
        </w:rPr>
        <w:t xml:space="preserve">The </w:t>
      </w:r>
      <w:r>
        <w:rPr>
          <w:b/>
          <w:color w:val="222222"/>
        </w:rPr>
        <w:t>Global Initiative for Economic, Social, and Cultural Rights (GI-ESCR)</w:t>
      </w:r>
      <w:r>
        <w:rPr>
          <w:color w:val="222222"/>
        </w:rPr>
        <w:t xml:space="preserve"> is an international non-governmental hum</w:t>
      </w:r>
      <w:r>
        <w:rPr>
          <w:color w:val="222222"/>
        </w:rPr>
        <w:t xml:space="preserve">an rights advocacy </w:t>
      </w:r>
      <w:proofErr w:type="spellStart"/>
      <w:r>
        <w:rPr>
          <w:color w:val="222222"/>
        </w:rPr>
        <w:t>organisation</w:t>
      </w:r>
      <w:proofErr w:type="spellEnd"/>
      <w:r>
        <w:rPr>
          <w:color w:val="222222"/>
        </w:rPr>
        <w:t xml:space="preserve"> that is dedicated to ending social, economic, gender, and climate injustice using a human rights approach. It follows closely the work of the international human rights mechanisms, including their jurisprudence on climate ch</w:t>
      </w:r>
      <w:r>
        <w:rPr>
          <w:color w:val="222222"/>
        </w:rPr>
        <w:t>ange and human rights.</w:t>
      </w:r>
    </w:p>
    <w:p w14:paraId="00000006" w14:textId="77777777" w:rsidR="008270CA" w:rsidRDefault="0000229E">
      <w:pPr>
        <w:widowControl w:val="0"/>
        <w:shd w:val="clear" w:color="auto" w:fill="FFFFFF"/>
        <w:jc w:val="both"/>
        <w:rPr>
          <w:color w:val="222222"/>
        </w:rPr>
      </w:pPr>
      <w:proofErr w:type="spellStart"/>
      <w:r>
        <w:rPr>
          <w:b/>
          <w:color w:val="222222"/>
        </w:rPr>
        <w:t>Observatori</w:t>
      </w:r>
      <w:proofErr w:type="spellEnd"/>
      <w:r>
        <w:rPr>
          <w:b/>
          <w:color w:val="222222"/>
        </w:rPr>
        <w:t xml:space="preserve"> DESC (ESCR observatory) (Spain)</w:t>
      </w:r>
      <w:r>
        <w:rPr>
          <w:color w:val="222222"/>
        </w:rPr>
        <w:t xml:space="preserve"> is a human rights organization defending economic, social, and cultural rights through research and advocacy. The Observatory concentrates its efforts on dismantling the devalued perception</w:t>
      </w:r>
      <w:r>
        <w:rPr>
          <w:color w:val="222222"/>
        </w:rPr>
        <w:t xml:space="preserve"> of social rights - the right to housing, to work, to education, to health, to food - in relation to other fundamental rights, such as civil and political rights and patrimonial rights.</w:t>
      </w:r>
    </w:p>
    <w:p w14:paraId="00000007" w14:textId="77777777" w:rsidR="008270CA" w:rsidRDefault="0000229E">
      <w:pPr>
        <w:widowControl w:val="0"/>
        <w:shd w:val="clear" w:color="auto" w:fill="FFFFFF"/>
        <w:jc w:val="both"/>
        <w:rPr>
          <w:color w:val="222222"/>
        </w:rPr>
      </w:pPr>
      <w:r>
        <w:rPr>
          <w:color w:val="222222"/>
        </w:rPr>
        <w:t xml:space="preserve">The </w:t>
      </w:r>
      <w:r>
        <w:rPr>
          <w:b/>
          <w:color w:val="222222"/>
        </w:rPr>
        <w:t xml:space="preserve">Social Rights Advocacy Centre (SRAC) </w:t>
      </w:r>
      <w:r>
        <w:rPr>
          <w:color w:val="222222"/>
        </w:rPr>
        <w:t>is a not-for-profit non-gover</w:t>
      </w:r>
      <w:r>
        <w:rPr>
          <w:color w:val="222222"/>
        </w:rPr>
        <w:t xml:space="preserve">nmental organization (NGO) dedicated to relieving poverty and improving access to adequate food, clothing, housing, education, healthcare and other requirements of dignity, equality and security through human rights research, public </w:t>
      </w:r>
      <w:proofErr w:type="gramStart"/>
      <w:r>
        <w:rPr>
          <w:color w:val="222222"/>
        </w:rPr>
        <w:t>education</w:t>
      </w:r>
      <w:proofErr w:type="gramEnd"/>
      <w:r>
        <w:rPr>
          <w:color w:val="222222"/>
        </w:rPr>
        <w:t xml:space="preserve"> and legal adv</w:t>
      </w:r>
      <w:r>
        <w:rPr>
          <w:color w:val="222222"/>
        </w:rPr>
        <w:t>ocacy in Canada and around the world in support of economic, social and cultural rights (social rights).</w:t>
      </w:r>
    </w:p>
    <w:p w14:paraId="00000008" w14:textId="77777777" w:rsidR="008270CA" w:rsidRDefault="0000229E">
      <w:pPr>
        <w:widowControl w:val="0"/>
        <w:pBdr>
          <w:top w:val="nil"/>
          <w:left w:val="nil"/>
          <w:bottom w:val="nil"/>
          <w:right w:val="nil"/>
          <w:between w:val="nil"/>
        </w:pBdr>
        <w:shd w:val="clear" w:color="auto" w:fill="FFFFFF"/>
        <w:jc w:val="both"/>
      </w:pPr>
      <w:r>
        <w:t xml:space="preserve">Civil society organizations (CSOs) consider that treaty bodies constitute a fundamental pillar of the international system for the protection of human </w:t>
      </w:r>
      <w:r>
        <w:t xml:space="preserve">rights. CSOs face contexts marked by repeated non-compliance by States with international human rights treaties; the lack of will </w:t>
      </w:r>
      <w:r>
        <w:rPr>
          <w:color w:val="222222"/>
        </w:rPr>
        <w:t>and</w:t>
      </w:r>
      <w:r>
        <w:t xml:space="preserve"> commitment to comply with decisions of international human rights bodies; serious difficulties in accessing effective judi</w:t>
      </w:r>
      <w:r>
        <w:t>cial protection; and the common absence of measures of protection, reparation and guarantees of non-repetition for the victims of human rights violations.</w:t>
      </w:r>
    </w:p>
    <w:p w14:paraId="00000009" w14:textId="77777777" w:rsidR="008270CA" w:rsidRDefault="0000229E">
      <w:pPr>
        <w:pStyle w:val="Heading2"/>
        <w:widowControl w:val="0"/>
        <w:jc w:val="both"/>
        <w:rPr>
          <w:rFonts w:ascii="Calibri" w:eastAsia="Calibri" w:hAnsi="Calibri" w:cs="Calibri"/>
        </w:rPr>
      </w:pPr>
      <w:r>
        <w:rPr>
          <w:rFonts w:ascii="Calibri" w:eastAsia="Calibri" w:hAnsi="Calibri" w:cs="Calibri"/>
        </w:rPr>
        <w:t>Rule 20 – Pilot Views procedure</w:t>
      </w:r>
    </w:p>
    <w:p w14:paraId="0000000A" w14:textId="77777777" w:rsidR="008270CA" w:rsidRDefault="0000229E">
      <w:pPr>
        <w:widowControl w:val="0"/>
        <w:pBdr>
          <w:top w:val="nil"/>
          <w:left w:val="nil"/>
          <w:bottom w:val="nil"/>
          <w:right w:val="nil"/>
          <w:between w:val="nil"/>
        </w:pBdr>
        <w:shd w:val="clear" w:color="auto" w:fill="FFFFFF"/>
        <w:jc w:val="both"/>
      </w:pPr>
      <w:r>
        <w:t>As the introduction of a Pilot Views procedure under draft Rule 20 is</w:t>
      </w:r>
      <w:r>
        <w:t xml:space="preserve"> the most major change contemplated by the Committee, different network members have prepared separate full submissions focusing on this topic. For the purposes of the present synthesis, a </w:t>
      </w:r>
      <w:r>
        <w:rPr>
          <w:color w:val="222222"/>
        </w:rPr>
        <w:t>few</w:t>
      </w:r>
      <w:r>
        <w:t xml:space="preserve"> key principles that emerged include:</w:t>
      </w:r>
    </w:p>
    <w:p w14:paraId="0000000B" w14:textId="77777777" w:rsidR="008270CA" w:rsidRDefault="0000229E">
      <w:pPr>
        <w:widowControl w:val="0"/>
        <w:numPr>
          <w:ilvl w:val="0"/>
          <w:numId w:val="1"/>
        </w:numPr>
        <w:pBdr>
          <w:top w:val="nil"/>
          <w:left w:val="nil"/>
          <w:bottom w:val="nil"/>
          <w:right w:val="nil"/>
          <w:between w:val="nil"/>
        </w:pBdr>
        <w:spacing w:after="0" w:line="240" w:lineRule="auto"/>
        <w:jc w:val="both"/>
        <w:rPr>
          <w:color w:val="000000"/>
        </w:rPr>
      </w:pPr>
      <w:r>
        <w:rPr>
          <w:color w:val="000000"/>
        </w:rPr>
        <w:t>“Pilot Views” should be re</w:t>
      </w:r>
      <w:r>
        <w:rPr>
          <w:color w:val="000000"/>
        </w:rPr>
        <w:t>named “Structural Views” to e</w:t>
      </w:r>
      <w:r>
        <w:t>mphasize</w:t>
      </w:r>
      <w:r>
        <w:rPr>
          <w:color w:val="000000"/>
        </w:rPr>
        <w:t xml:space="preserve"> the contents and intent </w:t>
      </w:r>
      <w:r>
        <w:t>behind the procedure</w:t>
      </w:r>
      <w:r>
        <w:rPr>
          <w:color w:val="000000"/>
        </w:rPr>
        <w:t>.</w:t>
      </w:r>
    </w:p>
    <w:p w14:paraId="0000000C" w14:textId="77777777" w:rsidR="008270CA" w:rsidRDefault="0000229E">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Effective access to justice entails guaranteeing the individual examination of Communications’ admissibility and </w:t>
      </w:r>
      <w:r>
        <w:rPr>
          <w:color w:val="000000"/>
        </w:rPr>
        <w:lastRenderedPageBreak/>
        <w:t>merits, and the establishment, in addition to general structural recommendations, of individualized reparation measures for all victims of huma</w:t>
      </w:r>
      <w:r>
        <w:rPr>
          <w:color w:val="000000"/>
        </w:rPr>
        <w:t xml:space="preserve">n rights violations reviewed by the Committee. Several of the most prominent critiques of the European Court of Human Rights’ (ECtHR) Pilot procedure have drawn attention to its </w:t>
      </w:r>
      <w:proofErr w:type="spellStart"/>
      <w:r>
        <w:rPr>
          <w:color w:val="000000"/>
        </w:rPr>
        <w:t>prioritisation</w:t>
      </w:r>
      <w:proofErr w:type="spellEnd"/>
      <w:r>
        <w:rPr>
          <w:color w:val="000000"/>
        </w:rPr>
        <w:t xml:space="preserve"> of judicial efficiency over procedural safeguards that would se</w:t>
      </w:r>
      <w:r>
        <w:rPr>
          <w:color w:val="000000"/>
        </w:rPr>
        <w:t>cure the rights of the individual.</w:t>
      </w:r>
      <w:r>
        <w:rPr>
          <w:color w:val="000000"/>
          <w:vertAlign w:val="superscript"/>
        </w:rPr>
        <w:footnoteReference w:id="1"/>
      </w:r>
    </w:p>
    <w:p w14:paraId="0000000D" w14:textId="77777777" w:rsidR="008270CA" w:rsidRDefault="0000229E">
      <w:pPr>
        <w:widowControl w:val="0"/>
        <w:numPr>
          <w:ilvl w:val="0"/>
          <w:numId w:val="1"/>
        </w:numPr>
        <w:pBdr>
          <w:top w:val="nil"/>
          <w:left w:val="nil"/>
          <w:bottom w:val="nil"/>
          <w:right w:val="nil"/>
          <w:between w:val="nil"/>
        </w:pBdr>
        <w:spacing w:after="0" w:line="240" w:lineRule="auto"/>
        <w:jc w:val="both"/>
        <w:rPr>
          <w:color w:val="000000"/>
        </w:rPr>
      </w:pPr>
      <w:r>
        <w:rPr>
          <w:color w:val="000000"/>
        </w:rPr>
        <w:t>CESCR should consider other types of compensation (see para 8 of Rule 20) that go beyond financial compensation and include the full range of reparations (</w:t>
      </w:r>
      <w:proofErr w:type="gramStart"/>
      <w:r>
        <w:rPr>
          <w:color w:val="000000"/>
        </w:rPr>
        <w:t>i.e.</w:t>
      </w:r>
      <w:proofErr w:type="gramEnd"/>
      <w:r>
        <w:rPr>
          <w:color w:val="000000"/>
        </w:rPr>
        <w:t xml:space="preserve"> restitution, compensation, rehabilitation, satisfaction and non-recurrence guarantees).</w:t>
      </w:r>
    </w:p>
    <w:p w14:paraId="0000000E" w14:textId="21A730A8" w:rsidR="008270CA" w:rsidRDefault="0000229E">
      <w:pPr>
        <w:widowControl w:val="0"/>
        <w:numPr>
          <w:ilvl w:val="0"/>
          <w:numId w:val="1"/>
        </w:numPr>
        <w:pBdr>
          <w:top w:val="nil"/>
          <w:left w:val="nil"/>
          <w:bottom w:val="nil"/>
          <w:right w:val="nil"/>
          <w:between w:val="nil"/>
        </w:pBdr>
        <w:spacing w:after="0" w:line="240" w:lineRule="auto"/>
        <w:jc w:val="both"/>
        <w:rPr>
          <w:color w:val="000000"/>
        </w:rPr>
      </w:pPr>
      <w:r>
        <w:rPr>
          <w:color w:val="000000"/>
        </w:rPr>
        <w:t>Structur</w:t>
      </w:r>
      <w:r>
        <w:rPr>
          <w:color w:val="000000"/>
        </w:rPr>
        <w:t>al Views should be dynamic and updated regularly to respond to evolving State conduct that may be omissive, retrogressive, insufficient</w:t>
      </w:r>
      <w:r w:rsidR="00600CDB">
        <w:rPr>
          <w:color w:val="000000"/>
        </w:rPr>
        <w:t>,</w:t>
      </w:r>
      <w:r>
        <w:rPr>
          <w:color w:val="000000"/>
        </w:rPr>
        <w:t xml:space="preserve"> </w:t>
      </w:r>
      <w:proofErr w:type="gramStart"/>
      <w:r>
        <w:rPr>
          <w:color w:val="000000"/>
        </w:rPr>
        <w:t>inadequate</w:t>
      </w:r>
      <w:proofErr w:type="gramEnd"/>
      <w:r w:rsidR="00600CDB">
        <w:rPr>
          <w:color w:val="000000"/>
        </w:rPr>
        <w:t xml:space="preserve"> or otherwise violative.</w:t>
      </w:r>
    </w:p>
    <w:p w14:paraId="0000000F" w14:textId="77777777" w:rsidR="008270CA" w:rsidRDefault="0000229E">
      <w:pPr>
        <w:widowControl w:val="0"/>
        <w:numPr>
          <w:ilvl w:val="0"/>
          <w:numId w:val="1"/>
        </w:numPr>
        <w:pBdr>
          <w:top w:val="nil"/>
          <w:left w:val="nil"/>
          <w:bottom w:val="nil"/>
          <w:right w:val="nil"/>
          <w:between w:val="nil"/>
        </w:pBdr>
        <w:spacing w:after="0" w:line="240" w:lineRule="auto"/>
        <w:jc w:val="both"/>
        <w:rPr>
          <w:color w:val="000000"/>
        </w:rPr>
      </w:pPr>
      <w:r>
        <w:rPr>
          <w:color w:val="000000"/>
        </w:rPr>
        <w:t>The Committee should conduct public consultations in formulating its determination of Structural Views.</w:t>
      </w:r>
    </w:p>
    <w:p w14:paraId="00000010" w14:textId="77777777" w:rsidR="008270CA" w:rsidRDefault="0000229E">
      <w:pPr>
        <w:widowControl w:val="0"/>
        <w:numPr>
          <w:ilvl w:val="0"/>
          <w:numId w:val="1"/>
        </w:numPr>
        <w:pBdr>
          <w:top w:val="nil"/>
          <w:left w:val="nil"/>
          <w:bottom w:val="nil"/>
          <w:right w:val="nil"/>
          <w:between w:val="nil"/>
        </w:pBdr>
        <w:spacing w:after="0" w:line="240" w:lineRule="auto"/>
        <w:jc w:val="both"/>
        <w:rPr>
          <w:color w:val="000000"/>
        </w:rPr>
      </w:pPr>
      <w:r>
        <w:rPr>
          <w:color w:val="000000"/>
        </w:rPr>
        <w:t>D</w:t>
      </w:r>
      <w:r>
        <w:rPr>
          <w:color w:val="000000"/>
        </w:rPr>
        <w:t xml:space="preserve">raft Rule 20 could be modified </w:t>
      </w:r>
      <w:proofErr w:type="gramStart"/>
      <w:r>
        <w:rPr>
          <w:color w:val="000000"/>
        </w:rPr>
        <w:t>so as to</w:t>
      </w:r>
      <w:proofErr w:type="gramEnd"/>
      <w:r>
        <w:rPr>
          <w:color w:val="000000"/>
        </w:rPr>
        <w:t xml:space="preserve"> ensure that the Committee selects the Pilot communication with adequate care. This could be achieved through the insertion of a rule that explicitly requires the Committee to consider the depth of its understanding o</w:t>
      </w:r>
      <w:r>
        <w:rPr>
          <w:color w:val="000000"/>
        </w:rPr>
        <w:t>f the underlying violation, how its decision may impact individuals other than the Pilot representative, and whether the Pilot communication raises the legal and factual issues that are implicated by the structural matter at hand.</w:t>
      </w:r>
      <w:r>
        <w:rPr>
          <w:color w:val="000000"/>
          <w:vertAlign w:val="superscript"/>
        </w:rPr>
        <w:footnoteReference w:id="2"/>
      </w:r>
    </w:p>
    <w:p w14:paraId="00000011" w14:textId="77777777" w:rsidR="008270CA" w:rsidRDefault="0000229E">
      <w:pPr>
        <w:widowControl w:val="0"/>
        <w:numPr>
          <w:ilvl w:val="0"/>
          <w:numId w:val="1"/>
        </w:numPr>
        <w:pBdr>
          <w:top w:val="nil"/>
          <w:left w:val="nil"/>
          <w:bottom w:val="nil"/>
          <w:right w:val="nil"/>
          <w:between w:val="nil"/>
        </w:pBdr>
        <w:spacing w:after="0" w:line="240" w:lineRule="auto"/>
        <w:jc w:val="both"/>
        <w:rPr>
          <w:color w:val="000000"/>
        </w:rPr>
      </w:pPr>
      <w:r>
        <w:rPr>
          <w:color w:val="000000"/>
        </w:rPr>
        <w:t>Draft Rule 20 may be ad</w:t>
      </w:r>
      <w:r>
        <w:rPr>
          <w:color w:val="000000"/>
        </w:rPr>
        <w:t xml:space="preserve">apted </w:t>
      </w:r>
      <w:proofErr w:type="gramStart"/>
      <w:r>
        <w:rPr>
          <w:color w:val="000000"/>
        </w:rPr>
        <w:t>so as to</w:t>
      </w:r>
      <w:proofErr w:type="gramEnd"/>
      <w:r>
        <w:rPr>
          <w:color w:val="000000"/>
        </w:rPr>
        <w:t xml:space="preserve"> encourage the Committee to join different applications</w:t>
      </w:r>
      <w:r>
        <w:rPr>
          <w:color w:val="000000"/>
          <w:vertAlign w:val="superscript"/>
        </w:rPr>
        <w:footnoteReference w:id="3"/>
      </w:r>
      <w:r>
        <w:rPr>
          <w:color w:val="000000"/>
        </w:rPr>
        <w:t xml:space="preserve"> and create subclasses</w:t>
      </w:r>
      <w:r>
        <w:rPr>
          <w:color w:val="000000"/>
          <w:vertAlign w:val="superscript"/>
        </w:rPr>
        <w:footnoteReference w:id="4"/>
      </w:r>
      <w:r>
        <w:rPr>
          <w:color w:val="000000"/>
        </w:rPr>
        <w:t xml:space="preserve"> in situations where applicants that have been affected by the same underlying human rights issue do not belong to a single homogenous group.</w:t>
      </w:r>
    </w:p>
    <w:p w14:paraId="00000012" w14:textId="77777777" w:rsidR="008270CA" w:rsidRDefault="0000229E">
      <w:pPr>
        <w:widowControl w:val="0"/>
        <w:numPr>
          <w:ilvl w:val="0"/>
          <w:numId w:val="1"/>
        </w:numPr>
        <w:pBdr>
          <w:top w:val="nil"/>
          <w:left w:val="nil"/>
          <w:bottom w:val="nil"/>
          <w:right w:val="nil"/>
          <w:between w:val="nil"/>
        </w:pBdr>
        <w:spacing w:after="0" w:line="240" w:lineRule="auto"/>
        <w:jc w:val="both"/>
        <w:rPr>
          <w:color w:val="000000"/>
        </w:rPr>
      </w:pPr>
      <w:r>
        <w:rPr>
          <w:color w:val="000000"/>
        </w:rPr>
        <w:t>Draft Rule 20 could</w:t>
      </w:r>
      <w:r>
        <w:rPr>
          <w:color w:val="000000"/>
        </w:rPr>
        <w:t xml:space="preserve"> carve out greater scope for </w:t>
      </w:r>
      <w:r>
        <w:t>CSOs</w:t>
      </w:r>
      <w:r>
        <w:rPr>
          <w:color w:val="000000"/>
        </w:rPr>
        <w:t xml:space="preserve"> and national human rights institutions (NHRIs) to participate in various stages of the Pilot Views procedure. These organizations could provide a richer picture of the factual and legal questions raised by the underlying v</w:t>
      </w:r>
      <w:r>
        <w:rPr>
          <w:color w:val="000000"/>
        </w:rPr>
        <w:t>iolation in question and expose conflicts or differences between absent applicants.</w:t>
      </w:r>
      <w:r>
        <w:rPr>
          <w:color w:val="000000"/>
          <w:vertAlign w:val="superscript"/>
        </w:rPr>
        <w:footnoteReference w:id="5"/>
      </w:r>
    </w:p>
    <w:p w14:paraId="00000013" w14:textId="77777777" w:rsidR="008270CA" w:rsidRDefault="0000229E">
      <w:pPr>
        <w:widowControl w:val="0"/>
        <w:numPr>
          <w:ilvl w:val="0"/>
          <w:numId w:val="1"/>
        </w:numPr>
        <w:pBdr>
          <w:top w:val="nil"/>
          <w:left w:val="nil"/>
          <w:bottom w:val="nil"/>
          <w:right w:val="nil"/>
          <w:between w:val="nil"/>
        </w:pBdr>
        <w:spacing w:after="0" w:line="240" w:lineRule="auto"/>
        <w:jc w:val="both"/>
        <w:rPr>
          <w:color w:val="000000"/>
        </w:rPr>
      </w:pPr>
      <w:r>
        <w:rPr>
          <w:color w:val="000000"/>
        </w:rPr>
        <w:t>Procedural steps</w:t>
      </w:r>
      <w:r>
        <w:t xml:space="preserve"> requiring </w:t>
      </w:r>
      <w:r>
        <w:rPr>
          <w:color w:val="000000"/>
        </w:rPr>
        <w:t>the consultation of the relevant State(s) Party should also apply to the author(s), who should be consulted on equal terms and have their opini</w:t>
      </w:r>
      <w:r>
        <w:rPr>
          <w:color w:val="000000"/>
        </w:rPr>
        <w:t xml:space="preserve">ons </w:t>
      </w:r>
      <w:proofErr w:type="gramStart"/>
      <w:r>
        <w:rPr>
          <w:color w:val="000000"/>
        </w:rPr>
        <w:t>taken into account</w:t>
      </w:r>
      <w:proofErr w:type="gramEnd"/>
      <w:r>
        <w:rPr>
          <w:color w:val="000000"/>
        </w:rPr>
        <w:t xml:space="preserve"> alongside those of the State.</w:t>
      </w:r>
    </w:p>
    <w:p w14:paraId="00000014" w14:textId="77777777" w:rsidR="008270CA" w:rsidRDefault="0000229E">
      <w:pPr>
        <w:widowControl w:val="0"/>
        <w:numPr>
          <w:ilvl w:val="0"/>
          <w:numId w:val="1"/>
        </w:numPr>
        <w:pBdr>
          <w:top w:val="nil"/>
          <w:left w:val="nil"/>
          <w:bottom w:val="nil"/>
          <w:right w:val="nil"/>
          <w:between w:val="nil"/>
        </w:pBdr>
        <w:spacing w:after="0" w:line="240" w:lineRule="auto"/>
        <w:jc w:val="both"/>
        <w:rPr>
          <w:color w:val="000000"/>
        </w:rPr>
      </w:pPr>
      <w:r>
        <w:rPr>
          <w:color w:val="000000"/>
        </w:rPr>
        <w:t>Rule 20 should expressly reference State duties to comply with Committee Views within the timelines stipulated.</w:t>
      </w:r>
    </w:p>
    <w:p w14:paraId="00000015" w14:textId="77777777" w:rsidR="008270CA" w:rsidRDefault="0000229E">
      <w:pPr>
        <w:widowControl w:val="0"/>
        <w:numPr>
          <w:ilvl w:val="0"/>
          <w:numId w:val="1"/>
        </w:numPr>
        <w:pBdr>
          <w:top w:val="nil"/>
          <w:left w:val="nil"/>
          <w:bottom w:val="nil"/>
          <w:right w:val="nil"/>
          <w:between w:val="nil"/>
        </w:pBdr>
        <w:spacing w:after="0" w:line="240" w:lineRule="auto"/>
        <w:jc w:val="both"/>
        <w:rPr>
          <w:color w:val="000000"/>
        </w:rPr>
      </w:pPr>
      <w:r>
        <w:rPr>
          <w:color w:val="000000"/>
        </w:rPr>
        <w:t>Rule 20 could contain a specific reference to the Pilot procedure as an ‘exceptional’ measu</w:t>
      </w:r>
      <w:r>
        <w:rPr>
          <w:color w:val="000000"/>
        </w:rPr>
        <w:t xml:space="preserve">re and clear criteria for the circumstances under which it will be used. Collectively, these </w:t>
      </w:r>
      <w:r>
        <w:t>c</w:t>
      </w:r>
      <w:r>
        <w:rPr>
          <w:color w:val="000000"/>
        </w:rPr>
        <w:t xml:space="preserve">ould protect against the risk of excessive recourse to the Pilot procedure. </w:t>
      </w:r>
    </w:p>
    <w:p w14:paraId="00000016" w14:textId="77777777" w:rsidR="008270CA" w:rsidRDefault="0000229E">
      <w:pPr>
        <w:widowControl w:val="0"/>
        <w:numPr>
          <w:ilvl w:val="0"/>
          <w:numId w:val="1"/>
        </w:numPr>
        <w:pBdr>
          <w:top w:val="nil"/>
          <w:left w:val="nil"/>
          <w:bottom w:val="nil"/>
          <w:right w:val="nil"/>
          <w:between w:val="nil"/>
        </w:pBdr>
        <w:spacing w:after="0" w:line="240" w:lineRule="auto"/>
        <w:jc w:val="both"/>
        <w:rPr>
          <w:color w:val="000000"/>
        </w:rPr>
      </w:pPr>
      <w:r>
        <w:rPr>
          <w:color w:val="000000"/>
        </w:rPr>
        <w:t>Cases received by the Committee should not be closed prior to satisfying the Committe</w:t>
      </w:r>
      <w:r>
        <w:rPr>
          <w:color w:val="000000"/>
        </w:rPr>
        <w:t xml:space="preserve">e’s recommendations and without </w:t>
      </w:r>
      <w:r>
        <w:t xml:space="preserve">providing </w:t>
      </w:r>
      <w:r>
        <w:rPr>
          <w:color w:val="000000"/>
        </w:rPr>
        <w:t>authors and their representatives opportunit</w:t>
      </w:r>
      <w:r>
        <w:t>ies</w:t>
      </w:r>
      <w:r>
        <w:rPr>
          <w:color w:val="000000"/>
        </w:rPr>
        <w:t xml:space="preserve"> to contribute to the process (see additional information related to Rule 22 below).</w:t>
      </w:r>
    </w:p>
    <w:p w14:paraId="00000018" w14:textId="77777777" w:rsidR="008270CA" w:rsidRDefault="0000229E">
      <w:pPr>
        <w:pStyle w:val="Heading2"/>
        <w:widowControl w:val="0"/>
        <w:pBdr>
          <w:top w:val="nil"/>
          <w:left w:val="nil"/>
          <w:bottom w:val="nil"/>
          <w:right w:val="nil"/>
          <w:between w:val="nil"/>
        </w:pBdr>
        <w:jc w:val="both"/>
        <w:rPr>
          <w:rFonts w:ascii="Calibri" w:eastAsia="Calibri" w:hAnsi="Calibri" w:cs="Calibri"/>
        </w:rPr>
      </w:pPr>
      <w:r>
        <w:lastRenderedPageBreak/>
        <w:t xml:space="preserve">Rule 15(4) - </w:t>
      </w:r>
      <w:r>
        <w:rPr>
          <w:rFonts w:ascii="Calibri" w:eastAsia="Calibri" w:hAnsi="Calibri" w:cs="Calibri"/>
        </w:rPr>
        <w:t>Oral hearings</w:t>
      </w:r>
    </w:p>
    <w:p w14:paraId="00000019" w14:textId="77777777" w:rsidR="008270CA" w:rsidRDefault="0000229E">
      <w:pPr>
        <w:widowControl w:val="0"/>
        <w:pBdr>
          <w:top w:val="nil"/>
          <w:left w:val="nil"/>
          <w:bottom w:val="nil"/>
          <w:right w:val="nil"/>
          <w:between w:val="nil"/>
        </w:pBdr>
        <w:shd w:val="clear" w:color="auto" w:fill="FFFFFF"/>
        <w:jc w:val="both"/>
      </w:pPr>
      <w:r>
        <w:t xml:space="preserve">In 1993, CESCR adopted a procedure to hear oral submissions from civil society organizations representing right claiming communities during reviews of periodic reports. This procedure, referred to by some as an “informal petition procedure,” was unique at </w:t>
      </w:r>
      <w:r>
        <w:t>the time but has since been adopted in some form by all UN human rights treaty monitoring bodies.</w:t>
      </w:r>
      <w:r>
        <w:rPr>
          <w:sz w:val="20"/>
          <w:szCs w:val="20"/>
          <w:vertAlign w:val="superscript"/>
        </w:rPr>
        <w:footnoteReference w:id="6"/>
      </w:r>
      <w:r>
        <w:t xml:space="preserve">  The importance of open and transparent oral proceedings has been made abundantly clear since that time. It has enabled the Committee and State delegations to hear from civil society organizations bringing significant expertise on the issues under review </w:t>
      </w:r>
      <w:r>
        <w:t xml:space="preserve">and has often allowed those who are directly affected by these issues to provide the </w:t>
      </w:r>
      <w:r>
        <w:rPr>
          <w:color w:val="222222"/>
        </w:rPr>
        <w:t>Committee</w:t>
      </w:r>
      <w:r>
        <w:t xml:space="preserve"> with a better understanding of their circumstances. Rights holders have either participated directly or, in more recent years, observed proceedings online. The h</w:t>
      </w:r>
      <w:r>
        <w:t>istoric advances made by CESCR in recognizing the importance of participation by civil society and rights claimants in the review of ICESCR compliance played a significant role in the recognition of the crucialness of ensuring access to justice for Covenan</w:t>
      </w:r>
      <w:r>
        <w:t xml:space="preserve">t rights and in the eventual adoption of the Optional Protocol. </w:t>
      </w:r>
    </w:p>
    <w:p w14:paraId="0000001A" w14:textId="77777777" w:rsidR="008270CA" w:rsidRDefault="0000229E">
      <w:pPr>
        <w:widowControl w:val="0"/>
        <w:pBdr>
          <w:top w:val="nil"/>
          <w:left w:val="nil"/>
          <w:bottom w:val="nil"/>
          <w:right w:val="nil"/>
          <w:between w:val="nil"/>
        </w:pBdr>
        <w:shd w:val="clear" w:color="auto" w:fill="FFFFFF"/>
        <w:jc w:val="both"/>
      </w:pPr>
      <w:r>
        <w:t>Oral hearings in the context of periodic reports have significantly enhanced the efficiency of the Committee’s work, allowed the Committee to clarify issues that are complex and facilitated m</w:t>
      </w:r>
      <w:r>
        <w:t>eaningful engagement and follow-up discussions between governments and claimants. For civil society organizations and rights claimants, the ability to directly participate or to observe proceedings rather than rely on formal written submissions alone has s</w:t>
      </w:r>
      <w:r>
        <w:t>ignificantly enhanced the Committee’s impact and respect for the process and its outcomes. Oral hearings are an efficient and effective means for the Committee to better understand circumstances of marginalized groups and systemic issues in particular Stat</w:t>
      </w:r>
      <w:r>
        <w:t xml:space="preserve">es, to clarify issues by asking questions and to benefit from the expertise of civil society organizations. </w:t>
      </w:r>
    </w:p>
    <w:p w14:paraId="0000001B" w14:textId="77777777" w:rsidR="008270CA" w:rsidRDefault="0000229E">
      <w:pPr>
        <w:widowControl w:val="0"/>
        <w:pBdr>
          <w:top w:val="nil"/>
          <w:left w:val="nil"/>
          <w:bottom w:val="nil"/>
          <w:right w:val="nil"/>
          <w:between w:val="nil"/>
        </w:pBdr>
        <w:shd w:val="clear" w:color="auto" w:fill="FFFFFF"/>
        <w:jc w:val="both"/>
      </w:pPr>
      <w:r>
        <w:t>The benefits of oral hearings have been recognized by other bodies adjudicating complaints or communications.  Rule 33 of the Rules of the European</w:t>
      </w:r>
      <w:r>
        <w:t xml:space="preserve"> Social Rights Committee, for example, provides for hearings to be held at the request of one of the parties or on the Committee’s initiative. The hearings are public, unless the President decides otherwise, and intervening third parties are also invited t</w:t>
      </w:r>
      <w:r>
        <w:t xml:space="preserve">o participate. Oral hearings have been critical to the effectiveness, </w:t>
      </w:r>
      <w:proofErr w:type="gramStart"/>
      <w:r>
        <w:t>transparency</w:t>
      </w:r>
      <w:proofErr w:type="gramEnd"/>
      <w:r>
        <w:t xml:space="preserve"> and competence of the Inter-American Court of Human Rights. Cavallaro and Brewer have pointed out that in recent years the Court’s hearings have been affected by “procedural</w:t>
      </w:r>
      <w:r>
        <w:t xml:space="preserve"> reforms that have caused a case-by-case reduction in the days of public hearings held and the number of witnesses heard by the Court. These developments, we suggest, may sometimes reduce the effect of the Court's work.”</w:t>
      </w:r>
      <w:r>
        <w:rPr>
          <w:vertAlign w:val="superscript"/>
        </w:rPr>
        <w:footnoteReference w:id="7"/>
      </w:r>
    </w:p>
    <w:p w14:paraId="0000001C" w14:textId="77777777" w:rsidR="008270CA" w:rsidRDefault="0000229E">
      <w:pPr>
        <w:widowControl w:val="0"/>
        <w:pBdr>
          <w:top w:val="nil"/>
          <w:left w:val="nil"/>
          <w:bottom w:val="nil"/>
          <w:right w:val="nil"/>
          <w:between w:val="nil"/>
        </w:pBdr>
        <w:shd w:val="clear" w:color="auto" w:fill="FFFFFF"/>
        <w:jc w:val="both"/>
      </w:pPr>
      <w:r>
        <w:t>The benefits of oral hearings and</w:t>
      </w:r>
      <w:r>
        <w:t xml:space="preserve"> live provision of evidence and arguments from States Party and civil society </w:t>
      </w:r>
      <w:proofErr w:type="spellStart"/>
      <w:r>
        <w:t>organisations</w:t>
      </w:r>
      <w:proofErr w:type="spellEnd"/>
      <w:r>
        <w:t xml:space="preserve"> (CSOs) in the review of periodic reports should be applied and enhanced in proceedings under the OP-ICESCR. As Sandra Liebenberg has noted,</w:t>
      </w:r>
    </w:p>
    <w:p w14:paraId="0000001D" w14:textId="77777777" w:rsidR="008270CA" w:rsidRDefault="0000229E">
      <w:pPr>
        <w:widowControl w:val="0"/>
        <w:ind w:left="720" w:right="720"/>
        <w:jc w:val="both"/>
      </w:pPr>
      <w:r>
        <w:t>The historic coming into</w:t>
      </w:r>
      <w:r>
        <w:t xml:space="preserve"> force of Optional Protocol in 2013 </w:t>
      </w:r>
      <w:proofErr w:type="spellStart"/>
      <w:r>
        <w:t>signalled</w:t>
      </w:r>
      <w:proofErr w:type="spellEnd"/>
      <w:r>
        <w:t xml:space="preserve"> international recognition of the right of individuals and groups to participate in a </w:t>
      </w:r>
      <w:proofErr w:type="gramStart"/>
      <w:r>
        <w:t>complaints</w:t>
      </w:r>
      <w:proofErr w:type="gramEnd"/>
      <w:r>
        <w:t xml:space="preserve"> procedure through which their claims of breaches of these rights can receive a fair hearing. In this context, it a</w:t>
      </w:r>
      <w:r>
        <w:t>lso invited renewed attention to adjudicative or quasi-adjudicative review and remedial methods for protecting social rights.</w:t>
      </w:r>
      <w:r>
        <w:rPr>
          <w:vertAlign w:val="superscript"/>
        </w:rPr>
        <w:footnoteReference w:id="8"/>
      </w:r>
    </w:p>
    <w:p w14:paraId="0000001E" w14:textId="77777777" w:rsidR="008270CA" w:rsidRDefault="0000229E">
      <w:pPr>
        <w:widowControl w:val="0"/>
        <w:pBdr>
          <w:top w:val="nil"/>
          <w:left w:val="nil"/>
          <w:bottom w:val="nil"/>
          <w:right w:val="nil"/>
          <w:between w:val="nil"/>
        </w:pBdr>
        <w:shd w:val="clear" w:color="auto" w:fill="FFFFFF"/>
        <w:jc w:val="both"/>
      </w:pPr>
      <w:r>
        <w:t xml:space="preserve">She identifies a commitment to participatory justice as a key component of the Committee’s jurisprudence to date, </w:t>
      </w:r>
      <w:r>
        <w:lastRenderedPageBreak/>
        <w:t xml:space="preserve">emphasizing </w:t>
      </w:r>
      <w:proofErr w:type="gramStart"/>
      <w:r>
        <w:t>in</w:t>
      </w:r>
      <w:r>
        <w:t xml:space="preserve"> particular the</w:t>
      </w:r>
      <w:proofErr w:type="gramEnd"/>
      <w:r>
        <w:t xml:space="preserve"> importance of meaningful engagement with affected individuals and communities.</w:t>
      </w:r>
    </w:p>
    <w:p w14:paraId="0000001F" w14:textId="77777777" w:rsidR="008270CA" w:rsidRDefault="0000229E">
      <w:pPr>
        <w:widowControl w:val="0"/>
        <w:spacing w:before="240" w:after="240"/>
        <w:jc w:val="both"/>
      </w:pPr>
      <w:r>
        <w:t>We commend the Committee’s commitment to participatory justice and welcome, in this context, the addition of Rule 15(4) to provide for oral submissions by the pa</w:t>
      </w:r>
      <w:r>
        <w:t>rties. However, we do not believe that oral submissions should be restricted to “exceptional circumstances” or to cases with admissibility decisions prior to receiving State observations on the merits and would instead suggest that parties, including third</w:t>
      </w:r>
      <w:r>
        <w:t xml:space="preserve"> parties, be invited to make oral submissions where the Committee believes these would assist its deliberations on either admissibility, </w:t>
      </w:r>
      <w:proofErr w:type="gramStart"/>
      <w:r>
        <w:t>merits</w:t>
      </w:r>
      <w:proofErr w:type="gramEnd"/>
      <w:r>
        <w:t xml:space="preserve"> or follow-up to a communication. Some of the content of the UN Human Rights Committee’s Guidelines for oral subm</w:t>
      </w:r>
      <w:r>
        <w:t>issions may be helpful to include in CESCR’s Rules of Procedure, such as the reference to the benefit of oral hearings in “cases raising complex issues of fact or domestic law or important questions of interpretation of the Covenant.” We would also add tha</w:t>
      </w:r>
      <w:r>
        <w:t xml:space="preserve">t such hearings may be considered appropriate where they may assist the Committee to determine the circumstances and dignity interests at stake and/or the reasonableness or proportionality of the measures adopted by the responding State party. </w:t>
      </w:r>
    </w:p>
    <w:p w14:paraId="00000020" w14:textId="77777777" w:rsidR="008270CA" w:rsidRDefault="0000229E">
      <w:pPr>
        <w:widowControl w:val="0"/>
        <w:spacing w:before="240" w:after="240"/>
        <w:jc w:val="both"/>
      </w:pPr>
      <w:r>
        <w:t>Oral hearin</w:t>
      </w:r>
      <w:r>
        <w:t>gs would strengthen the Committee’s evidentiary and legal bases for deliberation. They may also: a) enhance State and CSO engagement; b) uniquely incentivize accountability by requiring marshaling of evidence, sharpening of arguments, presentation, prepara</w:t>
      </w:r>
      <w:r>
        <w:t xml:space="preserve">tion, and live responses to questions; and c) increase transparency and public attention, particularly with respect to the Views follow-up phase, which can be fully public. In these ways, the availability and fullness of oral hearings before international </w:t>
      </w:r>
      <w:r>
        <w:t>human rights adjudicatory bodies can be a key factor in effectiveness.</w:t>
      </w:r>
    </w:p>
    <w:p w14:paraId="00000021" w14:textId="77777777" w:rsidR="008270CA" w:rsidRDefault="0000229E">
      <w:pPr>
        <w:pStyle w:val="Heading2"/>
        <w:widowControl w:val="0"/>
        <w:jc w:val="both"/>
        <w:rPr>
          <w:rFonts w:ascii="Calibri" w:eastAsia="Calibri" w:hAnsi="Calibri" w:cs="Calibri"/>
        </w:rPr>
      </w:pPr>
      <w:r>
        <w:rPr>
          <w:rFonts w:ascii="Calibri" w:eastAsia="Calibri" w:hAnsi="Calibri" w:cs="Calibri"/>
        </w:rPr>
        <w:t>Rule 19 - Repetitive communications</w:t>
      </w:r>
    </w:p>
    <w:p w14:paraId="00000022" w14:textId="71DBCCA6" w:rsidR="008270CA" w:rsidRDefault="0000229E">
      <w:pPr>
        <w:widowControl w:val="0"/>
        <w:jc w:val="both"/>
      </w:pPr>
      <w:r>
        <w:t xml:space="preserve">The characteristics that would constitute repetitive </w:t>
      </w:r>
      <w:r w:rsidR="00631279">
        <w:t>c</w:t>
      </w:r>
      <w:r>
        <w:t xml:space="preserve">ommunications could be precisely defined, as well as the procedure itself, especially involving the determination of repetitiveness that declares the non-violation of a claimed human right. A </w:t>
      </w:r>
      <w:r w:rsidR="00631279">
        <w:t>c</w:t>
      </w:r>
      <w:r>
        <w:t>ommunicat</w:t>
      </w:r>
      <w:r>
        <w:t xml:space="preserve">ion should be considered repetitive when it concerns the same author(s), facts, and substantive rights claimed. A </w:t>
      </w:r>
      <w:r w:rsidR="00631279">
        <w:t>c</w:t>
      </w:r>
      <w:r>
        <w:t>ommunication in the process of being evaluated for repetitiveness should receive the same due process, including contact with the author(s) r</w:t>
      </w:r>
      <w:r>
        <w:t>egarding the same. Committee’s Views and procedural decisions should be individually tailored to each case, notwithstanding similarities with prior cases.</w:t>
      </w:r>
    </w:p>
    <w:p w14:paraId="00000023" w14:textId="77777777" w:rsidR="008270CA" w:rsidRDefault="0000229E">
      <w:pPr>
        <w:pStyle w:val="Heading2"/>
        <w:widowControl w:val="0"/>
        <w:jc w:val="both"/>
        <w:rPr>
          <w:rFonts w:ascii="Calibri" w:eastAsia="Calibri" w:hAnsi="Calibri" w:cs="Calibri"/>
        </w:rPr>
      </w:pPr>
      <w:r>
        <w:rPr>
          <w:rFonts w:ascii="Calibri" w:eastAsia="Calibri" w:hAnsi="Calibri" w:cs="Calibri"/>
        </w:rPr>
        <w:t>Rule 9 – Third-party submissions</w:t>
      </w:r>
    </w:p>
    <w:p w14:paraId="00000024" w14:textId="748BAD67" w:rsidR="008270CA" w:rsidRDefault="0000229E">
      <w:pPr>
        <w:widowControl w:val="0"/>
        <w:pBdr>
          <w:top w:val="nil"/>
          <w:left w:val="nil"/>
          <w:bottom w:val="nil"/>
          <w:right w:val="nil"/>
          <w:between w:val="nil"/>
        </w:pBdr>
        <w:jc w:val="both"/>
      </w:pPr>
      <w:r>
        <w:t>It is important that enough information be provided on the Committee</w:t>
      </w:r>
      <w:r>
        <w:t xml:space="preserve">’s website on the cases under review </w:t>
      </w:r>
      <w:proofErr w:type="gramStart"/>
      <w:r>
        <w:t>so as to</w:t>
      </w:r>
      <w:proofErr w:type="gramEnd"/>
      <w:r>
        <w:t xml:space="preserve"> make it possible for potential third</w:t>
      </w:r>
      <w:r w:rsidR="00631279">
        <w:t>-</w:t>
      </w:r>
      <w:r>
        <w:t>party intervenors to file relevant and useful requests to intervene. Third party interventions often play an important role in helping develop novel standards, so enough det</w:t>
      </w:r>
      <w:r>
        <w:t xml:space="preserve">ailed information on the case should be made public </w:t>
      </w:r>
      <w:proofErr w:type="gramStart"/>
      <w:r>
        <w:t>so as to</w:t>
      </w:r>
      <w:proofErr w:type="gramEnd"/>
      <w:r>
        <w:t xml:space="preserve"> enable a potential intervenor to assess whether to file a request and at what stage.</w:t>
      </w:r>
    </w:p>
    <w:p w14:paraId="00000025" w14:textId="1FDC2E0B" w:rsidR="008270CA" w:rsidRDefault="0000229E">
      <w:pPr>
        <w:widowControl w:val="0"/>
        <w:pBdr>
          <w:top w:val="nil"/>
          <w:left w:val="nil"/>
          <w:bottom w:val="nil"/>
          <w:right w:val="nil"/>
          <w:between w:val="nil"/>
        </w:pBdr>
        <w:jc w:val="both"/>
      </w:pPr>
      <w:r>
        <w:t xml:space="preserve">Based on experiences with other UN treaty bodies, it is also important that the Rules of Procedure codify the </w:t>
      </w:r>
      <w:r>
        <w:t xml:space="preserve">allowance </w:t>
      </w:r>
      <w:r w:rsidR="00631279">
        <w:t xml:space="preserve">of </w:t>
      </w:r>
      <w:r>
        <w:t>and transparent process for third</w:t>
      </w:r>
      <w:r w:rsidR="00631279">
        <w:t>-</w:t>
      </w:r>
      <w:r>
        <w:t xml:space="preserve">party submissions, as </w:t>
      </w:r>
      <w:r w:rsidR="00631279">
        <w:t>now</w:t>
      </w:r>
      <w:r>
        <w:t xml:space="preserve"> stipulated in the Committee’s </w:t>
      </w:r>
      <w:r w:rsidR="00631279">
        <w:t xml:space="preserve">corresponding </w:t>
      </w:r>
      <w:r>
        <w:t>Guidance</w:t>
      </w:r>
      <w:r w:rsidR="00631279">
        <w:t>.</w:t>
      </w:r>
    </w:p>
    <w:p w14:paraId="00000026" w14:textId="77777777" w:rsidR="008270CA" w:rsidRDefault="0000229E">
      <w:pPr>
        <w:pStyle w:val="Heading2"/>
        <w:widowControl w:val="0"/>
        <w:jc w:val="both"/>
        <w:rPr>
          <w:rFonts w:ascii="Calibri" w:eastAsia="Calibri" w:hAnsi="Calibri" w:cs="Calibri"/>
        </w:rPr>
      </w:pPr>
      <w:r>
        <w:rPr>
          <w:rFonts w:ascii="Calibri" w:eastAsia="Calibri" w:hAnsi="Calibri" w:cs="Calibri"/>
        </w:rPr>
        <w:t>Rule 22 – Follow-up to Views and to friendly settlements</w:t>
      </w:r>
    </w:p>
    <w:p w14:paraId="00000027" w14:textId="2BE442BD" w:rsidR="008270CA" w:rsidRDefault="0000229E">
      <w:pPr>
        <w:widowControl w:val="0"/>
        <w:pBdr>
          <w:top w:val="nil"/>
          <w:left w:val="nil"/>
          <w:bottom w:val="nil"/>
          <w:right w:val="nil"/>
          <w:between w:val="nil"/>
        </w:pBdr>
        <w:jc w:val="both"/>
      </w:pPr>
      <w:r>
        <w:t>Rule 22</w:t>
      </w:r>
      <w:r w:rsidR="00631279">
        <w:t xml:space="preserve"> should reflect that</w:t>
      </w:r>
      <w:r>
        <w:t xml:space="preserve"> the author a</w:t>
      </w:r>
      <w:r>
        <w:t>nd their representatives have an opportunity to engage with the CESCR Committee on follow-up, incorporating into the Rules the principles animating the Committee’s corresponding Working Methods. This is important both with respect to the individual recomme</w:t>
      </w:r>
      <w:r>
        <w:t xml:space="preserve">ndations and the general recommendations made by the Committee to the State Party. It is not sufficient for the Committee to rely on the State Party assessment as to whether the measures have been met in determining </w:t>
      </w:r>
      <w:proofErr w:type="gramStart"/>
      <w:r>
        <w:t>whether or not</w:t>
      </w:r>
      <w:proofErr w:type="gramEnd"/>
      <w:r>
        <w:t xml:space="preserve"> to close </w:t>
      </w:r>
      <w:r w:rsidR="00631279">
        <w:t>a</w:t>
      </w:r>
      <w:r>
        <w:t xml:space="preserve"> case.  Relia</w:t>
      </w:r>
      <w:r>
        <w:t xml:space="preserve">nce solely on the State Party can be detrimental to the outcome and can lead to the State Party justifying lack of further action </w:t>
      </w:r>
      <w:r>
        <w:rPr>
          <w:color w:val="222222"/>
        </w:rPr>
        <w:t>based</w:t>
      </w:r>
      <w:r>
        <w:t xml:space="preserve"> on the Committee’s closing of a case. This is particularly true with regards to general measures, such as legislative an</w:t>
      </w:r>
      <w:r>
        <w:t xml:space="preserve">d policy changes the Committee may recommend in its Views. Such reform can take a considerable amount of time to realize, but it is often these measures that are crucial to prevent future violations from occurring, guaranteeing the human rights protected </w:t>
      </w:r>
      <w:r>
        <w:lastRenderedPageBreak/>
        <w:t>u</w:t>
      </w:r>
      <w:r>
        <w:t xml:space="preserve">nder the Convention. We recommend that clear rules be codified articulating the authors and their representative’s role in follow-up procedures with regards to both individual and general measures.  </w:t>
      </w:r>
    </w:p>
    <w:p w14:paraId="00000028" w14:textId="77777777" w:rsidR="008270CA" w:rsidRDefault="0000229E">
      <w:pPr>
        <w:pStyle w:val="Heading2"/>
        <w:widowControl w:val="0"/>
        <w:jc w:val="both"/>
        <w:rPr>
          <w:rFonts w:ascii="Calibri" w:eastAsia="Calibri" w:hAnsi="Calibri" w:cs="Calibri"/>
        </w:rPr>
      </w:pPr>
      <w:r>
        <w:rPr>
          <w:rFonts w:ascii="Calibri" w:eastAsia="Calibri" w:hAnsi="Calibri" w:cs="Calibri"/>
        </w:rPr>
        <w:t>Rule 18 - Discontinuances</w:t>
      </w:r>
    </w:p>
    <w:p w14:paraId="00000029" w14:textId="77777777" w:rsidR="008270CA" w:rsidRDefault="0000229E">
      <w:pPr>
        <w:widowControl w:val="0"/>
        <w:shd w:val="clear" w:color="auto" w:fill="FFFFFF"/>
        <w:jc w:val="both"/>
        <w:rPr>
          <w:color w:val="222222"/>
        </w:rPr>
      </w:pPr>
      <w:r>
        <w:rPr>
          <w:color w:val="222222"/>
        </w:rPr>
        <w:t>Rule 18 on discontinuance rema</w:t>
      </w:r>
      <w:r>
        <w:rPr>
          <w:color w:val="222222"/>
        </w:rPr>
        <w:t>ins virtually unchanged from the previous rules of procedure. It states that “The Committee may discontinue the consideration of a communication when the reasons for its submission under the Optional Protocol have become moot, or on other relevant grounds.</w:t>
      </w:r>
      <w:r>
        <w:rPr>
          <w:color w:val="222222"/>
        </w:rPr>
        <w:t>”</w:t>
      </w:r>
    </w:p>
    <w:p w14:paraId="0000002A" w14:textId="77777777" w:rsidR="008270CA" w:rsidRDefault="0000229E">
      <w:pPr>
        <w:widowControl w:val="0"/>
        <w:shd w:val="clear" w:color="auto" w:fill="FFFFFF"/>
        <w:jc w:val="both"/>
        <w:rPr>
          <w:color w:val="222222"/>
        </w:rPr>
      </w:pPr>
      <w:r>
        <w:rPr>
          <w:color w:val="222222"/>
        </w:rPr>
        <w:t>Discontinuance decisions currently make up 59% of the total decisions that the Committee has thus far rendered (10 decisions on the merits, 20 inadmissibility decisions and 43 discontinuance decisions).</w:t>
      </w:r>
      <w:r>
        <w:rPr>
          <w:color w:val="222222"/>
          <w:vertAlign w:val="superscript"/>
        </w:rPr>
        <w:footnoteReference w:id="9"/>
      </w:r>
      <w:r>
        <w:rPr>
          <w:color w:val="222222"/>
        </w:rPr>
        <w:t> Since 2019, they have evolved into an important e</w:t>
      </w:r>
      <w:r>
        <w:rPr>
          <w:color w:val="222222"/>
        </w:rPr>
        <w:t xml:space="preserve">lement of the Committee’s practice, accounting for 41 of the Committee’s 54 decisions over this period – more than 75%. Given their importance, draft Rule 18 may be improved by </w:t>
      </w:r>
      <w:proofErr w:type="spellStart"/>
      <w:r>
        <w:rPr>
          <w:color w:val="222222"/>
        </w:rPr>
        <w:t>formalising</w:t>
      </w:r>
      <w:proofErr w:type="spellEnd"/>
      <w:r>
        <w:rPr>
          <w:color w:val="222222"/>
        </w:rPr>
        <w:t xml:space="preserve"> the process and providing more detailed guidance as to the conditio</w:t>
      </w:r>
      <w:r>
        <w:rPr>
          <w:color w:val="222222"/>
        </w:rPr>
        <w:t>ns under which discontinuance decisions will be rendered.</w:t>
      </w:r>
    </w:p>
    <w:p w14:paraId="0000002B" w14:textId="77777777" w:rsidR="008270CA" w:rsidRDefault="0000229E">
      <w:pPr>
        <w:widowControl w:val="0"/>
        <w:shd w:val="clear" w:color="auto" w:fill="FFFFFF"/>
        <w:jc w:val="both"/>
        <w:rPr>
          <w:color w:val="222222"/>
        </w:rPr>
      </w:pPr>
      <w:r>
        <w:rPr>
          <w:color w:val="222222"/>
        </w:rPr>
        <w:t>For example, whilst these decisions are commonly requested by the author (25), the state (3) or both parties (1), it is also often the case that the Committee regard decides to discontinue communica</w:t>
      </w:r>
      <w:r>
        <w:rPr>
          <w:color w:val="222222"/>
        </w:rPr>
        <w:t xml:space="preserve">tions due to a lack of contact that it has had with an author (14). The length of time after which the Committee will make such a decision has varied significantly: the communication of </w:t>
      </w:r>
      <w:r>
        <w:rPr>
          <w:i/>
          <w:color w:val="222222"/>
        </w:rPr>
        <w:t>A. L. v. Spain</w:t>
      </w:r>
      <w:r>
        <w:rPr>
          <w:color w:val="222222"/>
        </w:rPr>
        <w:t xml:space="preserve"> was discontinued just 8 months after it was registered </w:t>
      </w:r>
      <w:r>
        <w:rPr>
          <w:color w:val="222222"/>
        </w:rPr>
        <w:t xml:space="preserve">due to insufficient contact with the author, whilst the communication </w:t>
      </w:r>
      <w:r>
        <w:rPr>
          <w:i/>
          <w:color w:val="222222"/>
        </w:rPr>
        <w:t>H.M., R.M. and children v. Spain</w:t>
      </w:r>
      <w:r>
        <w:rPr>
          <w:color w:val="222222"/>
        </w:rPr>
        <w:t xml:space="preserve"> was discontinued after 40 months for the same reason. Further detail on how long the Committee should wait before concluding that an author cannot be con</w:t>
      </w:r>
      <w:r>
        <w:rPr>
          <w:color w:val="222222"/>
        </w:rPr>
        <w:t>tacted may ensure greater consistency of practice.</w:t>
      </w:r>
    </w:p>
    <w:p w14:paraId="0000002C" w14:textId="77777777" w:rsidR="008270CA" w:rsidRDefault="0000229E">
      <w:pPr>
        <w:pStyle w:val="Heading2"/>
        <w:widowControl w:val="0"/>
        <w:jc w:val="both"/>
        <w:rPr>
          <w:rFonts w:ascii="Calibri" w:eastAsia="Calibri" w:hAnsi="Calibri" w:cs="Calibri"/>
        </w:rPr>
      </w:pPr>
      <w:r>
        <w:rPr>
          <w:rFonts w:ascii="Calibri" w:eastAsia="Calibri" w:hAnsi="Calibri" w:cs="Calibri"/>
        </w:rPr>
        <w:t>Rule 1(4) - Limiting communications to official languages</w:t>
      </w:r>
    </w:p>
    <w:p w14:paraId="0000002D" w14:textId="3C203233" w:rsidR="008270CA" w:rsidRDefault="0000229E">
      <w:pPr>
        <w:widowControl w:val="0"/>
        <w:shd w:val="clear" w:color="auto" w:fill="FFFFFF"/>
        <w:jc w:val="both"/>
        <w:rPr>
          <w:color w:val="222222"/>
        </w:rPr>
      </w:pPr>
      <w:r>
        <w:rPr>
          <w:color w:val="222222"/>
        </w:rPr>
        <w:t>Rule 1 (4) states that “Communications shall be submitted in one of the official languages of the Committee</w:t>
      </w:r>
      <w:r w:rsidR="00631279">
        <w:rPr>
          <w:color w:val="222222"/>
        </w:rPr>
        <w:t>.</w:t>
      </w:r>
      <w:r>
        <w:rPr>
          <w:color w:val="222222"/>
        </w:rPr>
        <w:t>”</w:t>
      </w:r>
      <w:r>
        <w:rPr>
          <w:color w:val="222222"/>
        </w:rPr>
        <w:t xml:space="preserve"> Th</w:t>
      </w:r>
      <w:r w:rsidR="00631279">
        <w:rPr>
          <w:color w:val="222222"/>
        </w:rPr>
        <w:t>e</w:t>
      </w:r>
      <w:r>
        <w:rPr>
          <w:color w:val="222222"/>
        </w:rPr>
        <w:t xml:space="preserve"> introduction </w:t>
      </w:r>
      <w:r w:rsidR="00631279">
        <w:rPr>
          <w:color w:val="222222"/>
        </w:rPr>
        <w:t xml:space="preserve">of this requirement </w:t>
      </w:r>
      <w:r>
        <w:rPr>
          <w:color w:val="222222"/>
        </w:rPr>
        <w:t xml:space="preserve">may create an additional barrier to the submission of complaints against States in which the principal language spoken is not an official </w:t>
      </w:r>
      <w:r w:rsidR="00631279">
        <w:rPr>
          <w:color w:val="222222"/>
        </w:rPr>
        <w:t>C</w:t>
      </w:r>
      <w:r>
        <w:rPr>
          <w:color w:val="222222"/>
        </w:rPr>
        <w:t>ommittee language (Arabic, English, French, Russian or S</w:t>
      </w:r>
      <w:r>
        <w:rPr>
          <w:color w:val="222222"/>
        </w:rPr>
        <w:t>panish).</w:t>
      </w:r>
    </w:p>
    <w:p w14:paraId="0000002E" w14:textId="77777777" w:rsidR="008270CA" w:rsidRDefault="0000229E">
      <w:pPr>
        <w:widowControl w:val="0"/>
        <w:shd w:val="clear" w:color="auto" w:fill="FFFFFF"/>
        <w:jc w:val="both"/>
        <w:rPr>
          <w:color w:val="222222"/>
        </w:rPr>
      </w:pPr>
      <w:r>
        <w:rPr>
          <w:color w:val="222222"/>
        </w:rPr>
        <w:t xml:space="preserve">The Committee may consider introducing an exception for those who consider themselves unable to submit their communication in one of the official languages of the Committee. For example, it could state that, “If an author considers that they are </w:t>
      </w:r>
      <w:r>
        <w:rPr>
          <w:color w:val="222222"/>
        </w:rPr>
        <w:t>unable to submit their communication in an official language of the Committee, they should make clear their reasons for not doing so. The Committee may process a case submitted in a non-official language under exceptional circumstances entailing hardship i</w:t>
      </w:r>
      <w:r>
        <w:rPr>
          <w:color w:val="222222"/>
        </w:rPr>
        <w:t>n which a workable language for both the parties and Committee is available.”</w:t>
      </w:r>
    </w:p>
    <w:p w14:paraId="0000002F" w14:textId="77777777" w:rsidR="008270CA" w:rsidRDefault="0000229E">
      <w:pPr>
        <w:pStyle w:val="Heading2"/>
        <w:widowControl w:val="0"/>
        <w:jc w:val="both"/>
        <w:rPr>
          <w:rFonts w:ascii="Calibri" w:eastAsia="Calibri" w:hAnsi="Calibri" w:cs="Calibri"/>
        </w:rPr>
      </w:pPr>
      <w:r>
        <w:rPr>
          <w:rFonts w:ascii="Calibri" w:eastAsia="Calibri" w:hAnsi="Calibri" w:cs="Calibri"/>
        </w:rPr>
        <w:t>Section II – Proceedings under the inquiry procedure of the Optional Protocol</w:t>
      </w:r>
    </w:p>
    <w:p w14:paraId="00000030" w14:textId="77777777" w:rsidR="008270CA" w:rsidRDefault="0000229E">
      <w:pPr>
        <w:widowControl w:val="0"/>
        <w:shd w:val="clear" w:color="auto" w:fill="FFFFFF"/>
        <w:jc w:val="both"/>
        <w:rPr>
          <w:color w:val="222222"/>
        </w:rPr>
      </w:pPr>
      <w:r>
        <w:rPr>
          <w:color w:val="222222"/>
        </w:rPr>
        <w:t>In anticipation of the Committee potentially considering revisions to its rules of procedure regardi</w:t>
      </w:r>
      <w:r>
        <w:rPr>
          <w:color w:val="222222"/>
        </w:rPr>
        <w:t>ng the inquiry procedure under the OP-ICESCR, we recommend the individuals or groups of individuals submitting information to CESCR requesting an inquiry be kept duly informed of the status of the proceedings throughout the process and be entitled to engag</w:t>
      </w:r>
      <w:r>
        <w:rPr>
          <w:color w:val="222222"/>
        </w:rPr>
        <w:t>e with the Committee related to the State response, in line with the provisions of the Convention. This would ensure that the Committee is provided with independent information throughout the inquiry procedure.</w:t>
      </w:r>
    </w:p>
    <w:p w14:paraId="00000031" w14:textId="77777777" w:rsidR="008270CA" w:rsidRDefault="0000229E">
      <w:pPr>
        <w:pStyle w:val="Heading2"/>
        <w:widowControl w:val="0"/>
        <w:jc w:val="both"/>
        <w:rPr>
          <w:rFonts w:ascii="Calibri" w:eastAsia="Calibri" w:hAnsi="Calibri" w:cs="Calibri"/>
        </w:rPr>
      </w:pPr>
      <w:r>
        <w:rPr>
          <w:rFonts w:ascii="Calibri" w:eastAsia="Calibri" w:hAnsi="Calibri" w:cs="Calibri"/>
        </w:rPr>
        <w:t>Conclusion</w:t>
      </w:r>
    </w:p>
    <w:p w14:paraId="00000032" w14:textId="3BC135CE" w:rsidR="008270CA" w:rsidRDefault="0000229E">
      <w:pPr>
        <w:widowControl w:val="0"/>
        <w:jc w:val="both"/>
      </w:pPr>
      <w:r>
        <w:t>Thank you for your time and attent</w:t>
      </w:r>
      <w:r>
        <w:t xml:space="preserve">ion to these comments regarding the important steps the Committee is taking to revise its rules of procedure under the OP-ICESCR. We remain </w:t>
      </w:r>
      <w:r w:rsidR="008D4934">
        <w:t xml:space="preserve">engaged and </w:t>
      </w:r>
      <w:r w:rsidR="00631279">
        <w:t>available for</w:t>
      </w:r>
      <w:r>
        <w:t xml:space="preserve"> further dialogue</w:t>
      </w:r>
      <w:r>
        <w:t>.</w:t>
      </w:r>
    </w:p>
    <w:sectPr w:rsidR="008270CA">
      <w:headerReference w:type="defaul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30546" w14:textId="77777777" w:rsidR="0000229E" w:rsidRDefault="0000229E">
      <w:pPr>
        <w:spacing w:after="0" w:line="240" w:lineRule="auto"/>
      </w:pPr>
      <w:r>
        <w:separator/>
      </w:r>
    </w:p>
  </w:endnote>
  <w:endnote w:type="continuationSeparator" w:id="0">
    <w:p w14:paraId="3711B2B2" w14:textId="77777777" w:rsidR="0000229E" w:rsidRDefault="00002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9DA1A" w14:textId="77777777" w:rsidR="0000229E" w:rsidRDefault="0000229E">
      <w:pPr>
        <w:spacing w:after="0" w:line="240" w:lineRule="auto"/>
      </w:pPr>
      <w:r>
        <w:separator/>
      </w:r>
    </w:p>
  </w:footnote>
  <w:footnote w:type="continuationSeparator" w:id="0">
    <w:p w14:paraId="3083C540" w14:textId="77777777" w:rsidR="0000229E" w:rsidRDefault="0000229E">
      <w:pPr>
        <w:spacing w:after="0" w:line="240" w:lineRule="auto"/>
      </w:pPr>
      <w:r>
        <w:continuationSeparator/>
      </w:r>
    </w:p>
  </w:footnote>
  <w:footnote w:id="1">
    <w:p w14:paraId="00000033" w14:textId="77777777" w:rsidR="008270CA" w:rsidRDefault="0000229E">
      <w:pPr>
        <w:pBdr>
          <w:top w:val="nil"/>
          <w:left w:val="nil"/>
          <w:bottom w:val="nil"/>
          <w:right w:val="nil"/>
          <w:between w:val="nil"/>
        </w:pBdr>
        <w:spacing w:after="0" w:line="240" w:lineRule="auto"/>
        <w:rPr>
          <w:color w:val="000000"/>
          <w:sz w:val="18"/>
          <w:szCs w:val="18"/>
        </w:rPr>
      </w:pPr>
      <w:r>
        <w:rPr>
          <w:rStyle w:val="FootnoteReference"/>
        </w:rPr>
        <w:footnoteRef/>
      </w:r>
      <w:r>
        <w:rPr>
          <w:color w:val="000000"/>
          <w:sz w:val="18"/>
          <w:szCs w:val="18"/>
        </w:rPr>
        <w:t xml:space="preserve"> See, </w:t>
      </w:r>
      <w:r>
        <w:rPr>
          <w:i/>
          <w:color w:val="000000"/>
          <w:sz w:val="18"/>
          <w:szCs w:val="18"/>
        </w:rPr>
        <w:t>inter alia</w:t>
      </w:r>
      <w:r>
        <w:rPr>
          <w:color w:val="000000"/>
          <w:sz w:val="18"/>
          <w:szCs w:val="18"/>
        </w:rPr>
        <w:t xml:space="preserve">, Helfer, ‘Redesigning the European Court of Human Rights’; </w:t>
      </w:r>
      <w:proofErr w:type="spellStart"/>
      <w:r>
        <w:rPr>
          <w:color w:val="000000"/>
          <w:sz w:val="18"/>
          <w:szCs w:val="18"/>
        </w:rPr>
        <w:t>Buyse</w:t>
      </w:r>
      <w:proofErr w:type="spellEnd"/>
      <w:r>
        <w:rPr>
          <w:color w:val="000000"/>
          <w:sz w:val="18"/>
          <w:szCs w:val="18"/>
        </w:rPr>
        <w:t xml:space="preserve">, ‘The Pilot Judgment Procedure at the European Court of Human Rights’; </w:t>
      </w:r>
      <w:proofErr w:type="spellStart"/>
      <w:r>
        <w:rPr>
          <w:color w:val="000000"/>
          <w:sz w:val="18"/>
          <w:szCs w:val="18"/>
        </w:rPr>
        <w:t>Fyrnys</w:t>
      </w:r>
      <w:proofErr w:type="spellEnd"/>
      <w:r>
        <w:rPr>
          <w:color w:val="000000"/>
          <w:sz w:val="18"/>
          <w:szCs w:val="18"/>
        </w:rPr>
        <w:t xml:space="preserve">, ‘Expanding Competences by Judicial Lawmaking: The Pilot Judgment Procedure of </w:t>
      </w:r>
      <w:r>
        <w:rPr>
          <w:color w:val="000000"/>
          <w:sz w:val="18"/>
          <w:szCs w:val="18"/>
        </w:rPr>
        <w:t xml:space="preserve">the European Court of Human Rights’; Haider, </w:t>
      </w:r>
      <w:r>
        <w:rPr>
          <w:i/>
          <w:color w:val="000000"/>
          <w:sz w:val="18"/>
          <w:szCs w:val="18"/>
        </w:rPr>
        <w:t>The Pilot-Judgement Procedure of the European Court of Human Rights</w:t>
      </w:r>
      <w:r>
        <w:rPr>
          <w:color w:val="000000"/>
          <w:sz w:val="18"/>
          <w:szCs w:val="18"/>
        </w:rPr>
        <w:t xml:space="preserve">; </w:t>
      </w:r>
      <w:proofErr w:type="spellStart"/>
      <w:r>
        <w:rPr>
          <w:color w:val="000000"/>
          <w:sz w:val="18"/>
          <w:szCs w:val="18"/>
        </w:rPr>
        <w:t>Sainati</w:t>
      </w:r>
      <w:proofErr w:type="spellEnd"/>
      <w:r>
        <w:rPr>
          <w:color w:val="000000"/>
          <w:sz w:val="18"/>
          <w:szCs w:val="18"/>
        </w:rPr>
        <w:t>, ‘Human Rights Class Actions: Rethinking the Pilot-Judgment Procedure at the European Court of Human Rights’.</w:t>
      </w:r>
    </w:p>
  </w:footnote>
  <w:footnote w:id="2">
    <w:p w14:paraId="00000034" w14:textId="77777777" w:rsidR="008270CA" w:rsidRDefault="0000229E">
      <w:pPr>
        <w:pBdr>
          <w:top w:val="nil"/>
          <w:left w:val="nil"/>
          <w:bottom w:val="nil"/>
          <w:right w:val="nil"/>
          <w:between w:val="nil"/>
        </w:pBdr>
        <w:spacing w:after="0" w:line="240" w:lineRule="auto"/>
        <w:rPr>
          <w:color w:val="000000"/>
          <w:sz w:val="18"/>
          <w:szCs w:val="18"/>
        </w:rPr>
      </w:pPr>
      <w:r>
        <w:rPr>
          <w:rStyle w:val="FootnoteReference"/>
        </w:rPr>
        <w:footnoteRef/>
      </w:r>
      <w:r>
        <w:rPr>
          <w:color w:val="000000"/>
          <w:sz w:val="18"/>
          <w:szCs w:val="18"/>
        </w:rPr>
        <w:t xml:space="preserve">  I</w:t>
      </w:r>
      <w:r>
        <w:rPr>
          <w:sz w:val="18"/>
          <w:szCs w:val="18"/>
        </w:rPr>
        <w:t>n relation to the Pi</w:t>
      </w:r>
      <w:r>
        <w:rPr>
          <w:sz w:val="18"/>
          <w:szCs w:val="18"/>
        </w:rPr>
        <w:t>lot Judgement rule of the ECtHR (</w:t>
      </w:r>
      <w:r>
        <w:rPr>
          <w:color w:val="000000"/>
          <w:sz w:val="18"/>
          <w:szCs w:val="18"/>
        </w:rPr>
        <w:t>Rule 61 of the Court)</w:t>
      </w:r>
      <w:r>
        <w:rPr>
          <w:sz w:val="18"/>
          <w:szCs w:val="18"/>
        </w:rPr>
        <w:t>,</w:t>
      </w:r>
      <w:r>
        <w:rPr>
          <w:color w:val="000000"/>
          <w:sz w:val="18"/>
          <w:szCs w:val="18"/>
        </w:rPr>
        <w:t xml:space="preserve"> </w:t>
      </w:r>
      <w:proofErr w:type="spellStart"/>
      <w:r>
        <w:rPr>
          <w:color w:val="000000"/>
          <w:sz w:val="18"/>
          <w:szCs w:val="18"/>
        </w:rPr>
        <w:t>Sainati</w:t>
      </w:r>
      <w:proofErr w:type="spellEnd"/>
      <w:r>
        <w:rPr>
          <w:color w:val="000000"/>
          <w:sz w:val="18"/>
          <w:szCs w:val="18"/>
        </w:rPr>
        <w:t xml:space="preserve"> suggests incorporating the following: </w:t>
      </w:r>
      <w:r>
        <w:rPr>
          <w:i/>
          <w:color w:val="000000"/>
          <w:sz w:val="18"/>
          <w:szCs w:val="18"/>
        </w:rPr>
        <w:t xml:space="preserve">When selecting or approving an application for a pilot judgment, the Court shall first determine whether the application raises questions of law and fact </w:t>
      </w:r>
      <w:r>
        <w:rPr>
          <w:i/>
          <w:color w:val="000000"/>
          <w:sz w:val="18"/>
          <w:szCs w:val="18"/>
        </w:rPr>
        <w:t xml:space="preserve">common to the class of similarly affected applicants, and whether the claim asserted by the pilot applicant is typical of the claims of absent or potential future applicants. </w:t>
      </w:r>
      <w:proofErr w:type="spellStart"/>
      <w:r>
        <w:rPr>
          <w:sz w:val="18"/>
          <w:szCs w:val="18"/>
        </w:rPr>
        <w:t>Sainati</w:t>
      </w:r>
      <w:proofErr w:type="spellEnd"/>
      <w:r>
        <w:rPr>
          <w:sz w:val="18"/>
          <w:szCs w:val="18"/>
        </w:rPr>
        <w:t xml:space="preserve">, ‘Human Rights Class Actions: Rethinking the Pilot-Judgment Procedure at </w:t>
      </w:r>
      <w:r>
        <w:rPr>
          <w:sz w:val="18"/>
          <w:szCs w:val="18"/>
        </w:rPr>
        <w:t>the European Court of Human Rights’, 197.</w:t>
      </w:r>
    </w:p>
  </w:footnote>
  <w:footnote w:id="3">
    <w:p w14:paraId="00000035" w14:textId="1276FADC" w:rsidR="008270CA" w:rsidRDefault="0000229E">
      <w:pPr>
        <w:pBdr>
          <w:top w:val="nil"/>
          <w:left w:val="nil"/>
          <w:bottom w:val="nil"/>
          <w:right w:val="nil"/>
          <w:between w:val="nil"/>
        </w:pBdr>
        <w:spacing w:after="0" w:line="240" w:lineRule="auto"/>
        <w:rPr>
          <w:color w:val="000000"/>
          <w:sz w:val="18"/>
          <w:szCs w:val="18"/>
        </w:rPr>
      </w:pPr>
      <w:r>
        <w:rPr>
          <w:rStyle w:val="FootnoteReference"/>
        </w:rPr>
        <w:footnoteRef/>
      </w:r>
      <w:r>
        <w:rPr>
          <w:color w:val="000000"/>
          <w:sz w:val="18"/>
          <w:szCs w:val="18"/>
        </w:rPr>
        <w:t xml:space="preserve"> Draft Rule 10 (3) already envisages that the Committee may deal with communications jointly, as does Rule 42 of the </w:t>
      </w:r>
      <w:r>
        <w:rPr>
          <w:sz w:val="18"/>
          <w:szCs w:val="18"/>
        </w:rPr>
        <w:t>ECtHR</w:t>
      </w:r>
      <w:r>
        <w:rPr>
          <w:color w:val="000000"/>
          <w:sz w:val="18"/>
          <w:szCs w:val="18"/>
        </w:rPr>
        <w:t xml:space="preserve">. The European Court </w:t>
      </w:r>
      <w:r>
        <w:rPr>
          <w:sz w:val="18"/>
          <w:szCs w:val="18"/>
        </w:rPr>
        <w:t xml:space="preserve">is known to have </w:t>
      </w:r>
      <w:r>
        <w:rPr>
          <w:color w:val="000000"/>
          <w:sz w:val="18"/>
          <w:szCs w:val="18"/>
        </w:rPr>
        <w:t xml:space="preserve">made poor use of this possibility in </w:t>
      </w:r>
      <w:r>
        <w:rPr>
          <w:sz w:val="18"/>
          <w:szCs w:val="18"/>
        </w:rPr>
        <w:t>relation to Pil</w:t>
      </w:r>
      <w:r>
        <w:rPr>
          <w:sz w:val="18"/>
          <w:szCs w:val="18"/>
        </w:rPr>
        <w:t>ot Judgements</w:t>
      </w:r>
      <w:r>
        <w:rPr>
          <w:color w:val="000000"/>
          <w:sz w:val="18"/>
          <w:szCs w:val="18"/>
        </w:rPr>
        <w:t>. A specific reference in the Draft Rule 20 may guide the Committee towards this course of action in relation to i</w:t>
      </w:r>
      <w:r>
        <w:rPr>
          <w:sz w:val="18"/>
          <w:szCs w:val="18"/>
        </w:rPr>
        <w:t xml:space="preserve">ts </w:t>
      </w:r>
      <w:r>
        <w:rPr>
          <w:color w:val="000000"/>
          <w:sz w:val="18"/>
          <w:szCs w:val="18"/>
        </w:rPr>
        <w:t xml:space="preserve">Pilot </w:t>
      </w:r>
      <w:r>
        <w:rPr>
          <w:sz w:val="18"/>
          <w:szCs w:val="18"/>
        </w:rPr>
        <w:t>Views</w:t>
      </w:r>
      <w:r>
        <w:rPr>
          <w:color w:val="000000"/>
          <w:sz w:val="18"/>
          <w:szCs w:val="18"/>
        </w:rPr>
        <w:t xml:space="preserve">. </w:t>
      </w:r>
    </w:p>
  </w:footnote>
  <w:footnote w:id="4">
    <w:p w14:paraId="00000036" w14:textId="08F0A1AC" w:rsidR="008270CA" w:rsidRDefault="0000229E">
      <w:pPr>
        <w:pBdr>
          <w:top w:val="nil"/>
          <w:left w:val="nil"/>
          <w:bottom w:val="nil"/>
          <w:right w:val="nil"/>
          <w:between w:val="nil"/>
        </w:pBdr>
        <w:spacing w:after="0" w:line="240" w:lineRule="auto"/>
        <w:rPr>
          <w:color w:val="000000"/>
          <w:sz w:val="18"/>
          <w:szCs w:val="18"/>
        </w:rPr>
      </w:pPr>
      <w:r>
        <w:rPr>
          <w:rStyle w:val="FootnoteReference"/>
        </w:rPr>
        <w:footnoteRef/>
      </w:r>
      <w:r>
        <w:rPr>
          <w:color w:val="000000"/>
          <w:sz w:val="18"/>
          <w:szCs w:val="18"/>
        </w:rPr>
        <w:t xml:space="preserve"> </w:t>
      </w:r>
      <w:r>
        <w:rPr>
          <w:sz w:val="18"/>
          <w:szCs w:val="18"/>
        </w:rPr>
        <w:t xml:space="preserve">In relation to the Pilot Judgment Rule of the ECtHR, </w:t>
      </w:r>
      <w:proofErr w:type="spellStart"/>
      <w:r>
        <w:rPr>
          <w:sz w:val="18"/>
          <w:szCs w:val="18"/>
        </w:rPr>
        <w:t>Sainati</w:t>
      </w:r>
      <w:proofErr w:type="spellEnd"/>
      <w:r>
        <w:rPr>
          <w:color w:val="000000"/>
          <w:sz w:val="18"/>
          <w:szCs w:val="18"/>
        </w:rPr>
        <w:t xml:space="preserve"> suggests incorporating the following: </w:t>
      </w:r>
      <w:r>
        <w:rPr>
          <w:i/>
          <w:color w:val="000000"/>
          <w:sz w:val="18"/>
          <w:szCs w:val="18"/>
        </w:rPr>
        <w:t>Where pers</w:t>
      </w:r>
      <w:r>
        <w:rPr>
          <w:i/>
          <w:color w:val="000000"/>
          <w:sz w:val="18"/>
          <w:szCs w:val="18"/>
        </w:rPr>
        <w:t xml:space="preserve">ons in the same situation as the pilot applicant do not belong to one identifiable class, the Court shall select such applications raising distinct claims or issues of law and fact as necessary to create homogenous subclasses. </w:t>
      </w:r>
      <w:r>
        <w:rPr>
          <w:color w:val="000000"/>
          <w:sz w:val="18"/>
          <w:szCs w:val="18"/>
        </w:rPr>
        <w:t>A s</w:t>
      </w:r>
      <w:r>
        <w:rPr>
          <w:sz w:val="18"/>
          <w:szCs w:val="18"/>
        </w:rPr>
        <w:t>imilar modification may be</w:t>
      </w:r>
      <w:r>
        <w:rPr>
          <w:sz w:val="18"/>
          <w:szCs w:val="18"/>
        </w:rPr>
        <w:t xml:space="preserve"> made to draft Rule 20. </w:t>
      </w:r>
    </w:p>
  </w:footnote>
  <w:footnote w:id="5">
    <w:p w14:paraId="00000037" w14:textId="63B28906" w:rsidR="008270CA" w:rsidRDefault="0000229E">
      <w:pPr>
        <w:pBdr>
          <w:top w:val="nil"/>
          <w:left w:val="nil"/>
          <w:bottom w:val="nil"/>
          <w:right w:val="nil"/>
          <w:between w:val="nil"/>
        </w:pBdr>
        <w:spacing w:after="0" w:line="240" w:lineRule="auto"/>
        <w:rPr>
          <w:sz w:val="18"/>
          <w:szCs w:val="18"/>
        </w:rPr>
      </w:pPr>
      <w:r>
        <w:rPr>
          <w:rStyle w:val="FootnoteReference"/>
        </w:rPr>
        <w:footnoteRef/>
      </w:r>
      <w:r>
        <w:rPr>
          <w:sz w:val="18"/>
          <w:szCs w:val="18"/>
        </w:rPr>
        <w:t xml:space="preserve"> This has also been raised about the ECtHR’s Pilot Judgment</w:t>
      </w:r>
      <w:r w:rsidR="008D4934">
        <w:rPr>
          <w:sz w:val="18"/>
          <w:szCs w:val="18"/>
        </w:rPr>
        <w:t>s</w:t>
      </w:r>
      <w:r>
        <w:rPr>
          <w:sz w:val="18"/>
          <w:szCs w:val="18"/>
        </w:rPr>
        <w:t xml:space="preserve">. </w:t>
      </w:r>
      <w:r>
        <w:rPr>
          <w:i/>
          <w:sz w:val="18"/>
          <w:szCs w:val="18"/>
        </w:rPr>
        <w:t>See</w:t>
      </w:r>
      <w:r>
        <w:rPr>
          <w:sz w:val="18"/>
          <w:szCs w:val="18"/>
        </w:rPr>
        <w:t xml:space="preserve"> Helfer, ‘Red</w:t>
      </w:r>
      <w:r>
        <w:rPr>
          <w:sz w:val="18"/>
          <w:szCs w:val="18"/>
        </w:rPr>
        <w:t xml:space="preserve">esigning the European Court of Human Rights’, 156; </w:t>
      </w:r>
      <w:proofErr w:type="spellStart"/>
      <w:r>
        <w:rPr>
          <w:sz w:val="18"/>
          <w:szCs w:val="18"/>
        </w:rPr>
        <w:t>Sainati</w:t>
      </w:r>
      <w:proofErr w:type="spellEnd"/>
      <w:r>
        <w:rPr>
          <w:sz w:val="18"/>
          <w:szCs w:val="18"/>
        </w:rPr>
        <w:t>, ‘Human Rights Class Actions: Rethinking the Pilo</w:t>
      </w:r>
      <w:r>
        <w:rPr>
          <w:color w:val="000000"/>
          <w:sz w:val="18"/>
          <w:szCs w:val="18"/>
        </w:rPr>
        <w:t>t-Judgment Procedure at the European Court of Human Rights’, 198. Gerrards has also suggested that the European Court make more visible use of NGO a</w:t>
      </w:r>
      <w:r>
        <w:rPr>
          <w:color w:val="000000"/>
          <w:sz w:val="18"/>
          <w:szCs w:val="18"/>
        </w:rPr>
        <w:t xml:space="preserve">ssistance </w:t>
      </w:r>
      <w:proofErr w:type="gramStart"/>
      <w:r>
        <w:rPr>
          <w:color w:val="000000"/>
          <w:sz w:val="18"/>
          <w:szCs w:val="18"/>
        </w:rPr>
        <w:t>in order to</w:t>
      </w:r>
      <w:proofErr w:type="gramEnd"/>
      <w:r>
        <w:rPr>
          <w:color w:val="000000"/>
          <w:sz w:val="18"/>
          <w:szCs w:val="18"/>
        </w:rPr>
        <w:t xml:space="preserve"> carefully select appropriate Pilot cases where there is real possibility of an effective solution.</w:t>
      </w:r>
      <w:r w:rsidR="008D4934">
        <w:rPr>
          <w:color w:val="000000"/>
          <w:sz w:val="18"/>
          <w:szCs w:val="18"/>
        </w:rPr>
        <w:t xml:space="preserve"> </w:t>
      </w:r>
      <w:proofErr w:type="spellStart"/>
      <w:proofErr w:type="gramStart"/>
      <w:r>
        <w:rPr>
          <w:color w:val="000000"/>
          <w:sz w:val="18"/>
          <w:szCs w:val="18"/>
        </w:rPr>
        <w:t>Gerards</w:t>
      </w:r>
      <w:proofErr w:type="spellEnd"/>
      <w:proofErr w:type="gramEnd"/>
      <w:r>
        <w:rPr>
          <w:color w:val="000000"/>
          <w:sz w:val="18"/>
          <w:szCs w:val="18"/>
        </w:rPr>
        <w:t>, ‘The Pilot Judgment Procedure before the European Court of Human Rights as an Instrument for Dialogue’, 24.</w:t>
      </w:r>
      <w:r>
        <w:rPr>
          <w:sz w:val="18"/>
          <w:szCs w:val="18"/>
        </w:rPr>
        <w:t xml:space="preserve"> </w:t>
      </w:r>
    </w:p>
  </w:footnote>
  <w:footnote w:id="6">
    <w:p w14:paraId="0000003A" w14:textId="77777777" w:rsidR="008270CA" w:rsidRDefault="0000229E">
      <w:pPr>
        <w:spacing w:after="0" w:line="240" w:lineRule="auto"/>
        <w:rPr>
          <w:sz w:val="18"/>
          <w:szCs w:val="18"/>
        </w:rPr>
      </w:pPr>
      <w:r>
        <w:rPr>
          <w:rStyle w:val="FootnoteReference"/>
        </w:rPr>
        <w:footnoteRef/>
      </w:r>
      <w:r>
        <w:rPr>
          <w:sz w:val="18"/>
          <w:szCs w:val="18"/>
        </w:rPr>
        <w:t xml:space="preserve"> Matthew Craven, ‘The Domestic Application of the International Covenant on Economic, Social and Cultural R</w:t>
      </w:r>
      <w:r>
        <w:rPr>
          <w:sz w:val="18"/>
          <w:szCs w:val="18"/>
        </w:rPr>
        <w:t xml:space="preserve">ights’, Netherlands </w:t>
      </w:r>
      <w:r>
        <w:rPr>
          <w:i/>
          <w:sz w:val="18"/>
          <w:szCs w:val="18"/>
        </w:rPr>
        <w:t>International Law Review</w:t>
      </w:r>
      <w:r>
        <w:rPr>
          <w:sz w:val="18"/>
          <w:szCs w:val="18"/>
        </w:rPr>
        <w:t>, Vol. XL, 1993, 389; Bruce Porter, "</w:t>
      </w:r>
      <w:hyperlink r:id="rId1">
        <w:r>
          <w:rPr>
            <w:color w:val="1155CC"/>
            <w:sz w:val="18"/>
            <w:szCs w:val="18"/>
            <w:u w:val="single"/>
          </w:rPr>
          <w:t>Claiming Adjudicative Space: Social Rights, Equality and Citizenship</w:t>
        </w:r>
      </w:hyperlink>
      <w:r>
        <w:rPr>
          <w:sz w:val="18"/>
          <w:szCs w:val="18"/>
        </w:rPr>
        <w:t xml:space="preserve">" in Margot Young et al, eds, </w:t>
      </w:r>
      <w:r>
        <w:rPr>
          <w:i/>
          <w:sz w:val="18"/>
          <w:szCs w:val="18"/>
        </w:rPr>
        <w:t>P</w:t>
      </w:r>
      <w:r>
        <w:rPr>
          <w:i/>
          <w:sz w:val="18"/>
          <w:szCs w:val="18"/>
        </w:rPr>
        <w:t>overty: Rights, Social Citizenship, and Legal Activism</w:t>
      </w:r>
      <w:r>
        <w:rPr>
          <w:sz w:val="18"/>
          <w:szCs w:val="18"/>
        </w:rPr>
        <w:t xml:space="preserve"> (Vancouver: UBC Press, 2007) 77.</w:t>
      </w:r>
    </w:p>
  </w:footnote>
  <w:footnote w:id="7">
    <w:p w14:paraId="0000003B" w14:textId="77777777" w:rsidR="008270CA" w:rsidRDefault="0000229E">
      <w:pPr>
        <w:shd w:val="clear" w:color="auto" w:fill="FFFFFC"/>
        <w:spacing w:after="0" w:line="240" w:lineRule="auto"/>
        <w:rPr>
          <w:color w:val="676968"/>
          <w:sz w:val="18"/>
          <w:szCs w:val="18"/>
        </w:rPr>
      </w:pPr>
      <w:r>
        <w:rPr>
          <w:rStyle w:val="FootnoteReference"/>
        </w:rPr>
        <w:footnoteRef/>
      </w:r>
      <w:r>
        <w:rPr>
          <w:sz w:val="18"/>
          <w:szCs w:val="18"/>
        </w:rPr>
        <w:t xml:space="preserve"> </w:t>
      </w:r>
      <w:r>
        <w:rPr>
          <w:i/>
          <w:sz w:val="18"/>
          <w:szCs w:val="18"/>
        </w:rPr>
        <w:t>See</w:t>
      </w:r>
      <w:r>
        <w:rPr>
          <w:sz w:val="18"/>
          <w:szCs w:val="18"/>
        </w:rPr>
        <w:t xml:space="preserve"> James L. </w:t>
      </w:r>
      <w:proofErr w:type="spellStart"/>
      <w:r>
        <w:rPr>
          <w:sz w:val="18"/>
          <w:szCs w:val="18"/>
        </w:rPr>
        <w:t>Caravallo</w:t>
      </w:r>
      <w:proofErr w:type="spellEnd"/>
      <w:r>
        <w:rPr>
          <w:sz w:val="18"/>
          <w:szCs w:val="18"/>
        </w:rPr>
        <w:t xml:space="preserve"> and Stephanie E. Brewer, </w:t>
      </w:r>
      <w:r>
        <w:rPr>
          <w:sz w:val="18"/>
          <w:szCs w:val="18"/>
          <w:u w:val="single"/>
        </w:rPr>
        <w:t>Reevaluating Regional Human Rights Litigation in the Twenty-First Century: The Case of the Inter-American Court</w:t>
      </w:r>
      <w:r>
        <w:rPr>
          <w:sz w:val="18"/>
          <w:szCs w:val="18"/>
        </w:rPr>
        <w:t>, 102 American Journal of International Law 768 (2008):</w:t>
      </w:r>
    </w:p>
    <w:p w14:paraId="0000003C" w14:textId="77777777" w:rsidR="008270CA" w:rsidRDefault="0000229E">
      <w:pPr>
        <w:spacing w:after="0" w:line="240" w:lineRule="auto"/>
        <w:rPr>
          <w:sz w:val="18"/>
          <w:szCs w:val="18"/>
        </w:rPr>
      </w:pPr>
      <w:r>
        <w:rPr>
          <w:sz w:val="18"/>
          <w:szCs w:val="18"/>
        </w:rPr>
        <w:t>771-772.</w:t>
      </w:r>
    </w:p>
  </w:footnote>
  <w:footnote w:id="8">
    <w:p w14:paraId="0000003D" w14:textId="77777777" w:rsidR="008270CA" w:rsidRDefault="0000229E">
      <w:pPr>
        <w:spacing w:after="0" w:line="240" w:lineRule="auto"/>
        <w:rPr>
          <w:sz w:val="18"/>
          <w:szCs w:val="18"/>
        </w:rPr>
      </w:pPr>
      <w:r>
        <w:rPr>
          <w:rStyle w:val="FootnoteReference"/>
        </w:rPr>
        <w:footnoteRef/>
      </w:r>
      <w:r>
        <w:rPr>
          <w:sz w:val="18"/>
          <w:szCs w:val="18"/>
        </w:rPr>
        <w:t xml:space="preserve"> Sandra Liebenberg, ‘Participatory Justice in Social Rights Adjudication’ </w:t>
      </w:r>
      <w:r>
        <w:rPr>
          <w:i/>
          <w:sz w:val="18"/>
          <w:szCs w:val="18"/>
        </w:rPr>
        <w:t>Human</w:t>
      </w:r>
      <w:r>
        <w:rPr>
          <w:i/>
          <w:sz w:val="18"/>
          <w:szCs w:val="18"/>
        </w:rPr>
        <w:t xml:space="preserve"> Rights Law Review</w:t>
      </w:r>
      <w:r>
        <w:rPr>
          <w:sz w:val="18"/>
          <w:szCs w:val="18"/>
        </w:rPr>
        <w:t>, 2018, 18, 623–649 at 623.</w:t>
      </w:r>
    </w:p>
  </w:footnote>
  <w:footnote w:id="9">
    <w:p w14:paraId="00000038" w14:textId="77777777" w:rsidR="008270CA" w:rsidRDefault="0000229E">
      <w:pPr>
        <w:pBdr>
          <w:top w:val="nil"/>
          <w:left w:val="nil"/>
          <w:bottom w:val="nil"/>
          <w:right w:val="nil"/>
          <w:between w:val="nil"/>
        </w:pBdr>
        <w:spacing w:after="0" w:line="240" w:lineRule="auto"/>
        <w:rPr>
          <w:color w:val="000000"/>
          <w:sz w:val="18"/>
          <w:szCs w:val="18"/>
        </w:rPr>
      </w:pPr>
      <w:r>
        <w:rPr>
          <w:rStyle w:val="FootnoteReference"/>
        </w:rPr>
        <w:footnoteRef/>
      </w:r>
      <w:r>
        <w:rPr>
          <w:color w:val="000000"/>
          <w:sz w:val="18"/>
          <w:szCs w:val="18"/>
        </w:rPr>
        <w:t xml:space="preserve"> </w:t>
      </w:r>
      <w:r>
        <w:rPr>
          <w:color w:val="222222"/>
          <w:sz w:val="18"/>
          <w:szCs w:val="18"/>
          <w:highlight w:val="white"/>
        </w:rPr>
        <w:t>‘CESCR Jurisprud</w:t>
      </w:r>
      <w:r>
        <w:rPr>
          <w:color w:val="222222"/>
          <w:sz w:val="18"/>
          <w:szCs w:val="18"/>
          <w:highlight w:val="white"/>
        </w:rPr>
        <w:t>ence’, GI-ESCR, accessed 9 August 2021, </w:t>
      </w:r>
      <w:hyperlink r:id="rId2">
        <w:r>
          <w:rPr>
            <w:color w:val="1155CC"/>
            <w:sz w:val="18"/>
            <w:szCs w:val="18"/>
            <w:highlight w:val="white"/>
            <w:u w:val="single"/>
          </w:rPr>
          <w:t>https://www.gi-escr.org/cescr-jurisprudence</w:t>
        </w:r>
      </w:hyperlink>
      <w:r>
        <w:rPr>
          <w:color w:val="222222"/>
          <w:sz w:val="18"/>
          <w:szCs w:val="18"/>
          <w:highlight w:val="whit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8270CA" w:rsidRDefault="0000229E">
    <w:pPr>
      <w:widowControl w:val="0"/>
      <w:jc w:val="right"/>
      <w:rPr>
        <w:color w:val="000000"/>
      </w:rPr>
    </w:pPr>
    <w:r>
      <w:t>August 13,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C4059"/>
    <w:multiLevelType w:val="multilevel"/>
    <w:tmpl w:val="BDBA3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0CA"/>
    <w:rsid w:val="0000229E"/>
    <w:rsid w:val="00600CDB"/>
    <w:rsid w:val="00631279"/>
    <w:rsid w:val="008270CA"/>
    <w:rsid w:val="008D4934"/>
    <w:rsid w:val="00A53C18"/>
    <w:rsid w:val="00CA4CFD"/>
    <w:rsid w:val="00E4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3D8D"/>
  <w15:docId w15:val="{44ABD569-9119-4ADF-9587-0268F5C1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5442D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84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039"/>
  </w:style>
  <w:style w:type="paragraph" w:styleId="Footer">
    <w:name w:val="footer"/>
    <w:basedOn w:val="Normal"/>
    <w:link w:val="FooterChar"/>
    <w:uiPriority w:val="99"/>
    <w:unhideWhenUsed/>
    <w:rsid w:val="00984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039"/>
  </w:style>
  <w:style w:type="character" w:styleId="Hyperlink">
    <w:name w:val="Hyperlink"/>
    <w:basedOn w:val="DefaultParagraphFont"/>
    <w:uiPriority w:val="99"/>
    <w:unhideWhenUsed/>
    <w:rsid w:val="00984039"/>
    <w:rPr>
      <w:color w:val="0563C1" w:themeColor="hyperlink"/>
      <w:u w:val="single"/>
    </w:rPr>
  </w:style>
  <w:style w:type="character" w:styleId="UnresolvedMention">
    <w:name w:val="Unresolved Mention"/>
    <w:basedOn w:val="DefaultParagraphFont"/>
    <w:uiPriority w:val="99"/>
    <w:semiHidden/>
    <w:unhideWhenUsed/>
    <w:rsid w:val="00984039"/>
    <w:rPr>
      <w:color w:val="605E5C"/>
      <w:shd w:val="clear" w:color="auto" w:fill="E1DFDD"/>
    </w:rPr>
  </w:style>
  <w:style w:type="character" w:customStyle="1" w:styleId="Heading2Char">
    <w:name w:val="Heading 2 Char"/>
    <w:basedOn w:val="DefaultParagraphFont"/>
    <w:link w:val="Heading2"/>
    <w:uiPriority w:val="9"/>
    <w:rsid w:val="005442D1"/>
    <w:rPr>
      <w:rFonts w:asciiTheme="majorHAnsi" w:eastAsiaTheme="majorEastAsia" w:hAnsiTheme="majorHAnsi" w:cstheme="majorBidi"/>
      <w:color w:val="2F5496" w:themeColor="accent1" w:themeShade="BF"/>
      <w:sz w:val="26"/>
      <w:szCs w:val="26"/>
      <w:lang w:val="en-GB"/>
    </w:rPr>
  </w:style>
  <w:style w:type="character" w:customStyle="1" w:styleId="m5419154968903260832msofootnotereference">
    <w:name w:val="m_5419154968903260832msofootnotereference"/>
    <w:basedOn w:val="DefaultParagraphFont"/>
    <w:rsid w:val="005442D1"/>
  </w:style>
  <w:style w:type="paragraph" w:styleId="FootnoteText">
    <w:name w:val="footnote text"/>
    <w:basedOn w:val="Normal"/>
    <w:link w:val="FootnoteTextChar"/>
    <w:uiPriority w:val="99"/>
    <w:unhideWhenUsed/>
    <w:rsid w:val="00BE350C"/>
    <w:pPr>
      <w:spacing w:after="0" w:line="240" w:lineRule="auto"/>
    </w:pPr>
    <w:rPr>
      <w:sz w:val="20"/>
      <w:szCs w:val="20"/>
    </w:rPr>
  </w:style>
  <w:style w:type="character" w:customStyle="1" w:styleId="FootnoteTextChar">
    <w:name w:val="Footnote Text Char"/>
    <w:basedOn w:val="DefaultParagraphFont"/>
    <w:link w:val="FootnoteText"/>
    <w:uiPriority w:val="99"/>
    <w:rsid w:val="00BE350C"/>
    <w:rPr>
      <w:sz w:val="20"/>
      <w:szCs w:val="20"/>
    </w:rPr>
  </w:style>
  <w:style w:type="character" w:styleId="FootnoteReference">
    <w:name w:val="footnote reference"/>
    <w:basedOn w:val="DefaultParagraphFont"/>
    <w:uiPriority w:val="99"/>
    <w:semiHidden/>
    <w:unhideWhenUsed/>
    <w:rsid w:val="00BE350C"/>
    <w:rPr>
      <w:vertAlign w:val="superscript"/>
    </w:rPr>
  </w:style>
  <w:style w:type="character" w:styleId="Strong">
    <w:name w:val="Strong"/>
    <w:basedOn w:val="DefaultParagraphFont"/>
    <w:uiPriority w:val="22"/>
    <w:qFormat/>
    <w:rsid w:val="00BE350C"/>
    <w:rPr>
      <w:b/>
      <w:bCs/>
    </w:rPr>
  </w:style>
  <w:style w:type="paragraph" w:styleId="ListParagraph">
    <w:name w:val="List Paragraph"/>
    <w:basedOn w:val="Normal"/>
    <w:uiPriority w:val="34"/>
    <w:qFormat/>
    <w:rsid w:val="004C3A76"/>
    <w:pPr>
      <w:ind w:left="720"/>
      <w:contextualSpacing/>
    </w:pPr>
  </w:style>
  <w:style w:type="character" w:styleId="CommentReference">
    <w:name w:val="annotation reference"/>
    <w:basedOn w:val="DefaultParagraphFont"/>
    <w:uiPriority w:val="99"/>
    <w:semiHidden/>
    <w:unhideWhenUsed/>
    <w:rsid w:val="00DD1EF8"/>
    <w:rPr>
      <w:sz w:val="16"/>
      <w:szCs w:val="16"/>
    </w:rPr>
  </w:style>
  <w:style w:type="paragraph" w:styleId="CommentText">
    <w:name w:val="annotation text"/>
    <w:basedOn w:val="Normal"/>
    <w:link w:val="CommentTextChar"/>
    <w:uiPriority w:val="99"/>
    <w:semiHidden/>
    <w:unhideWhenUsed/>
    <w:rsid w:val="00DD1EF8"/>
    <w:pPr>
      <w:spacing w:line="240" w:lineRule="auto"/>
    </w:pPr>
    <w:rPr>
      <w:sz w:val="20"/>
      <w:szCs w:val="20"/>
    </w:rPr>
  </w:style>
  <w:style w:type="character" w:customStyle="1" w:styleId="CommentTextChar">
    <w:name w:val="Comment Text Char"/>
    <w:basedOn w:val="DefaultParagraphFont"/>
    <w:link w:val="CommentText"/>
    <w:uiPriority w:val="99"/>
    <w:semiHidden/>
    <w:rsid w:val="00DD1EF8"/>
    <w:rPr>
      <w:sz w:val="20"/>
      <w:szCs w:val="20"/>
    </w:rPr>
  </w:style>
  <w:style w:type="paragraph" w:styleId="CommentSubject">
    <w:name w:val="annotation subject"/>
    <w:basedOn w:val="CommentText"/>
    <w:next w:val="CommentText"/>
    <w:link w:val="CommentSubjectChar"/>
    <w:uiPriority w:val="99"/>
    <w:semiHidden/>
    <w:unhideWhenUsed/>
    <w:rsid w:val="00DD1EF8"/>
    <w:rPr>
      <w:b/>
      <w:bCs/>
    </w:rPr>
  </w:style>
  <w:style w:type="character" w:customStyle="1" w:styleId="CommentSubjectChar">
    <w:name w:val="Comment Subject Char"/>
    <w:basedOn w:val="CommentTextChar"/>
    <w:link w:val="CommentSubject"/>
    <w:uiPriority w:val="99"/>
    <w:semiHidden/>
    <w:rsid w:val="00DD1EF8"/>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hchr.org/EN/HRBodies/CESCR/Pages/ContributionsDRP_ICESCR.aspx"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ialrights.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servatoridesc.org/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i-escr.org/" TargetMode="External"/><Relationship Id="rId4" Type="http://schemas.openxmlformats.org/officeDocument/2006/relationships/settings" Target="settings.xml"/><Relationship Id="rId9" Type="http://schemas.openxmlformats.org/officeDocument/2006/relationships/hyperlink" Target="https://reproductiverights.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i-escr.org/cescr-jurisprudence" TargetMode="External"/><Relationship Id="rId1" Type="http://schemas.openxmlformats.org/officeDocument/2006/relationships/hyperlink" Target="http://www.socialrights.ca/2020/adjudicative%20spa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3hxgTM0slIM66/8IGMvwx4XRTw==">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A01B7B-AB2E-4D5A-AFCC-6833F87BAF72}"/>
</file>

<file path=customXml/itemProps3.xml><?xml version="1.0" encoding="utf-8"?>
<ds:datastoreItem xmlns:ds="http://schemas.openxmlformats.org/officeDocument/2006/customXml" ds:itemID="{107393E1-889C-4976-8D10-BCA6B6F940A6}"/>
</file>

<file path=customXml/itemProps4.xml><?xml version="1.0" encoding="utf-8"?>
<ds:datastoreItem xmlns:ds="http://schemas.openxmlformats.org/officeDocument/2006/customXml" ds:itemID="{C458A42B-68A3-42FF-B104-7C107C13EAB0}"/>
</file>

<file path=docProps/app.xml><?xml version="1.0" encoding="utf-8"?>
<Properties xmlns="http://schemas.openxmlformats.org/officeDocument/2006/extended-properties" xmlns:vt="http://schemas.openxmlformats.org/officeDocument/2006/docPropsVTypes">
  <Template>Normal.dotm</Template>
  <TotalTime>1</TotalTime>
  <Pages>5</Pages>
  <Words>2844</Words>
  <Characters>16216</Characters>
  <Application>Microsoft Office Word</Application>
  <DocSecurity>0</DocSecurity>
  <Lines>135</Lines>
  <Paragraphs>38</Paragraphs>
  <ScaleCrop>false</ScaleCrop>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R. Delgado</dc:creator>
  <cp:lastModifiedBy>Fernando R. Delgado</cp:lastModifiedBy>
  <cp:revision>2</cp:revision>
  <cp:lastPrinted>2021-08-13T22:40:00Z</cp:lastPrinted>
  <dcterms:created xsi:type="dcterms:W3CDTF">2021-08-13T22:41:00Z</dcterms:created>
  <dcterms:modified xsi:type="dcterms:W3CDTF">2021-08-13T22:41:00Z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