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A8" w:rsidRDefault="00965CA8" w:rsidP="00965CA8">
      <w:pPr>
        <w:jc w:val="right"/>
        <w:rPr>
          <w:b/>
          <w:lang w:val="en-GB"/>
        </w:rPr>
      </w:pPr>
      <w:bookmarkStart w:id="0" w:name="_GoBack"/>
      <w:bookmarkEnd w:id="0"/>
      <w:r>
        <w:t>31 January 2017</w:t>
      </w:r>
    </w:p>
    <w:p w:rsidR="004C4F45" w:rsidRPr="00965CA8" w:rsidRDefault="00965CA8">
      <w:pPr>
        <w:rPr>
          <w:b/>
          <w:lang w:val="en-GB"/>
        </w:rPr>
      </w:pPr>
      <w:r w:rsidRPr="00965CA8">
        <w:rPr>
          <w:b/>
          <w:lang w:val="en-GB"/>
        </w:rPr>
        <w:t>Submission to UN Committee on Economic, Social and Cultural Rights on its draft General Comment on State Obligations under the International Covenant on Economic, Social and Cultural Rights in the Context of Business Activities</w:t>
      </w:r>
      <w:r>
        <w:rPr>
          <w:b/>
          <w:lang w:val="en-GB"/>
        </w:rPr>
        <w:tab/>
      </w:r>
      <w:r>
        <w:rPr>
          <w:b/>
          <w:lang w:val="en-GB"/>
        </w:rPr>
        <w:tab/>
      </w:r>
      <w:r>
        <w:rPr>
          <w:b/>
          <w:lang w:val="en-GB"/>
        </w:rPr>
        <w:tab/>
      </w:r>
    </w:p>
    <w:p w:rsidR="009C6798" w:rsidRDefault="0053238D" w:rsidP="00AD401E">
      <w:pPr>
        <w:ind w:firstLine="720"/>
        <w:jc w:val="both"/>
      </w:pPr>
      <w:r>
        <w:t xml:space="preserve">On behalf of the </w:t>
      </w:r>
      <w:r w:rsidR="004C78AF">
        <w:t>member ag</w:t>
      </w:r>
      <w:r w:rsidR="00541307">
        <w:t xml:space="preserve">encies of the </w:t>
      </w:r>
      <w:r w:rsidR="00D77A78">
        <w:t xml:space="preserve">United Nations </w:t>
      </w:r>
      <w:r w:rsidR="00541307">
        <w:t>Human Rights Them</w:t>
      </w:r>
      <w:r w:rsidR="00D77A78">
        <w:t>e</w:t>
      </w:r>
      <w:r w:rsidR="00541307">
        <w:t xml:space="preserve"> G</w:t>
      </w:r>
      <w:r w:rsidR="004C78AF">
        <w:t>roup in Cambodia,</w:t>
      </w:r>
      <w:r w:rsidR="00B41287">
        <w:rPr>
          <w:rStyle w:val="FootnoteReference"/>
        </w:rPr>
        <w:footnoteReference w:id="1"/>
      </w:r>
      <w:r w:rsidR="004C78AF">
        <w:t xml:space="preserve"> OHCHR-Cambodia </w:t>
      </w:r>
      <w:r w:rsidR="002F5E1E">
        <w:t>is pleased</w:t>
      </w:r>
      <w:r w:rsidR="00B0536F">
        <w:t xml:space="preserve"> to </w:t>
      </w:r>
      <w:r w:rsidR="002F5E1E">
        <w:t>submit</w:t>
      </w:r>
      <w:r w:rsidR="003D5028">
        <w:t xml:space="preserve"> this</w:t>
      </w:r>
      <w:r w:rsidR="007A5334">
        <w:t xml:space="preserve"> joint</w:t>
      </w:r>
      <w:r w:rsidR="00194174">
        <w:t xml:space="preserve"> submission on </w:t>
      </w:r>
      <w:r w:rsidR="005B7DAB">
        <w:t xml:space="preserve">the Committee’s </w:t>
      </w:r>
      <w:r w:rsidR="001B1C6C">
        <w:t xml:space="preserve">draft General Comment on </w:t>
      </w:r>
      <w:r w:rsidR="00BC77E8">
        <w:t xml:space="preserve">State Obligations under the International Covenant on Economic, Social and Cultural Rights in the Context of Business Activities. </w:t>
      </w:r>
      <w:r w:rsidR="007A5334">
        <w:t xml:space="preserve"> </w:t>
      </w:r>
    </w:p>
    <w:p w:rsidR="00AD488E" w:rsidRPr="003B5094" w:rsidRDefault="003F4BBA" w:rsidP="00AD401E">
      <w:pPr>
        <w:ind w:firstLine="720"/>
        <w:jc w:val="both"/>
      </w:pPr>
      <w:r w:rsidRPr="003B5094">
        <w:t>The</w:t>
      </w:r>
      <w:r w:rsidR="00F14F02" w:rsidRPr="003B5094">
        <w:t xml:space="preserve"> </w:t>
      </w:r>
      <w:r w:rsidR="00486DBF" w:rsidRPr="003B5094">
        <w:t xml:space="preserve">members of the </w:t>
      </w:r>
      <w:r w:rsidR="00F14F02" w:rsidRPr="003B5094">
        <w:t xml:space="preserve">Human Rights </w:t>
      </w:r>
      <w:r w:rsidR="00EF7FB4">
        <w:t>Theme</w:t>
      </w:r>
      <w:r w:rsidR="00F14F02" w:rsidRPr="003B5094">
        <w:t xml:space="preserve"> Group in Cambodia </w:t>
      </w:r>
      <w:r w:rsidR="00A95BE0">
        <w:t xml:space="preserve">express </w:t>
      </w:r>
      <w:r w:rsidR="00B8032C">
        <w:t>appreciation</w:t>
      </w:r>
      <w:r w:rsidR="002F058A" w:rsidRPr="003B5094">
        <w:t xml:space="preserve"> for the opportunity to comment</w:t>
      </w:r>
      <w:r w:rsidR="0002217A">
        <w:t xml:space="preserve"> on</w:t>
      </w:r>
      <w:r w:rsidR="00982576">
        <w:t xml:space="preserve"> </w:t>
      </w:r>
      <w:r w:rsidR="005A3430">
        <w:t>the</w:t>
      </w:r>
      <w:r w:rsidR="008B1D15">
        <w:t xml:space="preserve"> </w:t>
      </w:r>
      <w:r w:rsidR="005A08EB" w:rsidRPr="003B5094">
        <w:t>draft General Comment</w:t>
      </w:r>
      <w:r w:rsidR="0002217A">
        <w:t xml:space="preserve">, which </w:t>
      </w:r>
      <w:r w:rsidR="004347C8" w:rsidRPr="003B5094">
        <w:t xml:space="preserve">is particularly pertinent to Cambodia, where </w:t>
      </w:r>
      <w:r w:rsidR="004802AB" w:rsidRPr="003B5094">
        <w:t xml:space="preserve">business-related </w:t>
      </w:r>
      <w:r w:rsidR="00143844" w:rsidRPr="003B5094">
        <w:rPr>
          <w:color w:val="000000"/>
        </w:rPr>
        <w:t>huma</w:t>
      </w:r>
      <w:r w:rsidR="00690FF1" w:rsidRPr="003B5094">
        <w:rPr>
          <w:color w:val="000000"/>
        </w:rPr>
        <w:t>n rights abuses</w:t>
      </w:r>
      <w:r w:rsidR="00523013" w:rsidRPr="003B5094">
        <w:rPr>
          <w:color w:val="000000"/>
        </w:rPr>
        <w:t>, including</w:t>
      </w:r>
      <w:r w:rsidR="00690FF1" w:rsidRPr="003B5094">
        <w:rPr>
          <w:color w:val="000000"/>
        </w:rPr>
        <w:t xml:space="preserve"> in </w:t>
      </w:r>
      <w:r w:rsidR="00023251">
        <w:rPr>
          <w:color w:val="000000"/>
        </w:rPr>
        <w:t>the context of p</w:t>
      </w:r>
      <w:r w:rsidR="00143844" w:rsidRPr="003B5094">
        <w:rPr>
          <w:color w:val="000000"/>
        </w:rPr>
        <w:t>rojects</w:t>
      </w:r>
      <w:r w:rsidR="00CD76B0" w:rsidRPr="003B5094">
        <w:rPr>
          <w:color w:val="000000"/>
        </w:rPr>
        <w:t xml:space="preserve"> financed by development banks</w:t>
      </w:r>
      <w:r w:rsidR="00143844" w:rsidRPr="003B5094">
        <w:rPr>
          <w:color w:val="000000"/>
        </w:rPr>
        <w:t xml:space="preserve">, </w:t>
      </w:r>
      <w:r w:rsidR="0002217A">
        <w:rPr>
          <w:color w:val="000000"/>
        </w:rPr>
        <w:t>are far too common</w:t>
      </w:r>
      <w:r w:rsidR="00143844" w:rsidRPr="003B5094">
        <w:rPr>
          <w:color w:val="000000"/>
        </w:rPr>
        <w:t xml:space="preserve">. </w:t>
      </w:r>
      <w:r w:rsidR="0002217A">
        <w:rPr>
          <w:color w:val="000000"/>
        </w:rPr>
        <w:t>We do not see s</w:t>
      </w:r>
      <w:r w:rsidR="00A62A07" w:rsidRPr="003B5094">
        <w:rPr>
          <w:color w:val="000000"/>
        </w:rPr>
        <w:t xml:space="preserve">ocial conflict and violations </w:t>
      </w:r>
      <w:r w:rsidR="002A7062">
        <w:rPr>
          <w:color w:val="000000"/>
        </w:rPr>
        <w:t xml:space="preserve">of rights under the Covenant </w:t>
      </w:r>
      <w:r w:rsidR="00A62A07" w:rsidRPr="003B5094">
        <w:rPr>
          <w:color w:val="000000"/>
        </w:rPr>
        <w:t xml:space="preserve">in the context of business </w:t>
      </w:r>
      <w:r w:rsidR="00C14BB4">
        <w:rPr>
          <w:color w:val="000000"/>
        </w:rPr>
        <w:t>activities</w:t>
      </w:r>
      <w:r w:rsidR="00A62A07" w:rsidRPr="003B5094">
        <w:rPr>
          <w:color w:val="000000"/>
        </w:rPr>
        <w:t xml:space="preserve"> likely to </w:t>
      </w:r>
      <w:r w:rsidR="0002217A">
        <w:rPr>
          <w:color w:val="000000"/>
        </w:rPr>
        <w:t xml:space="preserve">diminish </w:t>
      </w:r>
      <w:r w:rsidR="00A62A07" w:rsidRPr="003B5094">
        <w:rPr>
          <w:color w:val="000000"/>
        </w:rPr>
        <w:t>in the years to come</w:t>
      </w:r>
      <w:r w:rsidR="00A62A07" w:rsidRPr="003B5094">
        <w:t xml:space="preserve">, </w:t>
      </w:r>
      <w:r w:rsidR="0002217A">
        <w:t xml:space="preserve">given </w:t>
      </w:r>
      <w:r w:rsidR="00D74EA2">
        <w:t xml:space="preserve">the </w:t>
      </w:r>
      <w:r w:rsidR="00A62A07" w:rsidRPr="003B5094">
        <w:t>grow</w:t>
      </w:r>
      <w:r w:rsidR="0002217A">
        <w:t>th in</w:t>
      </w:r>
      <w:r w:rsidR="00A62A07" w:rsidRPr="003B5094">
        <w:t xml:space="preserve"> infrastructure investment</w:t>
      </w:r>
      <w:r w:rsidR="00164F04">
        <w:t>s</w:t>
      </w:r>
      <w:r w:rsidR="00C21B2D">
        <w:t xml:space="preserve"> in the region</w:t>
      </w:r>
      <w:r w:rsidR="00E642D1">
        <w:t xml:space="preserve"> and</w:t>
      </w:r>
      <w:r w:rsidR="00FC475B">
        <w:t xml:space="preserve"> with</w:t>
      </w:r>
      <w:r w:rsidR="00E642D1">
        <w:t xml:space="preserve"> the emergence</w:t>
      </w:r>
      <w:r w:rsidR="00235593">
        <w:t xml:space="preserve"> of new development </w:t>
      </w:r>
      <w:r w:rsidR="0024519F">
        <w:t>actors</w:t>
      </w:r>
      <w:r w:rsidR="00235593">
        <w:t xml:space="preserve"> </w:t>
      </w:r>
      <w:r w:rsidR="00E209A4">
        <w:t xml:space="preserve">with limited </w:t>
      </w:r>
      <w:r w:rsidR="00655255">
        <w:t xml:space="preserve">or no social </w:t>
      </w:r>
      <w:r w:rsidR="002A25DF">
        <w:t xml:space="preserve">and environmental </w:t>
      </w:r>
      <w:r w:rsidR="00655255">
        <w:t xml:space="preserve">safeguards in place. </w:t>
      </w:r>
    </w:p>
    <w:p w:rsidR="00AD488E" w:rsidRPr="00C901A3" w:rsidRDefault="00116020" w:rsidP="00AD401E">
      <w:pPr>
        <w:ind w:firstLine="720"/>
        <w:jc w:val="both"/>
        <w:rPr>
          <w:rFonts w:eastAsia="Verdana"/>
          <w:color w:val="000000"/>
          <w:u w:color="000000"/>
          <w:bdr w:val="nil"/>
          <w:shd w:val="clear" w:color="auto" w:fill="FEFEFE"/>
          <w:lang w:eastAsia="fr-CH"/>
        </w:rPr>
      </w:pPr>
      <w:r>
        <w:t xml:space="preserve">The </w:t>
      </w:r>
      <w:r w:rsidR="0002217A">
        <w:t xml:space="preserve">Human Rights Theme </w:t>
      </w:r>
      <w:r>
        <w:t>G</w:t>
      </w:r>
      <w:r w:rsidR="0000772A">
        <w:t>roup</w:t>
      </w:r>
      <w:r w:rsidR="0002217A">
        <w:t xml:space="preserve"> noted the high quality of the</w:t>
      </w:r>
      <w:r w:rsidR="00526C46">
        <w:t xml:space="preserve"> </w:t>
      </w:r>
      <w:r w:rsidR="00132ED0">
        <w:t>draft</w:t>
      </w:r>
      <w:r w:rsidR="0002217A">
        <w:t xml:space="preserve">. We believe </w:t>
      </w:r>
      <w:r w:rsidR="00852B61">
        <w:t xml:space="preserve">that </w:t>
      </w:r>
      <w:r w:rsidR="0002217A">
        <w:t xml:space="preserve">it </w:t>
      </w:r>
      <w:r w:rsidR="00852B61">
        <w:t xml:space="preserve">will </w:t>
      </w:r>
      <w:r w:rsidR="0002217A">
        <w:t xml:space="preserve">prove to </w:t>
      </w:r>
      <w:r w:rsidR="00852B61">
        <w:t xml:space="preserve">be very useful for </w:t>
      </w:r>
      <w:r w:rsidR="0002217A">
        <w:t>our</w:t>
      </w:r>
      <w:r w:rsidR="0000772A">
        <w:t xml:space="preserve"> </w:t>
      </w:r>
      <w:r w:rsidR="00EF7FB4">
        <w:t>Theme Group</w:t>
      </w:r>
      <w:r w:rsidR="00D77A78">
        <w:t>, including</w:t>
      </w:r>
      <w:r w:rsidR="0032681C">
        <w:t xml:space="preserve"> </w:t>
      </w:r>
      <w:r w:rsidR="00B05C4C">
        <w:t xml:space="preserve">the </w:t>
      </w:r>
      <w:r w:rsidR="00903288">
        <w:t>wide cov</w:t>
      </w:r>
      <w:r w:rsidR="00520640">
        <w:t xml:space="preserve">erage of examples </w:t>
      </w:r>
      <w:r w:rsidR="00D77A78">
        <w:t>cited, such as</w:t>
      </w:r>
      <w:r w:rsidR="00520640">
        <w:t xml:space="preserve"> </w:t>
      </w:r>
      <w:r w:rsidR="00464A9C">
        <w:t xml:space="preserve">the </w:t>
      </w:r>
      <w:r w:rsidR="00A86687">
        <w:t>specific reference to</w:t>
      </w:r>
      <w:r w:rsidR="00D77A78">
        <w:t xml:space="preserve"> the need to</w:t>
      </w:r>
      <w:r w:rsidR="00A86687">
        <w:t xml:space="preserve"> </w:t>
      </w:r>
      <w:r w:rsidR="0096436C">
        <w:t>encourag</w:t>
      </w:r>
      <w:r w:rsidR="00D77A78">
        <w:t>e</w:t>
      </w:r>
      <w:r w:rsidR="0096436C">
        <w:t xml:space="preserve"> </w:t>
      </w:r>
      <w:r w:rsidR="009213F6">
        <w:t xml:space="preserve">research and development activities </w:t>
      </w:r>
      <w:r w:rsidR="00D77A78">
        <w:t>for the realization of</w:t>
      </w:r>
      <w:r w:rsidR="0092471D">
        <w:t xml:space="preserve"> the Covena</w:t>
      </w:r>
      <w:r w:rsidR="003B4FED">
        <w:t xml:space="preserve">nt while ensuring that these do </w:t>
      </w:r>
      <w:r w:rsidR="0096436C">
        <w:t xml:space="preserve">not </w:t>
      </w:r>
      <w:r w:rsidR="00C6653A">
        <w:t>undermine</w:t>
      </w:r>
      <w:r w:rsidR="008E7E4C" w:rsidRPr="00A86687">
        <w:rPr>
          <w:rFonts w:eastAsia="Verdana"/>
          <w:color w:val="000000"/>
          <w:u w:color="000000"/>
          <w:bdr w:val="nil"/>
          <w:shd w:val="clear" w:color="auto" w:fill="FEFEFE"/>
          <w:lang w:eastAsia="fr-CH"/>
        </w:rPr>
        <w:t xml:space="preserve"> access to essential medicines</w:t>
      </w:r>
      <w:r w:rsidR="00261BB1">
        <w:rPr>
          <w:rFonts w:eastAsia="Verdana"/>
          <w:color w:val="000000"/>
          <w:u w:color="000000"/>
          <w:bdr w:val="nil"/>
          <w:shd w:val="clear" w:color="auto" w:fill="FEFEFE"/>
          <w:lang w:eastAsia="fr-CH"/>
        </w:rPr>
        <w:t xml:space="preserve">. </w:t>
      </w:r>
      <w:r w:rsidR="00C00C10">
        <w:rPr>
          <w:rFonts w:eastAsia="Verdana"/>
          <w:color w:val="000000"/>
          <w:u w:color="000000"/>
          <w:bdr w:val="nil"/>
          <w:shd w:val="clear" w:color="auto" w:fill="FEFEFE"/>
          <w:lang w:eastAsia="fr-CH"/>
        </w:rPr>
        <w:t xml:space="preserve">In addition, </w:t>
      </w:r>
      <w:r w:rsidR="003845D1">
        <w:rPr>
          <w:rFonts w:eastAsia="Verdana"/>
          <w:color w:val="000000"/>
          <w:u w:color="000000"/>
          <w:bdr w:val="nil"/>
          <w:shd w:val="clear" w:color="auto" w:fill="FEFEFE"/>
          <w:lang w:eastAsia="fr-CH"/>
        </w:rPr>
        <w:t xml:space="preserve">in light of the </w:t>
      </w:r>
      <w:r w:rsidR="00816802">
        <w:rPr>
          <w:rFonts w:eastAsia="Verdana"/>
          <w:color w:val="000000"/>
          <w:u w:color="000000"/>
          <w:bdr w:val="nil"/>
          <w:shd w:val="clear" w:color="auto" w:fill="FEFEFE"/>
          <w:lang w:eastAsia="fr-CH"/>
        </w:rPr>
        <w:t xml:space="preserve">fact that a </w:t>
      </w:r>
      <w:r w:rsidR="003845D1">
        <w:rPr>
          <w:rFonts w:eastAsia="Verdana"/>
          <w:color w:val="000000"/>
          <w:u w:color="000000"/>
          <w:bdr w:val="nil"/>
          <w:shd w:val="clear" w:color="auto" w:fill="FEFEFE"/>
          <w:lang w:eastAsia="fr-CH"/>
        </w:rPr>
        <w:t xml:space="preserve">multitude of business enterprises operating in Cambodia </w:t>
      </w:r>
      <w:r w:rsidR="00816802">
        <w:rPr>
          <w:rFonts w:eastAsia="Verdana"/>
          <w:color w:val="000000"/>
          <w:u w:color="000000"/>
          <w:bdr w:val="nil"/>
          <w:shd w:val="clear" w:color="auto" w:fill="FEFEFE"/>
          <w:lang w:eastAsia="fr-CH"/>
        </w:rPr>
        <w:t>are</w:t>
      </w:r>
      <w:r w:rsidR="003845D1">
        <w:rPr>
          <w:rFonts w:eastAsia="Verdana"/>
          <w:color w:val="000000"/>
          <w:u w:color="000000"/>
          <w:bdr w:val="nil"/>
          <w:shd w:val="clear" w:color="auto" w:fill="FEFEFE"/>
          <w:lang w:eastAsia="fr-CH"/>
        </w:rPr>
        <w:t xml:space="preserve"> </w:t>
      </w:r>
      <w:r w:rsidR="00EF565E">
        <w:rPr>
          <w:rFonts w:eastAsia="Verdana"/>
          <w:color w:val="000000"/>
          <w:u w:color="000000"/>
          <w:bdr w:val="nil"/>
          <w:shd w:val="clear" w:color="auto" w:fill="FEFEFE"/>
          <w:lang w:eastAsia="fr-CH"/>
        </w:rPr>
        <w:t xml:space="preserve">registered </w:t>
      </w:r>
      <w:r w:rsidR="00982189">
        <w:rPr>
          <w:rFonts w:eastAsia="Verdana"/>
          <w:color w:val="000000"/>
          <w:u w:color="000000"/>
          <w:bdr w:val="nil"/>
          <w:shd w:val="clear" w:color="auto" w:fill="FEFEFE"/>
          <w:lang w:eastAsia="fr-CH"/>
        </w:rPr>
        <w:t>elsewhere</w:t>
      </w:r>
      <w:r w:rsidR="00D77A78">
        <w:rPr>
          <w:rFonts w:eastAsia="Verdana"/>
          <w:color w:val="000000"/>
          <w:u w:color="000000"/>
          <w:bdr w:val="nil"/>
          <w:shd w:val="clear" w:color="auto" w:fill="FEFEFE"/>
          <w:lang w:eastAsia="fr-CH"/>
        </w:rPr>
        <w:t>,</w:t>
      </w:r>
      <w:r w:rsidR="00982189">
        <w:rPr>
          <w:rFonts w:eastAsia="Verdana"/>
          <w:color w:val="000000"/>
          <w:u w:color="000000"/>
          <w:bdr w:val="nil"/>
          <w:shd w:val="clear" w:color="auto" w:fill="FEFEFE"/>
          <w:lang w:eastAsia="fr-CH"/>
        </w:rPr>
        <w:t xml:space="preserve"> the members of the </w:t>
      </w:r>
      <w:r w:rsidR="00D77A78">
        <w:rPr>
          <w:rFonts w:eastAsia="Verdana"/>
          <w:color w:val="000000"/>
          <w:u w:color="000000"/>
          <w:bdr w:val="nil"/>
          <w:shd w:val="clear" w:color="auto" w:fill="FEFEFE"/>
          <w:lang w:eastAsia="fr-CH"/>
        </w:rPr>
        <w:t xml:space="preserve">Human Rights </w:t>
      </w:r>
      <w:r w:rsidR="00EF7FB4">
        <w:rPr>
          <w:rFonts w:eastAsia="Verdana"/>
          <w:color w:val="000000"/>
          <w:u w:color="000000"/>
          <w:bdr w:val="nil"/>
          <w:shd w:val="clear" w:color="auto" w:fill="FEFEFE"/>
          <w:lang w:eastAsia="fr-CH"/>
        </w:rPr>
        <w:t>Theme Group</w:t>
      </w:r>
      <w:r w:rsidR="00C82420">
        <w:rPr>
          <w:rFonts w:eastAsia="Verdana"/>
          <w:color w:val="000000"/>
          <w:u w:color="000000"/>
          <w:bdr w:val="nil"/>
          <w:shd w:val="clear" w:color="auto" w:fill="FEFEFE"/>
          <w:lang w:eastAsia="fr-CH"/>
        </w:rPr>
        <w:t xml:space="preserve"> </w:t>
      </w:r>
      <w:r w:rsidR="00D77A78">
        <w:rPr>
          <w:rFonts w:eastAsia="Verdana"/>
          <w:color w:val="000000"/>
          <w:u w:color="000000"/>
          <w:bdr w:val="nil"/>
          <w:shd w:val="clear" w:color="auto" w:fill="FEFEFE"/>
          <w:lang w:eastAsia="fr-CH"/>
        </w:rPr>
        <w:t>welcome the</w:t>
      </w:r>
      <w:r w:rsidR="00C82420">
        <w:rPr>
          <w:rFonts w:eastAsia="Verdana"/>
          <w:color w:val="000000"/>
          <w:u w:color="000000"/>
          <w:bdr w:val="nil"/>
          <w:shd w:val="clear" w:color="auto" w:fill="FEFEFE"/>
          <w:lang w:eastAsia="fr-CH"/>
        </w:rPr>
        <w:t xml:space="preserve"> stand-alone section on</w:t>
      </w:r>
      <w:r w:rsidR="00CC4C3D">
        <w:rPr>
          <w:rFonts w:eastAsia="Verdana"/>
          <w:color w:val="000000"/>
          <w:u w:color="000000"/>
          <w:bdr w:val="nil"/>
          <w:shd w:val="clear" w:color="auto" w:fill="FEFEFE"/>
          <w:lang w:eastAsia="fr-CH"/>
        </w:rPr>
        <w:t xml:space="preserve"> </w:t>
      </w:r>
      <w:r w:rsidR="0090461D">
        <w:rPr>
          <w:rFonts w:eastAsia="Verdana"/>
          <w:color w:val="000000"/>
          <w:u w:color="000000"/>
          <w:bdr w:val="nil"/>
          <w:shd w:val="clear" w:color="auto" w:fill="FEFEFE"/>
          <w:lang w:eastAsia="fr-CH"/>
        </w:rPr>
        <w:t xml:space="preserve">the </w:t>
      </w:r>
      <w:r w:rsidR="00DB4F08">
        <w:rPr>
          <w:rFonts w:eastAsia="Verdana"/>
          <w:color w:val="000000"/>
          <w:u w:color="000000"/>
          <w:bdr w:val="nil"/>
          <w:shd w:val="clear" w:color="auto" w:fill="FEFEFE"/>
          <w:lang w:eastAsia="fr-CH"/>
        </w:rPr>
        <w:t xml:space="preserve">extraterritorial </w:t>
      </w:r>
      <w:r w:rsidR="001032A4">
        <w:rPr>
          <w:rFonts w:eastAsia="Verdana"/>
          <w:color w:val="000000"/>
          <w:u w:color="000000"/>
          <w:bdr w:val="nil"/>
          <w:shd w:val="clear" w:color="auto" w:fill="FEFEFE"/>
          <w:lang w:eastAsia="fr-CH"/>
        </w:rPr>
        <w:t xml:space="preserve">application </w:t>
      </w:r>
      <w:r w:rsidR="00E40350">
        <w:rPr>
          <w:rFonts w:eastAsia="Verdana"/>
          <w:color w:val="000000"/>
          <w:u w:color="000000"/>
          <w:bdr w:val="nil"/>
          <w:shd w:val="clear" w:color="auto" w:fill="FEFEFE"/>
          <w:lang w:eastAsia="fr-CH"/>
        </w:rPr>
        <w:t>of human rights obligations</w:t>
      </w:r>
      <w:r w:rsidR="007B3CCC">
        <w:rPr>
          <w:rFonts w:eastAsia="Verdana"/>
          <w:color w:val="000000"/>
          <w:u w:color="000000"/>
          <w:bdr w:val="nil"/>
          <w:shd w:val="clear" w:color="auto" w:fill="FEFEFE"/>
          <w:lang w:eastAsia="fr-CH"/>
        </w:rPr>
        <w:t xml:space="preserve">, </w:t>
      </w:r>
      <w:r w:rsidR="00D77A78">
        <w:rPr>
          <w:rFonts w:eastAsia="Verdana"/>
          <w:color w:val="000000"/>
          <w:u w:color="000000"/>
          <w:bdr w:val="nil"/>
          <w:shd w:val="clear" w:color="auto" w:fill="FEFEFE"/>
          <w:lang w:eastAsia="fr-CH"/>
        </w:rPr>
        <w:t xml:space="preserve">specifying that </w:t>
      </w:r>
      <w:r w:rsidR="0034404C">
        <w:rPr>
          <w:rFonts w:eastAsia="Verdana"/>
          <w:color w:val="000000"/>
          <w:u w:color="000000"/>
          <w:bdr w:val="nil"/>
          <w:shd w:val="clear" w:color="auto" w:fill="FEFEFE"/>
          <w:lang w:eastAsia="fr-CH"/>
        </w:rPr>
        <w:t xml:space="preserve">this </w:t>
      </w:r>
      <w:r w:rsidR="00806D3A" w:rsidRPr="00BD3536">
        <w:rPr>
          <w:rFonts w:eastAsia="Verdana"/>
          <w:color w:val="000000"/>
          <w:u w:color="000000"/>
          <w:bdr w:val="nil"/>
          <w:lang w:eastAsia="fr-CH"/>
        </w:rPr>
        <w:t xml:space="preserve">obligation extends to any business entities over which States Parties may exercise influence </w:t>
      </w:r>
      <w:proofErr w:type="gramStart"/>
      <w:r w:rsidR="00806D3A" w:rsidRPr="00BD3536">
        <w:rPr>
          <w:rFonts w:eastAsia="Verdana"/>
          <w:color w:val="000000"/>
          <w:u w:color="000000"/>
          <w:bdr w:val="nil"/>
          <w:lang w:eastAsia="fr-CH"/>
        </w:rPr>
        <w:t>by</w:t>
      </w:r>
      <w:proofErr w:type="gramEnd"/>
      <w:r w:rsidR="00806D3A" w:rsidRPr="00BD3536">
        <w:rPr>
          <w:rFonts w:eastAsia="Verdana"/>
          <w:color w:val="000000"/>
          <w:u w:color="000000"/>
          <w:bdr w:val="nil"/>
          <w:lang w:eastAsia="fr-CH"/>
        </w:rPr>
        <w:t xml:space="preserve"> regulatory means or by the use of incentives, including economic incentives</w:t>
      </w:r>
      <w:r w:rsidR="00806D3A" w:rsidRPr="00BD3536">
        <w:rPr>
          <w:rFonts w:eastAsia="Helvetica"/>
          <w:color w:val="000000"/>
          <w:u w:color="000000"/>
          <w:bdr w:val="nil"/>
          <w:lang w:eastAsia="fr-CH"/>
        </w:rPr>
        <w:t>, in accordance with the Charter of the United Nations and applicable international law</w:t>
      </w:r>
      <w:r w:rsidR="00806D3A" w:rsidRPr="00BD3536">
        <w:rPr>
          <w:rFonts w:eastAsia="Verdana"/>
          <w:color w:val="000000"/>
          <w:u w:color="000000"/>
          <w:bdr w:val="nil"/>
          <w:lang w:eastAsia="fr-CH"/>
        </w:rPr>
        <w:t xml:space="preserve">. </w:t>
      </w:r>
    </w:p>
    <w:p w:rsidR="00B14424" w:rsidRDefault="00B14424" w:rsidP="00AD401E">
      <w:pPr>
        <w:ind w:firstLine="720"/>
        <w:jc w:val="both"/>
      </w:pPr>
      <w:r>
        <w:t xml:space="preserve">For ease of reference, </w:t>
      </w:r>
      <w:r w:rsidR="00D77A78">
        <w:t xml:space="preserve">our </w:t>
      </w:r>
      <w:r>
        <w:t xml:space="preserve">recommendations have been grouped </w:t>
      </w:r>
      <w:r w:rsidR="0000772A">
        <w:t>by theme</w:t>
      </w:r>
      <w:r>
        <w:t xml:space="preserve">.  </w:t>
      </w:r>
    </w:p>
    <w:p w:rsidR="00792735" w:rsidRDefault="00D77A78" w:rsidP="00AD401E">
      <w:pPr>
        <w:ind w:firstLine="720"/>
        <w:jc w:val="both"/>
      </w:pPr>
      <w:r>
        <w:t xml:space="preserve">We submit our </w:t>
      </w:r>
      <w:r w:rsidR="00523BCE">
        <w:t xml:space="preserve">comments </w:t>
      </w:r>
      <w:r>
        <w:t xml:space="preserve">in the hope that they </w:t>
      </w:r>
      <w:r w:rsidR="00523BCE">
        <w:t xml:space="preserve">will </w:t>
      </w:r>
      <w:r>
        <w:t>be</w:t>
      </w:r>
      <w:r w:rsidR="00523BCE">
        <w:t xml:space="preserve"> useful in the finalization of this important General Comment.  </w:t>
      </w:r>
    </w:p>
    <w:p w:rsidR="00D77A78" w:rsidRDefault="00965CA8" w:rsidP="00AD401E">
      <w:pPr>
        <w:rPr>
          <w:rFonts w:hint="eastAsia"/>
          <w:lang w:eastAsia="ja-JP"/>
        </w:rPr>
      </w:pPr>
      <w:r>
        <w:t>Sincerely</w:t>
      </w:r>
      <w:r w:rsidR="00D77A78">
        <w:t>,</w:t>
      </w:r>
    </w:p>
    <w:p w:rsidR="00AD401E" w:rsidRDefault="00AD401E" w:rsidP="00AD401E">
      <w:pPr>
        <w:rPr>
          <w:rFonts w:hint="eastAsia"/>
          <w:lang w:eastAsia="ja-JP"/>
        </w:rPr>
      </w:pPr>
    </w:p>
    <w:p w:rsidR="00965CA8" w:rsidRDefault="008C128B" w:rsidP="00AD401E">
      <w:pPr>
        <w:spacing w:after="0" w:line="240" w:lineRule="auto"/>
      </w:pPr>
      <w:r>
        <w:t>Wan-Hea Lee</w:t>
      </w:r>
    </w:p>
    <w:p w:rsidR="00AD401E" w:rsidRDefault="007247B3" w:rsidP="00AD401E">
      <w:pPr>
        <w:spacing w:after="0" w:line="240" w:lineRule="auto"/>
        <w:rPr>
          <w:rFonts w:hint="eastAsia"/>
          <w:lang w:eastAsia="ja-JP"/>
        </w:rPr>
      </w:pPr>
      <w:r>
        <w:t xml:space="preserve">OHCHR Country </w:t>
      </w:r>
      <w:r w:rsidR="00792735">
        <w:t>Representative</w:t>
      </w:r>
      <w:r>
        <w:t xml:space="preserve">, </w:t>
      </w:r>
    </w:p>
    <w:p w:rsidR="00792735" w:rsidRDefault="007247B3" w:rsidP="00AD401E">
      <w:pPr>
        <w:spacing w:after="0" w:line="240" w:lineRule="auto"/>
      </w:pPr>
      <w:proofErr w:type="gramStart"/>
      <w:r>
        <w:t>on</w:t>
      </w:r>
      <w:proofErr w:type="gramEnd"/>
      <w:r>
        <w:t xml:space="preserve"> behalf of the Members of the </w:t>
      </w:r>
      <w:r w:rsidR="00D77A78">
        <w:t xml:space="preserve">United Nations </w:t>
      </w:r>
      <w:r>
        <w:t>Human Rights</w:t>
      </w:r>
      <w:r w:rsidR="00C472D6">
        <w:t xml:space="preserve"> Them</w:t>
      </w:r>
      <w:r w:rsidR="00D77A78">
        <w:t>e</w:t>
      </w:r>
      <w:r w:rsidR="00C472D6">
        <w:t xml:space="preserve"> Group in Cambodia</w:t>
      </w:r>
    </w:p>
    <w:p w:rsidR="00E63A10" w:rsidRDefault="00E63A10" w:rsidP="007F1E94">
      <w:pPr>
        <w:rPr>
          <w:rFonts w:eastAsia="Times New Roman" w:cs="Arial"/>
          <w:b/>
          <w:bCs/>
          <w:sz w:val="24"/>
          <w:szCs w:val="24"/>
          <w:lang w:eastAsia="en-AU"/>
        </w:rPr>
      </w:pPr>
    </w:p>
    <w:p w:rsidR="00404B76" w:rsidRDefault="00BD632A" w:rsidP="00AD401E">
      <w:pPr>
        <w:numPr>
          <w:ilvl w:val="0"/>
          <w:numId w:val="3"/>
        </w:numPr>
        <w:jc w:val="both"/>
        <w:rPr>
          <w:rFonts w:eastAsia="Helvetica"/>
          <w:b/>
          <w:bCs/>
          <w:u w:color="000000"/>
          <w:bdr w:val="nil"/>
          <w:lang w:val="en-AU" w:eastAsia="fr-CH"/>
        </w:rPr>
      </w:pPr>
      <w:r>
        <w:rPr>
          <w:rFonts w:eastAsia="Helvetica"/>
          <w:b/>
          <w:bCs/>
          <w:u w:color="000000"/>
          <w:bdr w:val="nil"/>
          <w:lang w:val="fr-FR" w:eastAsia="fr-CH"/>
        </w:rPr>
        <w:lastRenderedPageBreak/>
        <w:t xml:space="preserve">General obligations : </w:t>
      </w:r>
      <w:r w:rsidR="00E52538">
        <w:rPr>
          <w:rFonts w:eastAsia="Helvetica"/>
          <w:b/>
          <w:bCs/>
          <w:u w:color="000000"/>
          <w:bdr w:val="nil"/>
          <w:lang w:val="fr-FR" w:eastAsia="fr-CH"/>
        </w:rPr>
        <w:t>N</w:t>
      </w:r>
      <w:r w:rsidR="00170864" w:rsidRPr="007F1E94">
        <w:rPr>
          <w:rFonts w:eastAsia="Helvetica"/>
          <w:b/>
          <w:bCs/>
          <w:u w:color="000000"/>
          <w:bdr w:val="nil"/>
          <w:lang w:val="fr-FR" w:eastAsia="fr-CH"/>
        </w:rPr>
        <w:t xml:space="preserve">on-discrimination and </w:t>
      </w:r>
      <w:r w:rsidR="00170864" w:rsidRPr="007F1E94">
        <w:rPr>
          <w:rFonts w:eastAsia="Helvetica"/>
          <w:b/>
          <w:bCs/>
          <w:u w:color="000000"/>
          <w:bdr w:val="nil"/>
          <w:lang w:val="en-AU" w:eastAsia="fr-CH"/>
        </w:rPr>
        <w:t>vulnerable groups</w:t>
      </w:r>
    </w:p>
    <w:p w:rsidR="002F0DC4" w:rsidRDefault="00311FBB" w:rsidP="00AD401E">
      <w:pPr>
        <w:jc w:val="both"/>
        <w:rPr>
          <w:lang w:val="en-AU" w:eastAsia="sv-FI"/>
        </w:rPr>
      </w:pPr>
      <w:r>
        <w:rPr>
          <w:rFonts w:eastAsia="Verdana"/>
          <w:color w:val="000000"/>
          <w:u w:color="000000"/>
          <w:bdr w:val="nil"/>
          <w:lang w:eastAsia="fr-CH"/>
        </w:rPr>
        <w:t xml:space="preserve">The </w:t>
      </w:r>
      <w:r w:rsidR="00D77A78">
        <w:rPr>
          <w:rFonts w:eastAsia="Verdana"/>
          <w:color w:val="000000"/>
          <w:u w:color="000000"/>
          <w:bdr w:val="nil"/>
          <w:lang w:eastAsia="fr-CH"/>
        </w:rPr>
        <w:t>United Nations Human Rights Theme Group in Cambodia welcomes the</w:t>
      </w:r>
      <w:r w:rsidR="00EF7FB4">
        <w:rPr>
          <w:rFonts w:eastAsia="Verdana"/>
          <w:color w:val="000000"/>
          <w:u w:color="000000"/>
          <w:bdr w:val="nil"/>
          <w:lang w:eastAsia="fr-CH"/>
        </w:rPr>
        <w:t xml:space="preserve"> </w:t>
      </w:r>
      <w:r w:rsidR="00E52538">
        <w:rPr>
          <w:rFonts w:eastAsia="Verdana"/>
          <w:color w:val="000000"/>
          <w:u w:color="000000"/>
          <w:bdr w:val="nil"/>
          <w:lang w:eastAsia="fr-CH"/>
        </w:rPr>
        <w:t xml:space="preserve">section devoted to </w:t>
      </w:r>
      <w:r w:rsidR="00B52C08">
        <w:rPr>
          <w:rFonts w:eastAsia="Verdana"/>
          <w:color w:val="000000"/>
          <w:u w:color="000000"/>
          <w:bdr w:val="nil"/>
          <w:lang w:eastAsia="fr-CH"/>
        </w:rPr>
        <w:t>non-discrimination and the different</w:t>
      </w:r>
      <w:r w:rsidR="005B1B34">
        <w:rPr>
          <w:rFonts w:eastAsia="Verdana"/>
          <w:color w:val="000000"/>
          <w:u w:color="000000"/>
          <w:bdr w:val="nil"/>
          <w:lang w:eastAsia="fr-CH"/>
        </w:rPr>
        <w:t xml:space="preserve"> levels of</w:t>
      </w:r>
      <w:r w:rsidR="006F78AD">
        <w:rPr>
          <w:rFonts w:eastAsia="Verdana"/>
          <w:color w:val="000000"/>
          <w:u w:color="000000"/>
          <w:bdr w:val="nil"/>
          <w:lang w:eastAsia="fr-CH"/>
        </w:rPr>
        <w:t xml:space="preserve"> </w:t>
      </w:r>
      <w:r w:rsidR="00B52C08">
        <w:rPr>
          <w:rFonts w:eastAsia="Verdana"/>
          <w:color w:val="000000"/>
          <w:u w:color="000000"/>
          <w:bdr w:val="nil"/>
          <w:lang w:eastAsia="fr-CH"/>
        </w:rPr>
        <w:t xml:space="preserve">impact </w:t>
      </w:r>
      <w:r w:rsidR="00283732">
        <w:rPr>
          <w:rFonts w:eastAsia="Verdana"/>
          <w:color w:val="000000"/>
          <w:u w:color="000000"/>
          <w:bdr w:val="nil"/>
          <w:lang w:eastAsia="fr-CH"/>
        </w:rPr>
        <w:t>that business</w:t>
      </w:r>
      <w:r w:rsidR="00EF7FB4">
        <w:rPr>
          <w:rFonts w:eastAsia="Verdana"/>
          <w:color w:val="000000"/>
          <w:u w:color="000000"/>
          <w:bdr w:val="nil"/>
          <w:lang w:eastAsia="fr-CH"/>
        </w:rPr>
        <w:t xml:space="preserve"> </w:t>
      </w:r>
      <w:r w:rsidR="006F78AD">
        <w:rPr>
          <w:rFonts w:eastAsia="Verdana"/>
          <w:color w:val="000000"/>
          <w:u w:color="000000"/>
          <w:bdr w:val="nil"/>
          <w:lang w:eastAsia="fr-CH"/>
        </w:rPr>
        <w:t xml:space="preserve">activities may have on </w:t>
      </w:r>
      <w:r w:rsidR="00C857B2">
        <w:rPr>
          <w:rFonts w:eastAsia="Verdana"/>
          <w:color w:val="000000"/>
          <w:u w:color="000000"/>
          <w:bdr w:val="nil"/>
          <w:lang w:eastAsia="fr-CH"/>
        </w:rPr>
        <w:t xml:space="preserve">groups </w:t>
      </w:r>
      <w:r w:rsidR="000637DB">
        <w:rPr>
          <w:rFonts w:eastAsia="Verdana"/>
          <w:color w:val="000000"/>
          <w:u w:color="000000"/>
          <w:bdr w:val="nil"/>
          <w:lang w:eastAsia="fr-CH"/>
        </w:rPr>
        <w:t xml:space="preserve">at greater risk </w:t>
      </w:r>
      <w:r w:rsidR="007B0715">
        <w:rPr>
          <w:rFonts w:eastAsia="Verdana"/>
          <w:color w:val="000000"/>
          <w:u w:color="000000"/>
          <w:bdr w:val="nil"/>
          <w:lang w:eastAsia="fr-CH"/>
        </w:rPr>
        <w:t xml:space="preserve">of </w:t>
      </w:r>
      <w:r w:rsidR="00D52C89">
        <w:rPr>
          <w:rFonts w:eastAsia="Verdana"/>
          <w:color w:val="000000"/>
          <w:u w:color="000000"/>
          <w:bdr w:val="nil"/>
          <w:lang w:eastAsia="fr-CH"/>
        </w:rPr>
        <w:t xml:space="preserve">suffering inter-sectional and </w:t>
      </w:r>
      <w:r w:rsidR="00542215">
        <w:rPr>
          <w:rFonts w:eastAsia="Verdana"/>
          <w:color w:val="000000"/>
          <w:u w:color="000000"/>
          <w:bdr w:val="nil"/>
          <w:lang w:eastAsia="fr-CH"/>
        </w:rPr>
        <w:t xml:space="preserve">multiple discrimination. </w:t>
      </w:r>
      <w:r w:rsidR="00EF7FB4">
        <w:rPr>
          <w:rFonts w:eastAsia="Verdana"/>
          <w:color w:val="000000"/>
          <w:u w:color="000000"/>
          <w:bdr w:val="nil"/>
          <w:lang w:eastAsia="fr-CH"/>
        </w:rPr>
        <w:t>The section</w:t>
      </w:r>
      <w:r w:rsidR="00111C85">
        <w:rPr>
          <w:rFonts w:eastAsia="Verdana"/>
          <w:color w:val="000000"/>
          <w:u w:color="000000"/>
          <w:bdr w:val="nil"/>
          <w:lang w:eastAsia="fr-CH"/>
        </w:rPr>
        <w:t xml:space="preserve"> could be strengthened </w:t>
      </w:r>
      <w:r w:rsidR="00EF7FB4">
        <w:rPr>
          <w:rFonts w:eastAsia="Verdana"/>
          <w:color w:val="000000"/>
          <w:u w:color="000000"/>
          <w:bdr w:val="nil"/>
          <w:lang w:eastAsia="fr-CH"/>
        </w:rPr>
        <w:t>with</w:t>
      </w:r>
      <w:r w:rsidR="00111C85">
        <w:rPr>
          <w:rFonts w:eastAsia="Verdana"/>
          <w:color w:val="000000"/>
          <w:u w:color="000000"/>
          <w:bdr w:val="nil"/>
          <w:lang w:eastAsia="fr-CH"/>
        </w:rPr>
        <w:t xml:space="preserve"> </w:t>
      </w:r>
      <w:r w:rsidR="00591DFD">
        <w:rPr>
          <w:rFonts w:eastAsia="Verdana"/>
          <w:color w:val="000000"/>
          <w:u w:color="000000"/>
          <w:bdr w:val="nil"/>
          <w:lang w:eastAsia="fr-CH"/>
        </w:rPr>
        <w:t>recognition</w:t>
      </w:r>
      <w:r w:rsidR="00EF7FB4">
        <w:rPr>
          <w:rFonts w:eastAsia="Verdana"/>
          <w:color w:val="000000"/>
          <w:u w:color="000000"/>
          <w:bdr w:val="nil"/>
          <w:lang w:eastAsia="fr-CH"/>
        </w:rPr>
        <w:t xml:space="preserve"> </w:t>
      </w:r>
      <w:r w:rsidR="00111C85">
        <w:rPr>
          <w:rFonts w:eastAsia="Verdana"/>
          <w:color w:val="000000"/>
          <w:u w:color="000000"/>
          <w:bdr w:val="nil"/>
          <w:lang w:eastAsia="fr-CH"/>
        </w:rPr>
        <w:t>of the fact that</w:t>
      </w:r>
      <w:r w:rsidR="00AB49DA">
        <w:rPr>
          <w:rFonts w:eastAsia="Verdana"/>
          <w:color w:val="000000"/>
          <w:u w:color="000000"/>
          <w:bdr w:val="nil"/>
          <w:lang w:eastAsia="fr-CH"/>
        </w:rPr>
        <w:t xml:space="preserve"> </w:t>
      </w:r>
      <w:r w:rsidR="000A0FEB">
        <w:rPr>
          <w:rFonts w:eastAsia="Verdana"/>
          <w:color w:val="000000"/>
          <w:u w:color="000000"/>
          <w:bdr w:val="nil"/>
          <w:lang w:eastAsia="fr-CH"/>
        </w:rPr>
        <w:t>d</w:t>
      </w:r>
      <w:r w:rsidR="00296360">
        <w:rPr>
          <w:rFonts w:eastAsia="Verdana"/>
          <w:color w:val="000000"/>
          <w:u w:color="000000"/>
          <w:bdr w:val="nil"/>
          <w:lang w:eastAsia="fr-CH"/>
        </w:rPr>
        <w:t xml:space="preserve">ifferent groups </w:t>
      </w:r>
      <w:r w:rsidR="000562D1">
        <w:rPr>
          <w:rFonts w:eastAsia="Verdana"/>
          <w:color w:val="000000"/>
          <w:u w:color="000000"/>
          <w:bdr w:val="nil"/>
          <w:lang w:eastAsia="fr-CH"/>
        </w:rPr>
        <w:t>at risk of inter-sectio</w:t>
      </w:r>
      <w:r w:rsidR="000A0FEB">
        <w:rPr>
          <w:rFonts w:eastAsia="Verdana"/>
          <w:color w:val="000000"/>
          <w:u w:color="000000"/>
          <w:bdr w:val="nil"/>
          <w:lang w:eastAsia="fr-CH"/>
        </w:rPr>
        <w:t xml:space="preserve">nal and multiple discrimination tend to </w:t>
      </w:r>
      <w:r w:rsidR="003317ED">
        <w:rPr>
          <w:rFonts w:eastAsia="Verdana"/>
          <w:color w:val="000000"/>
          <w:u w:color="000000"/>
          <w:bdr w:val="nil"/>
          <w:lang w:eastAsia="fr-CH"/>
        </w:rPr>
        <w:t>be vulnerable to adverse business-related impacts for</w:t>
      </w:r>
      <w:r w:rsidR="00973786">
        <w:rPr>
          <w:rFonts w:eastAsia="Verdana"/>
          <w:color w:val="000000"/>
          <w:u w:color="000000"/>
          <w:bdr w:val="nil"/>
          <w:lang w:eastAsia="fr-CH"/>
        </w:rPr>
        <w:t xml:space="preserve"> very</w:t>
      </w:r>
      <w:r w:rsidR="003317ED">
        <w:rPr>
          <w:rFonts w:eastAsia="Verdana"/>
          <w:color w:val="000000"/>
          <w:u w:color="000000"/>
          <w:bdr w:val="nil"/>
          <w:lang w:eastAsia="fr-CH"/>
        </w:rPr>
        <w:t xml:space="preserve"> different reasons. </w:t>
      </w:r>
      <w:r w:rsidR="00E356B6">
        <w:rPr>
          <w:rFonts w:eastAsia="Verdana"/>
          <w:color w:val="000000"/>
          <w:u w:color="000000"/>
          <w:bdr w:val="nil"/>
          <w:lang w:eastAsia="fr-CH"/>
        </w:rPr>
        <w:t>I</w:t>
      </w:r>
      <w:r w:rsidR="008D46C0" w:rsidRPr="00AE0CF0">
        <w:rPr>
          <w:rFonts w:eastAsia="Verdana"/>
          <w:color w:val="000000"/>
          <w:u w:color="000000"/>
          <w:bdr w:val="nil"/>
          <w:lang w:eastAsia="fr-CH"/>
        </w:rPr>
        <w:t xml:space="preserve">ndigenous peoples, </w:t>
      </w:r>
      <w:r w:rsidR="007735E8">
        <w:rPr>
          <w:rFonts w:eastAsia="Verdana"/>
          <w:color w:val="000000"/>
          <w:u w:color="000000"/>
          <w:bdr w:val="nil"/>
          <w:lang w:eastAsia="fr-CH"/>
        </w:rPr>
        <w:t xml:space="preserve">for example, </w:t>
      </w:r>
      <w:r w:rsidR="008D46C0" w:rsidRPr="00AE0CF0">
        <w:rPr>
          <w:lang w:eastAsia="sv-FI"/>
        </w:rPr>
        <w:t xml:space="preserve">are exposed to different types of risks and levels of impacts from </w:t>
      </w:r>
      <w:r w:rsidR="008D46C0" w:rsidRPr="00AE0CF0">
        <w:rPr>
          <w:lang w:val="en-AU" w:eastAsia="sv-FI"/>
        </w:rPr>
        <w:t>land-consuming</w:t>
      </w:r>
      <w:r w:rsidR="008D46C0" w:rsidRPr="00AE0CF0">
        <w:rPr>
          <w:lang w:eastAsia="sv-FI"/>
        </w:rPr>
        <w:t xml:space="preserve"> projects, including loss of identity, culture, and customary livelihoods</w:t>
      </w:r>
      <w:r w:rsidR="00E356B6">
        <w:rPr>
          <w:lang w:eastAsia="sv-FI"/>
        </w:rPr>
        <w:t xml:space="preserve">, owing to the inextricable links between their </w:t>
      </w:r>
      <w:r w:rsidR="00E356B6" w:rsidRPr="00AE0CF0">
        <w:rPr>
          <w:lang w:eastAsia="sv-FI"/>
        </w:rPr>
        <w:t xml:space="preserve">identities and cultures to the lands and the natural resources </w:t>
      </w:r>
      <w:r w:rsidR="00E356B6">
        <w:rPr>
          <w:lang w:eastAsia="sv-FI"/>
        </w:rPr>
        <w:t xml:space="preserve">that </w:t>
      </w:r>
      <w:r w:rsidR="00E356B6" w:rsidRPr="00AE0CF0">
        <w:rPr>
          <w:lang w:val="en-AU" w:eastAsia="sv-FI"/>
        </w:rPr>
        <w:t xml:space="preserve">they </w:t>
      </w:r>
      <w:r w:rsidR="00E356B6">
        <w:rPr>
          <w:lang w:val="en-AU" w:eastAsia="sv-FI"/>
        </w:rPr>
        <w:t xml:space="preserve">have </w:t>
      </w:r>
      <w:r w:rsidR="00E356B6" w:rsidRPr="00AE0CF0">
        <w:rPr>
          <w:lang w:val="en-AU" w:eastAsia="sv-FI"/>
        </w:rPr>
        <w:t>customarily possessed</w:t>
      </w:r>
      <w:r w:rsidR="00E356B6">
        <w:rPr>
          <w:lang w:val="en-AU" w:eastAsia="sv-FI"/>
        </w:rPr>
        <w:t>,</w:t>
      </w:r>
      <w:r w:rsidR="00E356B6" w:rsidRPr="00AE0CF0">
        <w:rPr>
          <w:lang w:val="en-AU" w:eastAsia="sv-FI"/>
        </w:rPr>
        <w:t xml:space="preserve"> used and </w:t>
      </w:r>
      <w:r w:rsidR="00E356B6">
        <w:rPr>
          <w:lang w:val="en-AU" w:eastAsia="sv-FI"/>
        </w:rPr>
        <w:t>relied upon</w:t>
      </w:r>
      <w:r w:rsidR="008D46C0" w:rsidRPr="00AE0CF0">
        <w:rPr>
          <w:lang w:eastAsia="sv-FI"/>
        </w:rPr>
        <w:t xml:space="preserve">. </w:t>
      </w:r>
      <w:r w:rsidR="008D46C0" w:rsidRPr="00AE0CF0">
        <w:rPr>
          <w:lang w:val="en-AU" w:eastAsia="sv-FI"/>
        </w:rPr>
        <w:t>The activities of business</w:t>
      </w:r>
      <w:r w:rsidR="00E356B6">
        <w:rPr>
          <w:lang w:val="en-AU" w:eastAsia="sv-FI"/>
        </w:rPr>
        <w:t>es</w:t>
      </w:r>
      <w:r w:rsidR="008D46C0" w:rsidRPr="00AE0CF0">
        <w:rPr>
          <w:lang w:val="en-AU" w:eastAsia="sv-FI"/>
        </w:rPr>
        <w:t xml:space="preserve"> operating in the land sector, for instance, will therefore </w:t>
      </w:r>
      <w:r w:rsidR="008D46C0" w:rsidRPr="00AE0CF0">
        <w:rPr>
          <w:lang w:eastAsia="sv-FI"/>
        </w:rPr>
        <w:t>affect indigenous peoples in ways not felt by others in society</w:t>
      </w:r>
      <w:r w:rsidR="003F1EB1">
        <w:rPr>
          <w:lang w:val="en-AU" w:eastAsia="sv-FI"/>
        </w:rPr>
        <w:t xml:space="preserve">. </w:t>
      </w:r>
      <w:r w:rsidR="00E356B6">
        <w:rPr>
          <w:lang w:val="en-AU" w:eastAsia="sv-FI"/>
        </w:rPr>
        <w:t>Similarly</w:t>
      </w:r>
      <w:r w:rsidR="001E6434">
        <w:rPr>
          <w:lang w:val="en-AU" w:eastAsia="sv-FI"/>
        </w:rPr>
        <w:t>,</w:t>
      </w:r>
      <w:r w:rsidR="00E13299">
        <w:rPr>
          <w:lang w:val="en-AU" w:eastAsia="sv-FI"/>
        </w:rPr>
        <w:t xml:space="preserve"> internal</w:t>
      </w:r>
      <w:r w:rsidR="00A6772E" w:rsidRPr="00AE0CF0">
        <w:t xml:space="preserve"> migrant workers</w:t>
      </w:r>
      <w:r w:rsidR="004A1711">
        <w:t xml:space="preserve"> –</w:t>
      </w:r>
      <w:r w:rsidR="00512B31">
        <w:t xml:space="preserve"> </w:t>
      </w:r>
      <w:r w:rsidR="004A1711">
        <w:t xml:space="preserve">often lacking </w:t>
      </w:r>
      <w:r w:rsidR="00E356B6">
        <w:t xml:space="preserve">the </w:t>
      </w:r>
      <w:r w:rsidR="00512B31">
        <w:t xml:space="preserve">necessary legal documents and therefore </w:t>
      </w:r>
      <w:r w:rsidR="00BF5E54">
        <w:t>also</w:t>
      </w:r>
      <w:r w:rsidR="004A1711" w:rsidRPr="00AE0CF0">
        <w:t xml:space="preserve"> access to </w:t>
      </w:r>
      <w:r w:rsidR="008F346B">
        <w:t xml:space="preserve">adequate </w:t>
      </w:r>
      <w:r w:rsidR="004A1711" w:rsidRPr="00AE0CF0">
        <w:t>housing, health and education services</w:t>
      </w:r>
      <w:r w:rsidR="00C35898">
        <w:t xml:space="preserve"> – </w:t>
      </w:r>
      <w:r w:rsidR="004613C7">
        <w:t xml:space="preserve">and their specific </w:t>
      </w:r>
      <w:r w:rsidR="00E356B6">
        <w:t xml:space="preserve">vulnerability to exploitation </w:t>
      </w:r>
      <w:r w:rsidR="004613C7">
        <w:t xml:space="preserve">in the context of business </w:t>
      </w:r>
      <w:r w:rsidR="00A3544A">
        <w:t xml:space="preserve">activities </w:t>
      </w:r>
      <w:r w:rsidR="00C35898">
        <w:t>ma</w:t>
      </w:r>
      <w:r w:rsidR="004B7E9F">
        <w:t xml:space="preserve">y also </w:t>
      </w:r>
      <w:r w:rsidR="00E356B6">
        <w:t xml:space="preserve">justify being addressed </w:t>
      </w:r>
      <w:r w:rsidR="004B7E9F">
        <w:t xml:space="preserve">as a separate </w:t>
      </w:r>
      <w:r w:rsidR="00A6772E" w:rsidRPr="00AE0CF0">
        <w:t>group</w:t>
      </w:r>
      <w:r w:rsidR="00E356B6">
        <w:t xml:space="preserve"> in the draft General Comment</w:t>
      </w:r>
      <w:r w:rsidR="00606BED">
        <w:t xml:space="preserve">. </w:t>
      </w:r>
      <w:r w:rsidR="00B96EA3">
        <w:rPr>
          <w:lang w:val="en-AU" w:eastAsia="sv-FI"/>
        </w:rPr>
        <w:t xml:space="preserve">A </w:t>
      </w:r>
      <w:r w:rsidR="000C4E92">
        <w:rPr>
          <w:lang w:val="en-AU" w:eastAsia="sv-FI"/>
        </w:rPr>
        <w:t xml:space="preserve">specific </w:t>
      </w:r>
      <w:r w:rsidR="006800FB">
        <w:rPr>
          <w:lang w:val="en-AU" w:eastAsia="sv-FI"/>
        </w:rPr>
        <w:t>reference to</w:t>
      </w:r>
      <w:r w:rsidR="00B96EA3">
        <w:rPr>
          <w:lang w:val="en-AU" w:eastAsia="sv-FI"/>
        </w:rPr>
        <w:t xml:space="preserve"> a number of other notable vulnerable groups</w:t>
      </w:r>
      <w:r w:rsidR="006800FB">
        <w:rPr>
          <w:lang w:val="en-AU" w:eastAsia="sv-FI"/>
        </w:rPr>
        <w:t xml:space="preserve"> </w:t>
      </w:r>
      <w:r w:rsidR="00B96EA3">
        <w:rPr>
          <w:lang w:val="en-AU" w:eastAsia="sv-FI"/>
        </w:rPr>
        <w:t xml:space="preserve">would also be helpful for those of us who promote their rights, including </w:t>
      </w:r>
      <w:r w:rsidR="006800FB">
        <w:rPr>
          <w:lang w:val="en-AU" w:eastAsia="sv-FI"/>
        </w:rPr>
        <w:t>LGBTI</w:t>
      </w:r>
      <w:r w:rsidR="00B96EA3">
        <w:rPr>
          <w:lang w:val="en-AU" w:eastAsia="sv-FI"/>
        </w:rPr>
        <w:t>,</w:t>
      </w:r>
      <w:r w:rsidR="006800FB">
        <w:rPr>
          <w:lang w:val="en-AU" w:eastAsia="sv-FI"/>
        </w:rPr>
        <w:t xml:space="preserve"> </w:t>
      </w:r>
      <w:r w:rsidR="00AE6E0D">
        <w:rPr>
          <w:lang w:val="en-AU" w:eastAsia="sv-FI"/>
        </w:rPr>
        <w:t xml:space="preserve">older persons, persons with disabilities and </w:t>
      </w:r>
      <w:r w:rsidR="005460DC">
        <w:rPr>
          <w:lang w:val="en-AU" w:eastAsia="sv-FI"/>
        </w:rPr>
        <w:t>children</w:t>
      </w:r>
      <w:r w:rsidR="00B96EA3">
        <w:rPr>
          <w:lang w:val="en-AU" w:eastAsia="sv-FI"/>
        </w:rPr>
        <w:t>,</w:t>
      </w:r>
      <w:r w:rsidR="005460DC">
        <w:rPr>
          <w:lang w:val="en-AU" w:eastAsia="sv-FI"/>
        </w:rPr>
        <w:t xml:space="preserve"> </w:t>
      </w:r>
      <w:r w:rsidR="00B96EA3">
        <w:rPr>
          <w:lang w:val="en-AU" w:eastAsia="sv-FI"/>
        </w:rPr>
        <w:t>along with</w:t>
      </w:r>
      <w:r w:rsidR="005460DC">
        <w:rPr>
          <w:lang w:val="en-AU" w:eastAsia="sv-FI"/>
        </w:rPr>
        <w:t xml:space="preserve"> illustration</w:t>
      </w:r>
      <w:r w:rsidR="00B96EA3">
        <w:rPr>
          <w:lang w:val="en-AU" w:eastAsia="sv-FI"/>
        </w:rPr>
        <w:t>s</w:t>
      </w:r>
      <w:r w:rsidR="005460DC">
        <w:rPr>
          <w:lang w:val="en-AU" w:eastAsia="sv-FI"/>
        </w:rPr>
        <w:t xml:space="preserve"> of their particular vulnerabilities</w:t>
      </w:r>
      <w:r w:rsidR="00B823B6">
        <w:rPr>
          <w:lang w:val="en-AU" w:eastAsia="sv-FI"/>
        </w:rPr>
        <w:t xml:space="preserve">. </w:t>
      </w:r>
    </w:p>
    <w:p w:rsidR="00064BBC" w:rsidRDefault="00F8271E" w:rsidP="00AD401E">
      <w:pPr>
        <w:jc w:val="both"/>
        <w:rPr>
          <w:rFonts w:eastAsia="Verdana"/>
          <w:color w:val="000000"/>
          <w:u w:color="000000"/>
          <w:bdr w:val="nil"/>
          <w:lang w:eastAsia="fr-CH"/>
        </w:rPr>
      </w:pPr>
      <w:r>
        <w:rPr>
          <w:lang w:val="en-AU" w:eastAsia="sv-FI"/>
        </w:rPr>
        <w:t xml:space="preserve">The </w:t>
      </w:r>
      <w:r w:rsidR="00EF7FB4">
        <w:rPr>
          <w:lang w:val="en-AU" w:eastAsia="sv-FI"/>
        </w:rPr>
        <w:t>Theme Group</w:t>
      </w:r>
      <w:r>
        <w:rPr>
          <w:lang w:val="en-AU" w:eastAsia="sv-FI"/>
        </w:rPr>
        <w:t xml:space="preserve"> </w:t>
      </w:r>
      <w:r w:rsidR="00024F5A">
        <w:rPr>
          <w:lang w:val="en-AU"/>
        </w:rPr>
        <w:t>suggest</w:t>
      </w:r>
      <w:r w:rsidR="009D23BB">
        <w:rPr>
          <w:lang w:val="en-AU"/>
        </w:rPr>
        <w:t>s</w:t>
      </w:r>
      <w:r w:rsidR="00B96EA3">
        <w:rPr>
          <w:lang w:val="en-AU"/>
        </w:rPr>
        <w:t xml:space="preserve"> that, after </w:t>
      </w:r>
      <w:r w:rsidR="00024F5A">
        <w:rPr>
          <w:lang w:val="en-AU"/>
        </w:rPr>
        <w:t>the introductory article</w:t>
      </w:r>
      <w:r w:rsidR="00307B04" w:rsidRPr="00AE0CF0">
        <w:rPr>
          <w:lang w:val="en-AU"/>
        </w:rPr>
        <w:t xml:space="preserve"> </w:t>
      </w:r>
      <w:r w:rsidR="00024F5A">
        <w:rPr>
          <w:lang w:val="en-AU"/>
        </w:rPr>
        <w:t>(</w:t>
      </w:r>
      <w:r w:rsidR="00307B04" w:rsidRPr="00AE0CF0">
        <w:rPr>
          <w:lang w:val="en-AU"/>
        </w:rPr>
        <w:t xml:space="preserve">“the </w:t>
      </w:r>
      <w:r w:rsidR="00307B04" w:rsidRPr="00AE0CF0">
        <w:rPr>
          <w:rFonts w:eastAsia="Verdana"/>
          <w:color w:val="000000"/>
          <w:u w:color="000000"/>
          <w:bdr w:val="nil"/>
          <w:lang w:eastAsia="fr-CH"/>
        </w:rPr>
        <w:t>Committee reiterates its grave concern that certain segments of population face a greater risk of suffering intersectional and multiple discrimination”</w:t>
      </w:r>
      <w:r w:rsidR="00024F5A">
        <w:rPr>
          <w:rFonts w:eastAsia="Verdana"/>
          <w:color w:val="000000"/>
          <w:u w:color="000000"/>
          <w:bdr w:val="nil"/>
          <w:lang w:eastAsia="fr-CH"/>
        </w:rPr>
        <w:t xml:space="preserve"> in 2.1.)</w:t>
      </w:r>
      <w:r w:rsidR="00B96EA3">
        <w:rPr>
          <w:rFonts w:eastAsia="Verdana"/>
          <w:color w:val="000000"/>
          <w:u w:color="000000"/>
          <w:bdr w:val="nil"/>
          <w:lang w:eastAsia="fr-CH"/>
        </w:rPr>
        <w:t xml:space="preserve">, the vulnerability of </w:t>
      </w:r>
      <w:r w:rsidR="00837FE1">
        <w:rPr>
          <w:rFonts w:eastAsia="Verdana"/>
          <w:color w:val="000000"/>
          <w:u w:color="000000"/>
          <w:bdr w:val="nil"/>
          <w:lang w:eastAsia="fr-CH"/>
        </w:rPr>
        <w:t xml:space="preserve">such specific </w:t>
      </w:r>
      <w:r w:rsidR="00B96EA3">
        <w:rPr>
          <w:rFonts w:eastAsia="Verdana"/>
          <w:color w:val="000000"/>
          <w:u w:color="000000"/>
          <w:bdr w:val="nil"/>
          <w:lang w:eastAsia="fr-CH"/>
        </w:rPr>
        <w:t xml:space="preserve">groups be elaborated </w:t>
      </w:r>
      <w:r w:rsidR="004A7AE2">
        <w:rPr>
          <w:rFonts w:eastAsia="Verdana"/>
          <w:color w:val="000000"/>
          <w:u w:color="000000"/>
          <w:bdr w:val="nil"/>
          <w:lang w:eastAsia="fr-CH"/>
        </w:rPr>
        <w:t>in separate articles,</w:t>
      </w:r>
      <w:r w:rsidR="00F47A26">
        <w:rPr>
          <w:rFonts w:eastAsia="Verdana"/>
          <w:color w:val="000000"/>
          <w:u w:color="000000"/>
          <w:bdr w:val="nil"/>
          <w:lang w:eastAsia="fr-CH"/>
        </w:rPr>
        <w:t xml:space="preserve"> </w:t>
      </w:r>
      <w:r w:rsidR="00B96EA3">
        <w:rPr>
          <w:rFonts w:eastAsia="Verdana"/>
          <w:color w:val="000000"/>
          <w:u w:color="000000"/>
          <w:bdr w:val="nil"/>
          <w:lang w:eastAsia="fr-CH"/>
        </w:rPr>
        <w:t xml:space="preserve">in particular, </w:t>
      </w:r>
      <w:r w:rsidR="00442C4D">
        <w:rPr>
          <w:rFonts w:eastAsia="Verdana"/>
          <w:color w:val="000000"/>
          <w:u w:color="000000"/>
          <w:bdr w:val="nil"/>
          <w:lang w:eastAsia="fr-CH"/>
        </w:rPr>
        <w:t xml:space="preserve">the reasons for </w:t>
      </w:r>
      <w:r w:rsidR="00B96EA3">
        <w:rPr>
          <w:rFonts w:eastAsia="Verdana"/>
          <w:color w:val="000000"/>
          <w:u w:color="000000"/>
          <w:bdr w:val="nil"/>
          <w:lang w:eastAsia="fr-CH"/>
        </w:rPr>
        <w:t xml:space="preserve">any </w:t>
      </w:r>
      <w:r w:rsidR="00442C4D">
        <w:rPr>
          <w:rFonts w:eastAsia="Verdana"/>
          <w:color w:val="000000"/>
          <w:u w:color="000000"/>
          <w:bdr w:val="nil"/>
          <w:lang w:eastAsia="fr-CH"/>
        </w:rPr>
        <w:t xml:space="preserve">heightened risks </w:t>
      </w:r>
      <w:r w:rsidR="00B96EA3">
        <w:rPr>
          <w:rFonts w:eastAsia="Verdana"/>
          <w:color w:val="000000"/>
          <w:u w:color="000000"/>
          <w:bdr w:val="nil"/>
          <w:lang w:eastAsia="fr-CH"/>
        </w:rPr>
        <w:t xml:space="preserve">faced </w:t>
      </w:r>
      <w:r w:rsidR="00442C4D">
        <w:rPr>
          <w:rFonts w:eastAsia="Verdana"/>
          <w:color w:val="000000"/>
          <w:u w:color="000000"/>
          <w:bdr w:val="nil"/>
          <w:lang w:eastAsia="fr-CH"/>
        </w:rPr>
        <w:t xml:space="preserve">in the context of business activities. </w:t>
      </w:r>
    </w:p>
    <w:p w:rsidR="00532029" w:rsidRDefault="00837FE1" w:rsidP="00AD401E">
      <w:pPr>
        <w:jc w:val="both"/>
        <w:rPr>
          <w:rFonts w:eastAsia="Times New Roman" w:cs="Arial"/>
          <w:b/>
          <w:bCs/>
          <w:lang w:eastAsia="en-AU"/>
        </w:rPr>
      </w:pPr>
      <w:r>
        <w:rPr>
          <w:rFonts w:eastAsia="Times New Roman" w:cs="Arial"/>
          <w:lang w:eastAsia="en-AU"/>
        </w:rPr>
        <w:t xml:space="preserve">With respect to the rights of </w:t>
      </w:r>
      <w:r w:rsidR="001056FA" w:rsidRPr="00DF0DE6">
        <w:rPr>
          <w:rFonts w:eastAsia="Times New Roman" w:cs="Arial"/>
          <w:lang w:eastAsia="en-AU"/>
        </w:rPr>
        <w:t>indigenous peoples</w:t>
      </w:r>
      <w:r>
        <w:rPr>
          <w:rFonts w:eastAsia="Times New Roman" w:cs="Arial"/>
          <w:lang w:eastAsia="en-AU"/>
        </w:rPr>
        <w:t xml:space="preserve">, </w:t>
      </w:r>
      <w:r w:rsidR="00532029" w:rsidRPr="00AF7345">
        <w:rPr>
          <w:rFonts w:eastAsia="Times New Roman" w:cs="Arial"/>
          <w:lang w:eastAsia="en-AU"/>
        </w:rPr>
        <w:t xml:space="preserve">the </w:t>
      </w:r>
      <w:r w:rsidR="00EF7FB4">
        <w:rPr>
          <w:rFonts w:eastAsia="Times New Roman" w:cs="Arial"/>
          <w:lang w:eastAsia="en-AU"/>
        </w:rPr>
        <w:t>Theme Group</w:t>
      </w:r>
      <w:r w:rsidR="003A4D9A" w:rsidRPr="00AF7345">
        <w:rPr>
          <w:rFonts w:eastAsia="Times New Roman" w:cs="Arial"/>
          <w:lang w:eastAsia="en-AU"/>
        </w:rPr>
        <w:t xml:space="preserve"> </w:t>
      </w:r>
      <w:r w:rsidR="00532029" w:rsidRPr="00AF7345">
        <w:rPr>
          <w:rFonts w:eastAsia="Times New Roman" w:cs="Arial"/>
          <w:lang w:eastAsia="en-AU"/>
        </w:rPr>
        <w:t>suggests the fol</w:t>
      </w:r>
      <w:r w:rsidR="00062DE9" w:rsidRPr="00AF7345">
        <w:rPr>
          <w:rFonts w:eastAsia="Times New Roman" w:cs="Arial"/>
          <w:lang w:eastAsia="en-AU"/>
        </w:rPr>
        <w:t xml:space="preserve">lowing addition to </w:t>
      </w:r>
      <w:r w:rsidR="001D2AB8">
        <w:rPr>
          <w:rFonts w:eastAsia="Times New Roman" w:cs="Arial"/>
          <w:lang w:eastAsia="en-AU"/>
        </w:rPr>
        <w:t>para.</w:t>
      </w:r>
      <w:r w:rsidR="001D2AB8" w:rsidRPr="00AF7345">
        <w:rPr>
          <w:rFonts w:eastAsia="Times New Roman" w:cs="Arial"/>
          <w:lang w:eastAsia="en-AU"/>
        </w:rPr>
        <w:t xml:space="preserve"> </w:t>
      </w:r>
      <w:r w:rsidR="002A3C7F">
        <w:rPr>
          <w:rFonts w:eastAsia="Times New Roman" w:cs="Arial"/>
          <w:lang w:eastAsia="en-AU"/>
        </w:rPr>
        <w:t>8</w:t>
      </w:r>
      <w:r w:rsidR="00062DE9" w:rsidRPr="00AF7345">
        <w:rPr>
          <w:rFonts w:eastAsia="Times New Roman" w:cs="Arial"/>
          <w:lang w:eastAsia="en-AU"/>
        </w:rPr>
        <w:t xml:space="preserve"> (</w:t>
      </w:r>
      <w:r w:rsidR="00532029" w:rsidRPr="00AF7345">
        <w:rPr>
          <w:rFonts w:eastAsia="Times New Roman" w:cs="Arial"/>
          <w:lang w:eastAsia="en-AU"/>
        </w:rPr>
        <w:t xml:space="preserve">in </w:t>
      </w:r>
      <w:r>
        <w:rPr>
          <w:rFonts w:eastAsia="Times New Roman" w:cs="Arial"/>
          <w:lang w:eastAsia="en-AU"/>
        </w:rPr>
        <w:t>italics</w:t>
      </w:r>
      <w:r w:rsidR="00DB1E6B" w:rsidRPr="00AF7345">
        <w:rPr>
          <w:rFonts w:eastAsia="Times New Roman" w:cs="Arial"/>
          <w:lang w:eastAsia="en-AU"/>
        </w:rPr>
        <w:t>)</w:t>
      </w:r>
      <w:r w:rsidR="00AF7345">
        <w:rPr>
          <w:rFonts w:eastAsia="Times New Roman" w:cs="Arial"/>
          <w:lang w:eastAsia="en-AU"/>
        </w:rPr>
        <w:t>:</w:t>
      </w:r>
      <w:r w:rsidR="00532029" w:rsidRPr="00AF7345">
        <w:rPr>
          <w:rFonts w:eastAsia="Times New Roman" w:cs="Arial"/>
          <w:lang w:eastAsia="en-AU"/>
        </w:rPr>
        <w:t xml:space="preserve"> </w:t>
      </w:r>
    </w:p>
    <w:p w:rsidR="009541FB" w:rsidRDefault="00AD75D2" w:rsidP="00AD401E">
      <w:pPr>
        <w:jc w:val="both"/>
        <w:rPr>
          <w:rFonts w:eastAsia="Verdana"/>
          <w:color w:val="000000"/>
          <w:u w:color="000000"/>
          <w:bdr w:val="nil"/>
          <w:shd w:val="clear" w:color="auto" w:fill="FEFEFE"/>
          <w:lang w:eastAsia="fr-CH"/>
        </w:rPr>
      </w:pPr>
      <w:r>
        <w:rPr>
          <w:rFonts w:eastAsia="Verdana"/>
          <w:color w:val="000000"/>
          <w:u w:color="000000"/>
          <w:bdr w:val="nil"/>
          <w:lang w:eastAsia="fr-CH"/>
        </w:rPr>
        <w:t>8</w:t>
      </w:r>
      <w:r w:rsidR="00371FD0">
        <w:rPr>
          <w:rFonts w:eastAsia="Verdana"/>
          <w:color w:val="000000"/>
          <w:u w:color="000000"/>
          <w:bdr w:val="nil"/>
          <w:lang w:eastAsia="fr-CH"/>
        </w:rPr>
        <w:t>.</w:t>
      </w:r>
      <w:r>
        <w:rPr>
          <w:rFonts w:eastAsia="Verdana"/>
          <w:color w:val="000000"/>
          <w:u w:color="000000"/>
          <w:bdr w:val="nil"/>
          <w:lang w:eastAsia="fr-CH"/>
        </w:rPr>
        <w:t xml:space="preserve"> </w:t>
      </w:r>
      <w:r>
        <w:rPr>
          <w:rFonts w:eastAsia="Verdana"/>
          <w:color w:val="000000"/>
          <w:u w:color="000000"/>
          <w:bdr w:val="nil"/>
          <w:shd w:val="clear" w:color="auto" w:fill="FEFEFE"/>
          <w:lang w:eastAsia="fr-CH"/>
        </w:rPr>
        <w:t>…</w:t>
      </w:r>
      <w:r w:rsidR="00532029" w:rsidRPr="000E00B1">
        <w:rPr>
          <w:rFonts w:eastAsia="Verdana"/>
          <w:color w:val="000000"/>
          <w:u w:color="000000"/>
          <w:bdr w:val="nil"/>
          <w:shd w:val="clear" w:color="auto" w:fill="FEFEFE"/>
          <w:lang w:eastAsia="fr-CH"/>
        </w:rPr>
        <w:t xml:space="preserve"> States Parties are required to adopt measures as necessary to protect individuals, </w:t>
      </w:r>
      <w:r w:rsidR="00316F61">
        <w:rPr>
          <w:rFonts w:eastAsia="Verdana"/>
          <w:i/>
          <w:iCs/>
          <w:color w:val="000000"/>
          <w:u w:color="000000"/>
          <w:bdr w:val="nil"/>
          <w:shd w:val="clear" w:color="auto" w:fill="FEFEFE"/>
          <w:lang w:eastAsia="fr-CH"/>
        </w:rPr>
        <w:t>and</w:t>
      </w:r>
      <w:r w:rsidR="000C45D7">
        <w:rPr>
          <w:rFonts w:eastAsia="Verdana"/>
          <w:i/>
          <w:iCs/>
          <w:color w:val="000000"/>
          <w:u w:color="000000"/>
          <w:bdr w:val="nil"/>
          <w:shd w:val="clear" w:color="auto" w:fill="FEFEFE"/>
          <w:lang w:eastAsia="fr-CH"/>
        </w:rPr>
        <w:t xml:space="preserve"> groups, such as</w:t>
      </w:r>
      <w:r w:rsidR="00532029" w:rsidRPr="00DE4532">
        <w:rPr>
          <w:rFonts w:eastAsia="Verdana"/>
          <w:i/>
          <w:iCs/>
          <w:color w:val="000000"/>
          <w:u w:color="000000"/>
          <w:bdr w:val="nil"/>
          <w:shd w:val="clear" w:color="auto" w:fill="FEFEFE"/>
          <w:lang w:eastAsia="fr-CH"/>
        </w:rPr>
        <w:t xml:space="preserve"> indigenous peoples</w:t>
      </w:r>
      <w:r w:rsidR="00532029" w:rsidRPr="000E00B1">
        <w:rPr>
          <w:rFonts w:eastAsia="Verdana"/>
          <w:color w:val="000000"/>
          <w:u w:color="000000"/>
          <w:bdr w:val="nil"/>
          <w:shd w:val="clear" w:color="auto" w:fill="FEFEFE"/>
          <w:lang w:eastAsia="fr-CH"/>
        </w:rPr>
        <w:t xml:space="preserve">, from abuses of </w:t>
      </w:r>
      <w:r w:rsidR="00837FE1">
        <w:rPr>
          <w:rFonts w:eastAsia="Verdana"/>
          <w:color w:val="000000"/>
          <w:u w:color="000000"/>
          <w:bdr w:val="nil"/>
          <w:shd w:val="clear" w:color="auto" w:fill="FEFEFE"/>
          <w:lang w:eastAsia="fr-CH"/>
        </w:rPr>
        <w:t>..</w:t>
      </w:r>
      <w:r w:rsidR="00275BD3">
        <w:rPr>
          <w:rFonts w:eastAsia="Verdana"/>
          <w:color w:val="000000"/>
          <w:u w:color="000000"/>
          <w:bdr w:val="nil"/>
          <w:shd w:val="clear" w:color="auto" w:fill="FEFEFE"/>
          <w:lang w:eastAsia="fr-CH"/>
        </w:rPr>
        <w:t>.</w:t>
      </w:r>
      <w:r w:rsidR="00506D82">
        <w:rPr>
          <w:rFonts w:eastAsia="Verdana"/>
          <w:color w:val="000000"/>
          <w:u w:color="000000"/>
          <w:bdr w:val="nil"/>
          <w:shd w:val="clear" w:color="auto" w:fill="FEFEFE"/>
          <w:lang w:eastAsia="fr-CH"/>
        </w:rPr>
        <w:t>”</w:t>
      </w:r>
      <w:r w:rsidR="00275BD3">
        <w:rPr>
          <w:rFonts w:eastAsia="Verdana"/>
          <w:color w:val="000000"/>
          <w:u w:color="000000"/>
          <w:bdr w:val="nil"/>
          <w:shd w:val="clear" w:color="auto" w:fill="FEFEFE"/>
          <w:lang w:eastAsia="fr-CH"/>
        </w:rPr>
        <w:t xml:space="preserve"> </w:t>
      </w:r>
    </w:p>
    <w:p w:rsidR="009541FB" w:rsidRPr="002848F3" w:rsidRDefault="009541FB" w:rsidP="00AD401E">
      <w:pPr>
        <w:jc w:val="both"/>
      </w:pPr>
    </w:p>
    <w:p w:rsidR="008A57C9" w:rsidRDefault="00CA20EF" w:rsidP="00AD401E">
      <w:pPr>
        <w:numPr>
          <w:ilvl w:val="0"/>
          <w:numId w:val="3"/>
        </w:numPr>
        <w:jc w:val="both"/>
        <w:rPr>
          <w:rFonts w:eastAsia="Times New Roman" w:cs="Arial"/>
          <w:b/>
          <w:bCs/>
          <w:lang w:eastAsia="en-AU"/>
        </w:rPr>
      </w:pPr>
      <w:r>
        <w:rPr>
          <w:rFonts w:eastAsia="Helvetica"/>
          <w:b/>
          <w:bCs/>
          <w:u w:color="000000"/>
          <w:bdr w:val="nil"/>
          <w:lang w:eastAsia="fr-CH"/>
        </w:rPr>
        <w:t xml:space="preserve">Specific </w:t>
      </w:r>
      <w:r w:rsidR="007B38C2">
        <w:rPr>
          <w:rFonts w:eastAsia="Helvetica"/>
          <w:b/>
          <w:bCs/>
          <w:u w:color="000000"/>
          <w:bdr w:val="nil"/>
          <w:lang w:eastAsia="fr-CH"/>
        </w:rPr>
        <w:t>ob</w:t>
      </w:r>
      <w:r w:rsidR="00043784">
        <w:rPr>
          <w:rFonts w:eastAsia="Helvetica"/>
          <w:b/>
          <w:bCs/>
          <w:u w:color="000000"/>
          <w:bdr w:val="nil"/>
          <w:lang w:eastAsia="fr-CH"/>
        </w:rPr>
        <w:t>ligations linked to b</w:t>
      </w:r>
      <w:r w:rsidR="00C45F74" w:rsidRPr="00EE76B1">
        <w:rPr>
          <w:rFonts w:eastAsia="Helvetica"/>
          <w:b/>
          <w:bCs/>
          <w:u w:color="000000"/>
          <w:bdr w:val="nil"/>
          <w:lang w:eastAsia="fr-CH"/>
        </w:rPr>
        <w:t>usiness</w:t>
      </w:r>
      <w:r w:rsidR="00043784">
        <w:rPr>
          <w:rFonts w:eastAsia="Helvetica"/>
          <w:b/>
          <w:bCs/>
          <w:u w:color="000000"/>
          <w:bdr w:val="nil"/>
          <w:lang w:eastAsia="fr-CH"/>
        </w:rPr>
        <w:t xml:space="preserve"> a</w:t>
      </w:r>
      <w:r w:rsidR="00C45F74" w:rsidRPr="00EE76B1">
        <w:rPr>
          <w:rFonts w:eastAsia="Helvetica"/>
          <w:b/>
          <w:bCs/>
          <w:u w:color="000000"/>
          <w:bdr w:val="nil"/>
          <w:lang w:eastAsia="fr-CH"/>
        </w:rPr>
        <w:t>ctivities</w:t>
      </w:r>
    </w:p>
    <w:p w:rsidR="008C72CD" w:rsidRPr="001019F4" w:rsidRDefault="00755B3B" w:rsidP="00AD401E">
      <w:pPr>
        <w:numPr>
          <w:ilvl w:val="0"/>
          <w:numId w:val="8"/>
        </w:numPr>
        <w:jc w:val="both"/>
        <w:rPr>
          <w:rFonts w:eastAsia="Times New Roman" w:cs="Arial"/>
          <w:b/>
          <w:bCs/>
          <w:lang w:eastAsia="en-AU"/>
        </w:rPr>
      </w:pPr>
      <w:r w:rsidRPr="001019F4">
        <w:rPr>
          <w:rFonts w:eastAsia="Times New Roman" w:cs="Arial"/>
          <w:b/>
          <w:bCs/>
          <w:lang w:eastAsia="en-AU"/>
        </w:rPr>
        <w:t xml:space="preserve">The duty to respect – member states </w:t>
      </w:r>
      <w:r w:rsidR="00B6487A" w:rsidRPr="001019F4">
        <w:rPr>
          <w:rFonts w:eastAsia="Times New Roman" w:cs="Arial"/>
          <w:b/>
          <w:bCs/>
          <w:lang w:eastAsia="en-AU"/>
        </w:rPr>
        <w:t>at the Boards of multilateral development banks</w:t>
      </w:r>
      <w:r w:rsidR="008C72CD" w:rsidRPr="001019F4">
        <w:rPr>
          <w:rFonts w:eastAsia="Times New Roman" w:cs="Arial"/>
          <w:b/>
          <w:bCs/>
          <w:lang w:eastAsia="en-AU"/>
        </w:rPr>
        <w:t xml:space="preserve"> and international financial institutions</w:t>
      </w:r>
    </w:p>
    <w:p w:rsidR="007C5D60" w:rsidRPr="00DF37D8" w:rsidRDefault="00577434" w:rsidP="00AD401E">
      <w:pPr>
        <w:pStyle w:val="CommentText"/>
        <w:jc w:val="both"/>
        <w:rPr>
          <w:sz w:val="22"/>
          <w:szCs w:val="22"/>
          <w:lang w:val="en-US"/>
        </w:rPr>
      </w:pPr>
      <w:r>
        <w:rPr>
          <w:sz w:val="22"/>
          <w:szCs w:val="22"/>
          <w:lang w:val="en-US"/>
        </w:rPr>
        <w:t xml:space="preserve">It would be helpful for the draft to clearly set out that </w:t>
      </w:r>
      <w:r>
        <w:rPr>
          <w:sz w:val="22"/>
          <w:szCs w:val="22"/>
          <w:lang w:val="en-AU"/>
        </w:rPr>
        <w:t>t</w:t>
      </w:r>
      <w:r w:rsidR="00201BEC">
        <w:rPr>
          <w:sz w:val="22"/>
          <w:szCs w:val="22"/>
          <w:lang w:val="en-AU"/>
        </w:rPr>
        <w:t>he</w:t>
      </w:r>
      <w:r w:rsidR="006E02C8">
        <w:rPr>
          <w:sz w:val="22"/>
          <w:szCs w:val="22"/>
          <w:lang w:val="en-AU"/>
        </w:rPr>
        <w:t xml:space="preserve"> </w:t>
      </w:r>
      <w:r w:rsidR="00837FE1">
        <w:rPr>
          <w:sz w:val="22"/>
          <w:szCs w:val="22"/>
          <w:lang w:val="en-AU"/>
        </w:rPr>
        <w:t xml:space="preserve">duty of States parties to comply with the Covenant </w:t>
      </w:r>
      <w:r>
        <w:rPr>
          <w:sz w:val="22"/>
          <w:szCs w:val="22"/>
          <w:lang w:val="en-AU"/>
        </w:rPr>
        <w:t xml:space="preserve">extends to </w:t>
      </w:r>
      <w:r w:rsidR="00837FE1">
        <w:rPr>
          <w:sz w:val="22"/>
          <w:szCs w:val="22"/>
          <w:lang w:val="en-AU"/>
        </w:rPr>
        <w:t xml:space="preserve">all the roles they </w:t>
      </w:r>
      <w:r>
        <w:rPr>
          <w:sz w:val="22"/>
          <w:szCs w:val="22"/>
          <w:lang w:val="en-AU"/>
        </w:rPr>
        <w:t xml:space="preserve">may </w:t>
      </w:r>
      <w:r w:rsidR="00837FE1">
        <w:rPr>
          <w:sz w:val="22"/>
          <w:szCs w:val="22"/>
          <w:lang w:val="en-AU"/>
        </w:rPr>
        <w:t xml:space="preserve">assume, including </w:t>
      </w:r>
      <w:r w:rsidR="00C63BCA">
        <w:rPr>
          <w:sz w:val="22"/>
          <w:szCs w:val="22"/>
          <w:lang w:val="en-AU"/>
        </w:rPr>
        <w:t>as Board members of multilateral development banks</w:t>
      </w:r>
      <w:r>
        <w:rPr>
          <w:sz w:val="22"/>
          <w:szCs w:val="22"/>
          <w:lang w:val="en-AU"/>
        </w:rPr>
        <w:t xml:space="preserve"> taking </w:t>
      </w:r>
      <w:r w:rsidR="006E02C8">
        <w:rPr>
          <w:sz w:val="22"/>
          <w:szCs w:val="22"/>
          <w:lang w:val="en-AU"/>
        </w:rPr>
        <w:t>decisions over lending and technical s</w:t>
      </w:r>
      <w:r w:rsidR="004E1BD8">
        <w:rPr>
          <w:sz w:val="22"/>
          <w:szCs w:val="22"/>
          <w:lang w:val="en-AU"/>
        </w:rPr>
        <w:t>upport</w:t>
      </w:r>
      <w:r>
        <w:rPr>
          <w:sz w:val="22"/>
          <w:szCs w:val="22"/>
          <w:lang w:val="en-AU"/>
        </w:rPr>
        <w:t xml:space="preserve">. Such decisions have great potential for the realization of human rights – or </w:t>
      </w:r>
      <w:r w:rsidR="000D4E3A">
        <w:rPr>
          <w:sz w:val="22"/>
          <w:szCs w:val="22"/>
          <w:lang w:val="en-AU"/>
        </w:rPr>
        <w:t>dire consequences</w:t>
      </w:r>
      <w:r>
        <w:rPr>
          <w:sz w:val="22"/>
          <w:szCs w:val="22"/>
          <w:lang w:val="en-AU"/>
        </w:rPr>
        <w:t>, if human rights considerations do not factor in the lending process.</w:t>
      </w:r>
      <w:r w:rsidR="000D4E3A">
        <w:rPr>
          <w:sz w:val="22"/>
          <w:szCs w:val="22"/>
          <w:lang w:val="en-AU"/>
        </w:rPr>
        <w:t xml:space="preserve"> </w:t>
      </w:r>
      <w:r w:rsidR="00CE4D2D">
        <w:rPr>
          <w:sz w:val="22"/>
          <w:szCs w:val="22"/>
          <w:lang w:val="en-AU"/>
        </w:rPr>
        <w:t xml:space="preserve">For instance, </w:t>
      </w:r>
      <w:r>
        <w:rPr>
          <w:sz w:val="22"/>
          <w:szCs w:val="22"/>
          <w:lang w:val="en-AU"/>
        </w:rPr>
        <w:t xml:space="preserve">in Cambodia, </w:t>
      </w:r>
      <w:r w:rsidR="00CE4D2D">
        <w:rPr>
          <w:sz w:val="22"/>
          <w:szCs w:val="22"/>
          <w:lang w:val="en-AU"/>
        </w:rPr>
        <w:t xml:space="preserve">reports of forced evictions have </w:t>
      </w:r>
      <w:r>
        <w:rPr>
          <w:sz w:val="22"/>
          <w:szCs w:val="22"/>
          <w:lang w:val="en-AU"/>
        </w:rPr>
        <w:t xml:space="preserve">long </w:t>
      </w:r>
      <w:r w:rsidR="00CE4D2D">
        <w:rPr>
          <w:sz w:val="22"/>
          <w:szCs w:val="22"/>
          <w:lang w:val="en-AU"/>
        </w:rPr>
        <w:t>been</w:t>
      </w:r>
      <w:r w:rsidR="008128C5">
        <w:rPr>
          <w:sz w:val="22"/>
          <w:szCs w:val="22"/>
          <w:lang w:val="en-AU"/>
        </w:rPr>
        <w:t xml:space="preserve"> reported in the context of</w:t>
      </w:r>
      <w:r w:rsidR="00F9744E">
        <w:rPr>
          <w:sz w:val="22"/>
          <w:szCs w:val="22"/>
          <w:lang w:val="en-AU"/>
        </w:rPr>
        <w:t xml:space="preserve"> the implementation</w:t>
      </w:r>
      <w:r w:rsidR="009D228C">
        <w:rPr>
          <w:sz w:val="22"/>
          <w:szCs w:val="22"/>
          <w:lang w:val="en-AU"/>
        </w:rPr>
        <w:t xml:space="preserve"> of</w:t>
      </w:r>
      <w:r w:rsidR="008128C5">
        <w:rPr>
          <w:sz w:val="22"/>
          <w:szCs w:val="22"/>
          <w:lang w:val="en-AU"/>
        </w:rPr>
        <w:t xml:space="preserve"> development projects financed </w:t>
      </w:r>
      <w:r w:rsidR="00F9744E">
        <w:rPr>
          <w:sz w:val="22"/>
          <w:szCs w:val="22"/>
          <w:lang w:val="en-AU"/>
        </w:rPr>
        <w:t xml:space="preserve">by multilateral development banks and international financial institutions. By </w:t>
      </w:r>
      <w:r w:rsidR="00746274">
        <w:rPr>
          <w:sz w:val="22"/>
          <w:szCs w:val="22"/>
          <w:lang w:val="en-AU"/>
        </w:rPr>
        <w:t xml:space="preserve">way of illustration, in 2011, the World Bank </w:t>
      </w:r>
      <w:r w:rsidR="00A4604E">
        <w:rPr>
          <w:sz w:val="22"/>
          <w:szCs w:val="22"/>
          <w:lang w:val="en-AU"/>
        </w:rPr>
        <w:t xml:space="preserve">temporarily suspended </w:t>
      </w:r>
      <w:r w:rsidR="0043350C">
        <w:rPr>
          <w:sz w:val="22"/>
          <w:szCs w:val="22"/>
          <w:lang w:val="en-AU"/>
        </w:rPr>
        <w:t xml:space="preserve">all </w:t>
      </w:r>
      <w:r w:rsidR="00CA69B9">
        <w:rPr>
          <w:sz w:val="22"/>
          <w:szCs w:val="22"/>
          <w:lang w:val="en-AU"/>
        </w:rPr>
        <w:t>l</w:t>
      </w:r>
      <w:r w:rsidR="0043350C">
        <w:rPr>
          <w:sz w:val="22"/>
          <w:szCs w:val="22"/>
          <w:lang w:val="en-AU"/>
        </w:rPr>
        <w:t xml:space="preserve">ending to the Government of Cambodia </w:t>
      </w:r>
      <w:r w:rsidR="0043350C">
        <w:rPr>
          <w:sz w:val="22"/>
          <w:szCs w:val="22"/>
          <w:lang w:val="en-AU"/>
        </w:rPr>
        <w:lastRenderedPageBreak/>
        <w:t xml:space="preserve">following </w:t>
      </w:r>
      <w:r w:rsidR="00B6742D">
        <w:rPr>
          <w:sz w:val="22"/>
          <w:szCs w:val="22"/>
          <w:lang w:val="en-AU"/>
        </w:rPr>
        <w:t>a series of forced evictions that</w:t>
      </w:r>
      <w:r>
        <w:rPr>
          <w:sz w:val="22"/>
          <w:szCs w:val="22"/>
          <w:lang w:val="en-AU"/>
        </w:rPr>
        <w:t xml:space="preserve"> left many families </w:t>
      </w:r>
      <w:r w:rsidR="0000772A">
        <w:rPr>
          <w:sz w:val="22"/>
          <w:szCs w:val="22"/>
          <w:lang w:val="en-AU"/>
        </w:rPr>
        <w:t>impoverished</w:t>
      </w:r>
      <w:r>
        <w:rPr>
          <w:sz w:val="22"/>
          <w:szCs w:val="22"/>
          <w:lang w:val="en-AU"/>
        </w:rPr>
        <w:t xml:space="preserve"> and many of which </w:t>
      </w:r>
      <w:r w:rsidR="00B6742D">
        <w:rPr>
          <w:sz w:val="22"/>
          <w:szCs w:val="22"/>
          <w:lang w:val="en-AU"/>
        </w:rPr>
        <w:t>remain unresolved</w:t>
      </w:r>
      <w:r>
        <w:rPr>
          <w:sz w:val="22"/>
          <w:szCs w:val="22"/>
          <w:lang w:val="en-AU"/>
        </w:rPr>
        <w:t xml:space="preserve"> today</w:t>
      </w:r>
      <w:r w:rsidR="00B6742D">
        <w:rPr>
          <w:sz w:val="22"/>
          <w:szCs w:val="22"/>
          <w:lang w:val="en-AU"/>
        </w:rPr>
        <w:t xml:space="preserve">. </w:t>
      </w:r>
      <w:r w:rsidR="00EC3BE6">
        <w:rPr>
          <w:sz w:val="22"/>
          <w:szCs w:val="22"/>
          <w:lang w:val="en-AU"/>
        </w:rPr>
        <w:t xml:space="preserve">Had </w:t>
      </w:r>
      <w:r w:rsidR="00E92713">
        <w:rPr>
          <w:sz w:val="22"/>
          <w:szCs w:val="22"/>
          <w:lang w:val="en-AU"/>
        </w:rPr>
        <w:t>h</w:t>
      </w:r>
      <w:r w:rsidR="0095703C">
        <w:rPr>
          <w:sz w:val="22"/>
          <w:szCs w:val="22"/>
          <w:lang w:val="en-AU"/>
        </w:rPr>
        <w:t xml:space="preserve">uman rights and human rights risk information – including information </w:t>
      </w:r>
      <w:r w:rsidR="00ED6CF8">
        <w:rPr>
          <w:sz w:val="22"/>
          <w:szCs w:val="22"/>
          <w:lang w:val="en-AU"/>
        </w:rPr>
        <w:t>generated by the Committee –</w:t>
      </w:r>
      <w:r>
        <w:rPr>
          <w:sz w:val="22"/>
          <w:szCs w:val="22"/>
          <w:lang w:val="en-AU"/>
        </w:rPr>
        <w:t xml:space="preserve"> </w:t>
      </w:r>
      <w:r w:rsidR="00ED6CF8">
        <w:rPr>
          <w:sz w:val="22"/>
          <w:szCs w:val="22"/>
          <w:lang w:val="en-AU"/>
        </w:rPr>
        <w:t xml:space="preserve">been considered at an </w:t>
      </w:r>
      <w:r w:rsidR="00ED6CF8" w:rsidRPr="00DF37D8">
        <w:rPr>
          <w:sz w:val="22"/>
          <w:szCs w:val="22"/>
          <w:lang w:val="en-US"/>
        </w:rPr>
        <w:t>early stage of project design</w:t>
      </w:r>
      <w:r w:rsidR="00B83E42" w:rsidRPr="00DF37D8">
        <w:rPr>
          <w:sz w:val="22"/>
          <w:szCs w:val="22"/>
          <w:lang w:val="en-US"/>
        </w:rPr>
        <w:t xml:space="preserve">, </w:t>
      </w:r>
      <w:r w:rsidR="00B442D5" w:rsidRPr="00DF37D8">
        <w:rPr>
          <w:sz w:val="22"/>
          <w:szCs w:val="22"/>
          <w:lang w:val="en-US"/>
        </w:rPr>
        <w:t xml:space="preserve">such </w:t>
      </w:r>
      <w:r w:rsidR="009023F6" w:rsidRPr="00DF37D8">
        <w:rPr>
          <w:sz w:val="22"/>
          <w:szCs w:val="22"/>
          <w:lang w:val="en-US"/>
        </w:rPr>
        <w:t xml:space="preserve">harm </w:t>
      </w:r>
      <w:r w:rsidR="006D20DB" w:rsidRPr="00DF37D8">
        <w:rPr>
          <w:sz w:val="22"/>
          <w:szCs w:val="22"/>
          <w:lang w:val="en-US"/>
        </w:rPr>
        <w:t xml:space="preserve">may have been </w:t>
      </w:r>
      <w:r w:rsidR="005909F3" w:rsidRPr="00DF37D8">
        <w:rPr>
          <w:sz w:val="22"/>
          <w:szCs w:val="22"/>
          <w:lang w:val="en-US"/>
        </w:rPr>
        <w:t>minimized</w:t>
      </w:r>
      <w:r w:rsidR="009A250E" w:rsidRPr="00DF37D8">
        <w:rPr>
          <w:sz w:val="22"/>
          <w:szCs w:val="22"/>
          <w:lang w:val="en-US"/>
        </w:rPr>
        <w:t xml:space="preserve"> or avoided altogether. </w:t>
      </w:r>
    </w:p>
    <w:p w:rsidR="00883EFC" w:rsidRDefault="00577434" w:rsidP="00AD401E">
      <w:pPr>
        <w:pStyle w:val="CommentText"/>
        <w:jc w:val="both"/>
        <w:rPr>
          <w:sz w:val="22"/>
          <w:szCs w:val="22"/>
          <w:lang w:val="en-AU"/>
        </w:rPr>
      </w:pPr>
      <w:r>
        <w:rPr>
          <w:sz w:val="22"/>
          <w:szCs w:val="22"/>
          <w:lang w:val="en-US"/>
        </w:rPr>
        <w:t xml:space="preserve">Recalling that </w:t>
      </w:r>
      <w:r w:rsidR="00927C6C" w:rsidRPr="00DF37D8">
        <w:rPr>
          <w:sz w:val="22"/>
          <w:szCs w:val="22"/>
          <w:lang w:val="en-US"/>
        </w:rPr>
        <w:t xml:space="preserve">the </w:t>
      </w:r>
      <w:r w:rsidR="00883EFC" w:rsidRPr="00DF37D8">
        <w:rPr>
          <w:sz w:val="22"/>
          <w:szCs w:val="22"/>
          <w:lang w:val="en-US"/>
        </w:rPr>
        <w:t>Committee</w:t>
      </w:r>
      <w:r w:rsidR="00927C6C" w:rsidRPr="00DF37D8">
        <w:rPr>
          <w:sz w:val="22"/>
          <w:szCs w:val="22"/>
          <w:lang w:val="en-US"/>
        </w:rPr>
        <w:t>’s</w:t>
      </w:r>
      <w:r w:rsidR="00BE661B" w:rsidRPr="00DF37D8">
        <w:rPr>
          <w:sz w:val="22"/>
          <w:szCs w:val="22"/>
          <w:lang w:val="en-US"/>
        </w:rPr>
        <w:t xml:space="preserve"> General Comment 7 on Forced Evictions</w:t>
      </w:r>
      <w:r w:rsidR="00927C6C" w:rsidRPr="00DF37D8">
        <w:rPr>
          <w:sz w:val="22"/>
          <w:szCs w:val="22"/>
          <w:lang w:val="en-US"/>
        </w:rPr>
        <w:t xml:space="preserve"> </w:t>
      </w:r>
      <w:r w:rsidRPr="00DF37D8">
        <w:rPr>
          <w:sz w:val="22"/>
          <w:szCs w:val="22"/>
          <w:lang w:val="en-US"/>
        </w:rPr>
        <w:t xml:space="preserve">calls for full </w:t>
      </w:r>
      <w:r>
        <w:rPr>
          <w:sz w:val="22"/>
          <w:szCs w:val="22"/>
          <w:lang w:val="en-US"/>
        </w:rPr>
        <w:t xml:space="preserve">respect of the </w:t>
      </w:r>
      <w:r w:rsidR="00927C6C" w:rsidRPr="00DF37D8">
        <w:rPr>
          <w:sz w:val="22"/>
          <w:szCs w:val="22"/>
          <w:lang w:val="en-US"/>
        </w:rPr>
        <w:t xml:space="preserve">guidelines on relocation and/or resettlement </w:t>
      </w:r>
      <w:r w:rsidR="00D8103B" w:rsidRPr="00DF37D8">
        <w:rPr>
          <w:sz w:val="22"/>
          <w:szCs w:val="22"/>
          <w:lang w:val="en-US"/>
        </w:rPr>
        <w:t xml:space="preserve">adopted by </w:t>
      </w:r>
      <w:r w:rsidR="009862B0" w:rsidRPr="00DF37D8">
        <w:rPr>
          <w:sz w:val="22"/>
          <w:szCs w:val="22"/>
          <w:lang w:val="en-US"/>
        </w:rPr>
        <w:t>institutions</w:t>
      </w:r>
      <w:r w:rsidR="00D8103B" w:rsidRPr="00DF37D8">
        <w:rPr>
          <w:sz w:val="22"/>
          <w:szCs w:val="22"/>
          <w:lang w:val="en-US"/>
        </w:rPr>
        <w:t xml:space="preserve"> such as the World Bank</w:t>
      </w:r>
      <w:r>
        <w:rPr>
          <w:sz w:val="22"/>
          <w:szCs w:val="22"/>
          <w:lang w:val="en-US"/>
        </w:rPr>
        <w:t>,</w:t>
      </w:r>
      <w:r w:rsidR="00D8103B" w:rsidRPr="00DF37D8">
        <w:rPr>
          <w:sz w:val="22"/>
          <w:szCs w:val="22"/>
          <w:lang w:val="en-US"/>
        </w:rPr>
        <w:t xml:space="preserve"> </w:t>
      </w:r>
      <w:r w:rsidR="00927C6C" w:rsidRPr="00DF37D8">
        <w:rPr>
          <w:sz w:val="22"/>
          <w:szCs w:val="22"/>
          <w:lang w:val="en-US"/>
        </w:rPr>
        <w:t>with a view to limiting the scale of and human suffering associated with forced evictions</w:t>
      </w:r>
      <w:r w:rsidR="001850DE" w:rsidRPr="00DF37D8">
        <w:rPr>
          <w:sz w:val="22"/>
          <w:szCs w:val="22"/>
          <w:lang w:val="en-US"/>
        </w:rPr>
        <w:t>,</w:t>
      </w:r>
      <w:r w:rsidR="00951A68" w:rsidRPr="00DF37D8">
        <w:rPr>
          <w:rStyle w:val="FootnoteReference"/>
          <w:sz w:val="22"/>
          <w:szCs w:val="22"/>
          <w:lang w:val="en-US"/>
        </w:rPr>
        <w:footnoteReference w:id="2"/>
      </w:r>
      <w:r w:rsidR="00927C6C" w:rsidRPr="00870292">
        <w:rPr>
          <w:sz w:val="22"/>
          <w:szCs w:val="22"/>
        </w:rPr>
        <w:t xml:space="preserve"> </w:t>
      </w:r>
      <w:r w:rsidR="000C3A40" w:rsidRPr="00870292">
        <w:rPr>
          <w:sz w:val="22"/>
          <w:szCs w:val="22"/>
          <w:lang w:val="en-AU"/>
        </w:rPr>
        <w:t xml:space="preserve">State Parties to the Covenant </w:t>
      </w:r>
      <w:r>
        <w:rPr>
          <w:sz w:val="22"/>
          <w:szCs w:val="22"/>
          <w:lang w:val="en-AU"/>
        </w:rPr>
        <w:t>a</w:t>
      </w:r>
      <w:r w:rsidRPr="00870292">
        <w:rPr>
          <w:sz w:val="22"/>
          <w:szCs w:val="22"/>
          <w:lang w:val="en-AU"/>
        </w:rPr>
        <w:t>s Board members of multilateral development banks and international financial institutions</w:t>
      </w:r>
      <w:r>
        <w:rPr>
          <w:sz w:val="22"/>
          <w:szCs w:val="22"/>
          <w:lang w:val="en-AU"/>
        </w:rPr>
        <w:t xml:space="preserve"> also </w:t>
      </w:r>
      <w:r w:rsidR="000C3A40" w:rsidRPr="00870292">
        <w:rPr>
          <w:sz w:val="22"/>
          <w:szCs w:val="22"/>
          <w:lang w:val="en-AU"/>
        </w:rPr>
        <w:t xml:space="preserve">exercise significant influence over </w:t>
      </w:r>
      <w:r w:rsidR="00AD75D2">
        <w:rPr>
          <w:sz w:val="22"/>
          <w:szCs w:val="22"/>
          <w:lang w:val="en-AU"/>
        </w:rPr>
        <w:t xml:space="preserve">the design and requirements for compliance with the </w:t>
      </w:r>
      <w:r w:rsidR="000C3A40" w:rsidRPr="00870292">
        <w:rPr>
          <w:sz w:val="22"/>
          <w:szCs w:val="22"/>
          <w:lang w:val="en-AU"/>
        </w:rPr>
        <w:t>social and environmental safeguards</w:t>
      </w:r>
      <w:r w:rsidR="00E17F1B" w:rsidRPr="00870292">
        <w:rPr>
          <w:sz w:val="22"/>
          <w:szCs w:val="22"/>
          <w:lang w:val="en-AU"/>
        </w:rPr>
        <w:t xml:space="preserve"> </w:t>
      </w:r>
      <w:r w:rsidR="00AD75D2">
        <w:rPr>
          <w:sz w:val="22"/>
          <w:szCs w:val="22"/>
          <w:lang w:val="en-AU"/>
        </w:rPr>
        <w:t xml:space="preserve">to which </w:t>
      </w:r>
      <w:r w:rsidR="00E17F1B" w:rsidRPr="00870292">
        <w:rPr>
          <w:sz w:val="22"/>
          <w:szCs w:val="22"/>
          <w:lang w:val="en-AU"/>
        </w:rPr>
        <w:t>lending</w:t>
      </w:r>
      <w:r w:rsidR="00AD75D2">
        <w:rPr>
          <w:sz w:val="22"/>
          <w:szCs w:val="22"/>
          <w:lang w:val="en-AU"/>
        </w:rPr>
        <w:t xml:space="preserve"> decisions are subject</w:t>
      </w:r>
      <w:r w:rsidR="000C3A40" w:rsidRPr="00870292">
        <w:rPr>
          <w:sz w:val="22"/>
          <w:szCs w:val="22"/>
          <w:lang w:val="en-AU"/>
        </w:rPr>
        <w:t xml:space="preserve">, including on </w:t>
      </w:r>
      <w:r w:rsidR="00FD2910" w:rsidRPr="00870292">
        <w:rPr>
          <w:sz w:val="22"/>
          <w:szCs w:val="22"/>
          <w:lang w:val="en-AU"/>
        </w:rPr>
        <w:t>housing</w:t>
      </w:r>
      <w:r w:rsidR="00C245A7" w:rsidRPr="00870292">
        <w:rPr>
          <w:sz w:val="22"/>
          <w:szCs w:val="22"/>
          <w:lang w:val="en-AU"/>
        </w:rPr>
        <w:t xml:space="preserve"> and </w:t>
      </w:r>
      <w:r w:rsidR="00FD2910" w:rsidRPr="00870292">
        <w:rPr>
          <w:sz w:val="22"/>
          <w:szCs w:val="22"/>
          <w:lang w:val="en-AU"/>
        </w:rPr>
        <w:t>other rights</w:t>
      </w:r>
      <w:r w:rsidR="00C245A7" w:rsidRPr="00870292">
        <w:rPr>
          <w:sz w:val="22"/>
          <w:szCs w:val="22"/>
          <w:lang w:val="en-AU"/>
        </w:rPr>
        <w:t xml:space="preserve"> </w:t>
      </w:r>
      <w:r w:rsidR="00AD75D2">
        <w:rPr>
          <w:sz w:val="22"/>
          <w:szCs w:val="22"/>
          <w:lang w:val="en-AU"/>
        </w:rPr>
        <w:t>provided for under</w:t>
      </w:r>
      <w:r w:rsidR="00C245A7" w:rsidRPr="00870292">
        <w:rPr>
          <w:sz w:val="22"/>
          <w:szCs w:val="22"/>
          <w:lang w:val="en-AU"/>
        </w:rPr>
        <w:t xml:space="preserve"> the </w:t>
      </w:r>
      <w:r w:rsidR="00CB24AA" w:rsidRPr="00870292">
        <w:rPr>
          <w:sz w:val="22"/>
          <w:szCs w:val="22"/>
          <w:lang w:val="en-AU"/>
        </w:rPr>
        <w:t>Covenant</w:t>
      </w:r>
      <w:r w:rsidR="00DF2253" w:rsidRPr="00870292">
        <w:rPr>
          <w:sz w:val="22"/>
          <w:szCs w:val="22"/>
          <w:lang w:val="en-AU"/>
        </w:rPr>
        <w:t>. Such decisions</w:t>
      </w:r>
      <w:r w:rsidR="000C3A40" w:rsidRPr="00870292">
        <w:rPr>
          <w:sz w:val="22"/>
          <w:szCs w:val="22"/>
          <w:lang w:val="en-AU"/>
        </w:rPr>
        <w:t xml:space="preserve"> </w:t>
      </w:r>
      <w:r w:rsidR="00B8634C" w:rsidRPr="00870292">
        <w:rPr>
          <w:sz w:val="22"/>
          <w:szCs w:val="22"/>
          <w:lang w:val="en-AU"/>
        </w:rPr>
        <w:t xml:space="preserve">have particular bearing on the realization </w:t>
      </w:r>
      <w:r w:rsidR="00612657" w:rsidRPr="00870292">
        <w:rPr>
          <w:sz w:val="22"/>
          <w:szCs w:val="22"/>
          <w:lang w:val="en-AU"/>
        </w:rPr>
        <w:t>of</w:t>
      </w:r>
      <w:r w:rsidR="00B8634C" w:rsidRPr="00870292">
        <w:rPr>
          <w:sz w:val="22"/>
          <w:szCs w:val="22"/>
          <w:lang w:val="en-AU"/>
        </w:rPr>
        <w:t xml:space="preserve"> rights under the Covenant, </w:t>
      </w:r>
      <w:r w:rsidR="00D643E2" w:rsidRPr="00870292">
        <w:rPr>
          <w:sz w:val="22"/>
          <w:szCs w:val="22"/>
          <w:lang w:val="en-AU"/>
        </w:rPr>
        <w:t xml:space="preserve">in particular as </w:t>
      </w:r>
      <w:r w:rsidR="00681A30">
        <w:rPr>
          <w:sz w:val="22"/>
          <w:szCs w:val="22"/>
          <w:lang w:val="en-AU"/>
        </w:rPr>
        <w:t xml:space="preserve">human rights are generally not reflected in current </w:t>
      </w:r>
      <w:r w:rsidR="00D643E2" w:rsidRPr="00870292">
        <w:rPr>
          <w:sz w:val="22"/>
          <w:szCs w:val="22"/>
          <w:lang w:val="en-AU"/>
        </w:rPr>
        <w:t>safeguard</w:t>
      </w:r>
      <w:r w:rsidR="00153E94" w:rsidRPr="00870292">
        <w:rPr>
          <w:sz w:val="22"/>
          <w:szCs w:val="22"/>
          <w:lang w:val="en-AU"/>
        </w:rPr>
        <w:t xml:space="preserve"> policies</w:t>
      </w:r>
      <w:r w:rsidR="00681A30">
        <w:rPr>
          <w:sz w:val="22"/>
          <w:szCs w:val="22"/>
          <w:lang w:val="en-AU"/>
        </w:rPr>
        <w:t xml:space="preserve">. </w:t>
      </w:r>
      <w:r w:rsidR="00153E94" w:rsidRPr="00870292">
        <w:rPr>
          <w:sz w:val="22"/>
          <w:szCs w:val="22"/>
          <w:lang w:val="en-AU"/>
        </w:rPr>
        <w:t xml:space="preserve"> </w:t>
      </w:r>
      <w:r w:rsidR="001273C6">
        <w:rPr>
          <w:sz w:val="22"/>
          <w:szCs w:val="22"/>
          <w:lang w:val="en-AU"/>
        </w:rPr>
        <w:t xml:space="preserve">The </w:t>
      </w:r>
      <w:r w:rsidR="00EF7FB4">
        <w:rPr>
          <w:sz w:val="22"/>
          <w:szCs w:val="22"/>
          <w:lang w:val="en-AU"/>
        </w:rPr>
        <w:t>Theme Group</w:t>
      </w:r>
      <w:r w:rsidR="001273C6">
        <w:rPr>
          <w:sz w:val="22"/>
          <w:szCs w:val="22"/>
          <w:lang w:val="en-AU"/>
        </w:rPr>
        <w:t xml:space="preserve"> </w:t>
      </w:r>
      <w:r w:rsidR="00523A0E">
        <w:rPr>
          <w:sz w:val="22"/>
          <w:szCs w:val="22"/>
          <w:lang w:val="en-AU"/>
        </w:rPr>
        <w:t xml:space="preserve">therefore </w:t>
      </w:r>
      <w:r w:rsidR="001273C6">
        <w:rPr>
          <w:sz w:val="22"/>
          <w:szCs w:val="22"/>
          <w:lang w:val="en-AU"/>
        </w:rPr>
        <w:t xml:space="preserve">suggests </w:t>
      </w:r>
      <w:r w:rsidR="00322177">
        <w:rPr>
          <w:sz w:val="22"/>
          <w:szCs w:val="22"/>
          <w:lang w:val="en-AU"/>
        </w:rPr>
        <w:t>the addition of a</w:t>
      </w:r>
      <w:r w:rsidR="00D41D00">
        <w:rPr>
          <w:sz w:val="22"/>
          <w:szCs w:val="22"/>
          <w:lang w:val="en-AU"/>
        </w:rPr>
        <w:t xml:space="preserve"> stand-alone </w:t>
      </w:r>
      <w:r w:rsidR="00D97113">
        <w:rPr>
          <w:sz w:val="22"/>
          <w:szCs w:val="22"/>
          <w:lang w:val="en-AU"/>
        </w:rPr>
        <w:t xml:space="preserve">article on </w:t>
      </w:r>
      <w:r w:rsidR="003C6A94">
        <w:rPr>
          <w:sz w:val="22"/>
          <w:szCs w:val="22"/>
          <w:lang w:val="en-AU"/>
        </w:rPr>
        <w:t xml:space="preserve">the obligation </w:t>
      </w:r>
      <w:r w:rsidR="008F4812">
        <w:rPr>
          <w:sz w:val="22"/>
          <w:szCs w:val="22"/>
          <w:lang w:val="en-AU"/>
        </w:rPr>
        <w:t xml:space="preserve">of State Parties </w:t>
      </w:r>
      <w:r w:rsidR="003C6A94">
        <w:rPr>
          <w:sz w:val="22"/>
          <w:szCs w:val="22"/>
          <w:lang w:val="en-AU"/>
        </w:rPr>
        <w:t>to align</w:t>
      </w:r>
      <w:r w:rsidR="008559A2">
        <w:rPr>
          <w:sz w:val="22"/>
          <w:szCs w:val="22"/>
          <w:lang w:val="en-AU"/>
        </w:rPr>
        <w:t xml:space="preserve"> their</w:t>
      </w:r>
      <w:r w:rsidR="003C6A94">
        <w:rPr>
          <w:sz w:val="22"/>
          <w:szCs w:val="22"/>
          <w:lang w:val="en-AU"/>
        </w:rPr>
        <w:t xml:space="preserve"> decisions </w:t>
      </w:r>
      <w:r w:rsidR="009E2B49">
        <w:rPr>
          <w:sz w:val="22"/>
          <w:szCs w:val="22"/>
          <w:lang w:val="en-AU"/>
        </w:rPr>
        <w:t xml:space="preserve">over lending, technical assistance and safeguard policies </w:t>
      </w:r>
      <w:r w:rsidR="00681A30">
        <w:rPr>
          <w:sz w:val="22"/>
          <w:szCs w:val="22"/>
          <w:lang w:val="en-AU"/>
        </w:rPr>
        <w:t xml:space="preserve">on third parties </w:t>
      </w:r>
      <w:r w:rsidR="003C6A94">
        <w:rPr>
          <w:sz w:val="22"/>
          <w:szCs w:val="22"/>
          <w:lang w:val="en-AU"/>
        </w:rPr>
        <w:t>with</w:t>
      </w:r>
      <w:r w:rsidR="002C4E81">
        <w:rPr>
          <w:sz w:val="22"/>
          <w:szCs w:val="22"/>
          <w:lang w:val="en-AU"/>
        </w:rPr>
        <w:t xml:space="preserve"> their</w:t>
      </w:r>
      <w:r w:rsidR="003C6A94">
        <w:rPr>
          <w:sz w:val="22"/>
          <w:szCs w:val="22"/>
          <w:lang w:val="en-AU"/>
        </w:rPr>
        <w:t xml:space="preserve"> </w:t>
      </w:r>
      <w:r w:rsidR="000A31F7">
        <w:rPr>
          <w:sz w:val="22"/>
          <w:szCs w:val="22"/>
          <w:lang w:val="en-AU"/>
        </w:rPr>
        <w:t xml:space="preserve">human rights </w:t>
      </w:r>
      <w:r w:rsidR="003C6A94">
        <w:rPr>
          <w:sz w:val="22"/>
          <w:szCs w:val="22"/>
          <w:lang w:val="en-AU"/>
        </w:rPr>
        <w:t xml:space="preserve">obligations </w:t>
      </w:r>
      <w:r w:rsidR="008E0272">
        <w:rPr>
          <w:sz w:val="22"/>
          <w:szCs w:val="22"/>
          <w:lang w:val="en-AU"/>
        </w:rPr>
        <w:t xml:space="preserve">under the Covenant. </w:t>
      </w:r>
      <w:r w:rsidR="00BD6143">
        <w:rPr>
          <w:sz w:val="22"/>
          <w:szCs w:val="22"/>
          <w:lang w:val="en-AU"/>
        </w:rPr>
        <w:t>In addition, h</w:t>
      </w:r>
      <w:r w:rsidR="00883EFC" w:rsidRPr="001019F4">
        <w:rPr>
          <w:sz w:val="22"/>
          <w:szCs w:val="22"/>
          <w:lang w:val="en-AU"/>
        </w:rPr>
        <w:t xml:space="preserve">uman rights </w:t>
      </w:r>
      <w:r w:rsidR="006E71DD">
        <w:rPr>
          <w:sz w:val="22"/>
          <w:szCs w:val="22"/>
          <w:lang w:val="en-AU"/>
        </w:rPr>
        <w:t>due diligence</w:t>
      </w:r>
      <w:r w:rsidR="00883EFC" w:rsidRPr="001019F4">
        <w:rPr>
          <w:sz w:val="22"/>
          <w:szCs w:val="22"/>
          <w:lang w:val="en-AU"/>
        </w:rPr>
        <w:t xml:space="preserve"> and the integration of human rights risk information (</w:t>
      </w:r>
      <w:r w:rsidR="00680F86">
        <w:rPr>
          <w:sz w:val="22"/>
          <w:szCs w:val="22"/>
          <w:lang w:val="en-AU"/>
        </w:rPr>
        <w:t xml:space="preserve">including information </w:t>
      </w:r>
      <w:r w:rsidR="00883EFC" w:rsidRPr="001019F4">
        <w:rPr>
          <w:sz w:val="22"/>
          <w:szCs w:val="22"/>
          <w:lang w:val="en-AU"/>
        </w:rPr>
        <w:t xml:space="preserve">generated by </w:t>
      </w:r>
      <w:r w:rsidR="00695E13">
        <w:rPr>
          <w:sz w:val="22"/>
          <w:szCs w:val="22"/>
          <w:lang w:val="en-AU"/>
        </w:rPr>
        <w:t>the Committee</w:t>
      </w:r>
      <w:r w:rsidR="00883EFC" w:rsidRPr="001019F4">
        <w:rPr>
          <w:sz w:val="22"/>
          <w:szCs w:val="22"/>
          <w:lang w:val="en-AU"/>
        </w:rPr>
        <w:t xml:space="preserve">), should </w:t>
      </w:r>
      <w:r w:rsidR="00977E30">
        <w:rPr>
          <w:sz w:val="22"/>
          <w:szCs w:val="22"/>
          <w:lang w:val="en-AU"/>
        </w:rPr>
        <w:t xml:space="preserve">be </w:t>
      </w:r>
      <w:r w:rsidR="00681A30">
        <w:rPr>
          <w:sz w:val="22"/>
          <w:szCs w:val="22"/>
          <w:lang w:val="en-AU"/>
        </w:rPr>
        <w:t xml:space="preserve">formally integrated into the </w:t>
      </w:r>
      <w:r w:rsidR="00977E30">
        <w:rPr>
          <w:sz w:val="22"/>
          <w:szCs w:val="22"/>
          <w:lang w:val="en-AU"/>
        </w:rPr>
        <w:t>project design</w:t>
      </w:r>
      <w:r w:rsidR="00883EFC" w:rsidRPr="001019F4">
        <w:rPr>
          <w:sz w:val="22"/>
          <w:szCs w:val="22"/>
          <w:lang w:val="en-AU"/>
        </w:rPr>
        <w:t xml:space="preserve"> and </w:t>
      </w:r>
      <w:r w:rsidR="00CC2FB5">
        <w:rPr>
          <w:sz w:val="22"/>
          <w:szCs w:val="22"/>
          <w:lang w:val="en-AU"/>
        </w:rPr>
        <w:t>implementation</w:t>
      </w:r>
      <w:r w:rsidR="00883EFC" w:rsidRPr="001019F4">
        <w:rPr>
          <w:sz w:val="22"/>
          <w:szCs w:val="22"/>
          <w:lang w:val="en-AU"/>
        </w:rPr>
        <w:t xml:space="preserve">. </w:t>
      </w:r>
    </w:p>
    <w:p w:rsidR="00CE67DA" w:rsidRDefault="00CE67DA" w:rsidP="00AD401E">
      <w:pPr>
        <w:pStyle w:val="CommentText"/>
        <w:jc w:val="both"/>
        <w:rPr>
          <w:sz w:val="22"/>
          <w:szCs w:val="22"/>
          <w:lang w:val="en-AU"/>
        </w:rPr>
      </w:pPr>
      <w:r>
        <w:rPr>
          <w:sz w:val="22"/>
          <w:szCs w:val="22"/>
          <w:lang w:val="en-AU"/>
        </w:rPr>
        <w:t xml:space="preserve">The </w:t>
      </w:r>
      <w:r w:rsidR="00EF7FB4">
        <w:rPr>
          <w:sz w:val="22"/>
          <w:szCs w:val="22"/>
          <w:lang w:val="en-AU"/>
        </w:rPr>
        <w:t>Theme Group</w:t>
      </w:r>
      <w:r>
        <w:rPr>
          <w:sz w:val="22"/>
          <w:szCs w:val="22"/>
          <w:lang w:val="en-AU"/>
        </w:rPr>
        <w:t xml:space="preserve"> suggests the following addition</w:t>
      </w:r>
      <w:r w:rsidR="00AD75D2">
        <w:rPr>
          <w:sz w:val="22"/>
          <w:szCs w:val="22"/>
          <w:lang w:val="en-AU"/>
        </w:rPr>
        <w:t xml:space="preserve"> at an appropriate place</w:t>
      </w:r>
      <w:r>
        <w:rPr>
          <w:sz w:val="22"/>
          <w:szCs w:val="22"/>
          <w:lang w:val="en-AU"/>
        </w:rPr>
        <w:t xml:space="preserve">: </w:t>
      </w:r>
    </w:p>
    <w:p w:rsidR="007743C9" w:rsidRDefault="00AD75D2" w:rsidP="00AD401E">
      <w:pPr>
        <w:pStyle w:val="CommentText"/>
        <w:jc w:val="both"/>
        <w:rPr>
          <w:sz w:val="22"/>
          <w:szCs w:val="22"/>
          <w:lang w:val="en-AU"/>
        </w:rPr>
      </w:pPr>
      <w:r>
        <w:rPr>
          <w:sz w:val="22"/>
          <w:szCs w:val="22"/>
          <w:lang w:val="en-AU"/>
        </w:rPr>
        <w:t>“The duty of States parties to comply with the Covenant extends to all the roles they may assume, including as Board members of multilateral development banks taking decisions over lending and technical support. Such decisions have great potential for the realization of human rights – or dire consequences if human rights considerations do not factor in the lending process. As</w:t>
      </w:r>
      <w:r w:rsidRPr="00870292">
        <w:rPr>
          <w:sz w:val="22"/>
          <w:szCs w:val="22"/>
          <w:lang w:val="en-AU"/>
        </w:rPr>
        <w:t xml:space="preserve"> Board members</w:t>
      </w:r>
      <w:r>
        <w:rPr>
          <w:sz w:val="22"/>
          <w:szCs w:val="22"/>
          <w:lang w:val="en-AU"/>
        </w:rPr>
        <w:t>, States parties should also, to the extent possible,</w:t>
      </w:r>
      <w:r w:rsidRPr="00870292">
        <w:rPr>
          <w:sz w:val="22"/>
          <w:szCs w:val="22"/>
          <w:lang w:val="en-AU"/>
        </w:rPr>
        <w:t xml:space="preserve"> influence </w:t>
      </w:r>
      <w:r>
        <w:rPr>
          <w:sz w:val="22"/>
          <w:szCs w:val="22"/>
          <w:lang w:val="en-AU"/>
        </w:rPr>
        <w:t xml:space="preserve">the design </w:t>
      </w:r>
      <w:r w:rsidR="00371FD0">
        <w:rPr>
          <w:sz w:val="22"/>
          <w:szCs w:val="22"/>
          <w:lang w:val="en-AU"/>
        </w:rPr>
        <w:t xml:space="preserve">of </w:t>
      </w:r>
      <w:r w:rsidRPr="00870292">
        <w:rPr>
          <w:sz w:val="22"/>
          <w:szCs w:val="22"/>
          <w:lang w:val="en-AU"/>
        </w:rPr>
        <w:t xml:space="preserve">social and environmental </w:t>
      </w:r>
      <w:r>
        <w:rPr>
          <w:sz w:val="22"/>
          <w:szCs w:val="22"/>
          <w:lang w:val="en-AU"/>
        </w:rPr>
        <w:t xml:space="preserve">safeguards to which </w:t>
      </w:r>
      <w:r w:rsidRPr="00870292">
        <w:rPr>
          <w:sz w:val="22"/>
          <w:szCs w:val="22"/>
          <w:lang w:val="en-AU"/>
        </w:rPr>
        <w:t>lending</w:t>
      </w:r>
      <w:r>
        <w:rPr>
          <w:sz w:val="22"/>
          <w:szCs w:val="22"/>
          <w:lang w:val="en-AU"/>
        </w:rPr>
        <w:t xml:space="preserve"> decisions are subject</w:t>
      </w:r>
      <w:r w:rsidRPr="00870292">
        <w:rPr>
          <w:sz w:val="22"/>
          <w:szCs w:val="22"/>
          <w:lang w:val="en-AU"/>
        </w:rPr>
        <w:t>,</w:t>
      </w:r>
      <w:r w:rsidR="00371FD0" w:rsidRPr="00371FD0">
        <w:rPr>
          <w:sz w:val="22"/>
          <w:szCs w:val="22"/>
          <w:lang w:val="en-AU"/>
        </w:rPr>
        <w:t xml:space="preserve"> </w:t>
      </w:r>
      <w:r w:rsidR="00371FD0">
        <w:rPr>
          <w:sz w:val="22"/>
          <w:szCs w:val="22"/>
          <w:lang w:val="en-AU"/>
        </w:rPr>
        <w:t xml:space="preserve">which could potentially affect a number of </w:t>
      </w:r>
      <w:r w:rsidR="00371FD0" w:rsidRPr="00870292">
        <w:rPr>
          <w:sz w:val="22"/>
          <w:szCs w:val="22"/>
          <w:lang w:val="en-AU"/>
        </w:rPr>
        <w:t xml:space="preserve">rights </w:t>
      </w:r>
      <w:r w:rsidR="00371FD0">
        <w:rPr>
          <w:sz w:val="22"/>
          <w:szCs w:val="22"/>
          <w:lang w:val="en-AU"/>
        </w:rPr>
        <w:t>provided for under</w:t>
      </w:r>
      <w:r w:rsidR="00371FD0" w:rsidRPr="00870292">
        <w:rPr>
          <w:sz w:val="22"/>
          <w:szCs w:val="22"/>
          <w:lang w:val="en-AU"/>
        </w:rPr>
        <w:t xml:space="preserve"> the Covenant</w:t>
      </w:r>
      <w:r w:rsidR="00371FD0">
        <w:rPr>
          <w:sz w:val="22"/>
          <w:szCs w:val="22"/>
          <w:lang w:val="en-AU"/>
        </w:rPr>
        <w:t>, as well as encourage the adoption of requirements by borrowers to comply with</w:t>
      </w:r>
      <w:r w:rsidRPr="00870292">
        <w:rPr>
          <w:sz w:val="22"/>
          <w:szCs w:val="22"/>
          <w:lang w:val="en-AU"/>
        </w:rPr>
        <w:t xml:space="preserve"> </w:t>
      </w:r>
      <w:r w:rsidR="00371FD0">
        <w:rPr>
          <w:sz w:val="22"/>
          <w:szCs w:val="22"/>
          <w:lang w:val="en-AU"/>
        </w:rPr>
        <w:t>those safeguards</w:t>
      </w:r>
      <w:r w:rsidRPr="00870292">
        <w:rPr>
          <w:sz w:val="22"/>
          <w:szCs w:val="22"/>
          <w:lang w:val="en-AU"/>
        </w:rPr>
        <w:t>.</w:t>
      </w:r>
      <w:r w:rsidR="00371FD0">
        <w:rPr>
          <w:sz w:val="22"/>
          <w:szCs w:val="22"/>
          <w:lang w:val="en-AU"/>
        </w:rPr>
        <w:t>”</w:t>
      </w:r>
    </w:p>
    <w:p w:rsidR="009F0245" w:rsidRPr="0000772A" w:rsidRDefault="00924AF0" w:rsidP="00AD401E">
      <w:pPr>
        <w:pStyle w:val="CommentText"/>
        <w:jc w:val="both"/>
        <w:rPr>
          <w:rFonts w:eastAsia="Verdana"/>
          <w:u w:color="000000"/>
          <w:bdr w:val="nil"/>
          <w:lang w:val="en-US" w:eastAsia="fr-CH"/>
        </w:rPr>
      </w:pPr>
      <w:r>
        <w:rPr>
          <w:sz w:val="22"/>
          <w:szCs w:val="22"/>
          <w:lang w:val="en-AU"/>
        </w:rPr>
        <w:t xml:space="preserve">In addition to a stand-alone </w:t>
      </w:r>
      <w:r w:rsidR="00371FD0">
        <w:rPr>
          <w:sz w:val="22"/>
          <w:szCs w:val="22"/>
          <w:lang w:val="en-AU"/>
        </w:rPr>
        <w:t>para</w:t>
      </w:r>
      <w:r w:rsidR="0000772A">
        <w:rPr>
          <w:sz w:val="22"/>
          <w:szCs w:val="22"/>
          <w:lang w:val="en-AU"/>
        </w:rPr>
        <w:t>graph</w:t>
      </w:r>
      <w:r w:rsidR="00371FD0">
        <w:rPr>
          <w:sz w:val="22"/>
          <w:szCs w:val="22"/>
          <w:lang w:val="en-AU"/>
        </w:rPr>
        <w:t xml:space="preserve"> </w:t>
      </w:r>
      <w:r>
        <w:rPr>
          <w:sz w:val="22"/>
          <w:szCs w:val="22"/>
          <w:lang w:val="en-AU"/>
        </w:rPr>
        <w:t xml:space="preserve">suggested above, the requirement </w:t>
      </w:r>
      <w:r w:rsidR="00B44188">
        <w:rPr>
          <w:sz w:val="22"/>
          <w:szCs w:val="22"/>
          <w:lang w:val="en-AU"/>
        </w:rPr>
        <w:t>for States to ensure consistency with thei</w:t>
      </w:r>
      <w:r w:rsidR="00250364">
        <w:rPr>
          <w:sz w:val="22"/>
          <w:szCs w:val="22"/>
          <w:lang w:val="en-AU"/>
        </w:rPr>
        <w:t xml:space="preserve">r human rights obligations in decisions as Board Members </w:t>
      </w:r>
      <w:r w:rsidR="00B2249F">
        <w:rPr>
          <w:sz w:val="22"/>
          <w:szCs w:val="22"/>
          <w:lang w:val="en-AU"/>
        </w:rPr>
        <w:t xml:space="preserve">could be cross-referenced </w:t>
      </w:r>
      <w:r w:rsidR="00541897">
        <w:rPr>
          <w:sz w:val="22"/>
          <w:szCs w:val="22"/>
          <w:lang w:val="en-AU"/>
        </w:rPr>
        <w:t xml:space="preserve">throughout the General Comment, including </w:t>
      </w:r>
      <w:r w:rsidR="009F0245">
        <w:rPr>
          <w:sz w:val="22"/>
          <w:szCs w:val="22"/>
          <w:lang w:val="en-AU"/>
        </w:rPr>
        <w:t xml:space="preserve">by </w:t>
      </w:r>
      <w:r w:rsidR="00F57869">
        <w:rPr>
          <w:sz w:val="22"/>
          <w:szCs w:val="22"/>
          <w:lang w:val="en-AU"/>
        </w:rPr>
        <w:t xml:space="preserve">adding </w:t>
      </w:r>
      <w:r w:rsidR="009F0245">
        <w:rPr>
          <w:sz w:val="22"/>
          <w:szCs w:val="22"/>
          <w:lang w:val="en-AU"/>
        </w:rPr>
        <w:t xml:space="preserve">the following </w:t>
      </w:r>
      <w:r w:rsidR="00F57869">
        <w:rPr>
          <w:sz w:val="22"/>
          <w:szCs w:val="22"/>
          <w:lang w:val="en-AU"/>
        </w:rPr>
        <w:t xml:space="preserve">text </w:t>
      </w:r>
      <w:r w:rsidR="009F0245">
        <w:rPr>
          <w:sz w:val="22"/>
          <w:szCs w:val="22"/>
          <w:lang w:val="en-AU"/>
        </w:rPr>
        <w:t xml:space="preserve">to </w:t>
      </w:r>
      <w:r w:rsidR="00F57869">
        <w:rPr>
          <w:sz w:val="22"/>
          <w:szCs w:val="22"/>
          <w:lang w:val="en-AU"/>
        </w:rPr>
        <w:t xml:space="preserve">para. </w:t>
      </w:r>
      <w:r w:rsidR="009F0245">
        <w:rPr>
          <w:sz w:val="22"/>
          <w:szCs w:val="22"/>
          <w:lang w:val="en-AU"/>
        </w:rPr>
        <w:t xml:space="preserve">12 (in </w:t>
      </w:r>
      <w:r w:rsidR="00F57869">
        <w:rPr>
          <w:sz w:val="22"/>
          <w:szCs w:val="22"/>
          <w:lang w:val="en-AU"/>
        </w:rPr>
        <w:t>italics</w:t>
      </w:r>
      <w:r w:rsidR="009F0245">
        <w:rPr>
          <w:sz w:val="22"/>
          <w:szCs w:val="22"/>
          <w:lang w:val="en-AU"/>
        </w:rPr>
        <w:t xml:space="preserve">): </w:t>
      </w:r>
    </w:p>
    <w:p w:rsidR="00924AF0" w:rsidRDefault="005E0579" w:rsidP="00AD401E">
      <w:pPr>
        <w:pStyle w:val="CommentText"/>
        <w:ind w:left="720"/>
        <w:jc w:val="both"/>
        <w:rPr>
          <w:rFonts w:eastAsia="Verdana"/>
          <w:color w:val="000000"/>
          <w:sz w:val="22"/>
          <w:szCs w:val="22"/>
          <w:u w:color="000000"/>
          <w:bdr w:val="nil"/>
          <w:lang w:val="en-US" w:eastAsia="fr-CH"/>
        </w:rPr>
      </w:pPr>
      <w:r>
        <w:rPr>
          <w:rFonts w:eastAsia="Verdana"/>
          <w:color w:val="000000"/>
          <w:sz w:val="22"/>
          <w:szCs w:val="22"/>
          <w:u w:color="000000"/>
          <w:bdr w:val="nil"/>
          <w:shd w:val="clear" w:color="auto" w:fill="FEFEFE"/>
          <w:lang w:val="en-US" w:eastAsia="fr-CH"/>
        </w:rPr>
        <w:t xml:space="preserve">12. </w:t>
      </w:r>
      <w:r w:rsidR="009F0245" w:rsidRPr="009F0245">
        <w:rPr>
          <w:rFonts w:eastAsia="Verdana"/>
          <w:color w:val="000000"/>
          <w:sz w:val="22"/>
          <w:szCs w:val="22"/>
          <w:u w:color="000000"/>
          <w:bdr w:val="nil"/>
          <w:shd w:val="clear" w:color="auto" w:fill="FEFEFE"/>
          <w:lang w:val="en-US" w:eastAsia="fr-CH"/>
        </w:rPr>
        <w:t xml:space="preserve">The </w:t>
      </w:r>
      <w:r w:rsidR="009F0245" w:rsidRPr="009F0245">
        <w:rPr>
          <w:rFonts w:eastAsia="Verdana"/>
          <w:color w:val="000000"/>
          <w:sz w:val="22"/>
          <w:szCs w:val="22"/>
          <w:u w:color="000000"/>
          <w:bdr w:val="nil"/>
          <w:lang w:val="en-US" w:eastAsia="fr-CH"/>
        </w:rPr>
        <w:t xml:space="preserve">obligation to respect means that domestic laws, policies, or any other measures pertaining to business entities and activities under the jurisdiction of States Parties, </w:t>
      </w:r>
      <w:r w:rsidR="009F0245" w:rsidRPr="009F0245">
        <w:rPr>
          <w:rFonts w:eastAsia="Verdana"/>
          <w:i/>
          <w:iCs/>
          <w:color w:val="000000"/>
          <w:sz w:val="22"/>
          <w:szCs w:val="22"/>
          <w:u w:color="000000"/>
          <w:bdr w:val="nil"/>
          <w:lang w:val="en-US" w:eastAsia="fr-CH"/>
        </w:rPr>
        <w:t>including decisions made by State Parties as members of multilateral development banks and other international financial institutions</w:t>
      </w:r>
      <w:r w:rsidR="009F0245" w:rsidRPr="009F0245">
        <w:rPr>
          <w:rFonts w:eastAsia="Verdana"/>
          <w:color w:val="000000"/>
          <w:sz w:val="22"/>
          <w:szCs w:val="22"/>
          <w:u w:color="000000"/>
          <w:bdr w:val="nil"/>
          <w:lang w:val="en-US" w:eastAsia="fr-CH"/>
        </w:rPr>
        <w:t>, must conform to the economic, social and cultural rights provisions under the Covenant</w:t>
      </w:r>
      <w:r w:rsidR="00F57869">
        <w:rPr>
          <w:rFonts w:eastAsia="Verdana"/>
          <w:color w:val="000000"/>
          <w:sz w:val="22"/>
          <w:szCs w:val="22"/>
          <w:u w:color="000000"/>
          <w:bdr w:val="nil"/>
          <w:lang w:val="en-US" w:eastAsia="fr-CH"/>
        </w:rPr>
        <w:t xml:space="preserve"> …</w:t>
      </w:r>
      <w:r w:rsidR="00CA1167">
        <w:rPr>
          <w:rFonts w:eastAsia="Verdana"/>
          <w:color w:val="000000"/>
          <w:sz w:val="22"/>
          <w:szCs w:val="22"/>
          <w:u w:color="000000"/>
          <w:bdr w:val="nil"/>
          <w:lang w:val="en-US" w:eastAsia="fr-CH"/>
        </w:rPr>
        <w:t xml:space="preserve"> </w:t>
      </w:r>
    </w:p>
    <w:p w:rsidR="00CA1167" w:rsidRDefault="00CA1167" w:rsidP="00AD401E">
      <w:pPr>
        <w:pStyle w:val="CommentText"/>
        <w:jc w:val="both"/>
        <w:rPr>
          <w:rFonts w:eastAsia="Verdana"/>
          <w:color w:val="000000"/>
          <w:sz w:val="22"/>
          <w:szCs w:val="22"/>
          <w:u w:color="000000"/>
          <w:bdr w:val="nil"/>
          <w:lang w:val="en-US" w:eastAsia="fr-CH"/>
        </w:rPr>
      </w:pPr>
      <w:proofErr w:type="gramStart"/>
      <w:r>
        <w:rPr>
          <w:rFonts w:eastAsia="Verdana"/>
          <w:color w:val="000000"/>
          <w:sz w:val="22"/>
          <w:szCs w:val="22"/>
          <w:u w:color="000000"/>
          <w:bdr w:val="nil"/>
          <w:lang w:val="en-US" w:eastAsia="fr-CH"/>
        </w:rPr>
        <w:t>and</w:t>
      </w:r>
      <w:proofErr w:type="gramEnd"/>
      <w:r>
        <w:rPr>
          <w:rFonts w:eastAsia="Verdana"/>
          <w:color w:val="000000"/>
          <w:sz w:val="22"/>
          <w:szCs w:val="22"/>
          <w:u w:color="000000"/>
          <w:bdr w:val="nil"/>
          <w:lang w:val="en-US" w:eastAsia="fr-CH"/>
        </w:rPr>
        <w:t xml:space="preserve"> to </w:t>
      </w:r>
      <w:r w:rsidR="00F57869">
        <w:rPr>
          <w:rFonts w:eastAsia="Verdana"/>
          <w:color w:val="000000"/>
          <w:sz w:val="22"/>
          <w:szCs w:val="22"/>
          <w:u w:color="000000"/>
          <w:bdr w:val="nil"/>
          <w:lang w:val="en-US" w:eastAsia="fr-CH"/>
        </w:rPr>
        <w:t xml:space="preserve">para. </w:t>
      </w:r>
      <w:r>
        <w:rPr>
          <w:rFonts w:eastAsia="Verdana"/>
          <w:color w:val="000000"/>
          <w:sz w:val="22"/>
          <w:szCs w:val="22"/>
          <w:u w:color="000000"/>
          <w:bdr w:val="nil"/>
          <w:lang w:val="en-US" w:eastAsia="fr-CH"/>
        </w:rPr>
        <w:t>33 (suggested addition in</w:t>
      </w:r>
      <w:r w:rsidR="00F57869">
        <w:rPr>
          <w:rFonts w:eastAsia="Verdana"/>
          <w:color w:val="000000"/>
          <w:sz w:val="22"/>
          <w:szCs w:val="22"/>
          <w:u w:color="000000"/>
          <w:bdr w:val="nil"/>
          <w:lang w:val="en-US" w:eastAsia="fr-CH"/>
        </w:rPr>
        <w:t xml:space="preserve"> italics</w:t>
      </w:r>
      <w:r>
        <w:rPr>
          <w:rFonts w:eastAsia="Verdana"/>
          <w:color w:val="000000"/>
          <w:sz w:val="22"/>
          <w:szCs w:val="22"/>
          <w:u w:color="000000"/>
          <w:bdr w:val="nil"/>
          <w:lang w:val="en-US" w:eastAsia="fr-CH"/>
        </w:rPr>
        <w:t>):</w:t>
      </w:r>
    </w:p>
    <w:p w:rsidR="00CD6191" w:rsidRDefault="005E0579" w:rsidP="00AD401E">
      <w:pPr>
        <w:pStyle w:val="CommentText"/>
        <w:ind w:left="720"/>
        <w:jc w:val="both"/>
        <w:rPr>
          <w:rFonts w:eastAsia="Verdana"/>
          <w:color w:val="000000"/>
          <w:sz w:val="22"/>
          <w:szCs w:val="22"/>
          <w:u w:color="000000"/>
          <w:bdr w:val="nil"/>
          <w:lang w:val="en-US" w:eastAsia="fr-CH"/>
        </w:rPr>
      </w:pPr>
      <w:r>
        <w:rPr>
          <w:rFonts w:eastAsia="Helvetica"/>
          <w:color w:val="000000"/>
          <w:sz w:val="22"/>
          <w:szCs w:val="22"/>
          <w:u w:color="000000"/>
          <w:bdr w:val="nil"/>
          <w:lang w:val="en-US" w:eastAsia="fr-CH"/>
        </w:rPr>
        <w:t xml:space="preserve">33. </w:t>
      </w:r>
      <w:r w:rsidR="00CA1167" w:rsidRPr="00CA1167">
        <w:rPr>
          <w:rFonts w:eastAsia="Helvetica"/>
          <w:color w:val="000000"/>
          <w:sz w:val="22"/>
          <w:szCs w:val="22"/>
          <w:u w:color="000000"/>
          <w:bdr w:val="nil"/>
          <w:lang w:val="en-US" w:eastAsia="fr-CH"/>
        </w:rPr>
        <w:t>The extraterritorial obligation to respect requires States Parties to refrain</w:t>
      </w:r>
      <w:r w:rsidR="00CA1167" w:rsidRPr="00CA1167">
        <w:rPr>
          <w:rFonts w:eastAsia="Verdana"/>
          <w:color w:val="000000"/>
          <w:sz w:val="22"/>
          <w:szCs w:val="22"/>
          <w:u w:color="000000"/>
          <w:bdr w:val="nil"/>
          <w:lang w:val="en-US" w:eastAsia="fr-CH"/>
        </w:rPr>
        <w:t xml:space="preserve"> from interfering directly or indirectly with the enjoyment of the rights under the Covenant by persons outside their territories. As </w:t>
      </w:r>
      <w:r w:rsidR="00CA1167" w:rsidRPr="00CA1167">
        <w:rPr>
          <w:rFonts w:eastAsia="Verdana"/>
          <w:color w:val="000000"/>
          <w:sz w:val="22"/>
          <w:szCs w:val="22"/>
          <w:u w:color="000000"/>
          <w:bdr w:val="nil"/>
          <w:lang w:val="en-US" w:eastAsia="fr-CH"/>
        </w:rPr>
        <w:lastRenderedPageBreak/>
        <w:t xml:space="preserve">part of this obligation, States Parties should ensure that they do not obstruct another State from complying with its obligations under the Covenant. This duty is particularly relevant to the negotiation and conclusion of trade and investment agreements or of financial and tax treaties, </w:t>
      </w:r>
      <w:r w:rsidR="00CA1167" w:rsidRPr="00CA1167">
        <w:rPr>
          <w:rFonts w:eastAsia="Verdana"/>
          <w:i/>
          <w:iCs/>
          <w:color w:val="000000"/>
          <w:sz w:val="22"/>
          <w:szCs w:val="22"/>
          <w:u w:color="000000"/>
          <w:bdr w:val="nil"/>
          <w:lang w:val="en-US" w:eastAsia="fr-CH"/>
        </w:rPr>
        <w:t>lending decisions of multilateral development banks</w:t>
      </w:r>
      <w:r w:rsidR="00A05288">
        <w:rPr>
          <w:rFonts w:eastAsia="Verdana"/>
          <w:i/>
          <w:iCs/>
          <w:color w:val="000000"/>
          <w:sz w:val="22"/>
          <w:szCs w:val="22"/>
          <w:u w:color="000000"/>
          <w:bdr w:val="nil"/>
          <w:lang w:val="en-US" w:eastAsia="fr-CH"/>
        </w:rPr>
        <w:t xml:space="preserve"> and international financial institutions</w:t>
      </w:r>
      <w:r w:rsidR="00CA1167" w:rsidRPr="00CA1167">
        <w:rPr>
          <w:rFonts w:eastAsia="Verdana"/>
          <w:color w:val="000000"/>
          <w:sz w:val="22"/>
          <w:szCs w:val="22"/>
          <w:u w:color="000000"/>
          <w:bdr w:val="nil"/>
          <w:lang w:val="en-US" w:eastAsia="fr-CH"/>
        </w:rPr>
        <w:t>,</w:t>
      </w:r>
      <w:r w:rsidR="00CA1167" w:rsidRPr="00CA1167">
        <w:rPr>
          <w:rFonts w:eastAsia="Verdana"/>
          <w:color w:val="000000"/>
          <w:sz w:val="22"/>
          <w:szCs w:val="22"/>
          <w:u w:color="000000"/>
          <w:bdr w:val="nil"/>
          <w:shd w:val="clear" w:color="auto" w:fill="FEFEFE"/>
          <w:vertAlign w:val="superscript"/>
          <w:lang w:val="en-US" w:eastAsia="fr-CH"/>
        </w:rPr>
        <w:t xml:space="preserve"> </w:t>
      </w:r>
      <w:r w:rsidR="00CA1167" w:rsidRPr="00CA1167">
        <w:rPr>
          <w:rFonts w:eastAsia="Verdana"/>
          <w:color w:val="000000"/>
          <w:sz w:val="22"/>
          <w:szCs w:val="22"/>
          <w:u w:color="000000"/>
          <w:bdr w:val="nil"/>
          <w:lang w:val="en-US" w:eastAsia="fr-CH"/>
        </w:rPr>
        <w:t xml:space="preserve">as well as in judicial </w:t>
      </w:r>
      <w:r w:rsidR="00067BDC">
        <w:rPr>
          <w:rFonts w:eastAsia="Verdana"/>
          <w:color w:val="000000"/>
          <w:sz w:val="22"/>
          <w:szCs w:val="22"/>
          <w:u w:color="000000"/>
          <w:bdr w:val="nil"/>
          <w:lang w:val="en-US" w:eastAsia="fr-CH"/>
        </w:rPr>
        <w:t>cooperation.</w:t>
      </w:r>
    </w:p>
    <w:p w:rsidR="00CD6191" w:rsidRPr="0074571D" w:rsidRDefault="003E1535" w:rsidP="00AD401E">
      <w:pPr>
        <w:pStyle w:val="CommentText"/>
        <w:jc w:val="both"/>
        <w:rPr>
          <w:rFonts w:eastAsia="Batang" w:cs="Calibri"/>
          <w:b/>
          <w:bCs/>
          <w:color w:val="000000"/>
          <w:sz w:val="22"/>
          <w:szCs w:val="22"/>
          <w:bdr w:val="none" w:sz="0" w:space="0" w:color="auto" w:frame="1"/>
          <w:lang w:val="en-US" w:eastAsia="fr-CH"/>
        </w:rPr>
      </w:pPr>
      <w:r w:rsidRPr="0074571D">
        <w:rPr>
          <w:rFonts w:eastAsia="Verdana"/>
          <w:b/>
          <w:color w:val="000000"/>
          <w:sz w:val="22"/>
          <w:szCs w:val="22"/>
          <w:u w:color="000000"/>
          <w:bdr w:val="nil"/>
          <w:lang w:val="en-US" w:eastAsia="fr-CH"/>
        </w:rPr>
        <w:t xml:space="preserve">b) </w:t>
      </w:r>
      <w:r w:rsidR="00E72AD9" w:rsidRPr="0074571D">
        <w:rPr>
          <w:rFonts w:eastAsia="Batang" w:cs="Calibri"/>
          <w:b/>
          <w:bCs/>
          <w:color w:val="000000"/>
          <w:sz w:val="22"/>
          <w:szCs w:val="22"/>
          <w:bdr w:val="none" w:sz="0" w:space="0" w:color="auto" w:frame="1"/>
          <w:lang w:eastAsia="fr-CH"/>
        </w:rPr>
        <w:t>Extraterritorial obligations –</w:t>
      </w:r>
      <w:r w:rsidR="00BF49EF" w:rsidRPr="0074571D">
        <w:rPr>
          <w:rFonts w:eastAsia="Batang" w:cs="Calibri"/>
          <w:b/>
          <w:bCs/>
          <w:color w:val="000000"/>
          <w:sz w:val="22"/>
          <w:szCs w:val="22"/>
          <w:bdr w:val="none" w:sz="0" w:space="0" w:color="auto" w:frame="1"/>
          <w:lang w:eastAsia="fr-CH"/>
        </w:rPr>
        <w:t xml:space="preserve"> </w:t>
      </w:r>
      <w:r w:rsidR="00DF37D8" w:rsidRPr="0074571D">
        <w:rPr>
          <w:rFonts w:eastAsia="Batang" w:cs="Calibri"/>
          <w:b/>
          <w:bCs/>
          <w:color w:val="000000"/>
          <w:sz w:val="22"/>
          <w:szCs w:val="22"/>
          <w:bdr w:val="none" w:sz="0" w:space="0" w:color="auto" w:frame="1"/>
          <w:lang w:val="en-US" w:eastAsia="fr-CH"/>
        </w:rPr>
        <w:t xml:space="preserve">the </w:t>
      </w:r>
      <w:r w:rsidR="00C6668D" w:rsidRPr="0074571D">
        <w:rPr>
          <w:rFonts w:eastAsia="Batang" w:cs="Calibri"/>
          <w:b/>
          <w:bCs/>
          <w:color w:val="000000"/>
          <w:sz w:val="22"/>
          <w:szCs w:val="22"/>
          <w:bdr w:val="none" w:sz="0" w:space="0" w:color="auto" w:frame="1"/>
          <w:lang w:val="en-US" w:eastAsia="fr-CH"/>
        </w:rPr>
        <w:t xml:space="preserve">ability to </w:t>
      </w:r>
      <w:r w:rsidR="00B539F7" w:rsidRPr="0074571D">
        <w:rPr>
          <w:rFonts w:eastAsia="Batang" w:cs="Calibri"/>
          <w:b/>
          <w:bCs/>
          <w:color w:val="000000"/>
          <w:sz w:val="22"/>
          <w:szCs w:val="22"/>
          <w:bdr w:val="none" w:sz="0" w:space="0" w:color="auto" w:frame="1"/>
          <w:lang w:val="en-US" w:eastAsia="fr-CH"/>
        </w:rPr>
        <w:t>exercise leverage</w:t>
      </w:r>
      <w:r w:rsidR="00C6668D" w:rsidRPr="0074571D">
        <w:rPr>
          <w:rFonts w:eastAsia="Batang" w:cs="Calibri"/>
          <w:b/>
          <w:bCs/>
          <w:color w:val="000000"/>
          <w:sz w:val="22"/>
          <w:szCs w:val="22"/>
          <w:bdr w:val="none" w:sz="0" w:space="0" w:color="auto" w:frame="1"/>
          <w:lang w:val="en-US" w:eastAsia="fr-CH"/>
        </w:rPr>
        <w:t xml:space="preserve"> over business relationships</w:t>
      </w:r>
    </w:p>
    <w:p w:rsidR="0028488A" w:rsidRPr="007013DE" w:rsidRDefault="001505E9" w:rsidP="00AD401E">
      <w:pPr>
        <w:pStyle w:val="CommentText"/>
        <w:jc w:val="both"/>
        <w:rPr>
          <w:rFonts w:eastAsia="Batang" w:cs="Calibri"/>
          <w:bCs/>
          <w:color w:val="000000"/>
          <w:sz w:val="22"/>
          <w:szCs w:val="22"/>
          <w:bdr w:val="none" w:sz="0" w:space="0" w:color="auto" w:frame="1"/>
          <w:lang w:val="en-US" w:eastAsia="fr-CH"/>
        </w:rPr>
      </w:pPr>
      <w:r w:rsidRPr="007013DE">
        <w:rPr>
          <w:rFonts w:eastAsia="Batang" w:cs="Calibri"/>
          <w:bCs/>
          <w:color w:val="000000"/>
          <w:sz w:val="22"/>
          <w:szCs w:val="22"/>
          <w:bdr w:val="none" w:sz="0" w:space="0" w:color="auto" w:frame="1"/>
          <w:lang w:val="en-US" w:eastAsia="fr-CH"/>
        </w:rPr>
        <w:t xml:space="preserve">With regard to States’ extraterritorial obligations in the context of business activities, the </w:t>
      </w:r>
      <w:r w:rsidR="00EF7FB4">
        <w:rPr>
          <w:rFonts w:eastAsia="Batang" w:cs="Calibri"/>
          <w:bCs/>
          <w:color w:val="000000"/>
          <w:sz w:val="22"/>
          <w:szCs w:val="22"/>
          <w:bdr w:val="none" w:sz="0" w:space="0" w:color="auto" w:frame="1"/>
          <w:lang w:val="en-US" w:eastAsia="fr-CH"/>
        </w:rPr>
        <w:t>Theme Group</w:t>
      </w:r>
      <w:r w:rsidRPr="007013DE">
        <w:rPr>
          <w:rFonts w:eastAsia="Batang" w:cs="Calibri"/>
          <w:bCs/>
          <w:color w:val="000000"/>
          <w:sz w:val="22"/>
          <w:szCs w:val="22"/>
          <w:bdr w:val="none" w:sz="0" w:space="0" w:color="auto" w:frame="1"/>
          <w:lang w:val="en-US" w:eastAsia="fr-CH"/>
        </w:rPr>
        <w:t xml:space="preserve"> on Human </w:t>
      </w:r>
      <w:r w:rsidR="00FA34BA" w:rsidRPr="007013DE">
        <w:rPr>
          <w:rFonts w:eastAsia="Batang" w:cs="Calibri"/>
          <w:bCs/>
          <w:color w:val="000000"/>
          <w:sz w:val="22"/>
          <w:szCs w:val="22"/>
          <w:bdr w:val="none" w:sz="0" w:space="0" w:color="auto" w:frame="1"/>
          <w:lang w:val="en-US" w:eastAsia="fr-CH"/>
        </w:rPr>
        <w:t>Rights in Cambodia notes that</w:t>
      </w:r>
      <w:r w:rsidR="00F57869">
        <w:rPr>
          <w:rFonts w:eastAsia="Batang" w:cs="Calibri"/>
          <w:bCs/>
          <w:color w:val="000000"/>
          <w:sz w:val="22"/>
          <w:szCs w:val="22"/>
          <w:bdr w:val="none" w:sz="0" w:space="0" w:color="auto" w:frame="1"/>
          <w:lang w:val="en-US" w:eastAsia="fr-CH"/>
        </w:rPr>
        <w:t>, according to</w:t>
      </w:r>
      <w:r w:rsidR="00FA34BA" w:rsidRPr="007013DE">
        <w:rPr>
          <w:rFonts w:eastAsia="Batang" w:cs="Calibri"/>
          <w:bCs/>
          <w:color w:val="000000"/>
          <w:sz w:val="22"/>
          <w:szCs w:val="22"/>
          <w:bdr w:val="none" w:sz="0" w:space="0" w:color="auto" w:frame="1"/>
          <w:lang w:val="en-US" w:eastAsia="fr-CH"/>
        </w:rPr>
        <w:t xml:space="preserve"> the</w:t>
      </w:r>
      <w:r w:rsidR="007A3A20" w:rsidRPr="007013DE">
        <w:rPr>
          <w:rFonts w:eastAsia="Batang" w:cs="Calibri"/>
          <w:bCs/>
          <w:color w:val="000000"/>
          <w:sz w:val="22"/>
          <w:szCs w:val="22"/>
          <w:bdr w:val="none" w:sz="0" w:space="0" w:color="auto" w:frame="1"/>
          <w:lang w:val="en-US" w:eastAsia="fr-CH"/>
        </w:rPr>
        <w:t xml:space="preserve"> UN</w:t>
      </w:r>
      <w:r w:rsidR="00650CCE" w:rsidRPr="007013DE">
        <w:rPr>
          <w:rFonts w:eastAsia="Batang" w:cs="Calibri"/>
          <w:bCs/>
          <w:color w:val="000000"/>
          <w:sz w:val="22"/>
          <w:szCs w:val="22"/>
          <w:bdr w:val="none" w:sz="0" w:space="0" w:color="auto" w:frame="1"/>
          <w:lang w:val="en-US" w:eastAsia="fr-CH"/>
        </w:rPr>
        <w:t xml:space="preserve"> Guiding Principles </w:t>
      </w:r>
      <w:r w:rsidR="007A3A20" w:rsidRPr="007013DE">
        <w:rPr>
          <w:rFonts w:eastAsia="Batang" w:cs="Calibri"/>
          <w:bCs/>
          <w:color w:val="000000"/>
          <w:sz w:val="22"/>
          <w:szCs w:val="22"/>
          <w:bdr w:val="none" w:sz="0" w:space="0" w:color="auto" w:frame="1"/>
          <w:lang w:val="en-US" w:eastAsia="fr-CH"/>
        </w:rPr>
        <w:t>on Business and Human Rights</w:t>
      </w:r>
      <w:r w:rsidR="00F57869">
        <w:rPr>
          <w:rFonts w:eastAsia="Batang" w:cs="Calibri"/>
          <w:bCs/>
          <w:color w:val="000000"/>
          <w:sz w:val="22"/>
          <w:szCs w:val="22"/>
          <w:bdr w:val="none" w:sz="0" w:space="0" w:color="auto" w:frame="1"/>
          <w:lang w:val="en-US" w:eastAsia="fr-CH"/>
        </w:rPr>
        <w:t>,</w:t>
      </w:r>
      <w:r w:rsidR="00DC6B87" w:rsidRPr="007013DE">
        <w:rPr>
          <w:rFonts w:eastAsia="Batang" w:cs="Calibri"/>
          <w:bCs/>
          <w:color w:val="000000"/>
          <w:sz w:val="22"/>
          <w:szCs w:val="22"/>
          <w:bdr w:val="none" w:sz="0" w:space="0" w:color="auto" w:frame="1"/>
          <w:lang w:val="en-US" w:eastAsia="fr-CH"/>
        </w:rPr>
        <w:t xml:space="preserve"> </w:t>
      </w:r>
      <w:r w:rsidR="007707CB" w:rsidRPr="007013DE">
        <w:rPr>
          <w:rFonts w:eastAsia="Batang" w:cs="Calibri"/>
          <w:bCs/>
          <w:color w:val="000000"/>
          <w:sz w:val="22"/>
          <w:szCs w:val="22"/>
          <w:bdr w:val="none" w:sz="0" w:space="0" w:color="auto" w:frame="1"/>
          <w:lang w:val="en-US" w:eastAsia="fr-CH"/>
        </w:rPr>
        <w:t xml:space="preserve">the appropriate action </w:t>
      </w:r>
      <w:r w:rsidR="00560981" w:rsidRPr="007013DE">
        <w:rPr>
          <w:rFonts w:eastAsia="Batang" w:cs="Calibri"/>
          <w:bCs/>
          <w:color w:val="000000"/>
          <w:sz w:val="22"/>
          <w:szCs w:val="22"/>
          <w:bdr w:val="none" w:sz="0" w:space="0" w:color="auto" w:frame="1"/>
          <w:lang w:val="en-US" w:eastAsia="fr-CH"/>
        </w:rPr>
        <w:t xml:space="preserve">in response to </w:t>
      </w:r>
      <w:r w:rsidR="00F57869">
        <w:rPr>
          <w:rFonts w:eastAsia="Batang" w:cs="Calibri"/>
          <w:bCs/>
          <w:color w:val="000000"/>
          <w:sz w:val="22"/>
          <w:szCs w:val="22"/>
          <w:bdr w:val="none" w:sz="0" w:space="0" w:color="auto" w:frame="1"/>
          <w:lang w:val="en-US" w:eastAsia="fr-CH"/>
        </w:rPr>
        <w:t>any</w:t>
      </w:r>
      <w:r w:rsidR="00560981" w:rsidRPr="007013DE">
        <w:rPr>
          <w:rFonts w:eastAsia="Batang" w:cs="Calibri"/>
          <w:bCs/>
          <w:color w:val="000000"/>
          <w:sz w:val="22"/>
          <w:szCs w:val="22"/>
          <w:bdr w:val="none" w:sz="0" w:space="0" w:color="auto" w:frame="1"/>
          <w:lang w:val="en-US" w:eastAsia="fr-CH"/>
        </w:rPr>
        <w:t xml:space="preserve"> </w:t>
      </w:r>
      <w:r w:rsidR="000A1C98" w:rsidRPr="007013DE">
        <w:rPr>
          <w:rFonts w:eastAsia="Batang" w:cs="Calibri"/>
          <w:bCs/>
          <w:color w:val="000000"/>
          <w:sz w:val="22"/>
          <w:szCs w:val="22"/>
          <w:bdr w:val="none" w:sz="0" w:space="0" w:color="auto" w:frame="1"/>
          <w:lang w:val="en-US" w:eastAsia="fr-CH"/>
        </w:rPr>
        <w:t xml:space="preserve">human rights </w:t>
      </w:r>
      <w:r w:rsidR="00560981" w:rsidRPr="007013DE">
        <w:rPr>
          <w:rFonts w:eastAsia="Batang" w:cs="Calibri"/>
          <w:bCs/>
          <w:color w:val="000000"/>
          <w:sz w:val="22"/>
          <w:szCs w:val="22"/>
          <w:bdr w:val="none" w:sz="0" w:space="0" w:color="auto" w:frame="1"/>
          <w:lang w:val="en-US" w:eastAsia="fr-CH"/>
        </w:rPr>
        <w:t xml:space="preserve">risks </w:t>
      </w:r>
      <w:r w:rsidR="00F57869">
        <w:rPr>
          <w:rFonts w:eastAsia="Batang" w:cs="Calibri"/>
          <w:bCs/>
          <w:color w:val="000000"/>
          <w:sz w:val="22"/>
          <w:szCs w:val="22"/>
          <w:bdr w:val="none" w:sz="0" w:space="0" w:color="auto" w:frame="1"/>
          <w:lang w:val="en-US" w:eastAsia="fr-CH"/>
        </w:rPr>
        <w:t xml:space="preserve">identified </w:t>
      </w:r>
      <w:r w:rsidR="00AA7C9C" w:rsidRPr="007013DE">
        <w:rPr>
          <w:rFonts w:eastAsia="Batang" w:cs="Calibri"/>
          <w:bCs/>
          <w:color w:val="000000"/>
          <w:sz w:val="22"/>
          <w:szCs w:val="22"/>
          <w:bdr w:val="none" w:sz="0" w:space="0" w:color="auto" w:frame="1"/>
          <w:lang w:val="en-US" w:eastAsia="fr-CH"/>
        </w:rPr>
        <w:t>depend</w:t>
      </w:r>
      <w:r w:rsidR="00F57869">
        <w:rPr>
          <w:rFonts w:eastAsia="Batang" w:cs="Calibri"/>
          <w:bCs/>
          <w:color w:val="000000"/>
          <w:sz w:val="22"/>
          <w:szCs w:val="22"/>
          <w:bdr w:val="none" w:sz="0" w:space="0" w:color="auto" w:frame="1"/>
          <w:lang w:val="en-US" w:eastAsia="fr-CH"/>
        </w:rPr>
        <w:t>s</w:t>
      </w:r>
      <w:r w:rsidR="00AA7C9C" w:rsidRPr="007013DE">
        <w:rPr>
          <w:rFonts w:eastAsia="Batang" w:cs="Calibri"/>
          <w:bCs/>
          <w:color w:val="000000"/>
          <w:sz w:val="22"/>
          <w:szCs w:val="22"/>
          <w:bdr w:val="none" w:sz="0" w:space="0" w:color="auto" w:frame="1"/>
          <w:lang w:val="en-US" w:eastAsia="fr-CH"/>
        </w:rPr>
        <w:t xml:space="preserve"> on </w:t>
      </w:r>
      <w:r w:rsidR="00F57869">
        <w:rPr>
          <w:rFonts w:eastAsia="Batang" w:cs="Calibri"/>
          <w:bCs/>
          <w:color w:val="000000"/>
          <w:sz w:val="22"/>
          <w:szCs w:val="22"/>
          <w:bdr w:val="none" w:sz="0" w:space="0" w:color="auto" w:frame="1"/>
          <w:lang w:val="en-US" w:eastAsia="fr-CH"/>
        </w:rPr>
        <w:t>one’s</w:t>
      </w:r>
      <w:r w:rsidR="00F57869" w:rsidRPr="007013DE">
        <w:rPr>
          <w:rFonts w:eastAsia="Batang" w:cs="Calibri"/>
          <w:bCs/>
          <w:color w:val="000000"/>
          <w:sz w:val="22"/>
          <w:szCs w:val="22"/>
          <w:bdr w:val="none" w:sz="0" w:space="0" w:color="auto" w:frame="1"/>
          <w:lang w:val="en-US" w:eastAsia="fr-CH"/>
        </w:rPr>
        <w:t xml:space="preserve"> </w:t>
      </w:r>
      <w:r w:rsidR="00AA7C9C" w:rsidRPr="007013DE">
        <w:rPr>
          <w:rFonts w:eastAsia="Batang" w:cs="Calibri"/>
          <w:bCs/>
          <w:color w:val="000000"/>
          <w:sz w:val="22"/>
          <w:szCs w:val="22"/>
          <w:bdr w:val="none" w:sz="0" w:space="0" w:color="auto" w:frame="1"/>
          <w:lang w:val="en-US" w:eastAsia="fr-CH"/>
        </w:rPr>
        <w:t>degree of leverage</w:t>
      </w:r>
      <w:r w:rsidR="00F57869">
        <w:rPr>
          <w:rFonts w:eastAsia="Batang" w:cs="Calibri"/>
          <w:bCs/>
          <w:color w:val="000000"/>
          <w:sz w:val="22"/>
          <w:szCs w:val="22"/>
          <w:bdr w:val="none" w:sz="0" w:space="0" w:color="auto" w:frame="1"/>
          <w:lang w:val="en-US" w:eastAsia="fr-CH"/>
        </w:rPr>
        <w:t>. A</w:t>
      </w:r>
      <w:r w:rsidR="007123C9" w:rsidRPr="007013DE">
        <w:rPr>
          <w:rFonts w:eastAsia="Batang" w:cs="Calibri"/>
          <w:bCs/>
          <w:color w:val="000000"/>
          <w:sz w:val="22"/>
          <w:szCs w:val="22"/>
          <w:bdr w:val="none" w:sz="0" w:space="0" w:color="auto" w:frame="1"/>
          <w:lang w:val="en-US" w:eastAsia="fr-CH"/>
        </w:rPr>
        <w:t xml:space="preserve"> number of options should be considered </w:t>
      </w:r>
      <w:r w:rsidR="00D317E1" w:rsidRPr="007013DE">
        <w:rPr>
          <w:rFonts w:eastAsia="Batang" w:cs="Calibri"/>
          <w:bCs/>
          <w:color w:val="000000"/>
          <w:sz w:val="22"/>
          <w:szCs w:val="22"/>
          <w:bdr w:val="none" w:sz="0" w:space="0" w:color="auto" w:frame="1"/>
          <w:lang w:val="en-US" w:eastAsia="fr-CH"/>
        </w:rPr>
        <w:t xml:space="preserve">to use </w:t>
      </w:r>
      <w:r w:rsidR="00FE619F" w:rsidRPr="007013DE">
        <w:rPr>
          <w:rFonts w:eastAsia="Batang" w:cs="Calibri"/>
          <w:bCs/>
          <w:color w:val="000000"/>
          <w:sz w:val="22"/>
          <w:szCs w:val="22"/>
          <w:bdr w:val="none" w:sz="0" w:space="0" w:color="auto" w:frame="1"/>
          <w:lang w:val="en-US" w:eastAsia="fr-CH"/>
        </w:rPr>
        <w:t xml:space="preserve">or enhance leverage to </w:t>
      </w:r>
      <w:r w:rsidR="00F57869">
        <w:rPr>
          <w:rFonts w:eastAsia="Batang" w:cs="Calibri"/>
          <w:bCs/>
          <w:color w:val="000000"/>
          <w:sz w:val="22"/>
          <w:szCs w:val="22"/>
          <w:bdr w:val="none" w:sz="0" w:space="0" w:color="auto" w:frame="1"/>
          <w:lang w:val="en-US" w:eastAsia="fr-CH"/>
        </w:rPr>
        <w:t>ensure better respect for human rights, including zero-tolerance for any existing harmful practices</w:t>
      </w:r>
      <w:r w:rsidR="00625C8F" w:rsidRPr="007013DE">
        <w:rPr>
          <w:rFonts w:eastAsia="Batang" w:cs="Calibri"/>
          <w:bCs/>
          <w:color w:val="000000"/>
          <w:sz w:val="22"/>
          <w:szCs w:val="22"/>
          <w:bdr w:val="none" w:sz="0" w:space="0" w:color="auto" w:frame="1"/>
          <w:lang w:val="en-US" w:eastAsia="fr-CH"/>
        </w:rPr>
        <w:t>.</w:t>
      </w:r>
      <w:r w:rsidR="00C65B00" w:rsidRPr="007013DE">
        <w:rPr>
          <w:rStyle w:val="FootnoteReference"/>
          <w:rFonts w:eastAsia="Batang" w:cs="Calibri"/>
          <w:bCs/>
          <w:color w:val="000000"/>
          <w:sz w:val="22"/>
          <w:szCs w:val="22"/>
          <w:bdr w:val="none" w:sz="0" w:space="0" w:color="auto" w:frame="1"/>
          <w:lang w:val="en-US" w:eastAsia="fr-CH"/>
        </w:rPr>
        <w:footnoteReference w:id="3"/>
      </w:r>
      <w:r w:rsidR="00625C8F" w:rsidRPr="007013DE">
        <w:rPr>
          <w:rFonts w:eastAsia="Batang" w:cs="Calibri"/>
          <w:bCs/>
          <w:color w:val="000000"/>
          <w:sz w:val="22"/>
          <w:szCs w:val="22"/>
          <w:bdr w:val="none" w:sz="0" w:space="0" w:color="auto" w:frame="1"/>
          <w:lang w:val="en-US" w:eastAsia="fr-CH"/>
        </w:rPr>
        <w:t xml:space="preserve"> </w:t>
      </w:r>
    </w:p>
    <w:p w:rsidR="0028488A" w:rsidRPr="007013DE" w:rsidRDefault="00A240E0" w:rsidP="00AD401E">
      <w:pPr>
        <w:pStyle w:val="CommentText"/>
        <w:jc w:val="both"/>
        <w:rPr>
          <w:rFonts w:eastAsia="Batang" w:cs="Calibri"/>
          <w:bCs/>
          <w:color w:val="000000"/>
          <w:sz w:val="22"/>
          <w:szCs w:val="22"/>
          <w:bdr w:val="none" w:sz="0" w:space="0" w:color="auto" w:frame="1"/>
          <w:lang w:val="en-US" w:eastAsia="fr-CH"/>
        </w:rPr>
      </w:pPr>
      <w:r w:rsidRPr="007013DE">
        <w:rPr>
          <w:rFonts w:eastAsia="Batang" w:cs="Calibri"/>
          <w:bCs/>
          <w:color w:val="000000"/>
          <w:sz w:val="22"/>
          <w:szCs w:val="22"/>
          <w:bdr w:val="none" w:sz="0" w:space="0" w:color="auto" w:frame="1"/>
          <w:lang w:val="en-US" w:eastAsia="fr-CH"/>
        </w:rPr>
        <w:t xml:space="preserve">In light of </w:t>
      </w:r>
      <w:r w:rsidR="0038458D">
        <w:rPr>
          <w:rFonts w:eastAsia="Batang" w:cs="Calibri"/>
          <w:bCs/>
          <w:color w:val="000000"/>
          <w:sz w:val="22"/>
          <w:szCs w:val="22"/>
          <w:bdr w:val="none" w:sz="0" w:space="0" w:color="auto" w:frame="1"/>
          <w:lang w:val="en-US" w:eastAsia="fr-CH"/>
        </w:rPr>
        <w:t>the above</w:t>
      </w:r>
      <w:r w:rsidRPr="007013DE">
        <w:rPr>
          <w:rFonts w:eastAsia="Batang" w:cs="Calibri"/>
          <w:bCs/>
          <w:color w:val="000000"/>
          <w:sz w:val="22"/>
          <w:szCs w:val="22"/>
          <w:bdr w:val="none" w:sz="0" w:space="0" w:color="auto" w:frame="1"/>
          <w:lang w:val="en-US" w:eastAsia="fr-CH"/>
        </w:rPr>
        <w:t xml:space="preserve">, the </w:t>
      </w:r>
      <w:r w:rsidR="00EF7FB4">
        <w:rPr>
          <w:rFonts w:eastAsia="Batang" w:cs="Calibri"/>
          <w:bCs/>
          <w:color w:val="000000"/>
          <w:sz w:val="22"/>
          <w:szCs w:val="22"/>
          <w:bdr w:val="none" w:sz="0" w:space="0" w:color="auto" w:frame="1"/>
          <w:lang w:val="en-US" w:eastAsia="fr-CH"/>
        </w:rPr>
        <w:t>Theme Group</w:t>
      </w:r>
      <w:r w:rsidRPr="007013DE">
        <w:rPr>
          <w:rFonts w:eastAsia="Batang" w:cs="Calibri"/>
          <w:bCs/>
          <w:color w:val="000000"/>
          <w:sz w:val="22"/>
          <w:szCs w:val="22"/>
          <w:bdr w:val="none" w:sz="0" w:space="0" w:color="auto" w:frame="1"/>
          <w:lang w:val="en-US" w:eastAsia="fr-CH"/>
        </w:rPr>
        <w:t xml:space="preserve"> suggests the following addition to </w:t>
      </w:r>
      <w:r w:rsidR="0038458D">
        <w:rPr>
          <w:rFonts w:eastAsia="Batang" w:cs="Calibri"/>
          <w:bCs/>
          <w:color w:val="000000"/>
          <w:sz w:val="22"/>
          <w:szCs w:val="22"/>
          <w:bdr w:val="none" w:sz="0" w:space="0" w:color="auto" w:frame="1"/>
          <w:lang w:val="en-US" w:eastAsia="fr-CH"/>
        </w:rPr>
        <w:t xml:space="preserve">para. </w:t>
      </w:r>
      <w:r w:rsidR="0038458D" w:rsidRPr="007013DE">
        <w:rPr>
          <w:rFonts w:eastAsia="Batang" w:cs="Calibri"/>
          <w:bCs/>
          <w:color w:val="000000"/>
          <w:sz w:val="22"/>
          <w:szCs w:val="22"/>
          <w:bdr w:val="none" w:sz="0" w:space="0" w:color="auto" w:frame="1"/>
          <w:lang w:val="en-US" w:eastAsia="fr-CH"/>
        </w:rPr>
        <w:t xml:space="preserve"> </w:t>
      </w:r>
      <w:r w:rsidR="008D0241" w:rsidRPr="007013DE">
        <w:rPr>
          <w:rFonts w:eastAsia="Batang" w:cs="Calibri"/>
          <w:bCs/>
          <w:color w:val="000000"/>
          <w:sz w:val="22"/>
          <w:szCs w:val="22"/>
          <w:bdr w:val="none" w:sz="0" w:space="0" w:color="auto" w:frame="1"/>
          <w:lang w:val="en-US" w:eastAsia="fr-CH"/>
        </w:rPr>
        <w:t xml:space="preserve">32 </w:t>
      </w:r>
      <w:r w:rsidRPr="007013DE">
        <w:rPr>
          <w:rFonts w:eastAsia="Batang" w:cs="Calibri"/>
          <w:bCs/>
          <w:color w:val="000000"/>
          <w:sz w:val="22"/>
          <w:szCs w:val="22"/>
          <w:bdr w:val="none" w:sz="0" w:space="0" w:color="auto" w:frame="1"/>
          <w:lang w:val="en-US" w:eastAsia="fr-CH"/>
        </w:rPr>
        <w:t xml:space="preserve">(in </w:t>
      </w:r>
      <w:r w:rsidR="0038458D">
        <w:rPr>
          <w:rFonts w:eastAsia="Batang" w:cs="Calibri"/>
          <w:bCs/>
          <w:color w:val="000000"/>
          <w:sz w:val="22"/>
          <w:szCs w:val="22"/>
          <w:bdr w:val="none" w:sz="0" w:space="0" w:color="auto" w:frame="1"/>
          <w:lang w:val="en-US" w:eastAsia="fr-CH"/>
        </w:rPr>
        <w:t>italics</w:t>
      </w:r>
      <w:r w:rsidRPr="007013DE">
        <w:rPr>
          <w:rFonts w:eastAsia="Batang" w:cs="Calibri"/>
          <w:bCs/>
          <w:color w:val="000000"/>
          <w:sz w:val="22"/>
          <w:szCs w:val="22"/>
          <w:bdr w:val="none" w:sz="0" w:space="0" w:color="auto" w:frame="1"/>
          <w:lang w:val="en-US" w:eastAsia="fr-CH"/>
        </w:rPr>
        <w:t>)</w:t>
      </w:r>
      <w:r w:rsidR="0038458D">
        <w:rPr>
          <w:rFonts w:eastAsia="Batang" w:cs="Calibri"/>
          <w:bCs/>
          <w:color w:val="000000"/>
          <w:sz w:val="22"/>
          <w:szCs w:val="22"/>
          <w:bdr w:val="none" w:sz="0" w:space="0" w:color="auto" w:frame="1"/>
          <w:lang w:val="en-US" w:eastAsia="fr-CH"/>
        </w:rPr>
        <w:t>:</w:t>
      </w:r>
    </w:p>
    <w:p w:rsidR="00F30361" w:rsidRPr="007013DE" w:rsidRDefault="008D0241" w:rsidP="00AD401E">
      <w:pPr>
        <w:pStyle w:val="CommentText"/>
        <w:ind w:left="360"/>
        <w:jc w:val="both"/>
        <w:rPr>
          <w:rFonts w:eastAsia="Batang" w:cs="Calibri"/>
          <w:bCs/>
          <w:color w:val="000000"/>
          <w:sz w:val="22"/>
          <w:szCs w:val="22"/>
          <w:bdr w:val="none" w:sz="0" w:space="0" w:color="auto" w:frame="1"/>
          <w:lang w:val="en-US" w:eastAsia="fr-CH"/>
        </w:rPr>
      </w:pPr>
      <w:r w:rsidRPr="007013DE">
        <w:rPr>
          <w:rFonts w:eastAsia="Batang" w:cs="Calibri"/>
          <w:bCs/>
          <w:color w:val="000000"/>
          <w:sz w:val="22"/>
          <w:szCs w:val="22"/>
          <w:bdr w:val="none" w:sz="0" w:space="0" w:color="auto" w:frame="1"/>
          <w:lang w:eastAsia="fr-CH"/>
        </w:rPr>
        <w:t>32. Extraterritorial obligations arise when a</w:t>
      </w:r>
      <w:r w:rsidR="00E72AD9" w:rsidRPr="007013DE">
        <w:rPr>
          <w:rFonts w:eastAsia="Batang" w:cs="Calibri"/>
          <w:bCs/>
          <w:color w:val="000000"/>
          <w:sz w:val="22"/>
          <w:szCs w:val="22"/>
          <w:bdr w:val="none" w:sz="0" w:space="0" w:color="auto" w:frame="1"/>
          <w:lang w:eastAsia="fr-CH"/>
        </w:rPr>
        <w:t xml:space="preserve"> State Party may exercise control, p</w:t>
      </w:r>
      <w:r w:rsidRPr="007013DE">
        <w:rPr>
          <w:rFonts w:eastAsia="Batang" w:cs="Calibri"/>
          <w:bCs/>
          <w:color w:val="000000"/>
          <w:sz w:val="22"/>
          <w:szCs w:val="22"/>
          <w:bdr w:val="none" w:sz="0" w:space="0" w:color="auto" w:frame="1"/>
          <w:lang w:eastAsia="fr-CH"/>
        </w:rPr>
        <w:t xml:space="preserve">ower, </w:t>
      </w:r>
      <w:r w:rsidR="00E72AD9" w:rsidRPr="007013DE">
        <w:rPr>
          <w:rFonts w:eastAsia="Batang" w:cs="Calibri"/>
          <w:bCs/>
          <w:color w:val="000000"/>
          <w:sz w:val="22"/>
          <w:szCs w:val="22"/>
          <w:bdr w:val="none" w:sz="0" w:space="0" w:color="auto" w:frame="1"/>
          <w:lang w:eastAsia="fr-CH"/>
        </w:rPr>
        <w:t xml:space="preserve">authority </w:t>
      </w:r>
      <w:r w:rsidR="00E72AD9" w:rsidRPr="007013DE">
        <w:rPr>
          <w:rFonts w:eastAsia="Batang" w:cs="Calibri"/>
          <w:bCs/>
          <w:i/>
          <w:color w:val="000000"/>
          <w:sz w:val="22"/>
          <w:szCs w:val="22"/>
          <w:bdr w:val="none" w:sz="0" w:space="0" w:color="auto" w:frame="1"/>
          <w:lang w:eastAsia="fr-CH"/>
        </w:rPr>
        <w:t xml:space="preserve">or </w:t>
      </w:r>
      <w:r w:rsidR="00CE09B2" w:rsidRPr="007013DE">
        <w:rPr>
          <w:rFonts w:eastAsia="Batang" w:cs="Calibri"/>
          <w:bCs/>
          <w:i/>
          <w:color w:val="000000"/>
          <w:sz w:val="22"/>
          <w:szCs w:val="22"/>
          <w:bdr w:val="none" w:sz="0" w:space="0" w:color="auto" w:frame="1"/>
          <w:lang w:eastAsia="fr-CH"/>
        </w:rPr>
        <w:t>leverage</w:t>
      </w:r>
      <w:r w:rsidR="00E72AD9" w:rsidRPr="007013DE">
        <w:rPr>
          <w:rFonts w:eastAsia="Batang" w:cs="Calibri"/>
          <w:bCs/>
          <w:color w:val="000000"/>
          <w:sz w:val="22"/>
          <w:szCs w:val="22"/>
          <w:bdr w:val="none" w:sz="0" w:space="0" w:color="auto" w:frame="1"/>
          <w:lang w:eastAsia="fr-CH"/>
        </w:rPr>
        <w:t xml:space="preserve"> over business entities or situations located outside its territory, in a way that could have an impact on the enjoyment of human rights by individuals or groups affected by such entities’ activities or by such situations.</w:t>
      </w:r>
      <w:r w:rsidR="00E72AD9" w:rsidRPr="007013DE">
        <w:rPr>
          <w:rFonts w:eastAsia="Verdana" w:cs="Calibri"/>
          <w:color w:val="000000"/>
          <w:sz w:val="22"/>
          <w:szCs w:val="22"/>
          <w:bdr w:val="none" w:sz="0" w:space="0" w:color="auto" w:frame="1"/>
          <w:lang w:val="en-US" w:eastAsia="fr-CH"/>
        </w:rPr>
        <w:t xml:space="preserve"> In this regard, the</w:t>
      </w:r>
      <w:r w:rsidR="00E72AD9" w:rsidRPr="007013DE">
        <w:rPr>
          <w:rFonts w:eastAsia="Helvetica" w:cs="Calibri"/>
          <w:color w:val="000000"/>
          <w:sz w:val="22"/>
          <w:szCs w:val="22"/>
          <w:bdr w:val="none" w:sz="0" w:space="0" w:color="auto" w:frame="1"/>
          <w:lang w:val="en-US" w:eastAsia="fr-CH"/>
        </w:rPr>
        <w:t xml:space="preserve"> Committee</w:t>
      </w:r>
      <w:r w:rsidR="00E72AD9" w:rsidRPr="007013DE">
        <w:rPr>
          <w:rFonts w:eastAsia="Verdana" w:cs="Calibri"/>
          <w:color w:val="000000"/>
          <w:sz w:val="22"/>
          <w:szCs w:val="22"/>
          <w:bdr w:val="none" w:sz="0" w:space="0" w:color="auto" w:frame="1"/>
          <w:lang w:val="en-US" w:eastAsia="fr-CH"/>
        </w:rPr>
        <w:t xml:space="preserve"> also takes note General Comment 16 of the Committee on the Rights of the Child and of the Maastricht Principles on the Extraterritorial Obligations of States in the Area of Economic, Social and Cultural Rights, which provide a partial restatement of international human rights law as developed in this area in recent years.</w:t>
      </w:r>
    </w:p>
    <w:p w:rsidR="0046627D" w:rsidRDefault="00F11562" w:rsidP="00AD401E">
      <w:pPr>
        <w:numPr>
          <w:ilvl w:val="0"/>
          <w:numId w:val="3"/>
        </w:numPr>
        <w:jc w:val="both"/>
        <w:rPr>
          <w:b/>
          <w:bCs/>
        </w:rPr>
      </w:pPr>
      <w:r>
        <w:rPr>
          <w:b/>
          <w:bCs/>
        </w:rPr>
        <w:t>Sexual and reproductive rights</w:t>
      </w:r>
    </w:p>
    <w:p w:rsidR="00703DD1" w:rsidRPr="007013DE" w:rsidRDefault="0046627D" w:rsidP="00AD401E">
      <w:pPr>
        <w:jc w:val="both"/>
        <w:rPr>
          <w:rFonts w:cs="Calibri"/>
        </w:rPr>
      </w:pPr>
      <w:r w:rsidRPr="007013DE">
        <w:rPr>
          <w:rFonts w:cs="Calibri"/>
        </w:rPr>
        <w:t>Women’s sexual and reproductive health is related to multiple human rights</w:t>
      </w:r>
      <w:r w:rsidR="00B55FF7" w:rsidRPr="007013DE">
        <w:rPr>
          <w:rFonts w:cs="Calibri"/>
        </w:rPr>
        <w:t xml:space="preserve"> covered by the Covenant, including </w:t>
      </w:r>
      <w:r w:rsidRPr="007013DE">
        <w:rPr>
          <w:rFonts w:cs="Calibri"/>
        </w:rPr>
        <w:t xml:space="preserve">the right to health, the right to education, and the prohibition of discrimination. </w:t>
      </w:r>
      <w:r w:rsidR="00B55FF7" w:rsidRPr="007013DE">
        <w:rPr>
          <w:rFonts w:cs="Calibri"/>
        </w:rPr>
        <w:t xml:space="preserve">The </w:t>
      </w:r>
      <w:r w:rsidRPr="007013DE">
        <w:rPr>
          <w:rFonts w:cs="Calibri"/>
        </w:rPr>
        <w:t>Committee on Economic, Social and Cultural Rights</w:t>
      </w:r>
      <w:r w:rsidR="00D5102A" w:rsidRPr="007013DE">
        <w:rPr>
          <w:rFonts w:cs="Calibri"/>
        </w:rPr>
        <w:t xml:space="preserve"> </w:t>
      </w:r>
      <w:r w:rsidR="00B55FF7" w:rsidRPr="007013DE">
        <w:rPr>
          <w:rFonts w:cs="Calibri"/>
        </w:rPr>
        <w:t xml:space="preserve">has also affirmed </w:t>
      </w:r>
      <w:r w:rsidR="007603E8" w:rsidRPr="007013DE">
        <w:rPr>
          <w:rFonts w:cs="Calibri"/>
        </w:rPr>
        <w:t>that</w:t>
      </w:r>
      <w:r w:rsidR="00B55FF7" w:rsidRPr="007013DE">
        <w:rPr>
          <w:rFonts w:cs="Calibri"/>
        </w:rPr>
        <w:t xml:space="preserve"> </w:t>
      </w:r>
      <w:r w:rsidR="001123BF" w:rsidRPr="007013DE">
        <w:rPr>
          <w:rFonts w:cs="Calibri"/>
        </w:rPr>
        <w:t xml:space="preserve">women’s </w:t>
      </w:r>
      <w:r w:rsidR="007603E8" w:rsidRPr="007013DE">
        <w:rPr>
          <w:rFonts w:cs="Calibri"/>
        </w:rPr>
        <w:t xml:space="preserve">right to health </w:t>
      </w:r>
      <w:r w:rsidR="0038458D">
        <w:rPr>
          <w:rFonts w:cs="Calibri"/>
        </w:rPr>
        <w:t>encompasses</w:t>
      </w:r>
      <w:r w:rsidR="0038458D" w:rsidRPr="007013DE">
        <w:rPr>
          <w:rFonts w:cs="Calibri"/>
        </w:rPr>
        <w:t xml:space="preserve"> </w:t>
      </w:r>
      <w:r w:rsidR="00A340AA" w:rsidRPr="007013DE">
        <w:rPr>
          <w:rFonts w:cs="Calibri"/>
        </w:rPr>
        <w:t xml:space="preserve">their reproductive </w:t>
      </w:r>
      <w:r w:rsidR="00A340AA" w:rsidRPr="007013DE">
        <w:rPr>
          <w:rFonts w:cs="Calibri"/>
          <w:i/>
        </w:rPr>
        <w:t>and</w:t>
      </w:r>
      <w:r w:rsidR="00A340AA" w:rsidRPr="007013DE">
        <w:rPr>
          <w:rFonts w:cs="Calibri"/>
        </w:rPr>
        <w:t xml:space="preserve"> sexual health. </w:t>
      </w:r>
      <w:r w:rsidRPr="007013DE">
        <w:rPr>
          <w:rFonts w:cs="Calibri"/>
        </w:rPr>
        <w:t xml:space="preserve"> </w:t>
      </w:r>
      <w:r w:rsidR="00A340AA" w:rsidRPr="007013DE">
        <w:rPr>
          <w:rFonts w:cs="Calibri"/>
        </w:rPr>
        <w:t xml:space="preserve">To ensure that </w:t>
      </w:r>
      <w:r w:rsidR="001425E8" w:rsidRPr="007013DE">
        <w:rPr>
          <w:rFonts w:cs="Calibri"/>
        </w:rPr>
        <w:t xml:space="preserve">both reproductive and sexual rights are </w:t>
      </w:r>
      <w:r w:rsidR="00EC7297" w:rsidRPr="007013DE">
        <w:rPr>
          <w:rFonts w:cs="Calibri"/>
        </w:rPr>
        <w:t xml:space="preserve">covered by the General Comment </w:t>
      </w:r>
      <w:r w:rsidR="0085676F" w:rsidRPr="007013DE">
        <w:rPr>
          <w:rFonts w:cs="Calibri"/>
        </w:rPr>
        <w:t xml:space="preserve">the </w:t>
      </w:r>
      <w:r w:rsidR="00EF7FB4">
        <w:rPr>
          <w:rFonts w:cs="Calibri"/>
        </w:rPr>
        <w:t>Theme</w:t>
      </w:r>
      <w:r w:rsidR="0085676F" w:rsidRPr="007013DE">
        <w:rPr>
          <w:rFonts w:cs="Calibri"/>
        </w:rPr>
        <w:t xml:space="preserve"> </w:t>
      </w:r>
      <w:r w:rsidR="00EF7FB4">
        <w:rPr>
          <w:rFonts w:cs="Calibri"/>
        </w:rPr>
        <w:t>Group</w:t>
      </w:r>
      <w:r w:rsidR="0085676F" w:rsidRPr="007013DE">
        <w:rPr>
          <w:rFonts w:cs="Calibri"/>
        </w:rPr>
        <w:t xml:space="preserve"> </w:t>
      </w:r>
      <w:r w:rsidR="00134FE2" w:rsidRPr="007013DE">
        <w:rPr>
          <w:rFonts w:cs="Calibri"/>
        </w:rPr>
        <w:t xml:space="preserve">recommends that relevant articles (18 and 21) of the draft be amended </w:t>
      </w:r>
      <w:r w:rsidR="00461FAA" w:rsidRPr="007013DE">
        <w:rPr>
          <w:rFonts w:cs="Calibri"/>
        </w:rPr>
        <w:t xml:space="preserve">as follows (additions in </w:t>
      </w:r>
      <w:r w:rsidR="0038458D">
        <w:rPr>
          <w:rFonts w:cs="Calibri"/>
        </w:rPr>
        <w:t>italics</w:t>
      </w:r>
      <w:r w:rsidR="00461FAA" w:rsidRPr="007013DE">
        <w:rPr>
          <w:rFonts w:cs="Calibri"/>
        </w:rPr>
        <w:t>):</w:t>
      </w:r>
      <w:r w:rsidR="00134FE2" w:rsidRPr="007013DE">
        <w:rPr>
          <w:rFonts w:cs="Calibri"/>
        </w:rPr>
        <w:t xml:space="preserve"> </w:t>
      </w:r>
    </w:p>
    <w:p w:rsidR="00703DD1" w:rsidRPr="007013DE" w:rsidRDefault="004A4B06" w:rsidP="00AD401E">
      <w:pPr>
        <w:ind w:left="720"/>
        <w:jc w:val="both"/>
        <w:rPr>
          <w:rFonts w:eastAsia="Verdana" w:cs="Calibri"/>
          <w:color w:val="000000"/>
          <w:u w:color="000000"/>
          <w:bdr w:val="nil"/>
          <w:lang w:eastAsia="fr-CH"/>
        </w:rPr>
      </w:pPr>
      <w:r w:rsidRPr="007013DE">
        <w:rPr>
          <w:rFonts w:eastAsia="Verdana" w:cs="Calibri"/>
          <w:color w:val="000000"/>
          <w:u w:color="000000"/>
          <w:bdr w:val="nil"/>
          <w:shd w:val="clear" w:color="auto" w:fill="FEFEFE"/>
          <w:lang w:eastAsia="fr-CH"/>
        </w:rPr>
        <w:t>18.</w:t>
      </w:r>
      <w:r w:rsidR="00FF76B9" w:rsidRPr="007013DE">
        <w:rPr>
          <w:rFonts w:eastAsia="Verdana" w:cs="Calibri"/>
          <w:color w:val="000000"/>
          <w:u w:color="000000"/>
          <w:bdr w:val="nil"/>
          <w:shd w:val="clear" w:color="auto" w:fill="FEFEFE"/>
          <w:lang w:eastAsia="fr-CH"/>
        </w:rPr>
        <w:t xml:space="preserve"> </w:t>
      </w:r>
      <w:r w:rsidR="001D2AB8">
        <w:rPr>
          <w:rFonts w:eastAsia="Verdana" w:cs="Calibri"/>
          <w:color w:val="000000"/>
          <w:u w:color="000000"/>
          <w:bdr w:val="nil"/>
          <w:lang w:eastAsia="fr-CH"/>
        </w:rPr>
        <w:t>…</w:t>
      </w:r>
      <w:r w:rsidR="00FF76B9" w:rsidRPr="007013DE">
        <w:rPr>
          <w:rFonts w:eastAsia="Verdana" w:cs="Calibri"/>
          <w:color w:val="000000"/>
          <w:u w:color="000000"/>
          <w:bdr w:val="nil"/>
          <w:lang w:eastAsia="fr-CH"/>
        </w:rPr>
        <w:t xml:space="preserve"> However, it is also gaining importance in other areas relating to social protection, water, sanitation, health - </w:t>
      </w:r>
      <w:r w:rsidR="00FF76B9" w:rsidRPr="007013DE">
        <w:rPr>
          <w:rFonts w:eastAsia="Verdana" w:cs="Calibri"/>
          <w:i/>
          <w:iCs/>
          <w:color w:val="000000"/>
          <w:u w:color="000000"/>
          <w:bdr w:val="nil"/>
          <w:lang w:eastAsia="fr-CH"/>
        </w:rPr>
        <w:t xml:space="preserve">including sexual </w:t>
      </w:r>
      <w:r w:rsidR="001D2AB8">
        <w:rPr>
          <w:rFonts w:eastAsia="Verdana" w:cs="Calibri"/>
          <w:i/>
          <w:iCs/>
          <w:color w:val="000000"/>
          <w:u w:color="000000"/>
          <w:bdr w:val="nil"/>
          <w:lang w:eastAsia="fr-CH"/>
        </w:rPr>
        <w:t xml:space="preserve">and </w:t>
      </w:r>
      <w:r w:rsidR="00FF76B9" w:rsidRPr="007013DE">
        <w:rPr>
          <w:rFonts w:eastAsia="Verdana" w:cs="Calibri"/>
          <w:i/>
          <w:iCs/>
          <w:color w:val="000000"/>
          <w:u w:color="000000"/>
          <w:bdr w:val="nil"/>
          <w:lang w:eastAsia="fr-CH"/>
        </w:rPr>
        <w:t>reproductive health and rights</w:t>
      </w:r>
      <w:r w:rsidR="00FF76B9" w:rsidRPr="007013DE">
        <w:rPr>
          <w:rFonts w:eastAsia="Verdana" w:cs="Calibri"/>
          <w:color w:val="000000"/>
          <w:u w:color="000000"/>
          <w:bdr w:val="nil"/>
          <w:lang w:eastAsia="fr-CH"/>
        </w:rPr>
        <w:t xml:space="preserve"> - education and cultural life. The increased role and impact of private actors in what used to be predominantly public sectors pose new challenges</w:t>
      </w:r>
      <w:r w:rsidR="001D2AB8">
        <w:rPr>
          <w:rFonts w:eastAsia="Verdana" w:cs="Calibri"/>
          <w:color w:val="000000"/>
          <w:u w:color="000000"/>
          <w:bdr w:val="nil"/>
          <w:lang w:eastAsia="fr-CH"/>
        </w:rPr>
        <w:t>…</w:t>
      </w:r>
      <w:r w:rsidR="00FF76B9" w:rsidRPr="007013DE">
        <w:rPr>
          <w:rFonts w:eastAsia="Verdana" w:cs="Calibri"/>
          <w:color w:val="000000"/>
          <w:u w:color="000000"/>
          <w:bdr w:val="nil"/>
          <w:lang w:eastAsia="fr-CH"/>
        </w:rPr>
        <w:t>.</w:t>
      </w:r>
    </w:p>
    <w:p w:rsidR="00703DD1" w:rsidRPr="007013DE" w:rsidRDefault="004A4B06" w:rsidP="00AD401E">
      <w:pPr>
        <w:ind w:left="720"/>
        <w:jc w:val="both"/>
        <w:rPr>
          <w:rFonts w:eastAsia="Verdana" w:cs="Calibri"/>
          <w:color w:val="000000"/>
          <w:bdr w:val="none" w:sz="0" w:space="0" w:color="auto" w:frame="1"/>
          <w:lang w:eastAsia="fr-CH"/>
        </w:rPr>
      </w:pPr>
      <w:r w:rsidRPr="007013DE">
        <w:rPr>
          <w:rFonts w:cs="Calibri"/>
          <w:bCs/>
        </w:rPr>
        <w:t>21</w:t>
      </w:r>
      <w:proofErr w:type="gramStart"/>
      <w:r w:rsidRPr="007013DE">
        <w:rPr>
          <w:rFonts w:cs="Calibri"/>
          <w:bCs/>
        </w:rPr>
        <w:t>.</w:t>
      </w:r>
      <w:r w:rsidRPr="007013DE">
        <w:rPr>
          <w:rFonts w:cs="Calibri"/>
          <w:b/>
          <w:bCs/>
        </w:rPr>
        <w:t xml:space="preserve"> </w:t>
      </w:r>
      <w:r w:rsidR="001D2AB8">
        <w:rPr>
          <w:rFonts w:eastAsia="Verdana" w:cs="Calibri"/>
          <w:color w:val="000000"/>
          <w:bdr w:val="none" w:sz="0" w:space="0" w:color="auto" w:frame="1"/>
          <w:lang w:eastAsia="fr-CH"/>
        </w:rPr>
        <w:t>..</w:t>
      </w:r>
      <w:r w:rsidRPr="007013DE">
        <w:rPr>
          <w:rFonts w:eastAsia="Verdana" w:cs="Calibri"/>
          <w:color w:val="000000"/>
          <w:bdr w:val="none" w:sz="0" w:space="0" w:color="auto" w:frame="1"/>
          <w:lang w:eastAsia="fr-CH"/>
        </w:rPr>
        <w:t>.</w:t>
      </w:r>
      <w:proofErr w:type="gramEnd"/>
      <w:r w:rsidRPr="007013DE">
        <w:rPr>
          <w:rFonts w:eastAsia="Verdana" w:cs="Calibri"/>
          <w:color w:val="000000"/>
          <w:bdr w:val="none" w:sz="0" w:space="0" w:color="auto" w:frame="1"/>
          <w:lang w:eastAsia="fr-CH"/>
        </w:rPr>
        <w:t xml:space="preserve"> The private sector has long played an important role in the sectors closely related to certain Covenant rights, such as the right to work and the right to food. However, it is also gaining importance in </w:t>
      </w:r>
      <w:r w:rsidRPr="007013DE">
        <w:rPr>
          <w:rFonts w:eastAsia="Verdana" w:cs="Calibri"/>
          <w:color w:val="000000"/>
          <w:bdr w:val="none" w:sz="0" w:space="0" w:color="auto" w:frame="1"/>
          <w:lang w:eastAsia="fr-CH"/>
        </w:rPr>
        <w:lastRenderedPageBreak/>
        <w:t xml:space="preserve">other areas relating to social protection, water, sanitation, health - </w:t>
      </w:r>
      <w:r w:rsidRPr="007013DE">
        <w:rPr>
          <w:rFonts w:eastAsia="Verdana" w:cs="Calibri"/>
          <w:i/>
          <w:color w:val="000000"/>
          <w:bdr w:val="none" w:sz="0" w:space="0" w:color="auto" w:frame="1"/>
          <w:lang w:eastAsia="fr-CH"/>
        </w:rPr>
        <w:t xml:space="preserve">including sexual </w:t>
      </w:r>
      <w:r w:rsidR="001D2AB8">
        <w:rPr>
          <w:rFonts w:eastAsia="Verdana" w:cs="Calibri"/>
          <w:i/>
          <w:color w:val="000000"/>
          <w:bdr w:val="none" w:sz="0" w:space="0" w:color="auto" w:frame="1"/>
          <w:lang w:eastAsia="fr-CH"/>
        </w:rPr>
        <w:t xml:space="preserve">and </w:t>
      </w:r>
      <w:r w:rsidRPr="007013DE">
        <w:rPr>
          <w:rFonts w:eastAsia="Verdana" w:cs="Calibri"/>
          <w:i/>
          <w:color w:val="000000"/>
          <w:bdr w:val="none" w:sz="0" w:space="0" w:color="auto" w:frame="1"/>
          <w:lang w:eastAsia="fr-CH"/>
        </w:rPr>
        <w:t>reproductive health and rights</w:t>
      </w:r>
      <w:r w:rsidRPr="007013DE">
        <w:rPr>
          <w:rFonts w:eastAsia="Verdana" w:cs="Calibri"/>
          <w:color w:val="000000"/>
          <w:bdr w:val="none" w:sz="0" w:space="0" w:color="auto" w:frame="1"/>
          <w:lang w:eastAsia="fr-CH"/>
        </w:rPr>
        <w:t xml:space="preserve"> - education and cultural life. </w:t>
      </w:r>
      <w:r w:rsidR="001D2AB8">
        <w:rPr>
          <w:rFonts w:eastAsia="Verdana" w:cs="Calibri"/>
          <w:color w:val="000000"/>
          <w:bdr w:val="none" w:sz="0" w:space="0" w:color="auto" w:frame="1"/>
          <w:lang w:eastAsia="fr-CH"/>
        </w:rPr>
        <w:t>….</w:t>
      </w:r>
    </w:p>
    <w:p w:rsidR="00703DD1" w:rsidRPr="007013DE" w:rsidRDefault="005D18F4" w:rsidP="00AD401E">
      <w:pPr>
        <w:ind w:firstLine="720"/>
        <w:jc w:val="both"/>
        <w:rPr>
          <w:rFonts w:cs="Calibri"/>
          <w:b/>
          <w:bCs/>
        </w:rPr>
      </w:pPr>
      <w:r w:rsidRPr="007013DE">
        <w:rPr>
          <w:rFonts w:eastAsia="Verdana" w:cs="Calibri"/>
          <w:b/>
          <w:color w:val="000000"/>
          <w:bdr w:val="none" w:sz="0" w:space="0" w:color="auto" w:frame="1"/>
          <w:lang w:eastAsia="fr-CH"/>
        </w:rPr>
        <w:t xml:space="preserve">IV. </w:t>
      </w:r>
      <w:r w:rsidR="00BB1000" w:rsidRPr="007013DE">
        <w:rPr>
          <w:rFonts w:cs="Calibri"/>
          <w:b/>
          <w:bCs/>
        </w:rPr>
        <w:t>Human rights defenders</w:t>
      </w:r>
    </w:p>
    <w:p w:rsidR="00703DD1" w:rsidRDefault="004A4B06" w:rsidP="00AD401E">
      <w:pPr>
        <w:jc w:val="both"/>
        <w:rPr>
          <w:rFonts w:eastAsia="Helvetica"/>
          <w:color w:val="000000"/>
          <w:u w:color="000000"/>
          <w:bdr w:val="nil"/>
          <w:lang w:eastAsia="fr-CH"/>
        </w:rPr>
      </w:pPr>
      <w:r>
        <w:rPr>
          <w:rFonts w:eastAsia="Helvetica"/>
          <w:color w:val="000000"/>
          <w:u w:color="000000"/>
          <w:bdr w:val="nil"/>
          <w:lang w:eastAsia="fr-CH"/>
        </w:rPr>
        <w:t xml:space="preserve">The </w:t>
      </w:r>
      <w:r w:rsidR="00EF7FB4">
        <w:rPr>
          <w:rFonts w:eastAsia="Helvetica"/>
          <w:color w:val="000000"/>
          <w:u w:color="000000"/>
          <w:bdr w:val="nil"/>
          <w:lang w:eastAsia="fr-CH"/>
        </w:rPr>
        <w:t>Theme Group</w:t>
      </w:r>
      <w:r>
        <w:rPr>
          <w:rFonts w:eastAsia="Helvetica"/>
          <w:color w:val="000000"/>
          <w:u w:color="000000"/>
          <w:bdr w:val="nil"/>
          <w:lang w:eastAsia="fr-CH"/>
        </w:rPr>
        <w:t xml:space="preserve"> on human rights in Cambodia appreciates the Committee’s consideration of the </w:t>
      </w:r>
      <w:r w:rsidR="00AF6D1E">
        <w:rPr>
          <w:rFonts w:eastAsia="Helvetica"/>
          <w:color w:val="000000"/>
          <w:u w:color="000000"/>
          <w:bdr w:val="nil"/>
          <w:lang w:eastAsia="fr-CH"/>
        </w:rPr>
        <w:t>challenges that human rights defenders may face in the context of busine</w:t>
      </w:r>
      <w:r w:rsidR="00A0021D">
        <w:rPr>
          <w:rFonts w:eastAsia="Helvetica"/>
          <w:color w:val="000000"/>
          <w:u w:color="000000"/>
          <w:bdr w:val="nil"/>
          <w:lang w:eastAsia="fr-CH"/>
        </w:rPr>
        <w:t xml:space="preserve">ss-related human rights impacts. </w:t>
      </w:r>
      <w:r w:rsidR="00371FD0">
        <w:rPr>
          <w:rFonts w:eastAsia="Helvetica"/>
          <w:color w:val="000000"/>
          <w:u w:color="000000"/>
          <w:bdr w:val="nil"/>
          <w:lang w:eastAsia="fr-CH"/>
        </w:rPr>
        <w:t>T</w:t>
      </w:r>
      <w:r w:rsidR="001D2AB8">
        <w:rPr>
          <w:rFonts w:eastAsia="Helvetica"/>
          <w:color w:val="000000"/>
          <w:u w:color="000000"/>
          <w:bdr w:val="nil"/>
          <w:lang w:eastAsia="fr-CH"/>
        </w:rPr>
        <w:t xml:space="preserve">he Theme Group suggests </w:t>
      </w:r>
      <w:r w:rsidR="0074571D">
        <w:rPr>
          <w:rFonts w:eastAsia="Helvetica"/>
          <w:color w:val="000000"/>
          <w:u w:color="000000"/>
          <w:bdr w:val="nil"/>
          <w:lang w:eastAsia="fr-CH"/>
        </w:rPr>
        <w:t>strengthening</w:t>
      </w:r>
      <w:r w:rsidR="00371FD0">
        <w:rPr>
          <w:rFonts w:eastAsia="Helvetica"/>
          <w:color w:val="000000"/>
          <w:u w:color="000000"/>
          <w:bdr w:val="nil"/>
          <w:lang w:eastAsia="fr-CH"/>
        </w:rPr>
        <w:t xml:space="preserve"> this part </w:t>
      </w:r>
      <w:r w:rsidR="0065308C">
        <w:rPr>
          <w:rFonts w:eastAsia="Helvetica"/>
          <w:color w:val="000000"/>
          <w:u w:color="000000"/>
          <w:bdr w:val="nil"/>
          <w:lang w:eastAsia="fr-CH"/>
        </w:rPr>
        <w:t xml:space="preserve">as follows (suggested additions in </w:t>
      </w:r>
      <w:r w:rsidR="001D2AB8">
        <w:rPr>
          <w:rFonts w:eastAsia="Helvetica"/>
          <w:color w:val="000000"/>
          <w:u w:color="000000"/>
          <w:bdr w:val="nil"/>
          <w:lang w:eastAsia="fr-CH"/>
        </w:rPr>
        <w:t>italics</w:t>
      </w:r>
      <w:r w:rsidR="0065308C">
        <w:rPr>
          <w:rFonts w:eastAsia="Helvetica"/>
          <w:color w:val="000000"/>
          <w:u w:color="000000"/>
          <w:bdr w:val="nil"/>
          <w:lang w:eastAsia="fr-CH"/>
        </w:rPr>
        <w:t xml:space="preserve">): </w:t>
      </w:r>
    </w:p>
    <w:p w:rsidR="00BB1000" w:rsidRDefault="0065308C" w:rsidP="00AD401E">
      <w:pPr>
        <w:ind w:left="720"/>
        <w:jc w:val="both"/>
        <w:rPr>
          <w:rFonts w:hint="eastAsia"/>
          <w:color w:val="000000"/>
          <w:u w:color="000000"/>
          <w:bdr w:val="nil"/>
          <w:shd w:val="clear" w:color="auto" w:fill="FEFEFE"/>
          <w:lang w:eastAsia="ja-JP"/>
        </w:rPr>
      </w:pPr>
      <w:r>
        <w:rPr>
          <w:rFonts w:eastAsia="Helvetica"/>
          <w:color w:val="000000"/>
          <w:u w:color="000000"/>
          <w:bdr w:val="nil"/>
          <w:lang w:eastAsia="fr-CH"/>
        </w:rPr>
        <w:t>22</w:t>
      </w:r>
      <w:proofErr w:type="gramStart"/>
      <w:r>
        <w:rPr>
          <w:rFonts w:eastAsia="Helvetica"/>
          <w:color w:val="000000"/>
          <w:u w:color="000000"/>
          <w:bdr w:val="nil"/>
          <w:lang w:eastAsia="fr-CH"/>
        </w:rPr>
        <w:t xml:space="preserve">. </w:t>
      </w:r>
      <w:r w:rsidR="001D2AB8">
        <w:rPr>
          <w:rFonts w:eastAsia="Helvetica"/>
          <w:color w:val="000000"/>
          <w:u w:color="000000"/>
          <w:bdr w:val="nil"/>
          <w:lang w:eastAsia="fr-CH"/>
        </w:rPr>
        <w:t>..</w:t>
      </w:r>
      <w:r w:rsidR="00BB1000" w:rsidRPr="001019F4">
        <w:rPr>
          <w:rFonts w:eastAsia="Helvetica"/>
          <w:color w:val="000000"/>
          <w:u w:color="000000"/>
          <w:bdr w:val="nil"/>
          <w:lang w:eastAsia="fr-CH"/>
        </w:rPr>
        <w:t>.</w:t>
      </w:r>
      <w:proofErr w:type="gramEnd"/>
      <w:r w:rsidR="00BB1000" w:rsidRPr="001019F4">
        <w:rPr>
          <w:rFonts w:eastAsia="Helvetica"/>
          <w:color w:val="000000"/>
          <w:u w:color="000000"/>
          <w:bdr w:val="nil"/>
          <w:lang w:eastAsia="fr-CH"/>
        </w:rPr>
        <w:t xml:space="preserve"> In addition, </w:t>
      </w:r>
      <w:r w:rsidR="00BB1000" w:rsidRPr="001019F4">
        <w:rPr>
          <w:rFonts w:eastAsia="Helvetica"/>
          <w:color w:val="000000"/>
          <w:u w:color="000000"/>
          <w:bdr w:val="nil"/>
          <w:shd w:val="clear" w:color="auto" w:fill="FEFEFE"/>
          <w:lang w:eastAsia="fr-CH"/>
        </w:rPr>
        <w:t xml:space="preserve">trade union leaders, indigenous </w:t>
      </w:r>
      <w:r w:rsidR="00BB1000" w:rsidRPr="00291947">
        <w:rPr>
          <w:rFonts w:eastAsia="Helvetica"/>
          <w:i/>
          <w:iCs/>
          <w:color w:val="000000"/>
          <w:u w:color="000000"/>
          <w:bdr w:val="nil"/>
          <w:shd w:val="clear" w:color="auto" w:fill="FEFEFE"/>
          <w:lang w:eastAsia="fr-CH"/>
        </w:rPr>
        <w:t>peoples’ representatives</w:t>
      </w:r>
      <w:r w:rsidR="00BB1000" w:rsidRPr="001019F4">
        <w:rPr>
          <w:rFonts w:eastAsia="Helvetica"/>
          <w:color w:val="000000"/>
          <w:u w:color="000000"/>
          <w:bdr w:val="nil"/>
          <w:shd w:val="clear" w:color="auto" w:fill="FEFEFE"/>
          <w:lang w:eastAsia="fr-CH"/>
        </w:rPr>
        <w:t xml:space="preserve">, and anti-corruption activists are often subject </w:t>
      </w:r>
      <w:r w:rsidR="00BB1000" w:rsidRPr="00291947">
        <w:rPr>
          <w:rFonts w:eastAsia="Helvetica"/>
          <w:i/>
          <w:iCs/>
          <w:color w:val="000000"/>
          <w:u w:color="000000"/>
          <w:bdr w:val="nil"/>
          <w:shd w:val="clear" w:color="auto" w:fill="FEFEFE"/>
          <w:lang w:eastAsia="fr-CH"/>
        </w:rPr>
        <w:t>to harassment for</w:t>
      </w:r>
      <w:r w:rsidR="00BB1000" w:rsidRPr="001019F4">
        <w:rPr>
          <w:rFonts w:eastAsia="Helvetica"/>
          <w:color w:val="000000"/>
          <w:u w:color="000000"/>
          <w:bdr w:val="nil"/>
          <w:shd w:val="clear" w:color="auto" w:fill="FEFEFE"/>
          <w:lang w:eastAsia="fr-CH"/>
        </w:rPr>
        <w:t xml:space="preserve"> their </w:t>
      </w:r>
      <w:r w:rsidR="00BB1000" w:rsidRPr="00291947">
        <w:rPr>
          <w:rFonts w:eastAsia="Helvetica"/>
          <w:i/>
          <w:iCs/>
          <w:color w:val="000000"/>
          <w:u w:color="000000"/>
          <w:bdr w:val="nil"/>
          <w:shd w:val="clear" w:color="auto" w:fill="FEFEFE"/>
          <w:lang w:eastAsia="fr-CH"/>
        </w:rPr>
        <w:t>legitimate</w:t>
      </w:r>
      <w:r w:rsidR="00BB1000" w:rsidRPr="001019F4">
        <w:rPr>
          <w:rFonts w:eastAsia="Helvetica"/>
          <w:color w:val="000000"/>
          <w:u w:color="000000"/>
          <w:bdr w:val="nil"/>
          <w:shd w:val="clear" w:color="auto" w:fill="FEFEFE"/>
          <w:lang w:eastAsia="fr-CH"/>
        </w:rPr>
        <w:t xml:space="preserve"> </w:t>
      </w:r>
      <w:r w:rsidR="00BB1000" w:rsidRPr="00291947">
        <w:rPr>
          <w:rFonts w:eastAsia="Helvetica"/>
          <w:i/>
          <w:iCs/>
          <w:color w:val="000000"/>
          <w:u w:color="000000"/>
          <w:bdr w:val="nil"/>
          <w:shd w:val="clear" w:color="auto" w:fill="FEFEFE"/>
          <w:lang w:eastAsia="fr-CH"/>
        </w:rPr>
        <w:t>human rights work</w:t>
      </w:r>
      <w:r w:rsidR="00BB1000" w:rsidRPr="001019F4">
        <w:rPr>
          <w:rFonts w:eastAsia="Helvetica"/>
          <w:color w:val="000000"/>
          <w:u w:color="000000"/>
          <w:bdr w:val="nil"/>
          <w:shd w:val="clear" w:color="auto" w:fill="FEFEFE"/>
          <w:lang w:eastAsia="fr-CH"/>
        </w:rPr>
        <w:t xml:space="preserve">. The Committee recommends States Parties to take all necessary measures to protect human rights </w:t>
      </w:r>
      <w:r w:rsidR="00BB1000" w:rsidRPr="00291947">
        <w:rPr>
          <w:rFonts w:eastAsia="Helvetica"/>
          <w:i/>
          <w:iCs/>
          <w:color w:val="000000"/>
          <w:u w:color="000000"/>
          <w:bdr w:val="nil"/>
          <w:shd w:val="clear" w:color="auto" w:fill="FEFEFE"/>
          <w:lang w:eastAsia="fr-CH"/>
        </w:rPr>
        <w:t>defenders</w:t>
      </w:r>
      <w:r w:rsidR="00BB1000" w:rsidRPr="001019F4">
        <w:rPr>
          <w:rFonts w:eastAsia="Helvetica"/>
          <w:color w:val="000000"/>
          <w:u w:color="000000"/>
          <w:bdr w:val="nil"/>
          <w:shd w:val="clear" w:color="auto" w:fill="FEFEFE"/>
          <w:lang w:eastAsia="fr-CH"/>
        </w:rPr>
        <w:t xml:space="preserve"> and </w:t>
      </w:r>
      <w:r w:rsidR="00BB1000" w:rsidRPr="00291947">
        <w:rPr>
          <w:rFonts w:eastAsia="Helvetica"/>
          <w:i/>
          <w:iCs/>
          <w:color w:val="000000"/>
          <w:u w:color="000000"/>
          <w:bdr w:val="nil"/>
          <w:shd w:val="clear" w:color="auto" w:fill="FEFEFE"/>
          <w:lang w:eastAsia="fr-CH"/>
        </w:rPr>
        <w:t xml:space="preserve">ensure that they </w:t>
      </w:r>
      <w:r w:rsidR="001D2AB8">
        <w:rPr>
          <w:rFonts w:eastAsia="Helvetica"/>
          <w:i/>
          <w:iCs/>
          <w:color w:val="000000"/>
          <w:u w:color="000000"/>
          <w:bdr w:val="nil"/>
          <w:shd w:val="clear" w:color="auto" w:fill="FEFEFE"/>
          <w:lang w:eastAsia="fr-CH"/>
        </w:rPr>
        <w:t>are able to</w:t>
      </w:r>
      <w:r w:rsidR="00BB1000" w:rsidRPr="00291947">
        <w:rPr>
          <w:rFonts w:eastAsia="Helvetica"/>
          <w:i/>
          <w:iCs/>
          <w:color w:val="000000"/>
          <w:u w:color="000000"/>
          <w:bdr w:val="nil"/>
          <w:shd w:val="clear" w:color="auto" w:fill="FEFEFE"/>
          <w:lang w:eastAsia="fr-CH"/>
        </w:rPr>
        <w:t xml:space="preserve"> carry out </w:t>
      </w:r>
      <w:r w:rsidR="00BB1000" w:rsidRPr="001019F4">
        <w:rPr>
          <w:rFonts w:eastAsia="Helvetica"/>
          <w:color w:val="000000"/>
          <w:u w:color="000000"/>
          <w:bdr w:val="nil"/>
          <w:shd w:val="clear" w:color="auto" w:fill="FEFEFE"/>
          <w:lang w:eastAsia="fr-CH"/>
        </w:rPr>
        <w:t>their work, and to refrain from imposing criminal penalties on them or enacting new criminal offences with a purpose of hindering their work.</w:t>
      </w:r>
    </w:p>
    <w:p w:rsidR="0074571D" w:rsidRPr="0074571D" w:rsidRDefault="0074571D" w:rsidP="00AD401E">
      <w:pPr>
        <w:jc w:val="both"/>
        <w:rPr>
          <w:rFonts w:cs="Arial" w:hint="eastAsia"/>
          <w:b/>
          <w:lang w:eastAsia="ja-JP"/>
        </w:rPr>
      </w:pPr>
      <w:r>
        <w:rPr>
          <w:rFonts w:cs="Arial" w:hint="eastAsia"/>
          <w:lang w:eastAsia="ja-JP"/>
        </w:rPr>
        <w:tab/>
      </w:r>
      <w:r w:rsidRPr="0074571D">
        <w:rPr>
          <w:rFonts w:cs="Arial" w:hint="eastAsia"/>
          <w:b/>
          <w:lang w:eastAsia="ja-JP"/>
        </w:rPr>
        <w:t xml:space="preserve">V. Occupational Health and Safety </w:t>
      </w:r>
    </w:p>
    <w:p w:rsidR="006848D2" w:rsidRDefault="00D9501F" w:rsidP="00AD401E">
      <w:pPr>
        <w:jc w:val="both"/>
        <w:rPr>
          <w:rFonts w:cs="Arial" w:hint="eastAsia"/>
          <w:lang w:eastAsia="ja-JP"/>
        </w:rPr>
      </w:pPr>
      <w:r>
        <w:rPr>
          <w:rFonts w:cs="Arial" w:hint="eastAsia"/>
          <w:lang w:eastAsia="ja-JP"/>
        </w:rPr>
        <w:t>The Theme Group on human rights in Cambodia echoes with the Committee</w:t>
      </w:r>
      <w:r w:rsidR="006848D2">
        <w:rPr>
          <w:rFonts w:cs="Arial"/>
          <w:lang w:eastAsia="ja-JP"/>
        </w:rPr>
        <w:t>’</w:t>
      </w:r>
      <w:r w:rsidR="006848D2">
        <w:rPr>
          <w:rFonts w:cs="Arial" w:hint="eastAsia"/>
          <w:lang w:eastAsia="ja-JP"/>
        </w:rPr>
        <w:t xml:space="preserve">s comment on </w:t>
      </w:r>
      <w:r w:rsidR="006848D2">
        <w:rPr>
          <w:rFonts w:cs="Arial"/>
          <w:lang w:eastAsia="ja-JP"/>
        </w:rPr>
        <w:t>effective</w:t>
      </w:r>
      <w:r w:rsidR="006848D2">
        <w:rPr>
          <w:rFonts w:cs="Arial" w:hint="eastAsia"/>
          <w:lang w:eastAsia="ja-JP"/>
        </w:rPr>
        <w:t xml:space="preserve"> monitoring, </w:t>
      </w:r>
      <w:r w:rsidR="006848D2">
        <w:rPr>
          <w:rFonts w:cs="Arial"/>
          <w:lang w:eastAsia="ja-JP"/>
        </w:rPr>
        <w:t>investigation</w:t>
      </w:r>
      <w:r w:rsidR="006848D2">
        <w:rPr>
          <w:rFonts w:cs="Arial" w:hint="eastAsia"/>
          <w:lang w:eastAsia="ja-JP"/>
        </w:rPr>
        <w:t xml:space="preserve"> and accountability mechanisms to be harnessed through enabling infrastructure. The Theme Group suggests strengthening this part as follows (suggested additions in italics):</w:t>
      </w:r>
    </w:p>
    <w:p w:rsidR="0074571D" w:rsidRPr="00432E0D" w:rsidRDefault="006848D2" w:rsidP="00AD401E">
      <w:pPr>
        <w:ind w:left="720"/>
        <w:jc w:val="both"/>
        <w:rPr>
          <w:rFonts w:cs="Arial" w:hint="eastAsia"/>
          <w:lang w:eastAsia="ja-JP"/>
        </w:rPr>
      </w:pPr>
      <w:r>
        <w:rPr>
          <w:rFonts w:cs="Arial" w:hint="eastAsia"/>
          <w:lang w:eastAsia="ja-JP"/>
        </w:rPr>
        <w:t xml:space="preserve">20. </w:t>
      </w:r>
      <w:r>
        <w:rPr>
          <w:rFonts w:cs="Arial"/>
          <w:lang w:eastAsia="ja-JP"/>
        </w:rPr>
        <w:t>…</w:t>
      </w:r>
      <w:r w:rsidRPr="00BD3536">
        <w:rPr>
          <w:rFonts w:eastAsia="Verdana"/>
          <w:color w:val="000000"/>
          <w:u w:color="000000"/>
          <w:bdr w:val="nil"/>
          <w:shd w:val="clear" w:color="auto" w:fill="FEFEFE"/>
          <w:lang w:eastAsia="fr-CH"/>
        </w:rPr>
        <w:t>Such enforcement systems require not only legal measures but also enabling infrastructure, such as independent national human rights institutions, competent inspectorates in the area of food safety</w:t>
      </w:r>
      <w:r w:rsidRPr="006848D2">
        <w:rPr>
          <w:rFonts w:hint="eastAsia"/>
          <w:i/>
          <w:color w:val="000000"/>
          <w:u w:color="000000"/>
          <w:bdr w:val="nil"/>
          <w:shd w:val="clear" w:color="auto" w:fill="FEFEFE"/>
          <w:lang w:eastAsia="ja-JP"/>
        </w:rPr>
        <w:t>, occupational health and safety</w:t>
      </w:r>
      <w:r w:rsidRPr="00BD3536">
        <w:rPr>
          <w:rFonts w:eastAsia="Verdana"/>
          <w:color w:val="000000"/>
          <w:u w:color="000000"/>
          <w:bdr w:val="nil"/>
          <w:shd w:val="clear" w:color="auto" w:fill="FEFEFE"/>
          <w:lang w:eastAsia="fr-CH"/>
        </w:rPr>
        <w:t xml:space="preserve"> </w:t>
      </w:r>
      <w:r>
        <w:rPr>
          <w:rFonts w:hint="eastAsia"/>
          <w:color w:val="000000"/>
          <w:u w:color="000000"/>
          <w:bdr w:val="nil"/>
          <w:shd w:val="clear" w:color="auto" w:fill="FEFEFE"/>
          <w:lang w:eastAsia="ja-JP"/>
        </w:rPr>
        <w:t xml:space="preserve">and </w:t>
      </w:r>
      <w:r w:rsidRPr="00BD3536">
        <w:rPr>
          <w:rFonts w:eastAsia="Verdana"/>
          <w:color w:val="000000"/>
          <w:u w:color="000000"/>
          <w:bdr w:val="nil"/>
          <w:shd w:val="clear" w:color="auto" w:fill="FEFEFE"/>
          <w:lang w:eastAsia="fr-CH"/>
        </w:rPr>
        <w:t>working conditions, and consumer protection agencies, with the authority and resources necessary to adequately discharge their duties</w:t>
      </w:r>
      <w:r>
        <w:rPr>
          <w:rFonts w:hint="eastAsia"/>
          <w:color w:val="000000"/>
          <w:u w:color="000000"/>
          <w:bdr w:val="nil"/>
          <w:shd w:val="clear" w:color="auto" w:fill="FEFEFE"/>
          <w:lang w:eastAsia="ja-JP"/>
        </w:rPr>
        <w:t>.</w:t>
      </w:r>
      <w:r w:rsidR="00D9501F">
        <w:rPr>
          <w:rFonts w:cs="Arial" w:hint="eastAsia"/>
          <w:lang w:eastAsia="ja-JP"/>
        </w:rPr>
        <w:t xml:space="preserve"> </w:t>
      </w:r>
    </w:p>
    <w:p w:rsidR="00067BDC" w:rsidRDefault="00067BDC" w:rsidP="00AD401E">
      <w:pPr>
        <w:jc w:val="both"/>
        <w:rPr>
          <w:rFonts w:eastAsia="Times New Roman" w:cs="Arial"/>
          <w:b/>
          <w:bCs/>
          <w:lang w:eastAsia="en-AU"/>
        </w:rPr>
      </w:pPr>
    </w:p>
    <w:p w:rsidR="00067BDC" w:rsidRDefault="00067BDC" w:rsidP="00067BDC">
      <w:pPr>
        <w:rPr>
          <w:rFonts w:eastAsia="Times New Roman" w:cs="Arial"/>
          <w:b/>
          <w:bCs/>
          <w:lang w:eastAsia="en-AU"/>
        </w:rPr>
      </w:pPr>
    </w:p>
    <w:p w:rsidR="00792735" w:rsidRPr="001019F4" w:rsidRDefault="00792735" w:rsidP="00792735">
      <w:pPr>
        <w:ind w:firstLine="720"/>
      </w:pPr>
    </w:p>
    <w:sectPr w:rsidR="00792735" w:rsidRPr="001019F4" w:rsidSect="00965CA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E0D" w:rsidRDefault="00432E0D" w:rsidP="00B41287">
      <w:pPr>
        <w:spacing w:after="0" w:line="240" w:lineRule="auto"/>
      </w:pPr>
      <w:r>
        <w:separator/>
      </w:r>
    </w:p>
  </w:endnote>
  <w:endnote w:type="continuationSeparator" w:id="0">
    <w:p w:rsidR="00432E0D" w:rsidRDefault="00432E0D" w:rsidP="00B4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4" w:rsidRDefault="001019F4">
    <w:pPr>
      <w:pStyle w:val="Footer"/>
      <w:jc w:val="center"/>
    </w:pPr>
    <w:r>
      <w:fldChar w:fldCharType="begin"/>
    </w:r>
    <w:r>
      <w:instrText xml:space="preserve"> PAGE   \* MERGEFORMAT </w:instrText>
    </w:r>
    <w:r>
      <w:fldChar w:fldCharType="separate"/>
    </w:r>
    <w:r w:rsidR="000E4B09">
      <w:rPr>
        <w:noProof/>
      </w:rPr>
      <w:t>1</w:t>
    </w:r>
    <w:r>
      <w:rPr>
        <w:noProof/>
      </w:rPr>
      <w:fldChar w:fldCharType="end"/>
    </w:r>
  </w:p>
  <w:p w:rsidR="001019F4" w:rsidRDefault="00101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E0D" w:rsidRDefault="00432E0D" w:rsidP="00B41287">
      <w:pPr>
        <w:spacing w:after="0" w:line="240" w:lineRule="auto"/>
      </w:pPr>
      <w:r>
        <w:separator/>
      </w:r>
    </w:p>
  </w:footnote>
  <w:footnote w:type="continuationSeparator" w:id="0">
    <w:p w:rsidR="00432E0D" w:rsidRDefault="00432E0D" w:rsidP="00B41287">
      <w:pPr>
        <w:spacing w:after="0" w:line="240" w:lineRule="auto"/>
      </w:pPr>
      <w:r>
        <w:continuationSeparator/>
      </w:r>
    </w:p>
  </w:footnote>
  <w:footnote w:id="1">
    <w:p w:rsidR="00B41287" w:rsidRPr="00B41287" w:rsidRDefault="00B41287">
      <w:pPr>
        <w:pStyle w:val="FootnoteText"/>
        <w:rPr>
          <w:lang w:val="en-AU"/>
        </w:rPr>
      </w:pPr>
      <w:r>
        <w:rPr>
          <w:rStyle w:val="FootnoteReference"/>
        </w:rPr>
        <w:footnoteRef/>
      </w:r>
      <w:r>
        <w:t xml:space="preserve"> </w:t>
      </w:r>
      <w:r>
        <w:rPr>
          <w:lang w:val="en-AU"/>
        </w:rPr>
        <w:t>Member</w:t>
      </w:r>
      <w:r w:rsidR="009B12CC">
        <w:rPr>
          <w:lang w:val="en-AU"/>
        </w:rPr>
        <w:t>s</w:t>
      </w:r>
      <w:r w:rsidR="0000772A">
        <w:rPr>
          <w:lang w:val="en-AU"/>
        </w:rPr>
        <w:t xml:space="preserve"> include RCO, FAO, UNFPA, WHO, UNHCR, ILO, UNDP, WFP, UNICEF, UNAIDS, UNESCO, UN Women, chaired by OHCHR.</w:t>
      </w:r>
    </w:p>
  </w:footnote>
  <w:footnote w:id="2">
    <w:p w:rsidR="00951A68" w:rsidRPr="00870292" w:rsidRDefault="00951A68" w:rsidP="00291802">
      <w:pPr>
        <w:pStyle w:val="Heading2"/>
        <w:spacing w:after="0"/>
        <w:jc w:val="left"/>
        <w:rPr>
          <w:rFonts w:ascii="Calibri" w:hAnsi="Calibri"/>
          <w:sz w:val="18"/>
          <w:szCs w:val="18"/>
        </w:rPr>
      </w:pPr>
      <w:r w:rsidRPr="00870292">
        <w:rPr>
          <w:rStyle w:val="FootnoteReference"/>
          <w:rFonts w:ascii="Calibri" w:hAnsi="Calibri"/>
          <w:sz w:val="18"/>
          <w:szCs w:val="18"/>
        </w:rPr>
        <w:footnoteRef/>
      </w:r>
      <w:r w:rsidRPr="00870292">
        <w:rPr>
          <w:rFonts w:ascii="Calibri" w:hAnsi="Calibri"/>
          <w:sz w:val="18"/>
          <w:szCs w:val="18"/>
        </w:rPr>
        <w:t xml:space="preserve"> </w:t>
      </w:r>
      <w:bookmarkStart w:id="1" w:name="_Toc200433466"/>
      <w:bookmarkStart w:id="2" w:name="_Toc200441351"/>
      <w:bookmarkStart w:id="3" w:name="_Toc200785230"/>
      <w:r w:rsidR="00291802" w:rsidRPr="00870292">
        <w:rPr>
          <w:rFonts w:ascii="Calibri" w:hAnsi="Calibri"/>
          <w:sz w:val="18"/>
          <w:szCs w:val="18"/>
        </w:rPr>
        <w:t xml:space="preserve"> </w:t>
      </w:r>
      <w:r w:rsidR="00291802" w:rsidRPr="00870292">
        <w:rPr>
          <w:rFonts w:ascii="Calibri" w:hAnsi="Calibri"/>
          <w:b w:val="0"/>
          <w:bCs/>
          <w:sz w:val="18"/>
          <w:szCs w:val="18"/>
        </w:rPr>
        <w:t xml:space="preserve">Committee on Economic, Social and Cultural Rights: </w:t>
      </w:r>
      <w:r w:rsidRPr="00870292">
        <w:rPr>
          <w:rFonts w:ascii="Calibri" w:hAnsi="Calibri"/>
          <w:b w:val="0"/>
          <w:bCs/>
          <w:sz w:val="18"/>
          <w:szCs w:val="18"/>
        </w:rPr>
        <w:t>General comment No. 7:  The right to adequate housing (art. 11 (1) of the Covenant):  Forced evictions Sixteenth session (1997</w:t>
      </w:r>
      <w:bookmarkEnd w:id="1"/>
      <w:bookmarkEnd w:id="2"/>
      <w:bookmarkEnd w:id="3"/>
      <w:r w:rsidRPr="00870292">
        <w:rPr>
          <w:rFonts w:ascii="Calibri" w:hAnsi="Calibri"/>
          <w:b w:val="0"/>
          <w:bCs/>
          <w:sz w:val="18"/>
          <w:szCs w:val="18"/>
        </w:rPr>
        <w:t xml:space="preserve">), paragraph 18. </w:t>
      </w:r>
    </w:p>
  </w:footnote>
  <w:footnote w:id="3">
    <w:p w:rsidR="00C65B00" w:rsidRPr="007013DE" w:rsidRDefault="00C65B00" w:rsidP="00C65B00">
      <w:pPr>
        <w:spacing w:after="0" w:line="240" w:lineRule="auto"/>
        <w:rPr>
          <w:rFonts w:eastAsia="Times New Roman" w:cs="Calibri"/>
          <w:sz w:val="18"/>
          <w:szCs w:val="18"/>
          <w:lang w:eastAsia="sv-FI"/>
        </w:rPr>
      </w:pPr>
      <w:r w:rsidRPr="007013DE">
        <w:rPr>
          <w:rStyle w:val="FootnoteReference"/>
          <w:rFonts w:cs="Calibri"/>
          <w:sz w:val="18"/>
          <w:szCs w:val="18"/>
        </w:rPr>
        <w:footnoteRef/>
      </w:r>
      <w:r w:rsidRPr="007013DE">
        <w:rPr>
          <w:rFonts w:cs="Calibri"/>
          <w:sz w:val="18"/>
          <w:szCs w:val="18"/>
        </w:rPr>
        <w:t xml:space="preserve"> </w:t>
      </w:r>
      <w:r w:rsidR="0028488A" w:rsidRPr="007013DE">
        <w:rPr>
          <w:rFonts w:cs="Calibri"/>
          <w:sz w:val="18"/>
          <w:szCs w:val="18"/>
        </w:rPr>
        <w:t xml:space="preserve">See </w:t>
      </w:r>
      <w:r w:rsidRPr="007013DE">
        <w:rPr>
          <w:rFonts w:eastAsia="Times New Roman" w:cs="Calibri"/>
          <w:sz w:val="18"/>
          <w:szCs w:val="18"/>
          <w:lang w:eastAsia="sv-FI"/>
        </w:rPr>
        <w:t xml:space="preserve">OHCHR, The issue of Applicability of the Guidelines on Human Rights on Minority Shareholders, April 2013, available at </w:t>
      </w:r>
    </w:p>
    <w:p w:rsidR="00C65B00" w:rsidRPr="007013DE" w:rsidRDefault="00400CFF" w:rsidP="00C65B00">
      <w:pPr>
        <w:spacing w:after="0" w:line="240" w:lineRule="auto"/>
        <w:rPr>
          <w:rFonts w:eastAsia="Times New Roman" w:cs="Calibri"/>
          <w:sz w:val="18"/>
          <w:szCs w:val="18"/>
          <w:lang w:eastAsia="sv-FI"/>
        </w:rPr>
      </w:pPr>
      <w:hyperlink r:id="rId1" w:history="1">
        <w:r w:rsidRPr="007013DE">
          <w:rPr>
            <w:rStyle w:val="Hyperlink"/>
            <w:rFonts w:eastAsia="Times New Roman" w:cs="Calibri"/>
            <w:sz w:val="18"/>
            <w:szCs w:val="18"/>
            <w:lang w:eastAsia="sv-FI"/>
          </w:rPr>
          <w:t>http://www.ohchr.org/Documents/Issues/Business/LetterSOMO.pdf</w:t>
        </w:r>
      </w:hyperlink>
      <w:r w:rsidRPr="007013DE">
        <w:rPr>
          <w:rFonts w:eastAsia="Times New Roman" w:cs="Calibri"/>
          <w:sz w:val="18"/>
          <w:szCs w:val="18"/>
          <w:lang w:eastAsia="sv-FI"/>
        </w:rPr>
        <w:t xml:space="preserve"> </w:t>
      </w:r>
      <w:r w:rsidR="0028488A" w:rsidRPr="007013DE">
        <w:rPr>
          <w:rFonts w:eastAsia="Times New Roman" w:cs="Calibri"/>
          <w:sz w:val="18"/>
          <w:szCs w:val="18"/>
          <w:lang w:eastAsia="sv-FI"/>
        </w:rPr>
        <w:t xml:space="preserve">for further elaboration of this requirement, in particular how it applies to minority shareholdings of institutional investors. </w:t>
      </w:r>
    </w:p>
    <w:p w:rsidR="00C65B00" w:rsidRPr="00DF37D8" w:rsidRDefault="00C65B00" w:rsidP="00400CFF">
      <w:pPr>
        <w:spacing w:after="0" w:line="240" w:lineRule="auto"/>
        <w:rPr>
          <w:rFonts w:ascii="Arial" w:eastAsia="Times New Roman" w:hAnsi="Arial" w:cs="Arial"/>
          <w:sz w:val="30"/>
          <w:szCs w:val="30"/>
          <w:lang w:eastAsia="sv-F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4DEB"/>
    <w:multiLevelType w:val="hybridMultilevel"/>
    <w:tmpl w:val="F1FCE070"/>
    <w:lvl w:ilvl="0" w:tplc="AFDE7B12">
      <w:start w:val="1"/>
      <w:numFmt w:val="decimal"/>
      <w:lvlText w:val="%1."/>
      <w:lvlJc w:val="left"/>
      <w:pPr>
        <w:ind w:left="1854" w:hanging="360"/>
      </w:pPr>
      <w:rPr>
        <w:rFonts w:ascii="Times New Roman" w:hAnsi="Times New Roman" w:cs="Times New Roman"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nsid w:val="17610EDE"/>
    <w:multiLevelType w:val="hybridMultilevel"/>
    <w:tmpl w:val="F1FCE070"/>
    <w:lvl w:ilvl="0" w:tplc="AFDE7B12">
      <w:start w:val="1"/>
      <w:numFmt w:val="decimal"/>
      <w:lvlText w:val="%1."/>
      <w:lvlJc w:val="left"/>
      <w:pPr>
        <w:ind w:left="1854" w:hanging="360"/>
      </w:pPr>
      <w:rPr>
        <w:rFonts w:ascii="Times New Roman" w:hAnsi="Times New Roman" w:cs="Times New Roman"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256C63DB"/>
    <w:multiLevelType w:val="hybridMultilevel"/>
    <w:tmpl w:val="C38A1858"/>
    <w:lvl w:ilvl="0" w:tplc="0C09000F">
      <w:start w:val="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0227A7D"/>
    <w:multiLevelType w:val="hybridMultilevel"/>
    <w:tmpl w:val="2D00CA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4F212E0"/>
    <w:multiLevelType w:val="hybridMultilevel"/>
    <w:tmpl w:val="609A762E"/>
    <w:lvl w:ilvl="0" w:tplc="D3CCE11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3FA02F3"/>
    <w:multiLevelType w:val="hybridMultilevel"/>
    <w:tmpl w:val="FEF49B74"/>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7">
    <w:nsid w:val="7A9161E1"/>
    <w:multiLevelType w:val="hybridMultilevel"/>
    <w:tmpl w:val="F1FCE070"/>
    <w:lvl w:ilvl="0" w:tplc="AFDE7B12">
      <w:start w:val="1"/>
      <w:numFmt w:val="decimal"/>
      <w:lvlText w:val="%1."/>
      <w:lvlJc w:val="left"/>
      <w:pPr>
        <w:ind w:left="1854" w:hanging="360"/>
      </w:pPr>
      <w:rPr>
        <w:rFonts w:ascii="Times New Roman" w:hAnsi="Times New Roman" w:cs="Times New Roman"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7"/>
  </w:num>
  <w:num w:numId="2">
    <w:abstractNumId w:val="5"/>
  </w:num>
  <w:num w:numId="3">
    <w:abstractNumId w:val="4"/>
  </w:num>
  <w:num w:numId="4">
    <w:abstractNumId w:val="1"/>
  </w:num>
  <w:num w:numId="5">
    <w:abstractNumId w:val="0"/>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35"/>
    <w:rsid w:val="00005F02"/>
    <w:rsid w:val="0000772A"/>
    <w:rsid w:val="00011076"/>
    <w:rsid w:val="00012E05"/>
    <w:rsid w:val="00016775"/>
    <w:rsid w:val="0002153E"/>
    <w:rsid w:val="0002217A"/>
    <w:rsid w:val="00023251"/>
    <w:rsid w:val="00024F5A"/>
    <w:rsid w:val="000379A9"/>
    <w:rsid w:val="0004321C"/>
    <w:rsid w:val="00043784"/>
    <w:rsid w:val="00046797"/>
    <w:rsid w:val="000562D1"/>
    <w:rsid w:val="00056858"/>
    <w:rsid w:val="000601AF"/>
    <w:rsid w:val="00062DE9"/>
    <w:rsid w:val="000637A5"/>
    <w:rsid w:val="000637DB"/>
    <w:rsid w:val="00064BBC"/>
    <w:rsid w:val="00064DD3"/>
    <w:rsid w:val="000664C3"/>
    <w:rsid w:val="000668E5"/>
    <w:rsid w:val="00067BDC"/>
    <w:rsid w:val="00071EEC"/>
    <w:rsid w:val="00074F76"/>
    <w:rsid w:val="00086CB0"/>
    <w:rsid w:val="000A0FEB"/>
    <w:rsid w:val="000A1C98"/>
    <w:rsid w:val="000A31F7"/>
    <w:rsid w:val="000A4326"/>
    <w:rsid w:val="000B0922"/>
    <w:rsid w:val="000B5A98"/>
    <w:rsid w:val="000C3A40"/>
    <w:rsid w:val="000C45D7"/>
    <w:rsid w:val="000C4E92"/>
    <w:rsid w:val="000D4E3A"/>
    <w:rsid w:val="000D70B7"/>
    <w:rsid w:val="000D7268"/>
    <w:rsid w:val="000E00B1"/>
    <w:rsid w:val="000E4B09"/>
    <w:rsid w:val="000E73CC"/>
    <w:rsid w:val="000F1B7F"/>
    <w:rsid w:val="001019F4"/>
    <w:rsid w:val="001032A4"/>
    <w:rsid w:val="001056FA"/>
    <w:rsid w:val="001075DC"/>
    <w:rsid w:val="00111C85"/>
    <w:rsid w:val="001123BF"/>
    <w:rsid w:val="00113802"/>
    <w:rsid w:val="00116020"/>
    <w:rsid w:val="0012297D"/>
    <w:rsid w:val="001273C6"/>
    <w:rsid w:val="00130EB3"/>
    <w:rsid w:val="00132ED0"/>
    <w:rsid w:val="00134FE2"/>
    <w:rsid w:val="00137956"/>
    <w:rsid w:val="0014065F"/>
    <w:rsid w:val="001425E8"/>
    <w:rsid w:val="00143844"/>
    <w:rsid w:val="001505E9"/>
    <w:rsid w:val="00153E94"/>
    <w:rsid w:val="00154962"/>
    <w:rsid w:val="00164F04"/>
    <w:rsid w:val="00170864"/>
    <w:rsid w:val="00180149"/>
    <w:rsid w:val="001850DE"/>
    <w:rsid w:val="0019151A"/>
    <w:rsid w:val="00192328"/>
    <w:rsid w:val="00194174"/>
    <w:rsid w:val="0019593E"/>
    <w:rsid w:val="001B1C6C"/>
    <w:rsid w:val="001B6E9F"/>
    <w:rsid w:val="001C36D8"/>
    <w:rsid w:val="001C48A6"/>
    <w:rsid w:val="001C4AAA"/>
    <w:rsid w:val="001C7370"/>
    <w:rsid w:val="001C7BB1"/>
    <w:rsid w:val="001D2AB8"/>
    <w:rsid w:val="001D60E3"/>
    <w:rsid w:val="001E0962"/>
    <w:rsid w:val="001E2E66"/>
    <w:rsid w:val="001E3D4B"/>
    <w:rsid w:val="001E6434"/>
    <w:rsid w:val="001E68CC"/>
    <w:rsid w:val="001F188B"/>
    <w:rsid w:val="001F4B20"/>
    <w:rsid w:val="001F6FF9"/>
    <w:rsid w:val="00201BEC"/>
    <w:rsid w:val="00202BF7"/>
    <w:rsid w:val="00210BAE"/>
    <w:rsid w:val="00215FD3"/>
    <w:rsid w:val="002160AB"/>
    <w:rsid w:val="00224193"/>
    <w:rsid w:val="002305BE"/>
    <w:rsid w:val="00235593"/>
    <w:rsid w:val="0023613A"/>
    <w:rsid w:val="00244AA8"/>
    <w:rsid w:val="0024519F"/>
    <w:rsid w:val="00250364"/>
    <w:rsid w:val="002518A8"/>
    <w:rsid w:val="00253E9E"/>
    <w:rsid w:val="00261BB1"/>
    <w:rsid w:val="00261DC2"/>
    <w:rsid w:val="00274A16"/>
    <w:rsid w:val="00275BD3"/>
    <w:rsid w:val="002827CC"/>
    <w:rsid w:val="00283732"/>
    <w:rsid w:val="0028488A"/>
    <w:rsid w:val="002848F3"/>
    <w:rsid w:val="002909A8"/>
    <w:rsid w:val="00291802"/>
    <w:rsid w:val="00291947"/>
    <w:rsid w:val="00294734"/>
    <w:rsid w:val="00296360"/>
    <w:rsid w:val="002A25DF"/>
    <w:rsid w:val="002A324E"/>
    <w:rsid w:val="002A3C7F"/>
    <w:rsid w:val="002A4F4B"/>
    <w:rsid w:val="002A647C"/>
    <w:rsid w:val="002A7062"/>
    <w:rsid w:val="002B0B89"/>
    <w:rsid w:val="002C28A3"/>
    <w:rsid w:val="002C45EA"/>
    <w:rsid w:val="002C4E81"/>
    <w:rsid w:val="002E0B9F"/>
    <w:rsid w:val="002E5C5B"/>
    <w:rsid w:val="002E7097"/>
    <w:rsid w:val="002F02E7"/>
    <w:rsid w:val="002F058A"/>
    <w:rsid w:val="002F0DC4"/>
    <w:rsid w:val="002F5E1E"/>
    <w:rsid w:val="00303C9E"/>
    <w:rsid w:val="00307B04"/>
    <w:rsid w:val="00311FBB"/>
    <w:rsid w:val="00316F61"/>
    <w:rsid w:val="0032183C"/>
    <w:rsid w:val="00322177"/>
    <w:rsid w:val="0032681C"/>
    <w:rsid w:val="003313B1"/>
    <w:rsid w:val="003317ED"/>
    <w:rsid w:val="00331BAC"/>
    <w:rsid w:val="003324DD"/>
    <w:rsid w:val="0033568D"/>
    <w:rsid w:val="003368E1"/>
    <w:rsid w:val="00336DE5"/>
    <w:rsid w:val="0034404C"/>
    <w:rsid w:val="003457D6"/>
    <w:rsid w:val="00352EBA"/>
    <w:rsid w:val="00361A22"/>
    <w:rsid w:val="00371586"/>
    <w:rsid w:val="003717CA"/>
    <w:rsid w:val="00371FD0"/>
    <w:rsid w:val="00380752"/>
    <w:rsid w:val="0038458D"/>
    <w:rsid w:val="003845D1"/>
    <w:rsid w:val="00396EAE"/>
    <w:rsid w:val="003A4D9A"/>
    <w:rsid w:val="003B1995"/>
    <w:rsid w:val="003B3A75"/>
    <w:rsid w:val="003B4FED"/>
    <w:rsid w:val="003B5094"/>
    <w:rsid w:val="003B64F5"/>
    <w:rsid w:val="003B6AA6"/>
    <w:rsid w:val="003C4BF4"/>
    <w:rsid w:val="003C6A94"/>
    <w:rsid w:val="003D4C01"/>
    <w:rsid w:val="003D5028"/>
    <w:rsid w:val="003D58B8"/>
    <w:rsid w:val="003E1535"/>
    <w:rsid w:val="003F1EB1"/>
    <w:rsid w:val="003F4BBA"/>
    <w:rsid w:val="003F5ACB"/>
    <w:rsid w:val="00400CFF"/>
    <w:rsid w:val="00401CCE"/>
    <w:rsid w:val="00404B76"/>
    <w:rsid w:val="004110D7"/>
    <w:rsid w:val="004127E4"/>
    <w:rsid w:val="00425434"/>
    <w:rsid w:val="00432E0D"/>
    <w:rsid w:val="0043350C"/>
    <w:rsid w:val="004347C8"/>
    <w:rsid w:val="00442C4D"/>
    <w:rsid w:val="004451D4"/>
    <w:rsid w:val="0045189B"/>
    <w:rsid w:val="0045242B"/>
    <w:rsid w:val="00453EB9"/>
    <w:rsid w:val="004542B8"/>
    <w:rsid w:val="00455A99"/>
    <w:rsid w:val="004613C7"/>
    <w:rsid w:val="00461FAA"/>
    <w:rsid w:val="00462593"/>
    <w:rsid w:val="00464A9C"/>
    <w:rsid w:val="0046627D"/>
    <w:rsid w:val="00467842"/>
    <w:rsid w:val="0047066D"/>
    <w:rsid w:val="0047467F"/>
    <w:rsid w:val="004802AB"/>
    <w:rsid w:val="00481730"/>
    <w:rsid w:val="00486DBF"/>
    <w:rsid w:val="00492D36"/>
    <w:rsid w:val="004A1711"/>
    <w:rsid w:val="004A4B06"/>
    <w:rsid w:val="004A7AE2"/>
    <w:rsid w:val="004B2DFF"/>
    <w:rsid w:val="004B4758"/>
    <w:rsid w:val="004B7E9F"/>
    <w:rsid w:val="004C4F45"/>
    <w:rsid w:val="004C5EAB"/>
    <w:rsid w:val="004C78AF"/>
    <w:rsid w:val="004C7D28"/>
    <w:rsid w:val="004D0E22"/>
    <w:rsid w:val="004E071A"/>
    <w:rsid w:val="004E1BD8"/>
    <w:rsid w:val="004F0C02"/>
    <w:rsid w:val="004F56B5"/>
    <w:rsid w:val="00505CC7"/>
    <w:rsid w:val="00506D82"/>
    <w:rsid w:val="005073BD"/>
    <w:rsid w:val="00507435"/>
    <w:rsid w:val="00510085"/>
    <w:rsid w:val="00512B31"/>
    <w:rsid w:val="00520640"/>
    <w:rsid w:val="00520DBF"/>
    <w:rsid w:val="0052147B"/>
    <w:rsid w:val="00523013"/>
    <w:rsid w:val="00523A0E"/>
    <w:rsid w:val="00523AB3"/>
    <w:rsid w:val="00523BCE"/>
    <w:rsid w:val="00525D21"/>
    <w:rsid w:val="00526C46"/>
    <w:rsid w:val="00532029"/>
    <w:rsid w:val="0053238D"/>
    <w:rsid w:val="005409FE"/>
    <w:rsid w:val="00541307"/>
    <w:rsid w:val="00541897"/>
    <w:rsid w:val="00541FD0"/>
    <w:rsid w:val="00542215"/>
    <w:rsid w:val="005460DC"/>
    <w:rsid w:val="00560981"/>
    <w:rsid w:val="0056560A"/>
    <w:rsid w:val="0057004C"/>
    <w:rsid w:val="00577434"/>
    <w:rsid w:val="005909F3"/>
    <w:rsid w:val="00591DFD"/>
    <w:rsid w:val="00595484"/>
    <w:rsid w:val="00597E59"/>
    <w:rsid w:val="005A08EB"/>
    <w:rsid w:val="005A2AAA"/>
    <w:rsid w:val="005A3430"/>
    <w:rsid w:val="005B07EF"/>
    <w:rsid w:val="005B1B34"/>
    <w:rsid w:val="005B246E"/>
    <w:rsid w:val="005B3992"/>
    <w:rsid w:val="005B7DAB"/>
    <w:rsid w:val="005C06C4"/>
    <w:rsid w:val="005C54B8"/>
    <w:rsid w:val="005C592C"/>
    <w:rsid w:val="005D18F4"/>
    <w:rsid w:val="005E0579"/>
    <w:rsid w:val="005E545E"/>
    <w:rsid w:val="00603F91"/>
    <w:rsid w:val="00606BED"/>
    <w:rsid w:val="00612657"/>
    <w:rsid w:val="00613D15"/>
    <w:rsid w:val="00616482"/>
    <w:rsid w:val="006220B8"/>
    <w:rsid w:val="00625569"/>
    <w:rsid w:val="00625C8F"/>
    <w:rsid w:val="00636470"/>
    <w:rsid w:val="00641FE7"/>
    <w:rsid w:val="006426BE"/>
    <w:rsid w:val="006464DC"/>
    <w:rsid w:val="00650CCE"/>
    <w:rsid w:val="0065308C"/>
    <w:rsid w:val="00655255"/>
    <w:rsid w:val="00664338"/>
    <w:rsid w:val="00667E3E"/>
    <w:rsid w:val="006800FB"/>
    <w:rsid w:val="00680F86"/>
    <w:rsid w:val="00681A30"/>
    <w:rsid w:val="006848D2"/>
    <w:rsid w:val="00685293"/>
    <w:rsid w:val="00690FF1"/>
    <w:rsid w:val="00692F1D"/>
    <w:rsid w:val="00695E13"/>
    <w:rsid w:val="00697015"/>
    <w:rsid w:val="006A5A5B"/>
    <w:rsid w:val="006A6C35"/>
    <w:rsid w:val="006B53B9"/>
    <w:rsid w:val="006B5F6F"/>
    <w:rsid w:val="006D0A3B"/>
    <w:rsid w:val="006D20DB"/>
    <w:rsid w:val="006E02C8"/>
    <w:rsid w:val="006E71DD"/>
    <w:rsid w:val="006F78AD"/>
    <w:rsid w:val="0070002A"/>
    <w:rsid w:val="007013DE"/>
    <w:rsid w:val="00703DD1"/>
    <w:rsid w:val="007123C9"/>
    <w:rsid w:val="007247B3"/>
    <w:rsid w:val="00725AA5"/>
    <w:rsid w:val="00732C46"/>
    <w:rsid w:val="00732E82"/>
    <w:rsid w:val="007368F8"/>
    <w:rsid w:val="00743920"/>
    <w:rsid w:val="007442B8"/>
    <w:rsid w:val="0074571D"/>
    <w:rsid w:val="00746274"/>
    <w:rsid w:val="00755B3B"/>
    <w:rsid w:val="007603E8"/>
    <w:rsid w:val="00765F22"/>
    <w:rsid w:val="0076702D"/>
    <w:rsid w:val="007707CB"/>
    <w:rsid w:val="007735E8"/>
    <w:rsid w:val="007743C9"/>
    <w:rsid w:val="00775E10"/>
    <w:rsid w:val="007771A2"/>
    <w:rsid w:val="00792735"/>
    <w:rsid w:val="007A2DA4"/>
    <w:rsid w:val="007A3A20"/>
    <w:rsid w:val="007A5334"/>
    <w:rsid w:val="007B0715"/>
    <w:rsid w:val="007B38BB"/>
    <w:rsid w:val="007B38C2"/>
    <w:rsid w:val="007B3CCC"/>
    <w:rsid w:val="007B77A7"/>
    <w:rsid w:val="007C2380"/>
    <w:rsid w:val="007C5D60"/>
    <w:rsid w:val="007D1EFB"/>
    <w:rsid w:val="007E596C"/>
    <w:rsid w:val="007F1E94"/>
    <w:rsid w:val="007F2A29"/>
    <w:rsid w:val="007F35F6"/>
    <w:rsid w:val="008002CC"/>
    <w:rsid w:val="00806D3A"/>
    <w:rsid w:val="008107AB"/>
    <w:rsid w:val="00810B84"/>
    <w:rsid w:val="008128C5"/>
    <w:rsid w:val="00816802"/>
    <w:rsid w:val="008208AB"/>
    <w:rsid w:val="00823444"/>
    <w:rsid w:val="00837FE1"/>
    <w:rsid w:val="00852B61"/>
    <w:rsid w:val="008559A2"/>
    <w:rsid w:val="0085676F"/>
    <w:rsid w:val="008674AA"/>
    <w:rsid w:val="00870292"/>
    <w:rsid w:val="00877143"/>
    <w:rsid w:val="00880E42"/>
    <w:rsid w:val="00883EFC"/>
    <w:rsid w:val="0088469F"/>
    <w:rsid w:val="008876CF"/>
    <w:rsid w:val="00893E99"/>
    <w:rsid w:val="008A48D4"/>
    <w:rsid w:val="008A57C9"/>
    <w:rsid w:val="008A5C40"/>
    <w:rsid w:val="008B0593"/>
    <w:rsid w:val="008B1D15"/>
    <w:rsid w:val="008C128B"/>
    <w:rsid w:val="008C1FE7"/>
    <w:rsid w:val="008C3465"/>
    <w:rsid w:val="008C72CD"/>
    <w:rsid w:val="008D0241"/>
    <w:rsid w:val="008D13D4"/>
    <w:rsid w:val="008D2834"/>
    <w:rsid w:val="008D46C0"/>
    <w:rsid w:val="008E0272"/>
    <w:rsid w:val="008E7E4C"/>
    <w:rsid w:val="008F2E71"/>
    <w:rsid w:val="008F346B"/>
    <w:rsid w:val="008F4812"/>
    <w:rsid w:val="009023F6"/>
    <w:rsid w:val="00903288"/>
    <w:rsid w:val="0090461D"/>
    <w:rsid w:val="009213F6"/>
    <w:rsid w:val="009239C4"/>
    <w:rsid w:val="0092471D"/>
    <w:rsid w:val="0092492A"/>
    <w:rsid w:val="00924AF0"/>
    <w:rsid w:val="0092509B"/>
    <w:rsid w:val="009268F6"/>
    <w:rsid w:val="00927C6C"/>
    <w:rsid w:val="00936441"/>
    <w:rsid w:val="00951A68"/>
    <w:rsid w:val="009541FB"/>
    <w:rsid w:val="009559F6"/>
    <w:rsid w:val="00955D6A"/>
    <w:rsid w:val="009564E8"/>
    <w:rsid w:val="0095703C"/>
    <w:rsid w:val="0096436C"/>
    <w:rsid w:val="00965CA8"/>
    <w:rsid w:val="00971E4A"/>
    <w:rsid w:val="00973786"/>
    <w:rsid w:val="00973E9E"/>
    <w:rsid w:val="00977E30"/>
    <w:rsid w:val="00982189"/>
    <w:rsid w:val="00982576"/>
    <w:rsid w:val="009862B0"/>
    <w:rsid w:val="00990A8F"/>
    <w:rsid w:val="009967E5"/>
    <w:rsid w:val="009970FC"/>
    <w:rsid w:val="009A250E"/>
    <w:rsid w:val="009A3544"/>
    <w:rsid w:val="009A4BB7"/>
    <w:rsid w:val="009B12CC"/>
    <w:rsid w:val="009B2141"/>
    <w:rsid w:val="009B3515"/>
    <w:rsid w:val="009C037C"/>
    <w:rsid w:val="009C6798"/>
    <w:rsid w:val="009C7D67"/>
    <w:rsid w:val="009D228C"/>
    <w:rsid w:val="009D23BB"/>
    <w:rsid w:val="009D6709"/>
    <w:rsid w:val="009D7C2E"/>
    <w:rsid w:val="009E2A31"/>
    <w:rsid w:val="009E2B49"/>
    <w:rsid w:val="009E5670"/>
    <w:rsid w:val="009F0245"/>
    <w:rsid w:val="009F3F50"/>
    <w:rsid w:val="009F7378"/>
    <w:rsid w:val="00A0021D"/>
    <w:rsid w:val="00A01CC3"/>
    <w:rsid w:val="00A05288"/>
    <w:rsid w:val="00A110FF"/>
    <w:rsid w:val="00A11379"/>
    <w:rsid w:val="00A15E82"/>
    <w:rsid w:val="00A240E0"/>
    <w:rsid w:val="00A3182C"/>
    <w:rsid w:val="00A340AA"/>
    <w:rsid w:val="00A3544A"/>
    <w:rsid w:val="00A36D74"/>
    <w:rsid w:val="00A410BD"/>
    <w:rsid w:val="00A4604E"/>
    <w:rsid w:val="00A47C86"/>
    <w:rsid w:val="00A62A07"/>
    <w:rsid w:val="00A653BB"/>
    <w:rsid w:val="00A6772E"/>
    <w:rsid w:val="00A77E5C"/>
    <w:rsid w:val="00A86687"/>
    <w:rsid w:val="00A90D22"/>
    <w:rsid w:val="00A95BE0"/>
    <w:rsid w:val="00AA0022"/>
    <w:rsid w:val="00AA7C9C"/>
    <w:rsid w:val="00AB49DA"/>
    <w:rsid w:val="00AC2411"/>
    <w:rsid w:val="00AC397A"/>
    <w:rsid w:val="00AD3027"/>
    <w:rsid w:val="00AD401E"/>
    <w:rsid w:val="00AD488E"/>
    <w:rsid w:val="00AD5C02"/>
    <w:rsid w:val="00AD5DC7"/>
    <w:rsid w:val="00AD75D2"/>
    <w:rsid w:val="00AE0CF0"/>
    <w:rsid w:val="00AE6E0D"/>
    <w:rsid w:val="00AF6D1E"/>
    <w:rsid w:val="00AF7345"/>
    <w:rsid w:val="00B02898"/>
    <w:rsid w:val="00B0536F"/>
    <w:rsid w:val="00B05C4C"/>
    <w:rsid w:val="00B12BD5"/>
    <w:rsid w:val="00B14424"/>
    <w:rsid w:val="00B2249F"/>
    <w:rsid w:val="00B25977"/>
    <w:rsid w:val="00B41287"/>
    <w:rsid w:val="00B44188"/>
    <w:rsid w:val="00B442D5"/>
    <w:rsid w:val="00B52C08"/>
    <w:rsid w:val="00B539F7"/>
    <w:rsid w:val="00B5478E"/>
    <w:rsid w:val="00B55FF7"/>
    <w:rsid w:val="00B56D3C"/>
    <w:rsid w:val="00B6487A"/>
    <w:rsid w:val="00B6742D"/>
    <w:rsid w:val="00B72CDF"/>
    <w:rsid w:val="00B8032C"/>
    <w:rsid w:val="00B823B6"/>
    <w:rsid w:val="00B83E42"/>
    <w:rsid w:val="00B85812"/>
    <w:rsid w:val="00B8634C"/>
    <w:rsid w:val="00B9395C"/>
    <w:rsid w:val="00B96EA3"/>
    <w:rsid w:val="00BA031C"/>
    <w:rsid w:val="00BA3015"/>
    <w:rsid w:val="00BA45C1"/>
    <w:rsid w:val="00BB02CC"/>
    <w:rsid w:val="00BB1000"/>
    <w:rsid w:val="00BB63A8"/>
    <w:rsid w:val="00BC77E8"/>
    <w:rsid w:val="00BD5936"/>
    <w:rsid w:val="00BD6143"/>
    <w:rsid w:val="00BD632A"/>
    <w:rsid w:val="00BE661B"/>
    <w:rsid w:val="00BF0B96"/>
    <w:rsid w:val="00BF0E68"/>
    <w:rsid w:val="00BF49EF"/>
    <w:rsid w:val="00BF5E54"/>
    <w:rsid w:val="00BF6F4F"/>
    <w:rsid w:val="00C00C10"/>
    <w:rsid w:val="00C14BB4"/>
    <w:rsid w:val="00C21B2D"/>
    <w:rsid w:val="00C2229B"/>
    <w:rsid w:val="00C22F4C"/>
    <w:rsid w:val="00C245A7"/>
    <w:rsid w:val="00C34376"/>
    <w:rsid w:val="00C35898"/>
    <w:rsid w:val="00C3623E"/>
    <w:rsid w:val="00C37512"/>
    <w:rsid w:val="00C45F74"/>
    <w:rsid w:val="00C472D6"/>
    <w:rsid w:val="00C56B6C"/>
    <w:rsid w:val="00C634D7"/>
    <w:rsid w:val="00C63BCA"/>
    <w:rsid w:val="00C65B00"/>
    <w:rsid w:val="00C6653A"/>
    <w:rsid w:val="00C6668D"/>
    <w:rsid w:val="00C71020"/>
    <w:rsid w:val="00C75460"/>
    <w:rsid w:val="00C76F96"/>
    <w:rsid w:val="00C82420"/>
    <w:rsid w:val="00C857B2"/>
    <w:rsid w:val="00C901A3"/>
    <w:rsid w:val="00C94007"/>
    <w:rsid w:val="00C942B8"/>
    <w:rsid w:val="00C96BC2"/>
    <w:rsid w:val="00CA1167"/>
    <w:rsid w:val="00CA20EF"/>
    <w:rsid w:val="00CA2AA3"/>
    <w:rsid w:val="00CA3A8A"/>
    <w:rsid w:val="00CA519F"/>
    <w:rsid w:val="00CA69B9"/>
    <w:rsid w:val="00CA7899"/>
    <w:rsid w:val="00CB24AA"/>
    <w:rsid w:val="00CC2FB5"/>
    <w:rsid w:val="00CC47DB"/>
    <w:rsid w:val="00CC4C3D"/>
    <w:rsid w:val="00CD6191"/>
    <w:rsid w:val="00CD76B0"/>
    <w:rsid w:val="00CE09B2"/>
    <w:rsid w:val="00CE14FA"/>
    <w:rsid w:val="00CE2AAD"/>
    <w:rsid w:val="00CE4D2D"/>
    <w:rsid w:val="00CE67DA"/>
    <w:rsid w:val="00CF7AC8"/>
    <w:rsid w:val="00D03533"/>
    <w:rsid w:val="00D04A03"/>
    <w:rsid w:val="00D06060"/>
    <w:rsid w:val="00D148B7"/>
    <w:rsid w:val="00D271E6"/>
    <w:rsid w:val="00D317E1"/>
    <w:rsid w:val="00D36D5B"/>
    <w:rsid w:val="00D371C9"/>
    <w:rsid w:val="00D41D00"/>
    <w:rsid w:val="00D45567"/>
    <w:rsid w:val="00D4614B"/>
    <w:rsid w:val="00D46B2F"/>
    <w:rsid w:val="00D4799C"/>
    <w:rsid w:val="00D5102A"/>
    <w:rsid w:val="00D52C89"/>
    <w:rsid w:val="00D611C0"/>
    <w:rsid w:val="00D643E2"/>
    <w:rsid w:val="00D743DB"/>
    <w:rsid w:val="00D74EA2"/>
    <w:rsid w:val="00D77A78"/>
    <w:rsid w:val="00D8103B"/>
    <w:rsid w:val="00D83B78"/>
    <w:rsid w:val="00D85DB7"/>
    <w:rsid w:val="00D902A1"/>
    <w:rsid w:val="00D9501F"/>
    <w:rsid w:val="00D97113"/>
    <w:rsid w:val="00DA3BEA"/>
    <w:rsid w:val="00DB04A2"/>
    <w:rsid w:val="00DB1C7A"/>
    <w:rsid w:val="00DB1E6B"/>
    <w:rsid w:val="00DB4F08"/>
    <w:rsid w:val="00DC6B87"/>
    <w:rsid w:val="00DE4532"/>
    <w:rsid w:val="00DF0DE6"/>
    <w:rsid w:val="00DF1F15"/>
    <w:rsid w:val="00DF2253"/>
    <w:rsid w:val="00DF37D8"/>
    <w:rsid w:val="00E03048"/>
    <w:rsid w:val="00E13299"/>
    <w:rsid w:val="00E17F1B"/>
    <w:rsid w:val="00E209A4"/>
    <w:rsid w:val="00E3497D"/>
    <w:rsid w:val="00E34F94"/>
    <w:rsid w:val="00E356B6"/>
    <w:rsid w:val="00E40350"/>
    <w:rsid w:val="00E43217"/>
    <w:rsid w:val="00E52538"/>
    <w:rsid w:val="00E55A5F"/>
    <w:rsid w:val="00E55A75"/>
    <w:rsid w:val="00E63A10"/>
    <w:rsid w:val="00E642D1"/>
    <w:rsid w:val="00E72AD9"/>
    <w:rsid w:val="00E7425C"/>
    <w:rsid w:val="00E8135A"/>
    <w:rsid w:val="00E8158F"/>
    <w:rsid w:val="00E92713"/>
    <w:rsid w:val="00E94107"/>
    <w:rsid w:val="00EA551C"/>
    <w:rsid w:val="00EA63EC"/>
    <w:rsid w:val="00EA7E12"/>
    <w:rsid w:val="00EB604A"/>
    <w:rsid w:val="00EC0BBB"/>
    <w:rsid w:val="00EC3BE6"/>
    <w:rsid w:val="00EC7297"/>
    <w:rsid w:val="00ED234C"/>
    <w:rsid w:val="00ED6CF8"/>
    <w:rsid w:val="00EE62C0"/>
    <w:rsid w:val="00EE69DE"/>
    <w:rsid w:val="00EE76B1"/>
    <w:rsid w:val="00EF2274"/>
    <w:rsid w:val="00EF44C8"/>
    <w:rsid w:val="00EF4A88"/>
    <w:rsid w:val="00EF565E"/>
    <w:rsid w:val="00EF7FB4"/>
    <w:rsid w:val="00F012D8"/>
    <w:rsid w:val="00F01E02"/>
    <w:rsid w:val="00F031EF"/>
    <w:rsid w:val="00F11562"/>
    <w:rsid w:val="00F14F02"/>
    <w:rsid w:val="00F15293"/>
    <w:rsid w:val="00F15E18"/>
    <w:rsid w:val="00F22B13"/>
    <w:rsid w:val="00F30361"/>
    <w:rsid w:val="00F31528"/>
    <w:rsid w:val="00F408A1"/>
    <w:rsid w:val="00F47A26"/>
    <w:rsid w:val="00F57869"/>
    <w:rsid w:val="00F621D7"/>
    <w:rsid w:val="00F64963"/>
    <w:rsid w:val="00F65C11"/>
    <w:rsid w:val="00F8271E"/>
    <w:rsid w:val="00F833E6"/>
    <w:rsid w:val="00F9744E"/>
    <w:rsid w:val="00FA34BA"/>
    <w:rsid w:val="00FC3EF4"/>
    <w:rsid w:val="00FC475B"/>
    <w:rsid w:val="00FD2910"/>
    <w:rsid w:val="00FD2A8D"/>
    <w:rsid w:val="00FD65A6"/>
    <w:rsid w:val="00FE3FC0"/>
    <w:rsid w:val="00FE5550"/>
    <w:rsid w:val="00FE619F"/>
    <w:rsid w:val="00FE6B78"/>
    <w:rsid w:val="00FF76B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82"/>
    <w:pPr>
      <w:spacing w:after="200" w:line="276" w:lineRule="auto"/>
    </w:pPr>
    <w:rPr>
      <w:sz w:val="22"/>
      <w:szCs w:val="22"/>
      <w:lang w:val="en-US" w:eastAsia="en-US"/>
    </w:rPr>
  </w:style>
  <w:style w:type="paragraph" w:styleId="Heading2">
    <w:name w:val="heading 2"/>
    <w:basedOn w:val="Normal"/>
    <w:next w:val="Normal"/>
    <w:link w:val="Heading2Char"/>
    <w:qFormat/>
    <w:rsid w:val="00951A68"/>
    <w:pPr>
      <w:keepNext/>
      <w:spacing w:after="240" w:line="240" w:lineRule="auto"/>
      <w:jc w:val="center"/>
      <w:outlineLvl w:val="1"/>
    </w:pPr>
    <w:rPr>
      <w:rFonts w:ascii="Times New Roman" w:eastAsia="Times New Roman" w:hAnsi="Times New Roman"/>
      <w:b/>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FA Fu,f,ft,FA,Texto"/>
    <w:basedOn w:val="Normal"/>
    <w:link w:val="FootnoteTextChar"/>
    <w:unhideWhenUsed/>
    <w:rsid w:val="00B41287"/>
    <w:rPr>
      <w:sz w:val="20"/>
      <w:szCs w:val="20"/>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link w:val="FootnoteText"/>
    <w:rsid w:val="00B41287"/>
    <w:rPr>
      <w:lang w:val="en-US" w:eastAsia="en-US" w:bidi="ar-SA"/>
    </w:rPr>
  </w:style>
  <w:style w:type="character" w:styleId="FootnoteReference">
    <w:name w:val="footnote reference"/>
    <w:aliases w:val="4_G,callout,Footnotes refss,Appel note de bas de p.,ftref,Ref,de nota al pie,fr,oc-footreference,oc-footnoteref,oc-footreference1,oc-footnoteref1,(Diplomarbeit FZ),-E Fußnotenzeichen,(Diplomarbeit FZ)1,(Dipl...,Footnote number"/>
    <w:unhideWhenUsed/>
    <w:rsid w:val="00B41287"/>
    <w:rPr>
      <w:vertAlign w:val="superscript"/>
    </w:rPr>
  </w:style>
  <w:style w:type="paragraph" w:styleId="CommentText">
    <w:name w:val="annotation text"/>
    <w:basedOn w:val="Normal"/>
    <w:link w:val="CommentTextChar"/>
    <w:uiPriority w:val="99"/>
    <w:unhideWhenUsed/>
    <w:rsid w:val="007743C9"/>
    <w:rPr>
      <w:sz w:val="20"/>
      <w:szCs w:val="20"/>
      <w:lang w:val="x-none"/>
    </w:rPr>
  </w:style>
  <w:style w:type="character" w:customStyle="1" w:styleId="CommentTextChar">
    <w:name w:val="Comment Text Char"/>
    <w:link w:val="CommentText"/>
    <w:uiPriority w:val="99"/>
    <w:rsid w:val="007743C9"/>
    <w:rPr>
      <w:lang w:val="x-none" w:eastAsia="en-US" w:bidi="ar-SA"/>
    </w:rPr>
  </w:style>
  <w:style w:type="paragraph" w:customStyle="1" w:styleId="SingleTxtG">
    <w:name w:val="_ Single Txt_G"/>
    <w:basedOn w:val="Normal"/>
    <w:rsid w:val="00A47C86"/>
    <w:pPr>
      <w:suppressAutoHyphens/>
      <w:spacing w:after="120" w:line="240" w:lineRule="atLeast"/>
      <w:ind w:left="1134" w:right="1134"/>
      <w:jc w:val="both"/>
    </w:pPr>
    <w:rPr>
      <w:rFonts w:ascii="Times New Roman" w:eastAsia="Times New Roman" w:hAnsi="Times New Roman"/>
      <w:sz w:val="20"/>
      <w:szCs w:val="20"/>
      <w:lang w:val="en-GB"/>
    </w:rPr>
  </w:style>
  <w:style w:type="paragraph" w:customStyle="1" w:styleId="H1G">
    <w:name w:val="_ H_1_G"/>
    <w:basedOn w:val="Normal"/>
    <w:next w:val="Normal"/>
    <w:rsid w:val="00A47C86"/>
    <w:pPr>
      <w:keepNext/>
      <w:keepLines/>
      <w:tabs>
        <w:tab w:val="right" w:pos="851"/>
      </w:tabs>
      <w:suppressAutoHyphens/>
      <w:spacing w:before="360" w:after="240" w:line="270" w:lineRule="exact"/>
      <w:ind w:left="1134" w:right="1134" w:hanging="1134"/>
    </w:pPr>
    <w:rPr>
      <w:rFonts w:ascii="Times New Roman" w:eastAsia="Times New Roman" w:hAnsi="Times New Roman"/>
      <w:b/>
      <w:sz w:val="24"/>
      <w:szCs w:val="20"/>
      <w:lang w:val="en-GB"/>
    </w:rPr>
  </w:style>
  <w:style w:type="character" w:styleId="CommentReference">
    <w:name w:val="annotation reference"/>
    <w:uiPriority w:val="99"/>
    <w:rsid w:val="00A47C86"/>
    <w:rPr>
      <w:sz w:val="16"/>
      <w:szCs w:val="16"/>
    </w:rPr>
  </w:style>
  <w:style w:type="paragraph" w:styleId="BalloonText">
    <w:name w:val="Balloon Text"/>
    <w:basedOn w:val="Normal"/>
    <w:link w:val="BalloonTextChar"/>
    <w:uiPriority w:val="99"/>
    <w:semiHidden/>
    <w:unhideWhenUsed/>
    <w:rsid w:val="00A47C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7C86"/>
    <w:rPr>
      <w:rFonts w:ascii="Tahoma" w:hAnsi="Tahoma" w:cs="Tahoma"/>
      <w:sz w:val="16"/>
      <w:szCs w:val="16"/>
      <w:lang w:val="en-US" w:eastAsia="en-US" w:bidi="ar-SA"/>
    </w:rPr>
  </w:style>
  <w:style w:type="paragraph" w:customStyle="1" w:styleId="Bullet1G">
    <w:name w:val="_Bullet 1_G"/>
    <w:basedOn w:val="Normal"/>
    <w:rsid w:val="00BB1000"/>
    <w:pPr>
      <w:numPr>
        <w:numId w:val="2"/>
      </w:numPr>
      <w:suppressAutoHyphens/>
      <w:spacing w:after="120" w:line="240" w:lineRule="atLeast"/>
      <w:ind w:right="1134"/>
      <w:jc w:val="both"/>
    </w:pPr>
    <w:rPr>
      <w:rFonts w:ascii="Times New Roman" w:eastAsia="Times New Roman" w:hAnsi="Times New Roman"/>
      <w:sz w:val="20"/>
      <w:szCs w:val="20"/>
      <w:lang w:val="en-GB"/>
    </w:rPr>
  </w:style>
  <w:style w:type="paragraph" w:customStyle="1" w:styleId="NotedebasdepageA">
    <w:name w:val="Note de bas de page A"/>
    <w:rsid w:val="00BB1000"/>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paragraph" w:customStyle="1" w:styleId="PardfautA">
    <w:name w:val="Par défaut A"/>
    <w:rsid w:val="00BB1000"/>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paragraph" w:styleId="Header">
    <w:name w:val="header"/>
    <w:basedOn w:val="Normal"/>
    <w:link w:val="HeaderChar"/>
    <w:uiPriority w:val="99"/>
    <w:unhideWhenUsed/>
    <w:rsid w:val="001019F4"/>
    <w:pPr>
      <w:tabs>
        <w:tab w:val="center" w:pos="4513"/>
        <w:tab w:val="right" w:pos="9026"/>
      </w:tabs>
    </w:pPr>
  </w:style>
  <w:style w:type="character" w:customStyle="1" w:styleId="HeaderChar">
    <w:name w:val="Header Char"/>
    <w:link w:val="Header"/>
    <w:uiPriority w:val="99"/>
    <w:rsid w:val="001019F4"/>
    <w:rPr>
      <w:sz w:val="22"/>
      <w:szCs w:val="22"/>
      <w:lang w:val="en-US" w:eastAsia="en-US" w:bidi="ar-SA"/>
    </w:rPr>
  </w:style>
  <w:style w:type="paragraph" w:styleId="Footer">
    <w:name w:val="footer"/>
    <w:basedOn w:val="Normal"/>
    <w:link w:val="FooterChar"/>
    <w:uiPriority w:val="99"/>
    <w:unhideWhenUsed/>
    <w:rsid w:val="001019F4"/>
    <w:pPr>
      <w:tabs>
        <w:tab w:val="center" w:pos="4513"/>
        <w:tab w:val="right" w:pos="9026"/>
      </w:tabs>
    </w:pPr>
  </w:style>
  <w:style w:type="character" w:customStyle="1" w:styleId="FooterChar">
    <w:name w:val="Footer Char"/>
    <w:link w:val="Footer"/>
    <w:uiPriority w:val="99"/>
    <w:rsid w:val="001019F4"/>
    <w:rPr>
      <w:sz w:val="22"/>
      <w:szCs w:val="22"/>
      <w:lang w:val="en-US" w:eastAsia="en-US" w:bidi="ar-SA"/>
    </w:rPr>
  </w:style>
  <w:style w:type="character" w:styleId="PageNumber">
    <w:name w:val="page number"/>
    <w:aliases w:val="7_G"/>
    <w:rsid w:val="00D148B7"/>
    <w:rPr>
      <w:rFonts w:ascii="Times New Roman" w:hAnsi="Times New Roman"/>
      <w:b/>
      <w:sz w:val="18"/>
    </w:rPr>
  </w:style>
  <w:style w:type="paragraph" w:customStyle="1" w:styleId="H23G">
    <w:name w:val="_ H_2/3_G"/>
    <w:basedOn w:val="Normal"/>
    <w:next w:val="Normal"/>
    <w:rsid w:val="00D148B7"/>
    <w:pPr>
      <w:keepNext/>
      <w:keepLines/>
      <w:tabs>
        <w:tab w:val="right" w:pos="851"/>
      </w:tabs>
      <w:suppressAutoHyphens/>
      <w:spacing w:before="240" w:after="120" w:line="240" w:lineRule="exact"/>
      <w:ind w:left="1134" w:right="1134" w:hanging="1134"/>
    </w:pPr>
    <w:rPr>
      <w:rFonts w:ascii="Times New Roman" w:eastAsia="Times New Roman" w:hAnsi="Times New Roman"/>
      <w:b/>
      <w:sz w:val="20"/>
      <w:szCs w:val="20"/>
      <w:lang w:val="en-GB"/>
    </w:rPr>
  </w:style>
  <w:style w:type="character" w:customStyle="1" w:styleId="Heading2Char">
    <w:name w:val="Heading 2 Char"/>
    <w:link w:val="Heading2"/>
    <w:rsid w:val="00951A68"/>
    <w:rPr>
      <w:rFonts w:ascii="Times New Roman" w:eastAsia="Times New Roman" w:hAnsi="Times New Roman"/>
      <w:b/>
      <w:sz w:val="24"/>
      <w:lang w:val="en-GB" w:eastAsia="en-US" w:bidi="ar-SA"/>
    </w:rPr>
  </w:style>
  <w:style w:type="character" w:customStyle="1" w:styleId="highlight">
    <w:name w:val="highlight"/>
    <w:rsid w:val="00C65B00"/>
  </w:style>
  <w:style w:type="character" w:styleId="Hyperlink">
    <w:name w:val="Hyperlink"/>
    <w:uiPriority w:val="99"/>
    <w:unhideWhenUsed/>
    <w:rsid w:val="00400CFF"/>
    <w:rPr>
      <w:color w:val="0563C1"/>
      <w:u w:val="single"/>
    </w:rPr>
  </w:style>
  <w:style w:type="paragraph" w:styleId="CommentSubject">
    <w:name w:val="annotation subject"/>
    <w:basedOn w:val="CommentText"/>
    <w:next w:val="CommentText"/>
    <w:link w:val="CommentSubjectChar"/>
    <w:uiPriority w:val="99"/>
    <w:semiHidden/>
    <w:unhideWhenUsed/>
    <w:rsid w:val="00667E3E"/>
    <w:rPr>
      <w:b/>
      <w:bCs/>
      <w:lang w:val="en-US"/>
    </w:rPr>
  </w:style>
  <w:style w:type="character" w:customStyle="1" w:styleId="CommentSubjectChar">
    <w:name w:val="Comment Subject Char"/>
    <w:link w:val="CommentSubject"/>
    <w:uiPriority w:val="99"/>
    <w:semiHidden/>
    <w:rsid w:val="00667E3E"/>
    <w:rPr>
      <w:b/>
      <w:bCs/>
      <w:lang w:val="x-non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82"/>
    <w:pPr>
      <w:spacing w:after="200" w:line="276" w:lineRule="auto"/>
    </w:pPr>
    <w:rPr>
      <w:sz w:val="22"/>
      <w:szCs w:val="22"/>
      <w:lang w:val="en-US" w:eastAsia="en-US"/>
    </w:rPr>
  </w:style>
  <w:style w:type="paragraph" w:styleId="Heading2">
    <w:name w:val="heading 2"/>
    <w:basedOn w:val="Normal"/>
    <w:next w:val="Normal"/>
    <w:link w:val="Heading2Char"/>
    <w:qFormat/>
    <w:rsid w:val="00951A68"/>
    <w:pPr>
      <w:keepNext/>
      <w:spacing w:after="240" w:line="240" w:lineRule="auto"/>
      <w:jc w:val="center"/>
      <w:outlineLvl w:val="1"/>
    </w:pPr>
    <w:rPr>
      <w:rFonts w:ascii="Times New Roman" w:eastAsia="Times New Roman" w:hAnsi="Times New Roman"/>
      <w:b/>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FA Fu,f,ft,FA,Texto"/>
    <w:basedOn w:val="Normal"/>
    <w:link w:val="FootnoteTextChar"/>
    <w:unhideWhenUsed/>
    <w:rsid w:val="00B41287"/>
    <w:rPr>
      <w:sz w:val="20"/>
      <w:szCs w:val="20"/>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link w:val="FootnoteText"/>
    <w:rsid w:val="00B41287"/>
    <w:rPr>
      <w:lang w:val="en-US" w:eastAsia="en-US" w:bidi="ar-SA"/>
    </w:rPr>
  </w:style>
  <w:style w:type="character" w:styleId="FootnoteReference">
    <w:name w:val="footnote reference"/>
    <w:aliases w:val="4_G,callout,Footnotes refss,Appel note de bas de p.,ftref,Ref,de nota al pie,fr,oc-footreference,oc-footnoteref,oc-footreference1,oc-footnoteref1,(Diplomarbeit FZ),-E Fußnotenzeichen,(Diplomarbeit FZ)1,(Dipl...,Footnote number"/>
    <w:unhideWhenUsed/>
    <w:rsid w:val="00B41287"/>
    <w:rPr>
      <w:vertAlign w:val="superscript"/>
    </w:rPr>
  </w:style>
  <w:style w:type="paragraph" w:styleId="CommentText">
    <w:name w:val="annotation text"/>
    <w:basedOn w:val="Normal"/>
    <w:link w:val="CommentTextChar"/>
    <w:uiPriority w:val="99"/>
    <w:unhideWhenUsed/>
    <w:rsid w:val="007743C9"/>
    <w:rPr>
      <w:sz w:val="20"/>
      <w:szCs w:val="20"/>
      <w:lang w:val="x-none"/>
    </w:rPr>
  </w:style>
  <w:style w:type="character" w:customStyle="1" w:styleId="CommentTextChar">
    <w:name w:val="Comment Text Char"/>
    <w:link w:val="CommentText"/>
    <w:uiPriority w:val="99"/>
    <w:rsid w:val="007743C9"/>
    <w:rPr>
      <w:lang w:val="x-none" w:eastAsia="en-US" w:bidi="ar-SA"/>
    </w:rPr>
  </w:style>
  <w:style w:type="paragraph" w:customStyle="1" w:styleId="SingleTxtG">
    <w:name w:val="_ Single Txt_G"/>
    <w:basedOn w:val="Normal"/>
    <w:rsid w:val="00A47C86"/>
    <w:pPr>
      <w:suppressAutoHyphens/>
      <w:spacing w:after="120" w:line="240" w:lineRule="atLeast"/>
      <w:ind w:left="1134" w:right="1134"/>
      <w:jc w:val="both"/>
    </w:pPr>
    <w:rPr>
      <w:rFonts w:ascii="Times New Roman" w:eastAsia="Times New Roman" w:hAnsi="Times New Roman"/>
      <w:sz w:val="20"/>
      <w:szCs w:val="20"/>
      <w:lang w:val="en-GB"/>
    </w:rPr>
  </w:style>
  <w:style w:type="paragraph" w:customStyle="1" w:styleId="H1G">
    <w:name w:val="_ H_1_G"/>
    <w:basedOn w:val="Normal"/>
    <w:next w:val="Normal"/>
    <w:rsid w:val="00A47C86"/>
    <w:pPr>
      <w:keepNext/>
      <w:keepLines/>
      <w:tabs>
        <w:tab w:val="right" w:pos="851"/>
      </w:tabs>
      <w:suppressAutoHyphens/>
      <w:spacing w:before="360" w:after="240" w:line="270" w:lineRule="exact"/>
      <w:ind w:left="1134" w:right="1134" w:hanging="1134"/>
    </w:pPr>
    <w:rPr>
      <w:rFonts w:ascii="Times New Roman" w:eastAsia="Times New Roman" w:hAnsi="Times New Roman"/>
      <w:b/>
      <w:sz w:val="24"/>
      <w:szCs w:val="20"/>
      <w:lang w:val="en-GB"/>
    </w:rPr>
  </w:style>
  <w:style w:type="character" w:styleId="CommentReference">
    <w:name w:val="annotation reference"/>
    <w:uiPriority w:val="99"/>
    <w:rsid w:val="00A47C86"/>
    <w:rPr>
      <w:sz w:val="16"/>
      <w:szCs w:val="16"/>
    </w:rPr>
  </w:style>
  <w:style w:type="paragraph" w:styleId="BalloonText">
    <w:name w:val="Balloon Text"/>
    <w:basedOn w:val="Normal"/>
    <w:link w:val="BalloonTextChar"/>
    <w:uiPriority w:val="99"/>
    <w:semiHidden/>
    <w:unhideWhenUsed/>
    <w:rsid w:val="00A47C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7C86"/>
    <w:rPr>
      <w:rFonts w:ascii="Tahoma" w:hAnsi="Tahoma" w:cs="Tahoma"/>
      <w:sz w:val="16"/>
      <w:szCs w:val="16"/>
      <w:lang w:val="en-US" w:eastAsia="en-US" w:bidi="ar-SA"/>
    </w:rPr>
  </w:style>
  <w:style w:type="paragraph" w:customStyle="1" w:styleId="Bullet1G">
    <w:name w:val="_Bullet 1_G"/>
    <w:basedOn w:val="Normal"/>
    <w:rsid w:val="00BB1000"/>
    <w:pPr>
      <w:numPr>
        <w:numId w:val="2"/>
      </w:numPr>
      <w:suppressAutoHyphens/>
      <w:spacing w:after="120" w:line="240" w:lineRule="atLeast"/>
      <w:ind w:right="1134"/>
      <w:jc w:val="both"/>
    </w:pPr>
    <w:rPr>
      <w:rFonts w:ascii="Times New Roman" w:eastAsia="Times New Roman" w:hAnsi="Times New Roman"/>
      <w:sz w:val="20"/>
      <w:szCs w:val="20"/>
      <w:lang w:val="en-GB"/>
    </w:rPr>
  </w:style>
  <w:style w:type="paragraph" w:customStyle="1" w:styleId="NotedebasdepageA">
    <w:name w:val="Note de bas de page A"/>
    <w:rsid w:val="00BB1000"/>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paragraph" w:customStyle="1" w:styleId="PardfautA">
    <w:name w:val="Par défaut A"/>
    <w:rsid w:val="00BB1000"/>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paragraph" w:styleId="Header">
    <w:name w:val="header"/>
    <w:basedOn w:val="Normal"/>
    <w:link w:val="HeaderChar"/>
    <w:uiPriority w:val="99"/>
    <w:unhideWhenUsed/>
    <w:rsid w:val="001019F4"/>
    <w:pPr>
      <w:tabs>
        <w:tab w:val="center" w:pos="4513"/>
        <w:tab w:val="right" w:pos="9026"/>
      </w:tabs>
    </w:pPr>
  </w:style>
  <w:style w:type="character" w:customStyle="1" w:styleId="HeaderChar">
    <w:name w:val="Header Char"/>
    <w:link w:val="Header"/>
    <w:uiPriority w:val="99"/>
    <w:rsid w:val="001019F4"/>
    <w:rPr>
      <w:sz w:val="22"/>
      <w:szCs w:val="22"/>
      <w:lang w:val="en-US" w:eastAsia="en-US" w:bidi="ar-SA"/>
    </w:rPr>
  </w:style>
  <w:style w:type="paragraph" w:styleId="Footer">
    <w:name w:val="footer"/>
    <w:basedOn w:val="Normal"/>
    <w:link w:val="FooterChar"/>
    <w:uiPriority w:val="99"/>
    <w:unhideWhenUsed/>
    <w:rsid w:val="001019F4"/>
    <w:pPr>
      <w:tabs>
        <w:tab w:val="center" w:pos="4513"/>
        <w:tab w:val="right" w:pos="9026"/>
      </w:tabs>
    </w:pPr>
  </w:style>
  <w:style w:type="character" w:customStyle="1" w:styleId="FooterChar">
    <w:name w:val="Footer Char"/>
    <w:link w:val="Footer"/>
    <w:uiPriority w:val="99"/>
    <w:rsid w:val="001019F4"/>
    <w:rPr>
      <w:sz w:val="22"/>
      <w:szCs w:val="22"/>
      <w:lang w:val="en-US" w:eastAsia="en-US" w:bidi="ar-SA"/>
    </w:rPr>
  </w:style>
  <w:style w:type="character" w:styleId="PageNumber">
    <w:name w:val="page number"/>
    <w:aliases w:val="7_G"/>
    <w:rsid w:val="00D148B7"/>
    <w:rPr>
      <w:rFonts w:ascii="Times New Roman" w:hAnsi="Times New Roman"/>
      <w:b/>
      <w:sz w:val="18"/>
    </w:rPr>
  </w:style>
  <w:style w:type="paragraph" w:customStyle="1" w:styleId="H23G">
    <w:name w:val="_ H_2/3_G"/>
    <w:basedOn w:val="Normal"/>
    <w:next w:val="Normal"/>
    <w:rsid w:val="00D148B7"/>
    <w:pPr>
      <w:keepNext/>
      <w:keepLines/>
      <w:tabs>
        <w:tab w:val="right" w:pos="851"/>
      </w:tabs>
      <w:suppressAutoHyphens/>
      <w:spacing w:before="240" w:after="120" w:line="240" w:lineRule="exact"/>
      <w:ind w:left="1134" w:right="1134" w:hanging="1134"/>
    </w:pPr>
    <w:rPr>
      <w:rFonts w:ascii="Times New Roman" w:eastAsia="Times New Roman" w:hAnsi="Times New Roman"/>
      <w:b/>
      <w:sz w:val="20"/>
      <w:szCs w:val="20"/>
      <w:lang w:val="en-GB"/>
    </w:rPr>
  </w:style>
  <w:style w:type="character" w:customStyle="1" w:styleId="Heading2Char">
    <w:name w:val="Heading 2 Char"/>
    <w:link w:val="Heading2"/>
    <w:rsid w:val="00951A68"/>
    <w:rPr>
      <w:rFonts w:ascii="Times New Roman" w:eastAsia="Times New Roman" w:hAnsi="Times New Roman"/>
      <w:b/>
      <w:sz w:val="24"/>
      <w:lang w:val="en-GB" w:eastAsia="en-US" w:bidi="ar-SA"/>
    </w:rPr>
  </w:style>
  <w:style w:type="character" w:customStyle="1" w:styleId="highlight">
    <w:name w:val="highlight"/>
    <w:rsid w:val="00C65B00"/>
  </w:style>
  <w:style w:type="character" w:styleId="Hyperlink">
    <w:name w:val="Hyperlink"/>
    <w:uiPriority w:val="99"/>
    <w:unhideWhenUsed/>
    <w:rsid w:val="00400CFF"/>
    <w:rPr>
      <w:color w:val="0563C1"/>
      <w:u w:val="single"/>
    </w:rPr>
  </w:style>
  <w:style w:type="paragraph" w:styleId="CommentSubject">
    <w:name w:val="annotation subject"/>
    <w:basedOn w:val="CommentText"/>
    <w:next w:val="CommentText"/>
    <w:link w:val="CommentSubjectChar"/>
    <w:uiPriority w:val="99"/>
    <w:semiHidden/>
    <w:unhideWhenUsed/>
    <w:rsid w:val="00667E3E"/>
    <w:rPr>
      <w:b/>
      <w:bCs/>
      <w:lang w:val="en-US"/>
    </w:rPr>
  </w:style>
  <w:style w:type="character" w:customStyle="1" w:styleId="CommentSubjectChar">
    <w:name w:val="Comment Subject Char"/>
    <w:link w:val="CommentSubject"/>
    <w:uiPriority w:val="99"/>
    <w:semiHidden/>
    <w:rsid w:val="00667E3E"/>
    <w:rPr>
      <w:b/>
      <w:bCs/>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38498">
      <w:bodyDiv w:val="1"/>
      <w:marLeft w:val="0"/>
      <w:marRight w:val="0"/>
      <w:marTop w:val="0"/>
      <w:marBottom w:val="0"/>
      <w:divBdr>
        <w:top w:val="none" w:sz="0" w:space="0" w:color="auto"/>
        <w:left w:val="none" w:sz="0" w:space="0" w:color="auto"/>
        <w:bottom w:val="none" w:sz="0" w:space="0" w:color="auto"/>
        <w:right w:val="none" w:sz="0" w:space="0" w:color="auto"/>
      </w:divBdr>
    </w:div>
    <w:div w:id="864101486">
      <w:bodyDiv w:val="1"/>
      <w:marLeft w:val="0"/>
      <w:marRight w:val="0"/>
      <w:marTop w:val="0"/>
      <w:marBottom w:val="0"/>
      <w:divBdr>
        <w:top w:val="none" w:sz="0" w:space="0" w:color="auto"/>
        <w:left w:val="none" w:sz="0" w:space="0" w:color="auto"/>
        <w:bottom w:val="none" w:sz="0" w:space="0" w:color="auto"/>
        <w:right w:val="none" w:sz="0" w:space="0" w:color="auto"/>
      </w:divBdr>
    </w:div>
    <w:div w:id="1544101785">
      <w:bodyDiv w:val="1"/>
      <w:marLeft w:val="0"/>
      <w:marRight w:val="0"/>
      <w:marTop w:val="0"/>
      <w:marBottom w:val="0"/>
      <w:divBdr>
        <w:top w:val="none" w:sz="0" w:space="0" w:color="auto"/>
        <w:left w:val="none" w:sz="0" w:space="0" w:color="auto"/>
        <w:bottom w:val="none" w:sz="0" w:space="0" w:color="auto"/>
        <w:right w:val="none" w:sz="0" w:space="0" w:color="auto"/>
      </w:divBdr>
      <w:divsChild>
        <w:div w:id="2039429089">
          <w:marLeft w:val="0"/>
          <w:marRight w:val="0"/>
          <w:marTop w:val="0"/>
          <w:marBottom w:val="0"/>
          <w:divBdr>
            <w:top w:val="none" w:sz="0" w:space="0" w:color="auto"/>
            <w:left w:val="none" w:sz="0" w:space="0" w:color="auto"/>
            <w:bottom w:val="none" w:sz="0" w:space="0" w:color="auto"/>
            <w:right w:val="none" w:sz="0" w:space="0" w:color="auto"/>
          </w:divBdr>
          <w:divsChild>
            <w:div w:id="453138687">
              <w:marLeft w:val="0"/>
              <w:marRight w:val="0"/>
              <w:marTop w:val="0"/>
              <w:marBottom w:val="0"/>
              <w:divBdr>
                <w:top w:val="none" w:sz="0" w:space="0" w:color="auto"/>
                <w:left w:val="none" w:sz="0" w:space="0" w:color="auto"/>
                <w:bottom w:val="none" w:sz="0" w:space="0" w:color="auto"/>
                <w:right w:val="none" w:sz="0" w:space="0" w:color="auto"/>
              </w:divBdr>
            </w:div>
            <w:div w:id="1174878986">
              <w:marLeft w:val="0"/>
              <w:marRight w:val="0"/>
              <w:marTop w:val="0"/>
              <w:marBottom w:val="0"/>
              <w:divBdr>
                <w:top w:val="none" w:sz="0" w:space="0" w:color="auto"/>
                <w:left w:val="none" w:sz="0" w:space="0" w:color="auto"/>
                <w:bottom w:val="none" w:sz="0" w:space="0" w:color="auto"/>
                <w:right w:val="none" w:sz="0" w:space="0" w:color="auto"/>
              </w:divBdr>
            </w:div>
            <w:div w:id="1408531260">
              <w:marLeft w:val="0"/>
              <w:marRight w:val="0"/>
              <w:marTop w:val="0"/>
              <w:marBottom w:val="0"/>
              <w:divBdr>
                <w:top w:val="none" w:sz="0" w:space="0" w:color="auto"/>
                <w:left w:val="none" w:sz="0" w:space="0" w:color="auto"/>
                <w:bottom w:val="none" w:sz="0" w:space="0" w:color="auto"/>
                <w:right w:val="none" w:sz="0" w:space="0" w:color="auto"/>
              </w:divBdr>
            </w:div>
            <w:div w:id="1606376551">
              <w:marLeft w:val="0"/>
              <w:marRight w:val="0"/>
              <w:marTop w:val="0"/>
              <w:marBottom w:val="0"/>
              <w:divBdr>
                <w:top w:val="none" w:sz="0" w:space="0" w:color="auto"/>
                <w:left w:val="none" w:sz="0" w:space="0" w:color="auto"/>
                <w:bottom w:val="none" w:sz="0" w:space="0" w:color="auto"/>
                <w:right w:val="none" w:sz="0" w:space="0" w:color="auto"/>
              </w:divBdr>
            </w:div>
            <w:div w:id="1998992995">
              <w:marLeft w:val="0"/>
              <w:marRight w:val="0"/>
              <w:marTop w:val="0"/>
              <w:marBottom w:val="0"/>
              <w:divBdr>
                <w:top w:val="none" w:sz="0" w:space="0" w:color="auto"/>
                <w:left w:val="none" w:sz="0" w:space="0" w:color="auto"/>
                <w:bottom w:val="none" w:sz="0" w:space="0" w:color="auto"/>
                <w:right w:val="none" w:sz="0" w:space="0" w:color="auto"/>
              </w:divBdr>
            </w:div>
            <w:div w:id="20235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Documents/Issues/Business/LetterSOM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E76B7B-E0AA-4FB3-B149-8F641F4DAA05}"/>
</file>

<file path=customXml/itemProps2.xml><?xml version="1.0" encoding="utf-8"?>
<ds:datastoreItem xmlns:ds="http://schemas.openxmlformats.org/officeDocument/2006/customXml" ds:itemID="{EAFD0087-6AE0-437B-9A1C-D823F03A435D}"/>
</file>

<file path=customXml/itemProps3.xml><?xml version="1.0" encoding="utf-8"?>
<ds:datastoreItem xmlns:ds="http://schemas.openxmlformats.org/officeDocument/2006/customXml" ds:itemID="{8CBCBF31-5213-4154-A3BE-B101DFC2A86F}"/>
</file>

<file path=customXml/itemProps4.xml><?xml version="1.0" encoding="utf-8"?>
<ds:datastoreItem xmlns:ds="http://schemas.openxmlformats.org/officeDocument/2006/customXml" ds:itemID="{B19FF661-E9A6-44C8-B8E1-BDAE85A9B436}"/>
</file>

<file path=docProps/app.xml><?xml version="1.0" encoding="utf-8"?>
<Properties xmlns="http://schemas.openxmlformats.org/officeDocument/2006/extended-properties" xmlns:vt="http://schemas.openxmlformats.org/officeDocument/2006/docPropsVTypes">
  <Template>Normal.dotm</Template>
  <TotalTime>1</TotalTime>
  <Pages>5</Pages>
  <Words>2049</Words>
  <Characters>11683</Characters>
  <Application>Microsoft Office Word</Application>
  <DocSecurity>0</DocSecurity>
  <Lines>97</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OHCHR Cambodia</Company>
  <LinksUpToDate>false</LinksUpToDate>
  <CharactersWithSpaces>13705</CharactersWithSpaces>
  <SharedDoc>false</SharedDoc>
  <HLinks>
    <vt:vector size="6" baseType="variant">
      <vt:variant>
        <vt:i4>5832770</vt:i4>
      </vt:variant>
      <vt:variant>
        <vt:i4>0</vt:i4>
      </vt:variant>
      <vt:variant>
        <vt:i4>0</vt:i4>
      </vt:variant>
      <vt:variant>
        <vt:i4>5</vt:i4>
      </vt:variant>
      <vt:variant>
        <vt:lpwstr>http://www.ohchr.org/Documents/Issues/Business/LetterSOMO.pdf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Aida Nejad</dc:creator>
  <cp:lastModifiedBy>Jung Rin KIM</cp:lastModifiedBy>
  <cp:revision>2</cp:revision>
  <dcterms:created xsi:type="dcterms:W3CDTF">2017-01-31T08:35:00Z</dcterms:created>
  <dcterms:modified xsi:type="dcterms:W3CDTF">2017-01-31T08:35:00Z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