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CC46A" w14:textId="77777777" w:rsidR="00686690" w:rsidRPr="00686690" w:rsidRDefault="00686690" w:rsidP="00686690">
      <w:pPr>
        <w:pStyle w:val="Body"/>
        <w:keepNext/>
        <w:keepLines/>
        <w:pBdr>
          <w:top w:val="none" w:sz="0" w:space="0" w:color="auto"/>
          <w:left w:val="none" w:sz="0" w:space="0" w:color="auto"/>
          <w:bottom w:val="none" w:sz="0" w:space="0" w:color="auto"/>
          <w:right w:val="none" w:sz="0" w:space="0" w:color="auto"/>
        </w:pBdr>
        <w:shd w:val="clear" w:color="auto" w:fill="FFFFFF"/>
        <w:spacing w:after="120" w:line="240" w:lineRule="auto"/>
        <w:jc w:val="lowKashida"/>
        <w:outlineLvl w:val="0"/>
        <w:rPr>
          <w:rFonts w:asciiTheme="majorBidi" w:hAnsiTheme="majorBidi" w:cstheme="majorBidi"/>
          <w:b/>
          <w:bCs/>
          <w:color w:val="auto"/>
          <w:sz w:val="28"/>
          <w:szCs w:val="28"/>
          <w:lang w:val="en-GB"/>
        </w:rPr>
      </w:pPr>
      <w:bookmarkStart w:id="0" w:name="_Hlk20571476"/>
      <w:r w:rsidRPr="00686690">
        <w:rPr>
          <w:rFonts w:asciiTheme="majorBidi" w:hAnsiTheme="majorBidi" w:cstheme="majorBidi"/>
          <w:b/>
          <w:bCs/>
          <w:color w:val="auto"/>
          <w:sz w:val="28"/>
          <w:szCs w:val="28"/>
          <w:lang w:val="en-GB"/>
        </w:rPr>
        <w:t>A Human Right to Land</w:t>
      </w:r>
    </w:p>
    <w:p w14:paraId="34D7F9F0" w14:textId="229FF8F1" w:rsidR="00686690" w:rsidRDefault="00686690" w:rsidP="00686690">
      <w:pPr>
        <w:pStyle w:val="Body"/>
        <w:keepNext/>
        <w:keepLines/>
        <w:pBdr>
          <w:top w:val="none" w:sz="0" w:space="0" w:color="auto"/>
          <w:left w:val="none" w:sz="0" w:space="0" w:color="auto"/>
          <w:bottom w:val="none" w:sz="0" w:space="0" w:color="auto"/>
          <w:right w:val="none" w:sz="0" w:space="0" w:color="auto"/>
        </w:pBdr>
        <w:shd w:val="clear" w:color="auto" w:fill="FFFFFF"/>
        <w:spacing w:after="120" w:line="240" w:lineRule="auto"/>
        <w:jc w:val="lowKashida"/>
        <w:outlineLvl w:val="0"/>
        <w:rPr>
          <w:rFonts w:asciiTheme="majorBidi" w:hAnsiTheme="majorBidi" w:cstheme="majorBidi"/>
          <w:i/>
          <w:iCs/>
          <w:color w:val="auto"/>
          <w:lang w:val="en-GB"/>
        </w:rPr>
      </w:pPr>
      <w:r w:rsidRPr="00686690">
        <w:rPr>
          <w:rFonts w:asciiTheme="majorBidi" w:hAnsiTheme="majorBidi" w:cstheme="majorBidi"/>
          <w:i/>
          <w:iCs/>
          <w:color w:val="auto"/>
          <w:lang w:val="en-GB"/>
        </w:rPr>
        <w:t xml:space="preserve">Housing and Land Rights Network – Habitat International Coalition </w:t>
      </w:r>
    </w:p>
    <w:p w14:paraId="6E1DF157" w14:textId="77777777" w:rsidR="00686690" w:rsidRPr="00686690" w:rsidRDefault="00686690" w:rsidP="00686690">
      <w:pPr>
        <w:pStyle w:val="Body"/>
        <w:keepNext/>
        <w:keepLines/>
        <w:pBdr>
          <w:top w:val="none" w:sz="0" w:space="0" w:color="auto"/>
          <w:left w:val="none" w:sz="0" w:space="0" w:color="auto"/>
          <w:bottom w:val="none" w:sz="0" w:space="0" w:color="auto"/>
          <w:right w:val="none" w:sz="0" w:space="0" w:color="auto"/>
        </w:pBdr>
        <w:shd w:val="clear" w:color="auto" w:fill="FFFFFF"/>
        <w:spacing w:after="120" w:line="240" w:lineRule="auto"/>
        <w:jc w:val="lowKashida"/>
        <w:outlineLvl w:val="0"/>
        <w:rPr>
          <w:rFonts w:asciiTheme="majorBidi" w:hAnsiTheme="majorBidi" w:cstheme="majorBidi"/>
          <w:i/>
          <w:iCs/>
          <w:color w:val="auto"/>
          <w:lang w:val="en-GB"/>
        </w:rPr>
      </w:pPr>
    </w:p>
    <w:p w14:paraId="5C9C4786" w14:textId="77777777" w:rsidR="00686690" w:rsidRPr="00686690" w:rsidRDefault="00686690" w:rsidP="00686690">
      <w:pPr>
        <w:pStyle w:val="Body"/>
        <w:keepNext/>
        <w:keepLines/>
        <w:pBdr>
          <w:top w:val="none" w:sz="0" w:space="0" w:color="auto"/>
          <w:left w:val="none" w:sz="0" w:space="0" w:color="auto"/>
          <w:bottom w:val="none" w:sz="0" w:space="0" w:color="auto"/>
          <w:right w:val="none" w:sz="0" w:space="0" w:color="auto"/>
        </w:pBdr>
        <w:shd w:val="clear" w:color="auto" w:fill="FFFFFF"/>
        <w:spacing w:after="120" w:line="240" w:lineRule="auto"/>
        <w:jc w:val="lowKashida"/>
        <w:outlineLvl w:val="0"/>
        <w:rPr>
          <w:rFonts w:asciiTheme="majorBidi" w:hAnsiTheme="majorBidi" w:cstheme="majorBidi"/>
          <w:color w:val="auto"/>
          <w:spacing w:val="-2"/>
          <w:lang w:val="en-GB"/>
        </w:rPr>
      </w:pPr>
      <w:r w:rsidRPr="00686690">
        <w:rPr>
          <w:rFonts w:asciiTheme="majorBidi" w:hAnsiTheme="majorBidi" w:cstheme="majorBidi"/>
          <w:color w:val="auto"/>
          <w:spacing w:val="-2"/>
          <w:lang w:val="en-GB"/>
        </w:rPr>
        <w:t xml:space="preserve">CESCR faces both a challenge and a dilemma in addressing land under the Covenant. However, both can be resolved by adopting a suitable methodology and approach. </w:t>
      </w:r>
    </w:p>
    <w:p w14:paraId="7270C9A0" w14:textId="77777777" w:rsidR="00686690" w:rsidRPr="00686690" w:rsidRDefault="00686690" w:rsidP="00686690">
      <w:pPr>
        <w:pStyle w:val="Body"/>
        <w:keepNext/>
        <w:keepLines/>
        <w:pBdr>
          <w:top w:val="none" w:sz="0" w:space="0" w:color="auto"/>
          <w:left w:val="none" w:sz="0" w:space="0" w:color="auto"/>
          <w:bottom w:val="none" w:sz="0" w:space="0" w:color="auto"/>
          <w:right w:val="none" w:sz="0" w:space="0" w:color="auto"/>
        </w:pBdr>
        <w:shd w:val="clear" w:color="auto" w:fill="FFFFFF"/>
        <w:spacing w:after="120" w:line="240" w:lineRule="auto"/>
        <w:jc w:val="lowKashida"/>
        <w:outlineLvl w:val="0"/>
        <w:rPr>
          <w:rFonts w:asciiTheme="majorBidi" w:hAnsiTheme="majorBidi" w:cstheme="majorBidi"/>
          <w:color w:val="auto"/>
          <w:lang w:val="en-GB"/>
        </w:rPr>
      </w:pPr>
      <w:r w:rsidRPr="00686690">
        <w:rPr>
          <w:rFonts w:asciiTheme="majorBidi" w:hAnsiTheme="majorBidi" w:cstheme="majorBidi"/>
          <w:color w:val="auto"/>
          <w:lang w:val="en-GB"/>
        </w:rPr>
        <w:t>Although not explicitly mentioned in the Covenant, land is arguably the subject of a human right; i.e., the “human right to land.” Recognition of the human right calls for exploring the classical element of land beyond the usual consideration of a “right to land” as a material thing to be possessed in pursuit of other already-codified human rights, entitlements or privilege.</w:t>
      </w:r>
      <w:bookmarkStart w:id="1" w:name="_GoBack"/>
      <w:bookmarkEnd w:id="1"/>
    </w:p>
    <w:p w14:paraId="6BF3F92E" w14:textId="77777777" w:rsidR="00686690" w:rsidRPr="00686690" w:rsidRDefault="00686690" w:rsidP="00686690">
      <w:pPr>
        <w:pStyle w:val="Body"/>
        <w:keepNext/>
        <w:keepLines/>
        <w:pBdr>
          <w:top w:val="none" w:sz="0" w:space="0" w:color="auto"/>
          <w:left w:val="none" w:sz="0" w:space="0" w:color="auto"/>
          <w:bottom w:val="none" w:sz="0" w:space="0" w:color="auto"/>
          <w:right w:val="none" w:sz="0" w:space="0" w:color="auto"/>
        </w:pBdr>
        <w:shd w:val="clear" w:color="auto" w:fill="FFFFFF"/>
        <w:spacing w:after="120" w:line="240" w:lineRule="auto"/>
        <w:jc w:val="lowKashida"/>
        <w:outlineLvl w:val="0"/>
        <w:rPr>
          <w:rFonts w:asciiTheme="majorBidi" w:hAnsiTheme="majorBidi" w:cstheme="majorBidi"/>
          <w:color w:val="auto"/>
          <w:lang w:val="en-GB"/>
        </w:rPr>
      </w:pPr>
      <w:r w:rsidRPr="00686690">
        <w:rPr>
          <w:rFonts w:asciiTheme="majorBidi" w:hAnsiTheme="majorBidi" w:cstheme="majorBidi"/>
          <w:color w:val="auto"/>
          <w:lang w:val="en-GB"/>
        </w:rPr>
        <w:t>ICESCR guarantees no “human right to property.” While UDHR treats property only within a  narrow scope as a subject of “ownership” individually, or in association with others.</w:t>
      </w:r>
      <w:r w:rsidRPr="00686690">
        <w:rPr>
          <w:rStyle w:val="EndnoteReference"/>
          <w:rFonts w:asciiTheme="majorBidi" w:hAnsiTheme="majorBidi" w:cstheme="majorBidi"/>
          <w:color w:val="auto"/>
          <w:lang w:val="en-GB"/>
        </w:rPr>
        <w:endnoteReference w:id="1"/>
      </w:r>
      <w:r w:rsidRPr="00686690">
        <w:rPr>
          <w:rFonts w:asciiTheme="majorBidi" w:hAnsiTheme="majorBidi" w:cstheme="majorBidi"/>
          <w:color w:val="auto"/>
          <w:lang w:val="en-GB"/>
        </w:rPr>
        <w:t xml:space="preserve"> Thus, ICESCR is the appropriate instrument to frame the recognition and understanding of the human right to land, since its silence on property enables—indeed requires—a focus rather on the symbiotic relationship between the land and its people primarily as a matter of equity, not merely as a subject of freehold tenure or exchange value. </w:t>
      </w:r>
    </w:p>
    <w:p w14:paraId="09AB55DF" w14:textId="77777777" w:rsidR="00686690" w:rsidRPr="00686690" w:rsidRDefault="00686690" w:rsidP="00686690">
      <w:pPr>
        <w:pStyle w:val="Body"/>
        <w:keepNext/>
        <w:keepLines/>
        <w:pBdr>
          <w:top w:val="none" w:sz="0" w:space="0" w:color="auto"/>
          <w:left w:val="none" w:sz="0" w:space="0" w:color="auto"/>
          <w:bottom w:val="none" w:sz="0" w:space="0" w:color="auto"/>
          <w:right w:val="none" w:sz="0" w:space="0" w:color="auto"/>
        </w:pBdr>
        <w:shd w:val="clear" w:color="auto" w:fill="FFFFFF"/>
        <w:spacing w:after="120" w:line="240" w:lineRule="auto"/>
        <w:jc w:val="lowKashida"/>
        <w:outlineLvl w:val="0"/>
        <w:rPr>
          <w:rFonts w:asciiTheme="majorBidi" w:hAnsiTheme="majorBidi" w:cstheme="majorBidi"/>
          <w:color w:val="auto"/>
          <w:lang w:val="en-GB"/>
        </w:rPr>
      </w:pPr>
      <w:r w:rsidRPr="00686690">
        <w:rPr>
          <w:rFonts w:asciiTheme="majorBidi" w:hAnsiTheme="majorBidi" w:cstheme="majorBidi"/>
          <w:color w:val="auto"/>
          <w:lang w:val="en-GB"/>
        </w:rPr>
        <w:t>Since the adoption of ICESCR, land has remained an issue of competition and dispute, and various scales of conflict over land have been more common than examples of cooperation in its use and governance.</w:t>
      </w:r>
      <w:r w:rsidRPr="00686690">
        <w:rPr>
          <w:rStyle w:val="EndnoteReference"/>
          <w:rFonts w:asciiTheme="majorBidi" w:hAnsiTheme="majorBidi" w:cstheme="majorBidi"/>
          <w:color w:val="auto"/>
          <w:lang w:val="en-GB"/>
        </w:rPr>
        <w:endnoteReference w:id="2"/>
      </w:r>
      <w:r w:rsidRPr="00686690">
        <w:rPr>
          <w:rFonts w:asciiTheme="majorBidi" w:hAnsiTheme="majorBidi" w:cstheme="majorBidi"/>
          <w:color w:val="auto"/>
          <w:lang w:val="en-GB"/>
        </w:rPr>
        <w:t xml:space="preserve"> Many CESCR reviews of state performance reveal a pattern of </w:t>
      </w:r>
      <w:proofErr w:type="spellStart"/>
      <w:r w:rsidRPr="00686690">
        <w:rPr>
          <w:rFonts w:asciiTheme="majorBidi" w:hAnsiTheme="majorBidi" w:cstheme="majorBidi"/>
          <w:color w:val="auto"/>
          <w:lang w:val="en-GB"/>
        </w:rPr>
        <w:t>Covenmant</w:t>
      </w:r>
      <w:proofErr w:type="spellEnd"/>
      <w:r w:rsidRPr="00686690">
        <w:rPr>
          <w:rFonts w:asciiTheme="majorBidi" w:hAnsiTheme="majorBidi" w:cstheme="majorBidi"/>
          <w:color w:val="auto"/>
          <w:lang w:val="en-GB"/>
        </w:rPr>
        <w:t xml:space="preserve"> rights affected by inequitable access to, use of, and/or control over land; the concentration of land tenure, including ownership, as a feature of unprecedented global disparity in wealth and income</w:t>
      </w:r>
      <w:r w:rsidRPr="00686690">
        <w:rPr>
          <w:rStyle w:val="EndnoteReference"/>
          <w:rFonts w:asciiTheme="majorBidi" w:hAnsiTheme="majorBidi" w:cstheme="majorBidi"/>
          <w:color w:val="auto"/>
          <w:lang w:val="en-GB"/>
        </w:rPr>
        <w:endnoteReference w:id="3"/>
      </w:r>
      <w:r w:rsidRPr="00686690">
        <w:rPr>
          <w:rFonts w:asciiTheme="majorBidi" w:hAnsiTheme="majorBidi" w:cstheme="majorBidi"/>
          <w:color w:val="auto"/>
          <w:lang w:val="en-GB"/>
        </w:rPr>
        <w:t xml:space="preserve">; and </w:t>
      </w:r>
      <w:r w:rsidRPr="00686690">
        <w:rPr>
          <w:rFonts w:asciiTheme="majorBidi" w:hAnsiTheme="majorBidi" w:cstheme="majorBidi"/>
          <w:color w:val="auto"/>
          <w:u w:color="231F20"/>
          <w:lang w:val="en-GB"/>
        </w:rPr>
        <w:t>unsettled claims over indigenous, occupied, traditional and rural peoples’ and communities’ lands and related natural resources. In such cases, land lies at the source of conflict and its resolution.</w:t>
      </w:r>
      <w:r w:rsidRPr="00686690">
        <w:rPr>
          <w:rStyle w:val="EndnoteReference"/>
          <w:rFonts w:asciiTheme="majorBidi" w:hAnsiTheme="majorBidi" w:cstheme="majorBidi"/>
          <w:color w:val="auto"/>
          <w:u w:color="231F20"/>
          <w:lang w:val="en-GB"/>
        </w:rPr>
        <w:endnoteReference w:id="4"/>
      </w:r>
      <w:r w:rsidRPr="00686690">
        <w:rPr>
          <w:rFonts w:asciiTheme="majorBidi" w:hAnsiTheme="majorBidi" w:cstheme="majorBidi"/>
          <w:color w:val="auto"/>
          <w:u w:color="231F20"/>
          <w:lang w:val="en-GB"/>
        </w:rPr>
        <w:t xml:space="preserve"> Contention over land has helped to make the human right to land politically untouchable in multilateral forums, but also a reason why its understanding and treatment as a human right is so important and timely.</w:t>
      </w:r>
    </w:p>
    <w:p w14:paraId="0D09FEBE" w14:textId="77777777" w:rsidR="00686690" w:rsidRPr="00686690" w:rsidRDefault="00686690" w:rsidP="00686690">
      <w:pPr>
        <w:keepNext/>
        <w:keepLines/>
        <w:pBdr>
          <w:top w:val="none" w:sz="0" w:space="0" w:color="auto"/>
          <w:left w:val="none" w:sz="0" w:space="0" w:color="auto"/>
          <w:bottom w:val="none" w:sz="0" w:space="0" w:color="auto"/>
          <w:right w:val="none" w:sz="0" w:space="0" w:color="auto"/>
        </w:pBdr>
        <w:shd w:val="clear" w:color="auto" w:fill="FFFFFF"/>
        <w:spacing w:after="120"/>
        <w:jc w:val="lowKashida"/>
        <w:outlineLvl w:val="0"/>
        <w:rPr>
          <w:rFonts w:asciiTheme="majorBidi" w:hAnsiTheme="majorBidi" w:cstheme="majorBidi"/>
          <w:sz w:val="22"/>
          <w:szCs w:val="22"/>
          <w:lang w:val="en-GB"/>
        </w:rPr>
      </w:pPr>
      <w:r w:rsidRPr="00686690">
        <w:rPr>
          <w:rFonts w:asciiTheme="majorBidi" w:hAnsiTheme="majorBidi" w:cstheme="majorBidi"/>
          <w:sz w:val="22"/>
          <w:szCs w:val="22"/>
          <w:lang w:val="en-GB"/>
        </w:rPr>
        <w:t xml:space="preserve">Human reproduction, population dynamics, sustainable development, politics, participation in culture and economics are broad categories of human endeavour often depend upon land. More-specific contexts requiring an appreciation of the human right to land include human settlements and urbanization; governance; urban renewal/beautification; conflict resolution and peace-making, allocation for public and private purposes; project implementation; extractive industries; infrastructure development, biodiversity protection; climate change; trade and investment; food systems; foreign occupation and the exercise of peoples’ self-determination increasingly concern the economic, social and cultural human rights dimensions of land. As every complex task requires getting the theory right, constructing a “human right to land” requires a multidisciplinary approach found at the convergence of legal, social and physical sciences, and evidence-informed practice. </w:t>
      </w:r>
    </w:p>
    <w:p w14:paraId="537E7160" w14:textId="77777777" w:rsidR="00686690" w:rsidRPr="00686690" w:rsidRDefault="00686690" w:rsidP="00686690">
      <w:pPr>
        <w:pStyle w:val="Body"/>
        <w:keepNext/>
        <w:keepLines/>
        <w:pBdr>
          <w:top w:val="none" w:sz="0" w:space="0" w:color="auto"/>
          <w:left w:val="none" w:sz="0" w:space="0" w:color="auto"/>
          <w:bottom w:val="none" w:sz="0" w:space="0" w:color="auto"/>
          <w:right w:val="none" w:sz="0" w:space="0" w:color="auto"/>
        </w:pBdr>
        <w:shd w:val="clear" w:color="auto" w:fill="FFFFFF"/>
        <w:spacing w:after="120" w:line="240" w:lineRule="auto"/>
        <w:jc w:val="lowKashida"/>
        <w:outlineLvl w:val="0"/>
        <w:rPr>
          <w:rFonts w:asciiTheme="majorBidi" w:hAnsiTheme="majorBidi" w:cstheme="majorBidi"/>
          <w:color w:val="auto"/>
          <w:spacing w:val="-4"/>
          <w:lang w:val="en-GB"/>
        </w:rPr>
      </w:pPr>
      <w:r w:rsidRPr="00686690">
        <w:rPr>
          <w:rFonts w:asciiTheme="majorBidi" w:hAnsiTheme="majorBidi" w:cstheme="majorBidi"/>
          <w:color w:val="auto"/>
          <w:lang w:val="en-GB"/>
        </w:rPr>
        <w:t>A strictly legal case could rest on black-letter treaty law</w:t>
      </w:r>
      <w:proofErr w:type="gramStart"/>
      <w:r w:rsidRPr="00686690">
        <w:rPr>
          <w:rFonts w:asciiTheme="majorBidi" w:hAnsiTheme="majorBidi" w:cstheme="majorBidi"/>
          <w:color w:val="auto"/>
          <w:lang w:val="en-GB"/>
        </w:rPr>
        <w:t>, in particular, the</w:t>
      </w:r>
      <w:proofErr w:type="gramEnd"/>
      <w:r w:rsidRPr="00686690">
        <w:rPr>
          <w:rFonts w:asciiTheme="majorBidi" w:hAnsiTheme="majorBidi" w:cstheme="majorBidi"/>
          <w:color w:val="auto"/>
          <w:lang w:val="en-GB"/>
        </w:rPr>
        <w:t xml:space="preserve"> provisions of the Covenant and its jurisprudence, CESCR’s state-party reviews, as well as relevant general principles and peremptory norms of international law. </w:t>
      </w:r>
      <w:r w:rsidRPr="00686690">
        <w:rPr>
          <w:rFonts w:asciiTheme="majorBidi" w:hAnsiTheme="majorBidi" w:cstheme="majorBidi"/>
          <w:color w:val="auto"/>
          <w:spacing w:val="-4"/>
          <w:lang w:val="en-GB"/>
        </w:rPr>
        <w:t xml:space="preserve">However, a strictly legalistic approach is insufficient, since the available law so far has demurred on the question of land as a human right. </w:t>
      </w:r>
    </w:p>
    <w:p w14:paraId="34D04C1D" w14:textId="77777777" w:rsidR="00686690" w:rsidRPr="00686690" w:rsidRDefault="00686690" w:rsidP="00686690">
      <w:pPr>
        <w:pStyle w:val="Body"/>
        <w:keepNext/>
        <w:keepLines/>
        <w:pBdr>
          <w:top w:val="none" w:sz="0" w:space="0" w:color="auto"/>
          <w:left w:val="none" w:sz="0" w:space="0" w:color="auto"/>
          <w:bottom w:val="none" w:sz="0" w:space="0" w:color="auto"/>
          <w:right w:val="none" w:sz="0" w:space="0" w:color="auto"/>
        </w:pBdr>
        <w:shd w:val="clear" w:color="auto" w:fill="FFFFFF"/>
        <w:spacing w:after="120" w:line="240" w:lineRule="auto"/>
        <w:jc w:val="lowKashida"/>
        <w:outlineLvl w:val="0"/>
        <w:rPr>
          <w:rFonts w:asciiTheme="majorBidi" w:hAnsiTheme="majorBidi" w:cstheme="majorBidi"/>
          <w:color w:val="auto"/>
          <w:spacing w:val="-4"/>
          <w:lang w:val="en-GB"/>
        </w:rPr>
      </w:pPr>
      <w:r w:rsidRPr="00686690">
        <w:rPr>
          <w:rFonts w:asciiTheme="majorBidi" w:hAnsiTheme="majorBidi" w:cstheme="majorBidi"/>
          <w:color w:val="auto"/>
          <w:spacing w:val="-4"/>
          <w:lang w:val="en-GB"/>
        </w:rPr>
        <w:t>Therefore, other disciplines are needed to complement the lawyer’s usual references and tools of the trade. The social sciences offer crucial sources on the theories of human need</w:t>
      </w:r>
      <w:r w:rsidRPr="00686690">
        <w:rPr>
          <w:rStyle w:val="EndnoteReference"/>
          <w:rFonts w:asciiTheme="majorBidi" w:hAnsiTheme="majorBidi" w:cstheme="majorBidi"/>
          <w:color w:val="auto"/>
          <w:spacing w:val="-4"/>
          <w:lang w:val="en-GB"/>
        </w:rPr>
        <w:endnoteReference w:id="5"/>
      </w:r>
      <w:r w:rsidRPr="00686690">
        <w:rPr>
          <w:rFonts w:asciiTheme="majorBidi" w:hAnsiTheme="majorBidi" w:cstheme="majorBidi"/>
          <w:color w:val="auto"/>
          <w:spacing w:val="-4"/>
          <w:lang w:val="en-GB"/>
        </w:rPr>
        <w:t xml:space="preserve"> and justice,</w:t>
      </w:r>
      <w:r w:rsidRPr="00686690">
        <w:rPr>
          <w:rStyle w:val="EndnoteReference"/>
          <w:rFonts w:asciiTheme="majorBidi" w:hAnsiTheme="majorBidi" w:cstheme="majorBidi"/>
          <w:color w:val="auto"/>
          <w:spacing w:val="-4"/>
          <w:lang w:val="en-GB"/>
        </w:rPr>
        <w:endnoteReference w:id="6"/>
      </w:r>
      <w:r w:rsidRPr="00686690">
        <w:rPr>
          <w:rFonts w:asciiTheme="majorBidi" w:hAnsiTheme="majorBidi" w:cstheme="majorBidi"/>
          <w:color w:val="auto"/>
          <w:spacing w:val="-4"/>
          <w:lang w:val="en-GB"/>
        </w:rPr>
        <w:t xml:space="preserve"> but these only infer the importance of land to human well-being.</w:t>
      </w:r>
    </w:p>
    <w:p w14:paraId="3604BF04" w14:textId="0440E5E6" w:rsidR="00686690" w:rsidRDefault="00686690" w:rsidP="00686690">
      <w:pPr>
        <w:pStyle w:val="Body"/>
        <w:keepNext/>
        <w:keepLines/>
        <w:pBdr>
          <w:top w:val="none" w:sz="0" w:space="0" w:color="auto"/>
          <w:left w:val="none" w:sz="0" w:space="0" w:color="auto"/>
          <w:bottom w:val="none" w:sz="0" w:space="0" w:color="auto"/>
          <w:right w:val="none" w:sz="0" w:space="0" w:color="auto"/>
        </w:pBdr>
        <w:shd w:val="clear" w:color="auto" w:fill="FFFFFF"/>
        <w:spacing w:after="120" w:line="240" w:lineRule="auto"/>
        <w:jc w:val="lowKashida"/>
        <w:outlineLvl w:val="0"/>
        <w:rPr>
          <w:rFonts w:asciiTheme="majorBidi" w:hAnsiTheme="majorBidi" w:cstheme="majorBidi"/>
          <w:lang w:val="en-GB"/>
        </w:rPr>
      </w:pPr>
      <w:r w:rsidRPr="00686690">
        <w:rPr>
          <w:rFonts w:asciiTheme="majorBidi" w:hAnsiTheme="majorBidi" w:cstheme="majorBidi"/>
          <w:color w:val="auto"/>
          <w:lang w:val="en-GB"/>
        </w:rPr>
        <w:t xml:space="preserve">Beyond philosophical and ideological considerations, the physical sciences bring needed clarity to the essential nature this classical element of land as a requisite of human dignity, well-being, maintenance and, indeed, survival. Thus, the hybrid approach is indispensable to understanding the normative content of the human right to land through the inextricable link between land and human needs within a framework of social justice. Establishing this construct is the first logical step to be taken before applying the human right to land of </w:t>
      </w:r>
      <w:proofErr w:type="gramStart"/>
      <w:r w:rsidRPr="00686690">
        <w:rPr>
          <w:rFonts w:asciiTheme="majorBidi" w:hAnsiTheme="majorBidi" w:cstheme="majorBidi"/>
          <w:color w:val="auto"/>
          <w:lang w:val="en-GB"/>
        </w:rPr>
        <w:t>particular groups</w:t>
      </w:r>
      <w:proofErr w:type="gramEnd"/>
      <w:r w:rsidRPr="00686690">
        <w:rPr>
          <w:rFonts w:asciiTheme="majorBidi" w:hAnsiTheme="majorBidi" w:cstheme="majorBidi"/>
          <w:color w:val="auto"/>
          <w:lang w:val="en-GB"/>
        </w:rPr>
        <w:t xml:space="preserve"> and in various circumstances.</w:t>
      </w:r>
      <w:r w:rsidRPr="00686690">
        <w:rPr>
          <w:rFonts w:asciiTheme="majorBidi" w:hAnsiTheme="majorBidi" w:cstheme="majorBidi"/>
          <w:lang w:val="en-GB"/>
        </w:rPr>
        <w:t xml:space="preserve"> Such a forensic method has operated in the emergence of water (and sanitation) as a human right, first elaborated in the CESCR’s legal interpretation of state parties’ related obligations under ICESCR,</w:t>
      </w:r>
      <w:r w:rsidRPr="00686690">
        <w:rPr>
          <w:rStyle w:val="EndnoteReference"/>
          <w:rFonts w:asciiTheme="majorBidi" w:hAnsiTheme="majorBidi" w:cstheme="majorBidi"/>
          <w:lang w:val="en-GB"/>
        </w:rPr>
        <w:endnoteReference w:id="7"/>
      </w:r>
      <w:r w:rsidRPr="00686690">
        <w:rPr>
          <w:rFonts w:asciiTheme="majorBidi" w:hAnsiTheme="majorBidi" w:cstheme="majorBidi"/>
          <w:lang w:val="en-GB"/>
        </w:rPr>
        <w:t xml:space="preserve"> and then as adopted by the UN General Assembly.</w:t>
      </w:r>
      <w:r w:rsidRPr="00686690">
        <w:rPr>
          <w:rStyle w:val="EndnoteReference"/>
          <w:rFonts w:asciiTheme="majorBidi" w:hAnsiTheme="majorBidi" w:cstheme="majorBidi"/>
          <w:lang w:val="en-GB"/>
        </w:rPr>
        <w:endnoteReference w:id="8"/>
      </w:r>
    </w:p>
    <w:p w14:paraId="6F20C50E" w14:textId="301B984F" w:rsidR="00686690" w:rsidRPr="00686690" w:rsidRDefault="00686690" w:rsidP="00686690">
      <w:pPr>
        <w:pStyle w:val="Body"/>
        <w:keepNext/>
        <w:keepLines/>
        <w:pBdr>
          <w:top w:val="none" w:sz="0" w:space="0" w:color="auto"/>
          <w:left w:val="none" w:sz="0" w:space="0" w:color="auto"/>
          <w:bottom w:val="none" w:sz="0" w:space="0" w:color="auto"/>
          <w:right w:val="none" w:sz="0" w:space="0" w:color="auto"/>
        </w:pBdr>
        <w:shd w:val="clear" w:color="auto" w:fill="FFFFFF"/>
        <w:spacing w:after="120" w:line="240" w:lineRule="auto"/>
        <w:jc w:val="lowKashida"/>
        <w:outlineLvl w:val="0"/>
        <w:rPr>
          <w:rFonts w:asciiTheme="majorBidi" w:hAnsiTheme="majorBidi" w:cstheme="majorBidi"/>
          <w:b/>
          <w:bCs/>
          <w:color w:val="auto"/>
          <w:spacing w:val="-4"/>
          <w:lang w:val="en-GB"/>
        </w:rPr>
      </w:pPr>
      <w:r w:rsidRPr="00686690">
        <w:rPr>
          <w:rFonts w:asciiTheme="majorBidi" w:hAnsiTheme="majorBidi" w:cstheme="majorBidi"/>
          <w:b/>
          <w:bCs/>
          <w:color w:val="auto"/>
          <w:spacing w:val="-4"/>
          <w:lang w:val="en-GB"/>
        </w:rPr>
        <w:lastRenderedPageBreak/>
        <w:t xml:space="preserve">Normative </w:t>
      </w:r>
      <w:r>
        <w:rPr>
          <w:rFonts w:asciiTheme="majorBidi" w:hAnsiTheme="majorBidi" w:cstheme="majorBidi"/>
          <w:b/>
          <w:bCs/>
          <w:color w:val="auto"/>
          <w:spacing w:val="-4"/>
          <w:lang w:val="en-GB"/>
        </w:rPr>
        <w:t>C</w:t>
      </w:r>
      <w:r w:rsidRPr="00686690">
        <w:rPr>
          <w:rFonts w:asciiTheme="majorBidi" w:hAnsiTheme="majorBidi" w:cstheme="majorBidi"/>
          <w:b/>
          <w:bCs/>
          <w:color w:val="auto"/>
          <w:spacing w:val="-4"/>
          <w:lang w:val="en-GB"/>
        </w:rPr>
        <w:t>ontent</w:t>
      </w:r>
    </w:p>
    <w:p w14:paraId="5734AAA9" w14:textId="77777777" w:rsidR="00686690" w:rsidRPr="00686690" w:rsidRDefault="00686690" w:rsidP="00686690">
      <w:pPr>
        <w:keepNext/>
        <w:keepLines/>
        <w:pBdr>
          <w:top w:val="none" w:sz="0" w:space="0" w:color="auto"/>
          <w:left w:val="none" w:sz="0" w:space="0" w:color="auto"/>
          <w:bottom w:val="none" w:sz="0" w:space="0" w:color="auto"/>
          <w:right w:val="none" w:sz="0" w:space="0" w:color="auto"/>
        </w:pBdr>
        <w:shd w:val="clear" w:color="auto" w:fill="FFFFFF"/>
        <w:spacing w:after="120"/>
        <w:jc w:val="lowKashida"/>
        <w:outlineLvl w:val="0"/>
        <w:rPr>
          <w:rFonts w:asciiTheme="majorBidi" w:hAnsiTheme="majorBidi" w:cstheme="majorBidi"/>
          <w:sz w:val="22"/>
          <w:szCs w:val="22"/>
          <w:lang w:val="en-GB"/>
        </w:rPr>
      </w:pPr>
      <w:r w:rsidRPr="00686690">
        <w:rPr>
          <w:rFonts w:asciiTheme="majorBidi" w:hAnsiTheme="majorBidi" w:cstheme="majorBidi"/>
          <w:sz w:val="22"/>
          <w:szCs w:val="22"/>
          <w:lang w:val="en-GB"/>
        </w:rPr>
        <w:t>The recognition and elaboration of land as a human right in international law would both complement and remain distinct from domestic legislation regulating land, which primarily treats the property relationship of legal persons with real property. Rather, land, analogous to water, constitutes an element upon which human life, dignity and well-being depend.</w:t>
      </w:r>
    </w:p>
    <w:p w14:paraId="1A8409E9" w14:textId="77777777" w:rsidR="00686690" w:rsidRPr="00686690" w:rsidRDefault="00686690" w:rsidP="00686690">
      <w:pPr>
        <w:pStyle w:val="Body"/>
        <w:keepNext/>
        <w:keepLines/>
        <w:pBdr>
          <w:top w:val="none" w:sz="0" w:space="0" w:color="auto"/>
          <w:left w:val="none" w:sz="0" w:space="0" w:color="auto"/>
          <w:bottom w:val="none" w:sz="0" w:space="0" w:color="auto"/>
          <w:right w:val="none" w:sz="0" w:space="0" w:color="auto"/>
        </w:pBdr>
        <w:shd w:val="clear" w:color="auto" w:fill="FFFFFF"/>
        <w:spacing w:after="120" w:line="240" w:lineRule="auto"/>
        <w:jc w:val="lowKashida"/>
        <w:outlineLvl w:val="0"/>
        <w:rPr>
          <w:rFonts w:asciiTheme="majorBidi" w:hAnsiTheme="majorBidi" w:cstheme="majorBidi"/>
          <w:color w:val="auto"/>
          <w:lang w:val="en-GB"/>
        </w:rPr>
      </w:pPr>
      <w:r w:rsidRPr="00686690">
        <w:rPr>
          <w:rFonts w:asciiTheme="majorBidi" w:hAnsiTheme="majorBidi" w:cstheme="majorBidi"/>
          <w:spacing w:val="-2"/>
          <w:lang w:val="en-GB"/>
        </w:rPr>
        <w:t xml:space="preserve">As any internationally recognized human right must pass the test of universality, the value or condition recognized as a human right must relate to a commonly shared human need for a life of well-being with dignity, not only to certain segments of society, or </w:t>
      </w:r>
      <w:proofErr w:type="gramStart"/>
      <w:r w:rsidRPr="00686690">
        <w:rPr>
          <w:rFonts w:asciiTheme="majorBidi" w:hAnsiTheme="majorBidi" w:cstheme="majorBidi"/>
          <w:spacing w:val="-2"/>
          <w:lang w:val="en-GB"/>
        </w:rPr>
        <w:t>in particular circumstances</w:t>
      </w:r>
      <w:proofErr w:type="gramEnd"/>
      <w:r w:rsidRPr="00686690">
        <w:rPr>
          <w:rFonts w:asciiTheme="majorBidi" w:hAnsiTheme="majorBidi" w:cstheme="majorBidi"/>
          <w:spacing w:val="-2"/>
          <w:lang w:val="en-GB"/>
        </w:rPr>
        <w:t xml:space="preserve">. </w:t>
      </w:r>
      <w:r w:rsidRPr="00686690">
        <w:rPr>
          <w:rFonts w:asciiTheme="majorBidi" w:hAnsiTheme="majorBidi" w:cstheme="majorBidi"/>
          <w:color w:val="auto"/>
          <w:lang w:val="en-GB"/>
        </w:rPr>
        <w:t>Land is one such essential natural resource of finite quantity and a public good fundamental</w:t>
      </w:r>
      <w:r w:rsidRPr="00686690">
        <w:rPr>
          <w:rFonts w:asciiTheme="majorBidi" w:hAnsiTheme="majorBidi" w:cstheme="majorBidi"/>
          <w:i/>
          <w:color w:val="auto"/>
          <w:lang w:val="en-GB"/>
        </w:rPr>
        <w:t xml:space="preserve"> </w:t>
      </w:r>
      <w:r w:rsidRPr="00686690">
        <w:rPr>
          <w:rFonts w:asciiTheme="majorBidi" w:hAnsiTheme="majorBidi" w:cstheme="majorBidi"/>
          <w:iCs/>
          <w:color w:val="auto"/>
          <w:lang w:val="en-GB"/>
        </w:rPr>
        <w:t>to a life</w:t>
      </w:r>
      <w:r w:rsidRPr="00686690">
        <w:rPr>
          <w:rFonts w:asciiTheme="majorBidi" w:hAnsiTheme="majorBidi" w:cstheme="majorBidi"/>
          <w:i/>
          <w:color w:val="auto"/>
          <w:lang w:val="en-GB"/>
        </w:rPr>
        <w:t xml:space="preserve"> </w:t>
      </w:r>
      <w:r w:rsidRPr="00686690">
        <w:rPr>
          <w:rFonts w:asciiTheme="majorBidi" w:hAnsiTheme="majorBidi" w:cstheme="majorBidi"/>
          <w:iCs/>
          <w:color w:val="auto"/>
          <w:lang w:val="en-GB"/>
        </w:rPr>
        <w:t xml:space="preserve">of well-being and dignity </w:t>
      </w:r>
      <w:r w:rsidRPr="00686690">
        <w:rPr>
          <w:rFonts w:asciiTheme="majorBidi" w:hAnsiTheme="majorBidi" w:cstheme="majorBidi"/>
          <w:color w:val="auto"/>
          <w:lang w:val="en-GB"/>
        </w:rPr>
        <w:t xml:space="preserve">for human beings as an earth-bound species. </w:t>
      </w:r>
    </w:p>
    <w:p w14:paraId="567CF46D" w14:textId="77777777" w:rsidR="00686690" w:rsidRPr="00686690" w:rsidRDefault="00686690" w:rsidP="00686690">
      <w:pPr>
        <w:keepNext/>
        <w:keepLines/>
        <w:pBdr>
          <w:top w:val="none" w:sz="0" w:space="0" w:color="auto"/>
          <w:left w:val="none" w:sz="0" w:space="0" w:color="auto"/>
          <w:bottom w:val="none" w:sz="0" w:space="0" w:color="auto"/>
          <w:right w:val="none" w:sz="0" w:space="0" w:color="auto"/>
        </w:pBdr>
        <w:shd w:val="clear" w:color="auto" w:fill="FFFFFF"/>
        <w:spacing w:after="120"/>
        <w:jc w:val="lowKashida"/>
        <w:outlineLvl w:val="0"/>
        <w:rPr>
          <w:rFonts w:asciiTheme="majorBidi" w:hAnsiTheme="majorBidi" w:cstheme="majorBidi"/>
          <w:sz w:val="22"/>
          <w:szCs w:val="22"/>
          <w:lang w:val="en-GB"/>
        </w:rPr>
      </w:pPr>
      <w:r w:rsidRPr="00686690">
        <w:rPr>
          <w:rFonts w:asciiTheme="majorBidi" w:hAnsiTheme="majorBidi" w:cstheme="majorBidi"/>
          <w:sz w:val="22"/>
          <w:szCs w:val="22"/>
          <w:lang w:val="en-GB"/>
        </w:rPr>
        <w:t xml:space="preserve">With this normative grounding, as it were, land as a human right becomes a common element to be administered—i.e., monitored, distributed, administered, protected and preserved for current and future generations—as any finite public resource in the context of human activity. </w:t>
      </w:r>
    </w:p>
    <w:p w14:paraId="12B9F010" w14:textId="77777777" w:rsidR="00686690" w:rsidRPr="00686690" w:rsidRDefault="00686690" w:rsidP="00686690">
      <w:pPr>
        <w:pStyle w:val="Body"/>
        <w:keepNext/>
        <w:keepLines/>
        <w:pBdr>
          <w:top w:val="none" w:sz="0" w:space="0" w:color="auto"/>
          <w:left w:val="none" w:sz="0" w:space="0" w:color="auto"/>
          <w:bottom w:val="none" w:sz="0" w:space="0" w:color="auto"/>
          <w:right w:val="none" w:sz="0" w:space="0" w:color="auto"/>
        </w:pBdr>
        <w:shd w:val="clear" w:color="auto" w:fill="FFFFFF"/>
        <w:spacing w:after="120" w:line="240" w:lineRule="auto"/>
        <w:jc w:val="lowKashida"/>
        <w:outlineLvl w:val="0"/>
        <w:rPr>
          <w:rFonts w:asciiTheme="majorBidi" w:hAnsiTheme="majorBidi" w:cstheme="majorBidi"/>
          <w:lang w:val="en-GB"/>
        </w:rPr>
      </w:pPr>
      <w:r w:rsidRPr="00686690">
        <w:rPr>
          <w:rFonts w:asciiTheme="majorBidi" w:hAnsiTheme="majorBidi" w:cstheme="majorBidi"/>
          <w:color w:val="auto"/>
          <w:lang w:val="en-GB"/>
        </w:rPr>
        <w:t>The functioning of the human body ultimately relies on a relationship to land by virtue of its coexistence with the physical forces of gravity.</w:t>
      </w:r>
      <w:r w:rsidRPr="00686690">
        <w:rPr>
          <w:rStyle w:val="EndnoteReference"/>
          <w:rFonts w:asciiTheme="majorBidi" w:hAnsiTheme="majorBidi" w:cstheme="majorBidi"/>
          <w:color w:val="auto"/>
          <w:lang w:val="en-GB"/>
        </w:rPr>
        <w:endnoteReference w:id="9"/>
      </w:r>
      <w:r w:rsidRPr="00686690">
        <w:rPr>
          <w:rFonts w:asciiTheme="majorBidi" w:hAnsiTheme="majorBidi" w:cstheme="majorBidi"/>
          <w:color w:val="auto"/>
          <w:lang w:val="en-GB"/>
        </w:rPr>
        <w:t xml:space="preserve"> </w:t>
      </w:r>
      <w:r w:rsidRPr="00686690">
        <w:rPr>
          <w:rFonts w:asciiTheme="majorBidi" w:hAnsiTheme="majorBidi" w:cstheme="majorBidi"/>
          <w:lang w:val="en-GB"/>
        </w:rPr>
        <w:t>Human contact with land also represents a potential treatment and remedy to a variety of degenerative diseases,</w:t>
      </w:r>
      <w:r w:rsidRPr="00686690">
        <w:rPr>
          <w:rStyle w:val="EndnoteReference"/>
          <w:rFonts w:asciiTheme="majorBidi" w:hAnsiTheme="majorBidi" w:cstheme="majorBidi"/>
          <w:lang w:val="en-GB"/>
        </w:rPr>
        <w:endnoteReference w:id="10"/>
      </w:r>
      <w:r w:rsidRPr="00686690">
        <w:rPr>
          <w:rFonts w:asciiTheme="majorBidi" w:hAnsiTheme="majorBidi" w:cstheme="majorBidi"/>
          <w:lang w:val="en-GB"/>
        </w:rPr>
        <w:t xml:space="preserve"> and a primary factor in regulating the endocrine and nervous system.</w:t>
      </w:r>
      <w:r w:rsidRPr="00686690">
        <w:rPr>
          <w:rStyle w:val="EndnoteReference"/>
          <w:rFonts w:asciiTheme="majorBidi" w:hAnsiTheme="majorBidi" w:cstheme="majorBidi"/>
          <w:lang w:val="en-GB"/>
        </w:rPr>
        <w:endnoteReference w:id="11"/>
      </w:r>
      <w:r w:rsidRPr="00686690">
        <w:rPr>
          <w:rFonts w:asciiTheme="majorBidi" w:hAnsiTheme="majorBidi" w:cstheme="majorBidi"/>
          <w:lang w:val="en-GB"/>
        </w:rPr>
        <w:t xml:space="preserve"> While the dominant electromagnetic frequency of the earth (7.83 Hz)</w:t>
      </w:r>
      <w:r w:rsidRPr="00686690">
        <w:rPr>
          <w:rStyle w:val="EndnoteReference"/>
          <w:rFonts w:asciiTheme="majorBidi" w:hAnsiTheme="majorBidi" w:cstheme="majorBidi"/>
          <w:lang w:val="en-GB"/>
        </w:rPr>
        <w:endnoteReference w:id="12"/>
      </w:r>
      <w:r w:rsidRPr="00686690">
        <w:rPr>
          <w:rFonts w:asciiTheme="majorBidi" w:hAnsiTheme="majorBidi" w:cstheme="majorBidi"/>
          <w:lang w:val="en-GB"/>
        </w:rPr>
        <w:t xml:space="preserve"> is the same as the dominant frequency of the human brain and extremely close to that of alpha rhythms,</w:t>
      </w:r>
      <w:r w:rsidRPr="00686690">
        <w:rPr>
          <w:rStyle w:val="EndnoteReference"/>
          <w:rFonts w:asciiTheme="majorBidi" w:hAnsiTheme="majorBidi" w:cstheme="majorBidi"/>
          <w:lang w:val="en-GB"/>
        </w:rPr>
        <w:endnoteReference w:id="13"/>
      </w:r>
      <w:r w:rsidRPr="00686690">
        <w:rPr>
          <w:rFonts w:asciiTheme="majorBidi" w:hAnsiTheme="majorBidi" w:cstheme="majorBidi"/>
          <w:lang w:val="en-GB"/>
        </w:rPr>
        <w:t xml:space="preserve"> the intense negative charge carried by the earth is electron-rich, and the human body’s direct physical contact with the land is a potent antioxidant.</w:t>
      </w:r>
    </w:p>
    <w:p w14:paraId="023B4FF6" w14:textId="77777777" w:rsidR="00686690" w:rsidRPr="00686690" w:rsidRDefault="00686690" w:rsidP="00686690">
      <w:pPr>
        <w:pStyle w:val="Body"/>
        <w:pBdr>
          <w:top w:val="none" w:sz="0" w:space="0" w:color="auto"/>
          <w:left w:val="none" w:sz="0" w:space="0" w:color="auto"/>
          <w:bottom w:val="none" w:sz="0" w:space="0" w:color="auto"/>
          <w:right w:val="none" w:sz="0" w:space="0" w:color="auto"/>
        </w:pBdr>
        <w:shd w:val="clear" w:color="auto" w:fill="FFFFFF"/>
        <w:spacing w:after="120" w:line="240" w:lineRule="auto"/>
        <w:jc w:val="lowKashida"/>
        <w:rPr>
          <w:rFonts w:asciiTheme="majorBidi" w:hAnsiTheme="majorBidi" w:cstheme="majorBidi"/>
          <w:color w:val="auto"/>
          <w:lang w:val="en-GB"/>
        </w:rPr>
      </w:pPr>
      <w:r w:rsidRPr="00686690">
        <w:rPr>
          <w:rFonts w:asciiTheme="majorBidi" w:hAnsiTheme="majorBidi" w:cstheme="majorBidi"/>
          <w:color w:val="auto"/>
          <w:lang w:val="en-GB"/>
        </w:rPr>
        <w:t>The notion of land as a common good, or part of the human commons, is expressed in many cultures. Inherent in the traditions and cultures of traditional and indigenous peoples is the concept of collective guardianship of land and the prohibition against land’s treatment as a commodity. Notably in Islamic cultures is the prophetic Tradition that “people share in three things: water, (pasture) land and fire” and “it is forbidden to put a price on them.”</w:t>
      </w:r>
      <w:r w:rsidRPr="00686690">
        <w:rPr>
          <w:rStyle w:val="EndnoteReference"/>
          <w:rFonts w:asciiTheme="majorBidi" w:hAnsiTheme="majorBidi" w:cstheme="majorBidi"/>
          <w:color w:val="auto"/>
          <w:lang w:val="en-GB"/>
        </w:rPr>
        <w:endnoteReference w:id="14"/>
      </w:r>
    </w:p>
    <w:p w14:paraId="3877420C" w14:textId="77777777" w:rsidR="00686690" w:rsidRPr="00686690" w:rsidRDefault="00686690" w:rsidP="00686690">
      <w:pPr>
        <w:pBdr>
          <w:top w:val="none" w:sz="0" w:space="0" w:color="auto"/>
          <w:left w:val="none" w:sz="0" w:space="0" w:color="auto"/>
          <w:bottom w:val="none" w:sz="0" w:space="0" w:color="auto"/>
          <w:right w:val="none" w:sz="0" w:space="0" w:color="auto"/>
        </w:pBdr>
        <w:shd w:val="clear" w:color="auto" w:fill="FFFFFF"/>
        <w:spacing w:after="120"/>
        <w:jc w:val="lowKashida"/>
        <w:rPr>
          <w:rFonts w:asciiTheme="majorBidi" w:hAnsiTheme="majorBidi" w:cstheme="majorBidi"/>
          <w:sz w:val="22"/>
          <w:szCs w:val="22"/>
          <w:lang w:val="en-GB"/>
        </w:rPr>
      </w:pPr>
      <w:r w:rsidRPr="00686690">
        <w:rPr>
          <w:rFonts w:asciiTheme="majorBidi" w:hAnsiTheme="majorBidi" w:cstheme="majorBidi"/>
          <w:sz w:val="22"/>
          <w:szCs w:val="22"/>
          <w:lang w:val="en-GB"/>
        </w:rPr>
        <w:t>In many earthly human cultures, this synchronicity and symbiosis are considered sacrosanct.</w:t>
      </w:r>
      <w:r w:rsidRPr="00686690">
        <w:rPr>
          <w:rStyle w:val="EndnoteReference"/>
          <w:rFonts w:asciiTheme="majorBidi" w:hAnsiTheme="majorBidi" w:cstheme="majorBidi"/>
          <w:sz w:val="22"/>
          <w:szCs w:val="22"/>
          <w:lang w:val="en-GB"/>
        </w:rPr>
        <w:endnoteReference w:id="15"/>
      </w:r>
      <w:r w:rsidRPr="00686690">
        <w:rPr>
          <w:rFonts w:asciiTheme="majorBidi" w:hAnsiTheme="majorBidi" w:cstheme="majorBidi"/>
          <w:sz w:val="22"/>
          <w:szCs w:val="22"/>
          <w:lang w:val="en-GB"/>
        </w:rPr>
        <w:t xml:space="preserve"> For millennia, Sioux people have expressed the life-giving force of the land and soil as part of their nature.</w:t>
      </w:r>
      <w:r w:rsidRPr="00686690">
        <w:rPr>
          <w:rStyle w:val="EndnoteReference"/>
          <w:rFonts w:asciiTheme="majorBidi" w:hAnsiTheme="majorBidi" w:cstheme="majorBidi"/>
          <w:sz w:val="22"/>
          <w:szCs w:val="22"/>
          <w:lang w:val="en-GB"/>
        </w:rPr>
        <w:endnoteReference w:id="16"/>
      </w:r>
      <w:r w:rsidRPr="00686690">
        <w:rPr>
          <w:rFonts w:asciiTheme="majorBidi" w:hAnsiTheme="majorBidi" w:cstheme="majorBidi"/>
          <w:sz w:val="22"/>
          <w:szCs w:val="22"/>
          <w:lang w:val="en-GB"/>
        </w:rPr>
        <w:t xml:space="preserve"> Modern cultures consider physical access to land as a therapy known as grounding, or “earthing,” or what Germans call </w:t>
      </w:r>
      <w:proofErr w:type="spellStart"/>
      <w:r w:rsidRPr="00686690">
        <w:rPr>
          <w:rFonts w:asciiTheme="majorBidi" w:hAnsiTheme="majorBidi" w:cstheme="majorBidi"/>
          <w:i/>
          <w:iCs/>
          <w:sz w:val="22"/>
          <w:szCs w:val="22"/>
          <w:lang w:val="en-GB"/>
        </w:rPr>
        <w:t>Waldbaden</w:t>
      </w:r>
      <w:proofErr w:type="spellEnd"/>
      <w:r w:rsidRPr="00686690">
        <w:rPr>
          <w:rFonts w:asciiTheme="majorBidi" w:hAnsiTheme="majorBidi" w:cstheme="majorBidi"/>
          <w:i/>
          <w:iCs/>
          <w:sz w:val="22"/>
          <w:szCs w:val="22"/>
          <w:lang w:val="en-GB"/>
        </w:rPr>
        <w:t xml:space="preserve"> </w:t>
      </w:r>
      <w:r w:rsidRPr="00686690">
        <w:rPr>
          <w:rFonts w:asciiTheme="majorBidi" w:hAnsiTheme="majorBidi" w:cstheme="majorBidi"/>
          <w:sz w:val="22"/>
          <w:szCs w:val="22"/>
          <w:lang w:val="en-GB"/>
        </w:rPr>
        <w:t xml:space="preserve">and Japanese refer to as </w:t>
      </w:r>
      <w:proofErr w:type="spellStart"/>
      <w:r w:rsidRPr="00686690">
        <w:rPr>
          <w:rFonts w:asciiTheme="majorBidi" w:hAnsiTheme="majorBidi" w:cstheme="majorBidi"/>
          <w:i/>
          <w:iCs/>
          <w:sz w:val="22"/>
          <w:szCs w:val="22"/>
          <w:lang w:val="en-GB"/>
        </w:rPr>
        <w:t>Shinrin</w:t>
      </w:r>
      <w:proofErr w:type="spellEnd"/>
      <w:r w:rsidRPr="00686690">
        <w:rPr>
          <w:rFonts w:asciiTheme="majorBidi" w:hAnsiTheme="majorBidi" w:cstheme="majorBidi"/>
          <w:i/>
          <w:iCs/>
          <w:sz w:val="22"/>
          <w:szCs w:val="22"/>
          <w:lang w:val="en-GB"/>
        </w:rPr>
        <w:t xml:space="preserve"> </w:t>
      </w:r>
      <w:proofErr w:type="spellStart"/>
      <w:r w:rsidRPr="00686690">
        <w:rPr>
          <w:rFonts w:asciiTheme="majorBidi" w:hAnsiTheme="majorBidi" w:cstheme="majorBidi"/>
          <w:i/>
          <w:iCs/>
          <w:sz w:val="22"/>
          <w:szCs w:val="22"/>
          <w:lang w:val="en-GB"/>
        </w:rPr>
        <w:t>Yoku</w:t>
      </w:r>
      <w:proofErr w:type="spellEnd"/>
      <w:r w:rsidRPr="00686690">
        <w:rPr>
          <w:rFonts w:asciiTheme="majorBidi" w:hAnsiTheme="majorBidi" w:cstheme="majorBidi"/>
          <w:sz w:val="22"/>
          <w:szCs w:val="22"/>
          <w:lang w:val="en-GB"/>
        </w:rPr>
        <w:t xml:space="preserve">. </w:t>
      </w:r>
    </w:p>
    <w:p w14:paraId="522D8A3F" w14:textId="77777777" w:rsidR="00686690" w:rsidRPr="00686690" w:rsidRDefault="00686690" w:rsidP="00686690">
      <w:pPr>
        <w:keepNext/>
        <w:keepLines/>
        <w:pBdr>
          <w:top w:val="none" w:sz="0" w:space="0" w:color="auto"/>
          <w:left w:val="none" w:sz="0" w:space="0" w:color="auto"/>
          <w:bottom w:val="none" w:sz="0" w:space="0" w:color="auto"/>
          <w:right w:val="none" w:sz="0" w:space="0" w:color="auto"/>
        </w:pBdr>
        <w:shd w:val="clear" w:color="auto" w:fill="FFFFFF"/>
        <w:spacing w:after="120"/>
        <w:jc w:val="lowKashida"/>
        <w:outlineLvl w:val="0"/>
        <w:rPr>
          <w:rFonts w:asciiTheme="majorBidi" w:hAnsiTheme="majorBidi" w:cstheme="majorBidi"/>
          <w:sz w:val="22"/>
          <w:szCs w:val="22"/>
          <w:lang w:val="en-GB"/>
        </w:rPr>
      </w:pPr>
      <w:r w:rsidRPr="00686690">
        <w:rPr>
          <w:rFonts w:asciiTheme="majorBidi" w:hAnsiTheme="majorBidi" w:cstheme="majorBidi"/>
          <w:sz w:val="22"/>
          <w:szCs w:val="22"/>
          <w:lang w:val="en-GB"/>
        </w:rPr>
        <w:t>In the technological age humans are inundated with multiple electronic—including wireless—signals, while the earth remains the constant source of the natural frequency that human mental and physical existence require to function in a healthy way. This physiological reality makes land an indispensable factor of humans’ well-being in their primordial habitat and/or built environment. Land, therefore, is an essential element in the human health equation, along with sunshine, clean air and water,</w:t>
      </w:r>
      <w:r w:rsidRPr="00686690">
        <w:rPr>
          <w:rStyle w:val="EndnoteReference"/>
          <w:rFonts w:asciiTheme="majorBidi" w:hAnsiTheme="majorBidi" w:cstheme="majorBidi"/>
          <w:sz w:val="22"/>
          <w:szCs w:val="22"/>
          <w:lang w:val="en-GB"/>
        </w:rPr>
        <w:endnoteReference w:id="17"/>
      </w:r>
      <w:r w:rsidRPr="00686690">
        <w:rPr>
          <w:rFonts w:asciiTheme="majorBidi" w:hAnsiTheme="majorBidi" w:cstheme="majorBidi"/>
          <w:sz w:val="22"/>
          <w:szCs w:val="22"/>
          <w:lang w:val="en-GB"/>
        </w:rPr>
        <w:t xml:space="preserve"> nutritious food,</w:t>
      </w:r>
      <w:r w:rsidRPr="00686690">
        <w:rPr>
          <w:rStyle w:val="EndnoteReference"/>
          <w:rFonts w:asciiTheme="majorBidi" w:hAnsiTheme="majorBidi" w:cstheme="majorBidi"/>
          <w:sz w:val="22"/>
          <w:szCs w:val="22"/>
          <w:lang w:val="en-GB"/>
        </w:rPr>
        <w:endnoteReference w:id="18"/>
      </w:r>
      <w:r w:rsidRPr="00686690">
        <w:rPr>
          <w:rFonts w:asciiTheme="majorBidi" w:hAnsiTheme="majorBidi" w:cstheme="majorBidi"/>
          <w:sz w:val="22"/>
          <w:szCs w:val="22"/>
          <w:lang w:val="en-GB"/>
        </w:rPr>
        <w:t xml:space="preserve"> and physical activity.</w:t>
      </w:r>
      <w:r w:rsidRPr="00686690">
        <w:rPr>
          <w:rStyle w:val="EndnoteReference"/>
          <w:rFonts w:asciiTheme="majorBidi" w:hAnsiTheme="majorBidi" w:cstheme="majorBidi"/>
          <w:sz w:val="22"/>
          <w:szCs w:val="22"/>
          <w:lang w:val="en-GB"/>
        </w:rPr>
        <w:endnoteReference w:id="19"/>
      </w:r>
    </w:p>
    <w:p w14:paraId="381D7318" w14:textId="77777777" w:rsidR="00686690" w:rsidRPr="00686690" w:rsidRDefault="00686690" w:rsidP="00686690">
      <w:pPr>
        <w:pStyle w:val="Body"/>
        <w:pBdr>
          <w:top w:val="none" w:sz="0" w:space="0" w:color="auto"/>
          <w:left w:val="none" w:sz="0" w:space="0" w:color="auto"/>
          <w:bottom w:val="none" w:sz="0" w:space="0" w:color="auto"/>
          <w:right w:val="none" w:sz="0" w:space="0" w:color="auto"/>
        </w:pBdr>
        <w:shd w:val="clear" w:color="auto" w:fill="FFFFFF"/>
        <w:spacing w:after="120" w:line="240" w:lineRule="auto"/>
        <w:jc w:val="lowKashida"/>
        <w:rPr>
          <w:rFonts w:asciiTheme="majorBidi" w:hAnsiTheme="majorBidi" w:cstheme="majorBidi"/>
          <w:color w:val="auto"/>
          <w:spacing w:val="-2"/>
          <w:lang w:val="en-GB"/>
        </w:rPr>
      </w:pPr>
      <w:r w:rsidRPr="00686690">
        <w:rPr>
          <w:rFonts w:asciiTheme="majorBidi" w:hAnsiTheme="majorBidi" w:cstheme="majorBidi"/>
          <w:color w:val="auto"/>
          <w:spacing w:val="-2"/>
          <w:lang w:val="en-GB"/>
        </w:rPr>
        <w:t>Land is also attributed with multiple functions: economic, social, cultural and ecological.</w:t>
      </w:r>
      <w:r w:rsidRPr="00686690">
        <w:rPr>
          <w:rStyle w:val="EndnoteReference"/>
          <w:rFonts w:asciiTheme="majorBidi" w:hAnsiTheme="majorBidi" w:cstheme="majorBidi"/>
          <w:color w:val="auto"/>
          <w:spacing w:val="-2"/>
          <w:lang w:val="en-GB"/>
        </w:rPr>
        <w:endnoteReference w:id="20"/>
      </w:r>
      <w:r w:rsidRPr="00686690">
        <w:rPr>
          <w:rFonts w:asciiTheme="majorBidi" w:hAnsiTheme="majorBidi" w:cstheme="majorBidi"/>
          <w:color w:val="auto"/>
          <w:spacing w:val="-2"/>
          <w:lang w:val="en-GB"/>
        </w:rPr>
        <w:t xml:space="preserve"> Respecting, protecting and fulfilling secure and equitable access, management, use and secure tenure of adequate land constitute primary elements in a domino causality toward the realization of other human rights.</w:t>
      </w:r>
    </w:p>
    <w:p w14:paraId="6F3C0E65" w14:textId="77777777" w:rsidR="00686690" w:rsidRDefault="00686690" w:rsidP="00686690">
      <w:pPr>
        <w:pStyle w:val="Body"/>
        <w:pBdr>
          <w:top w:val="none" w:sz="0" w:space="0" w:color="auto"/>
          <w:left w:val="none" w:sz="0" w:space="0" w:color="auto"/>
          <w:bottom w:val="none" w:sz="0" w:space="0" w:color="auto"/>
          <w:right w:val="none" w:sz="0" w:space="0" w:color="auto"/>
        </w:pBdr>
        <w:shd w:val="clear" w:color="auto" w:fill="FFFFFF"/>
        <w:spacing w:after="0" w:line="240" w:lineRule="auto"/>
        <w:jc w:val="lowKashida"/>
        <w:rPr>
          <w:rFonts w:asciiTheme="majorBidi" w:hAnsiTheme="majorBidi" w:cstheme="majorBidi"/>
          <w:color w:val="auto"/>
          <w:spacing w:val="-2"/>
          <w:lang w:val="en-GB"/>
        </w:rPr>
      </w:pPr>
      <w:r w:rsidRPr="00686690">
        <w:rPr>
          <w:rFonts w:asciiTheme="majorBidi" w:hAnsiTheme="majorBidi" w:cstheme="majorBidi"/>
          <w:color w:val="auto"/>
          <w:spacing w:val="-2"/>
          <w:lang w:val="en-GB"/>
        </w:rPr>
        <w:t xml:space="preserve">Both expressions of land as a universal human need and human right, as well as the special relationship of certain human populations to the basic element and resource of land, underscore these economic, social and environmental functions of land as a common good and resource. Land as a human right makes it both an individual and collective prerequisite to the realization of other internationally guaranteed rights, highlighting the importance of </w:t>
      </w:r>
      <w:bookmarkStart w:id="3" w:name="_Hlk21621767"/>
      <w:r w:rsidRPr="00686690">
        <w:rPr>
          <w:rFonts w:asciiTheme="majorBidi" w:hAnsiTheme="majorBidi" w:cstheme="majorBidi"/>
          <w:color w:val="auto"/>
          <w:spacing w:val="-2"/>
          <w:lang w:val="en-GB"/>
        </w:rPr>
        <w:t>articulating clear and consistent human rights obligations of states in relation to land as a distinct human right</w:t>
      </w:r>
      <w:bookmarkEnd w:id="3"/>
      <w:r w:rsidRPr="00686690">
        <w:rPr>
          <w:rFonts w:asciiTheme="majorBidi" w:hAnsiTheme="majorBidi" w:cstheme="majorBidi"/>
          <w:color w:val="auto"/>
          <w:spacing w:val="-2"/>
          <w:lang w:val="en-GB"/>
        </w:rPr>
        <w:t xml:space="preserve">, as well as essential element for the realization of other rights guaranteed in the Covenant to which they are party. </w:t>
      </w:r>
    </w:p>
    <w:p w14:paraId="7C5B659E" w14:textId="357B75C7" w:rsidR="00686690" w:rsidRPr="00686690" w:rsidRDefault="00686690" w:rsidP="00686690">
      <w:pPr>
        <w:pStyle w:val="Body"/>
        <w:keepNext/>
        <w:keepLines/>
        <w:pBdr>
          <w:top w:val="none" w:sz="0" w:space="0" w:color="auto"/>
          <w:left w:val="none" w:sz="0" w:space="0" w:color="auto"/>
          <w:bottom w:val="none" w:sz="0" w:space="0" w:color="auto"/>
          <w:right w:val="none" w:sz="0" w:space="0" w:color="auto"/>
        </w:pBdr>
        <w:shd w:val="clear" w:color="auto" w:fill="FFFFFF"/>
        <w:spacing w:after="120" w:line="240" w:lineRule="auto"/>
        <w:outlineLvl w:val="0"/>
        <w:rPr>
          <w:rFonts w:asciiTheme="majorBidi" w:hAnsiTheme="majorBidi" w:cstheme="majorBidi"/>
          <w:b/>
          <w:bCs/>
          <w:color w:val="auto"/>
          <w:spacing w:val="-2"/>
          <w:lang w:val="en-GB"/>
        </w:rPr>
      </w:pPr>
      <w:r w:rsidRPr="00686690">
        <w:rPr>
          <w:rFonts w:asciiTheme="majorBidi" w:hAnsiTheme="majorBidi" w:cstheme="majorBidi"/>
          <w:b/>
          <w:bCs/>
          <w:color w:val="auto"/>
          <w:spacing w:val="-2"/>
          <w:lang w:val="en-GB"/>
        </w:rPr>
        <w:lastRenderedPageBreak/>
        <w:t>Toward a General Comment on the Human Right to Land</w:t>
      </w:r>
    </w:p>
    <w:p w14:paraId="59564C78" w14:textId="77777777" w:rsidR="00686690" w:rsidRPr="00686690" w:rsidRDefault="00686690" w:rsidP="00686690">
      <w:pPr>
        <w:pStyle w:val="Body"/>
        <w:keepNext/>
        <w:keepLines/>
        <w:pBdr>
          <w:top w:val="none" w:sz="0" w:space="0" w:color="auto"/>
          <w:left w:val="none" w:sz="0" w:space="0" w:color="auto"/>
          <w:bottom w:val="none" w:sz="0" w:space="0" w:color="auto"/>
          <w:right w:val="none" w:sz="0" w:space="0" w:color="auto"/>
        </w:pBdr>
        <w:shd w:val="clear" w:color="auto" w:fill="FFFFFF"/>
        <w:spacing w:after="120" w:line="240" w:lineRule="auto"/>
        <w:jc w:val="lowKashida"/>
        <w:outlineLvl w:val="0"/>
        <w:rPr>
          <w:rFonts w:asciiTheme="majorBidi" w:hAnsiTheme="majorBidi" w:cstheme="majorBidi"/>
          <w:color w:val="auto"/>
          <w:spacing w:val="-4"/>
          <w:lang w:val="en-GB"/>
        </w:rPr>
      </w:pPr>
      <w:r w:rsidRPr="00686690">
        <w:rPr>
          <w:rFonts w:asciiTheme="majorBidi" w:hAnsiTheme="majorBidi" w:cstheme="majorBidi"/>
          <w:color w:val="auto"/>
          <w:spacing w:val="-4"/>
          <w:lang w:val="en-GB"/>
        </w:rPr>
        <w:t xml:space="preserve">In order to articulate the obligations of states in relation to land as a distinct human right, CESCR’s authoritative interpretation could overcome the methodological dilemma by treating land not merely as a context in which other Covenant rights are to be respected, protected and fulfilled. By comparison, the foregoing General Comment No. 34 exemplifies the case of an interpretation of established rights in the context of business activities. Land, however, is not merely a human activity or </w:t>
      </w:r>
      <w:proofErr w:type="gramStart"/>
      <w:r w:rsidRPr="00686690">
        <w:rPr>
          <w:rFonts w:asciiTheme="majorBidi" w:hAnsiTheme="majorBidi" w:cstheme="majorBidi"/>
          <w:color w:val="auto"/>
          <w:spacing w:val="-4"/>
          <w:lang w:val="en-GB"/>
        </w:rPr>
        <w:t>particular circumstance</w:t>
      </w:r>
      <w:proofErr w:type="gramEnd"/>
      <w:r w:rsidRPr="00686690">
        <w:rPr>
          <w:rFonts w:asciiTheme="majorBidi" w:hAnsiTheme="majorBidi" w:cstheme="majorBidi"/>
          <w:color w:val="auto"/>
          <w:spacing w:val="-4"/>
          <w:lang w:val="en-GB"/>
        </w:rPr>
        <w:t xml:space="preserve">, but constitutes an indispensable value of human existence. </w:t>
      </w:r>
    </w:p>
    <w:p w14:paraId="5EC06AFD" w14:textId="77777777" w:rsidR="00686690" w:rsidRPr="00686690" w:rsidRDefault="00686690" w:rsidP="00686690">
      <w:pPr>
        <w:pStyle w:val="Body"/>
        <w:keepNext/>
        <w:keepLines/>
        <w:pBdr>
          <w:top w:val="none" w:sz="0" w:space="0" w:color="auto"/>
          <w:left w:val="none" w:sz="0" w:space="0" w:color="auto"/>
          <w:bottom w:val="none" w:sz="0" w:space="0" w:color="auto"/>
          <w:right w:val="none" w:sz="0" w:space="0" w:color="auto"/>
        </w:pBdr>
        <w:shd w:val="clear" w:color="auto" w:fill="FFFFFF"/>
        <w:spacing w:after="120" w:line="240" w:lineRule="auto"/>
        <w:jc w:val="lowKashida"/>
        <w:outlineLvl w:val="0"/>
        <w:rPr>
          <w:rFonts w:asciiTheme="majorBidi" w:hAnsiTheme="majorBidi" w:cstheme="majorBidi"/>
          <w:color w:val="auto"/>
          <w:spacing w:val="-4"/>
          <w:lang w:val="en-GB"/>
        </w:rPr>
      </w:pPr>
      <w:r w:rsidRPr="00686690">
        <w:rPr>
          <w:rFonts w:asciiTheme="majorBidi" w:hAnsiTheme="majorBidi" w:cstheme="majorBidi"/>
          <w:color w:val="auto"/>
          <w:spacing w:val="-4"/>
          <w:lang w:val="en-GB"/>
        </w:rPr>
        <w:t>As developed through the CESCR’s interpretation of state party obligations corresponding to other specific human rights, a General Comment on the human right to land should follow a similar forensic method. Therefore, building on the multidisciplinary approach in this submission, we recommend the General Comment on land provide the normative content, sources in law, state obligations and violations pertaining to the human right to land.</w:t>
      </w:r>
    </w:p>
    <w:p w14:paraId="16D54C1F" w14:textId="77777777" w:rsidR="00686690" w:rsidRPr="00686690" w:rsidRDefault="00686690" w:rsidP="00686690">
      <w:pPr>
        <w:keepNext/>
        <w:keepLines/>
        <w:pBdr>
          <w:top w:val="none" w:sz="0" w:space="0" w:color="auto"/>
          <w:left w:val="none" w:sz="0" w:space="0" w:color="auto"/>
          <w:bottom w:val="none" w:sz="0" w:space="0" w:color="auto"/>
          <w:right w:val="none" w:sz="0" w:space="0" w:color="auto"/>
        </w:pBdr>
        <w:shd w:val="clear" w:color="auto" w:fill="FFFFFF"/>
        <w:spacing w:after="120"/>
        <w:jc w:val="lowKashida"/>
        <w:outlineLvl w:val="0"/>
        <w:rPr>
          <w:rFonts w:asciiTheme="majorBidi" w:hAnsiTheme="majorBidi" w:cstheme="majorBidi"/>
          <w:sz w:val="22"/>
          <w:szCs w:val="22"/>
          <w:lang w:val="en-GB"/>
        </w:rPr>
      </w:pPr>
      <w:r w:rsidRPr="00686690">
        <w:rPr>
          <w:rFonts w:asciiTheme="majorBidi" w:hAnsiTheme="majorBidi" w:cstheme="majorBidi"/>
          <w:sz w:val="22"/>
          <w:szCs w:val="22"/>
          <w:lang w:val="en-GB"/>
        </w:rPr>
        <w:t>The sources of the human right to land in law are inherent on the Covenant in their collective expression as legal persons addressed in Article 1 as members of a people and/or nation, relying directly or indirectly on secure access, use and tenure of land to realize self-determination and other specific human rights, as recognized in foregoing General Comments.</w:t>
      </w:r>
      <w:r w:rsidRPr="00686690">
        <w:rPr>
          <w:rFonts w:asciiTheme="majorBidi" w:hAnsiTheme="majorBidi" w:cstheme="majorBidi"/>
          <w:sz w:val="22"/>
          <w:szCs w:val="22"/>
          <w:vertAlign w:val="superscript"/>
          <w:lang w:val="en-GB"/>
        </w:rPr>
        <w:endnoteReference w:id="21"/>
      </w:r>
      <w:r w:rsidRPr="00686690">
        <w:rPr>
          <w:rFonts w:asciiTheme="majorBidi" w:hAnsiTheme="majorBidi" w:cstheme="majorBidi"/>
          <w:sz w:val="22"/>
          <w:szCs w:val="22"/>
          <w:lang w:val="en-GB"/>
        </w:rPr>
        <w:t xml:space="preserve"> </w:t>
      </w:r>
      <w:r w:rsidRPr="00686690">
        <w:rPr>
          <w:rFonts w:asciiTheme="majorBidi" w:hAnsiTheme="majorBidi" w:cstheme="majorBidi"/>
          <w:sz w:val="22"/>
          <w:szCs w:val="22"/>
        </w:rPr>
        <w:t>Land has been referenced repeatedly in previous General Comments from CESCR as essential to the domino causality required for the realization of other Covenant rights.</w:t>
      </w:r>
    </w:p>
    <w:p w14:paraId="0FD5FD6F" w14:textId="77777777" w:rsidR="00686690" w:rsidRPr="00686690" w:rsidRDefault="00686690" w:rsidP="00686690">
      <w:pPr>
        <w:keepNext/>
        <w:keepLines/>
        <w:pBdr>
          <w:top w:val="none" w:sz="0" w:space="0" w:color="auto"/>
          <w:left w:val="none" w:sz="0" w:space="0" w:color="auto"/>
          <w:bottom w:val="none" w:sz="0" w:space="0" w:color="auto"/>
          <w:right w:val="none" w:sz="0" w:space="0" w:color="auto"/>
        </w:pBdr>
        <w:shd w:val="clear" w:color="auto" w:fill="FFFFFF"/>
        <w:spacing w:after="120"/>
        <w:jc w:val="lowKashida"/>
        <w:outlineLvl w:val="0"/>
        <w:rPr>
          <w:rFonts w:asciiTheme="majorBidi" w:hAnsiTheme="majorBidi" w:cstheme="majorBidi"/>
          <w:sz w:val="22"/>
          <w:szCs w:val="22"/>
          <w:lang w:val="en-GB"/>
        </w:rPr>
      </w:pPr>
      <w:r w:rsidRPr="00686690">
        <w:rPr>
          <w:rFonts w:asciiTheme="majorBidi" w:hAnsiTheme="majorBidi" w:cstheme="majorBidi"/>
          <w:bCs/>
          <w:sz w:val="22"/>
          <w:szCs w:val="22"/>
          <w:lang w:val="en-GB"/>
        </w:rPr>
        <w:t xml:space="preserve">As under any treaty, states parties assume simultaneous individual, collective, domestic and extraterritorial obligations. The seven explicit over-riding principles laid out in the Covenant’s first three Articles are foundational to the Covenant’s structure and indispensable to the methods of its implementation, monitoring and review functions over the short and long runs, answering the question </w:t>
      </w:r>
      <w:r w:rsidRPr="00686690">
        <w:rPr>
          <w:rFonts w:asciiTheme="majorBidi" w:hAnsiTheme="majorBidi" w:cstheme="majorBidi"/>
          <w:bCs/>
          <w:i/>
          <w:iCs/>
          <w:sz w:val="22"/>
          <w:szCs w:val="22"/>
          <w:lang w:val="en-GB"/>
        </w:rPr>
        <w:t xml:space="preserve">how </w:t>
      </w:r>
      <w:r w:rsidRPr="00686690">
        <w:rPr>
          <w:rFonts w:asciiTheme="majorBidi" w:hAnsiTheme="majorBidi" w:cstheme="majorBidi"/>
          <w:bCs/>
          <w:sz w:val="22"/>
          <w:szCs w:val="22"/>
          <w:lang w:val="en-GB"/>
        </w:rPr>
        <w:t xml:space="preserve">states are to perform their function to respect, protect and fulfil the human right to land: (1) Self-determination, (2) </w:t>
      </w:r>
      <w:r w:rsidRPr="00686690">
        <w:rPr>
          <w:rFonts w:asciiTheme="majorBidi" w:hAnsiTheme="majorBidi" w:cstheme="majorBidi"/>
          <w:sz w:val="22"/>
          <w:szCs w:val="22"/>
          <w:lang w:val="en-GB"/>
        </w:rPr>
        <w:t>Non-discrimination, (3) Gender Equality, (4) Rule of Law, (5) Progressive Realization, (6) Maximum of Available Resources and (7) International Cooperation and Assistance.</w:t>
      </w:r>
    </w:p>
    <w:p w14:paraId="1F683955" w14:textId="77777777" w:rsidR="00686690" w:rsidRPr="00686690" w:rsidRDefault="00686690" w:rsidP="00686690">
      <w:pPr>
        <w:keepNext/>
        <w:keepLines/>
        <w:pBdr>
          <w:top w:val="none" w:sz="0" w:space="0" w:color="auto"/>
          <w:left w:val="none" w:sz="0" w:space="0" w:color="auto"/>
          <w:bottom w:val="none" w:sz="0" w:space="0" w:color="auto"/>
          <w:right w:val="none" w:sz="0" w:space="0" w:color="auto"/>
        </w:pBdr>
        <w:shd w:val="clear" w:color="auto" w:fill="FFFFFF"/>
        <w:spacing w:after="120"/>
        <w:jc w:val="lowKashida"/>
        <w:outlineLvl w:val="0"/>
        <w:rPr>
          <w:rFonts w:asciiTheme="majorBidi" w:hAnsiTheme="majorBidi" w:cstheme="majorBidi"/>
          <w:bCs/>
          <w:sz w:val="22"/>
          <w:szCs w:val="22"/>
          <w:lang w:val="en-GB"/>
        </w:rPr>
      </w:pPr>
      <w:r w:rsidRPr="00686690">
        <w:rPr>
          <w:rFonts w:asciiTheme="majorBidi" w:hAnsiTheme="majorBidi" w:cstheme="majorBidi"/>
          <w:bCs/>
          <w:sz w:val="22"/>
          <w:szCs w:val="22"/>
          <w:lang w:val="en-GB"/>
        </w:rPr>
        <w:t xml:space="preserve">Operationalizing the human right to land must be sustainable and inter-generational also, ensuring that the adequacy human right be realized for present and future generations. </w:t>
      </w:r>
    </w:p>
    <w:p w14:paraId="7C6C3995" w14:textId="77777777" w:rsidR="00686690" w:rsidRPr="00686690" w:rsidRDefault="00686690" w:rsidP="00686690">
      <w:pPr>
        <w:keepNext/>
        <w:keepLines/>
        <w:pBdr>
          <w:top w:val="none" w:sz="0" w:space="0" w:color="auto"/>
          <w:left w:val="none" w:sz="0" w:space="0" w:color="auto"/>
          <w:bottom w:val="none" w:sz="0" w:space="0" w:color="auto"/>
          <w:right w:val="none" w:sz="0" w:space="0" w:color="auto"/>
        </w:pBdr>
        <w:shd w:val="clear" w:color="auto" w:fill="FFFFFF"/>
        <w:spacing w:after="120"/>
        <w:jc w:val="lowKashida"/>
        <w:outlineLvl w:val="0"/>
        <w:rPr>
          <w:rFonts w:asciiTheme="majorBidi" w:hAnsiTheme="majorBidi" w:cstheme="majorBidi"/>
          <w:sz w:val="22"/>
          <w:szCs w:val="22"/>
          <w:lang w:val="en-GB"/>
        </w:rPr>
      </w:pPr>
      <w:r w:rsidRPr="00686690">
        <w:rPr>
          <w:rFonts w:asciiTheme="majorBidi" w:hAnsiTheme="majorBidi" w:cstheme="majorBidi"/>
          <w:sz w:val="22"/>
          <w:szCs w:val="22"/>
          <w:lang w:val="en-GB"/>
        </w:rPr>
        <w:t>Land is increasingly recognized explicitly as an indispensable element and subject of sustainable development by the international community in global instruments. That recognition of the common human relationship to land reinforces the appreciation of land as a universal human need and subject of human rights, as affirmed in the application and interpretation of ICESCR, as treaty law (</w:t>
      </w:r>
      <w:proofErr w:type="spellStart"/>
      <w:r w:rsidRPr="00686690">
        <w:rPr>
          <w:rFonts w:asciiTheme="majorBidi" w:hAnsiTheme="majorBidi" w:cstheme="majorBidi"/>
          <w:i/>
          <w:iCs/>
          <w:sz w:val="22"/>
          <w:szCs w:val="22"/>
          <w:lang w:val="en-GB"/>
        </w:rPr>
        <w:t>lex</w:t>
      </w:r>
      <w:proofErr w:type="spellEnd"/>
      <w:r w:rsidRPr="00686690">
        <w:rPr>
          <w:rFonts w:asciiTheme="majorBidi" w:hAnsiTheme="majorBidi" w:cstheme="majorBidi"/>
          <w:i/>
          <w:iCs/>
          <w:sz w:val="22"/>
          <w:szCs w:val="22"/>
          <w:lang w:val="en-GB"/>
        </w:rPr>
        <w:t xml:space="preserve"> </w:t>
      </w:r>
      <w:proofErr w:type="spellStart"/>
      <w:r w:rsidRPr="00686690">
        <w:rPr>
          <w:rFonts w:asciiTheme="majorBidi" w:hAnsiTheme="majorBidi" w:cstheme="majorBidi"/>
          <w:i/>
          <w:iCs/>
          <w:sz w:val="22"/>
          <w:szCs w:val="22"/>
          <w:lang w:val="en-GB"/>
        </w:rPr>
        <w:t>lata</w:t>
      </w:r>
      <w:proofErr w:type="spellEnd"/>
      <w:r w:rsidRPr="00686690">
        <w:rPr>
          <w:rFonts w:asciiTheme="majorBidi" w:hAnsiTheme="majorBidi" w:cstheme="majorBidi"/>
          <w:sz w:val="22"/>
          <w:szCs w:val="22"/>
          <w:lang w:val="en-GB"/>
        </w:rPr>
        <w:t>). The concerns of states and their constituent stakeholders about the impacts of large-scale land acquisitions for diverse purposes, human-caused and natural disasters, and protracted crises, as well as those covered by the global sustainable-development agenda, have sparked deliberation, leading to the development of a series of soft law (</w:t>
      </w:r>
      <w:proofErr w:type="spellStart"/>
      <w:r w:rsidRPr="00686690">
        <w:rPr>
          <w:rFonts w:asciiTheme="majorBidi" w:hAnsiTheme="majorBidi" w:cstheme="majorBidi"/>
          <w:i/>
          <w:iCs/>
          <w:sz w:val="22"/>
          <w:szCs w:val="22"/>
          <w:lang w:val="en-GB"/>
        </w:rPr>
        <w:t>lex</w:t>
      </w:r>
      <w:proofErr w:type="spellEnd"/>
      <w:r w:rsidRPr="00686690">
        <w:rPr>
          <w:rFonts w:asciiTheme="majorBidi" w:hAnsiTheme="majorBidi" w:cstheme="majorBidi"/>
          <w:i/>
          <w:iCs/>
          <w:sz w:val="22"/>
          <w:szCs w:val="22"/>
          <w:lang w:val="en-GB"/>
        </w:rPr>
        <w:t xml:space="preserve"> </w:t>
      </w:r>
      <w:proofErr w:type="spellStart"/>
      <w:r w:rsidRPr="00686690">
        <w:rPr>
          <w:rFonts w:asciiTheme="majorBidi" w:hAnsiTheme="majorBidi" w:cstheme="majorBidi"/>
          <w:i/>
          <w:iCs/>
          <w:sz w:val="22"/>
          <w:szCs w:val="22"/>
          <w:lang w:val="en-GB"/>
        </w:rPr>
        <w:t>feranda</w:t>
      </w:r>
      <w:proofErr w:type="spellEnd"/>
      <w:r w:rsidRPr="00686690">
        <w:rPr>
          <w:rFonts w:asciiTheme="majorBidi" w:hAnsiTheme="majorBidi" w:cstheme="majorBidi"/>
          <w:sz w:val="22"/>
          <w:szCs w:val="22"/>
          <w:lang w:val="en-GB"/>
        </w:rPr>
        <w:t>) instruments in the global policy sphere pertaining to land administration,</w:t>
      </w:r>
      <w:r w:rsidRPr="00686690">
        <w:rPr>
          <w:rStyle w:val="EndnoteReference"/>
          <w:rFonts w:asciiTheme="majorBidi" w:hAnsiTheme="majorBidi" w:cstheme="majorBidi"/>
          <w:sz w:val="22"/>
          <w:szCs w:val="22"/>
          <w:lang w:val="en-GB"/>
        </w:rPr>
        <w:endnoteReference w:id="22"/>
      </w:r>
      <w:r w:rsidRPr="00686690">
        <w:rPr>
          <w:rFonts w:asciiTheme="majorBidi" w:hAnsiTheme="majorBidi" w:cstheme="majorBidi"/>
          <w:sz w:val="22"/>
          <w:szCs w:val="22"/>
          <w:lang w:val="en-GB"/>
        </w:rPr>
        <w:t xml:space="preserve"> including an elaborate process of developing land indicators to measure states’ performance of their global policy commitments in the 2030 Sustainable Development Agenda.</w:t>
      </w:r>
      <w:r w:rsidRPr="00686690">
        <w:rPr>
          <w:rStyle w:val="EndnoteReference"/>
          <w:rFonts w:asciiTheme="majorBidi" w:hAnsiTheme="majorBidi" w:cstheme="majorBidi"/>
          <w:sz w:val="22"/>
          <w:szCs w:val="22"/>
          <w:lang w:val="en-GB"/>
        </w:rPr>
        <w:endnoteReference w:id="23"/>
      </w:r>
      <w:r w:rsidRPr="00686690">
        <w:rPr>
          <w:rFonts w:asciiTheme="majorBidi" w:hAnsiTheme="majorBidi" w:cstheme="majorBidi"/>
          <w:sz w:val="22"/>
          <w:szCs w:val="22"/>
          <w:lang w:val="en-GB"/>
        </w:rPr>
        <w:t xml:space="preserve">  </w:t>
      </w:r>
    </w:p>
    <w:p w14:paraId="5EEA02D0" w14:textId="77777777" w:rsidR="00686690" w:rsidRPr="00686690" w:rsidRDefault="00686690" w:rsidP="00686690">
      <w:pPr>
        <w:pStyle w:val="Body"/>
        <w:pBdr>
          <w:top w:val="none" w:sz="0" w:space="0" w:color="auto"/>
          <w:left w:val="none" w:sz="0" w:space="0" w:color="auto"/>
          <w:bottom w:val="none" w:sz="0" w:space="0" w:color="auto"/>
          <w:right w:val="none" w:sz="0" w:space="0" w:color="auto"/>
        </w:pBdr>
        <w:shd w:val="clear" w:color="auto" w:fill="FFFFFF"/>
        <w:spacing w:after="120" w:line="240" w:lineRule="auto"/>
        <w:jc w:val="lowKashida"/>
        <w:rPr>
          <w:rFonts w:asciiTheme="majorBidi" w:hAnsiTheme="majorBidi" w:cstheme="majorBidi"/>
          <w:b/>
          <w:bCs/>
          <w:i/>
          <w:iCs/>
          <w:color w:val="auto"/>
          <w:lang w:val="en-GB"/>
        </w:rPr>
      </w:pPr>
      <w:r w:rsidRPr="00686690">
        <w:rPr>
          <w:rFonts w:asciiTheme="majorBidi" w:hAnsiTheme="majorBidi" w:cstheme="majorBidi"/>
          <w:b/>
          <w:bCs/>
          <w:i/>
          <w:iCs/>
          <w:color w:val="auto"/>
          <w:lang w:val="en-GB"/>
        </w:rPr>
        <w:t>Indivisibility and Interdependence</w:t>
      </w:r>
    </w:p>
    <w:p w14:paraId="527ABECD" w14:textId="77777777" w:rsidR="00686690" w:rsidRPr="00686690" w:rsidRDefault="00686690" w:rsidP="00686690">
      <w:pPr>
        <w:pStyle w:val="Body"/>
        <w:pBdr>
          <w:top w:val="none" w:sz="0" w:space="0" w:color="auto"/>
          <w:left w:val="none" w:sz="0" w:space="0" w:color="auto"/>
          <w:bottom w:val="none" w:sz="0" w:space="0" w:color="auto"/>
          <w:right w:val="none" w:sz="0" w:space="0" w:color="auto"/>
        </w:pBdr>
        <w:shd w:val="clear" w:color="auto" w:fill="FFFFFF"/>
        <w:spacing w:after="120" w:line="240" w:lineRule="auto"/>
        <w:jc w:val="lowKashida"/>
        <w:rPr>
          <w:rFonts w:asciiTheme="majorBidi" w:hAnsiTheme="majorBidi" w:cstheme="majorBidi"/>
          <w:color w:val="auto"/>
          <w:lang w:val="en-GB"/>
        </w:rPr>
      </w:pPr>
      <w:r w:rsidRPr="00686690">
        <w:rPr>
          <w:rFonts w:asciiTheme="majorBidi" w:hAnsiTheme="majorBidi" w:cstheme="majorBidi"/>
          <w:color w:val="auto"/>
          <w:lang w:val="en-GB"/>
        </w:rPr>
        <w:t>Like land—also not explicit in the Covenant—the human right to water has been recognized, nonetheless, as a common human need and human right by virtue of its nature inherent in the realization of other codified human rights, including the ICCPR-guaranteed human right to life</w:t>
      </w:r>
      <w:r w:rsidRPr="00686690">
        <w:rPr>
          <w:rStyle w:val="EndnoteReference"/>
          <w:rFonts w:asciiTheme="majorBidi" w:hAnsiTheme="majorBidi" w:cstheme="majorBidi"/>
          <w:color w:val="auto"/>
          <w:lang w:val="en-GB"/>
        </w:rPr>
        <w:endnoteReference w:id="24"/>
      </w:r>
      <w:r w:rsidRPr="00686690">
        <w:rPr>
          <w:rFonts w:asciiTheme="majorBidi" w:hAnsiTheme="majorBidi" w:cstheme="majorBidi"/>
          <w:color w:val="auto"/>
          <w:lang w:val="en-GB"/>
        </w:rPr>
        <w:t xml:space="preserve"> and to human rights under ICESCR.</w:t>
      </w:r>
      <w:r w:rsidRPr="00686690">
        <w:rPr>
          <w:rStyle w:val="EndnoteReference"/>
          <w:rFonts w:asciiTheme="majorBidi" w:hAnsiTheme="majorBidi" w:cstheme="majorBidi"/>
          <w:color w:val="auto"/>
          <w:lang w:val="en-GB"/>
        </w:rPr>
        <w:endnoteReference w:id="25"/>
      </w:r>
      <w:r w:rsidRPr="00686690">
        <w:rPr>
          <w:rFonts w:asciiTheme="majorBidi" w:hAnsiTheme="majorBidi" w:cstheme="majorBidi"/>
          <w:color w:val="auto"/>
          <w:lang w:val="en-GB"/>
        </w:rPr>
        <w:t xml:space="preserve"> General Comment No. 15 grounds the affirmation of the human right to water in the human rights to health and an adequate standard of living, “including adequate food, clothing and housing.”</w:t>
      </w:r>
      <w:r w:rsidRPr="00686690">
        <w:rPr>
          <w:rFonts w:asciiTheme="majorBidi" w:hAnsiTheme="majorBidi" w:cstheme="majorBidi"/>
          <w:color w:val="auto"/>
          <w:vertAlign w:val="superscript"/>
          <w:lang w:val="en-GB"/>
        </w:rPr>
        <w:endnoteReference w:id="26"/>
      </w:r>
      <w:r w:rsidRPr="00686690">
        <w:rPr>
          <w:rFonts w:asciiTheme="majorBidi" w:hAnsiTheme="majorBidi" w:cstheme="majorBidi"/>
          <w:color w:val="auto"/>
          <w:lang w:val="en-GB"/>
        </w:rPr>
        <w:t xml:space="preserve"> The role and function of land relate to adequate housing, which normally includes land as an indispensable element.</w:t>
      </w:r>
      <w:bookmarkStart w:id="4" w:name="_Hlk493153489"/>
      <w:r w:rsidRPr="00686690">
        <w:rPr>
          <w:rFonts w:asciiTheme="majorBidi" w:hAnsiTheme="majorBidi" w:cstheme="majorBidi"/>
          <w:vertAlign w:val="superscript"/>
          <w:lang w:val="en-GB" w:eastAsia="en-GB"/>
        </w:rPr>
        <w:endnoteReference w:id="27"/>
      </w:r>
      <w:bookmarkEnd w:id="4"/>
      <w:r w:rsidRPr="00686690">
        <w:rPr>
          <w:rFonts w:asciiTheme="majorBidi" w:hAnsiTheme="majorBidi" w:cstheme="majorBidi"/>
          <w:color w:val="auto"/>
          <w:lang w:val="en-GB"/>
        </w:rPr>
        <w:t xml:space="preserve"> </w:t>
      </w:r>
    </w:p>
    <w:p w14:paraId="49F6A520" w14:textId="77777777" w:rsidR="00686690" w:rsidRPr="00686690" w:rsidRDefault="00686690" w:rsidP="00686690">
      <w:pPr>
        <w:pStyle w:val="Body"/>
        <w:pBdr>
          <w:top w:val="none" w:sz="0" w:space="0" w:color="auto"/>
          <w:left w:val="none" w:sz="0" w:space="0" w:color="auto"/>
          <w:bottom w:val="none" w:sz="0" w:space="0" w:color="auto"/>
          <w:right w:val="none" w:sz="0" w:space="0" w:color="auto"/>
        </w:pBdr>
        <w:shd w:val="clear" w:color="auto" w:fill="FFFFFF"/>
        <w:spacing w:after="120" w:line="240" w:lineRule="auto"/>
        <w:jc w:val="lowKashida"/>
        <w:rPr>
          <w:rFonts w:asciiTheme="majorBidi" w:hAnsiTheme="majorBidi" w:cstheme="majorBidi"/>
          <w:color w:val="auto"/>
          <w:lang w:val="en-GB"/>
        </w:rPr>
      </w:pPr>
      <w:r w:rsidRPr="00686690">
        <w:rPr>
          <w:rFonts w:asciiTheme="majorBidi" w:hAnsiTheme="majorBidi" w:cstheme="majorBidi"/>
          <w:color w:val="auto"/>
          <w:lang w:val="en-GB"/>
        </w:rPr>
        <w:t>While providing a definition for the human right to adequate housing, General Comment No. 4 refers to “the right of all to a secure place to live in peace and dignity, including access to land as an entitlement”</w:t>
      </w:r>
      <w:r w:rsidRPr="00686690">
        <w:rPr>
          <w:rStyle w:val="EndnoteReference"/>
          <w:rFonts w:asciiTheme="majorBidi" w:hAnsiTheme="majorBidi" w:cstheme="majorBidi"/>
          <w:color w:val="auto"/>
          <w:lang w:val="en-GB"/>
        </w:rPr>
        <w:endnoteReference w:id="28"/>
      </w:r>
      <w:r w:rsidRPr="00686690">
        <w:rPr>
          <w:rFonts w:asciiTheme="majorBidi" w:hAnsiTheme="majorBidi" w:cstheme="majorBidi"/>
          <w:color w:val="auto"/>
          <w:lang w:val="en-GB"/>
        </w:rPr>
        <w:t xml:space="preserve"> (and as “a right,” in the Arabic version).</w:t>
      </w:r>
      <w:r w:rsidRPr="00686690">
        <w:rPr>
          <w:rStyle w:val="EndnoteReference"/>
          <w:rFonts w:asciiTheme="majorBidi" w:hAnsiTheme="majorBidi" w:cstheme="majorBidi"/>
          <w:color w:val="auto"/>
          <w:lang w:val="en-GB"/>
        </w:rPr>
        <w:endnoteReference w:id="29"/>
      </w:r>
    </w:p>
    <w:p w14:paraId="1629909F" w14:textId="77777777" w:rsidR="00686690" w:rsidRPr="00686690" w:rsidRDefault="00686690" w:rsidP="00686690">
      <w:pPr>
        <w:pStyle w:val="Body"/>
        <w:pBdr>
          <w:top w:val="none" w:sz="0" w:space="0" w:color="auto"/>
          <w:left w:val="none" w:sz="0" w:space="0" w:color="auto"/>
          <w:bottom w:val="none" w:sz="0" w:space="0" w:color="auto"/>
          <w:right w:val="none" w:sz="0" w:space="0" w:color="auto"/>
        </w:pBdr>
        <w:shd w:val="clear" w:color="auto" w:fill="FFFFFF"/>
        <w:spacing w:after="120" w:line="240" w:lineRule="auto"/>
        <w:jc w:val="lowKashida"/>
        <w:rPr>
          <w:rFonts w:asciiTheme="majorBidi" w:hAnsiTheme="majorBidi" w:cstheme="majorBidi"/>
          <w:color w:val="auto"/>
          <w:lang w:val="en-GB"/>
        </w:rPr>
      </w:pPr>
      <w:r w:rsidRPr="00686690">
        <w:rPr>
          <w:rFonts w:asciiTheme="majorBidi" w:hAnsiTheme="majorBidi" w:cstheme="majorBidi"/>
          <w:color w:val="auto"/>
          <w:lang w:val="en-GB"/>
        </w:rPr>
        <w:t xml:space="preserve">Access to, use, secure tenure and equitable administration and governance of land are often requisites to accessing vital water. </w:t>
      </w:r>
      <w:bookmarkStart w:id="5" w:name="_Hlk493184595"/>
      <w:r w:rsidRPr="00686690">
        <w:rPr>
          <w:rFonts w:asciiTheme="majorBidi" w:hAnsiTheme="majorBidi" w:cstheme="majorBidi"/>
          <w:color w:val="auto"/>
          <w:lang w:val="en-GB"/>
        </w:rPr>
        <w:t xml:space="preserve">General Comment 15 provides that no household should be denied the human </w:t>
      </w:r>
      <w:r w:rsidRPr="00686690">
        <w:rPr>
          <w:rFonts w:asciiTheme="majorBidi" w:hAnsiTheme="majorBidi" w:cstheme="majorBidi"/>
          <w:color w:val="auto"/>
          <w:lang w:val="en-GB"/>
        </w:rPr>
        <w:lastRenderedPageBreak/>
        <w:t>right to water on the grounds of its housing or land status</w:t>
      </w:r>
      <w:r w:rsidRPr="00686690">
        <w:rPr>
          <w:rStyle w:val="EndnoteReference"/>
          <w:rFonts w:asciiTheme="majorBidi" w:hAnsiTheme="majorBidi" w:cstheme="majorBidi"/>
          <w:color w:val="auto"/>
          <w:lang w:val="en-GB"/>
        </w:rPr>
        <w:endnoteReference w:id="30"/>
      </w:r>
      <w:r w:rsidRPr="00686690">
        <w:rPr>
          <w:rFonts w:asciiTheme="majorBidi" w:hAnsiTheme="majorBidi" w:cstheme="majorBidi"/>
          <w:color w:val="auto"/>
          <w:lang w:val="en-GB"/>
        </w:rPr>
        <w:t xml:space="preserve"> </w:t>
      </w:r>
      <w:bookmarkEnd w:id="5"/>
      <w:r w:rsidRPr="00686690">
        <w:rPr>
          <w:rFonts w:asciiTheme="majorBidi" w:hAnsiTheme="majorBidi" w:cstheme="majorBidi"/>
          <w:color w:val="auto"/>
          <w:lang w:val="en-GB"/>
        </w:rPr>
        <w:t>and observes</w:t>
      </w:r>
      <w:proofErr w:type="gramStart"/>
      <w:r w:rsidRPr="00686690">
        <w:rPr>
          <w:rFonts w:asciiTheme="majorBidi" w:hAnsiTheme="majorBidi" w:cstheme="majorBidi"/>
          <w:color w:val="auto"/>
          <w:lang w:val="en-GB"/>
        </w:rPr>
        <w:t>, in particular, indigenous</w:t>
      </w:r>
      <w:proofErr w:type="gramEnd"/>
      <w:r w:rsidRPr="00686690">
        <w:rPr>
          <w:rFonts w:asciiTheme="majorBidi" w:hAnsiTheme="majorBidi" w:cstheme="majorBidi"/>
          <w:color w:val="auto"/>
          <w:lang w:val="en-GB"/>
        </w:rPr>
        <w:t xml:space="preserve"> peoples’ right to access water resources on their ancestral lands.</w:t>
      </w:r>
      <w:r w:rsidRPr="00686690">
        <w:rPr>
          <w:rStyle w:val="EndnoteReference"/>
          <w:rFonts w:asciiTheme="majorBidi" w:hAnsiTheme="majorBidi" w:cstheme="majorBidi"/>
          <w:color w:val="auto"/>
          <w:lang w:val="en-GB"/>
        </w:rPr>
        <w:endnoteReference w:id="31"/>
      </w:r>
    </w:p>
    <w:p w14:paraId="539DEEFD" w14:textId="5102E0BE" w:rsidR="00686690" w:rsidRPr="00686690" w:rsidRDefault="00686690" w:rsidP="00686690">
      <w:pPr>
        <w:pStyle w:val="Body"/>
        <w:pBdr>
          <w:top w:val="none" w:sz="0" w:space="0" w:color="auto"/>
          <w:left w:val="none" w:sz="0" w:space="0" w:color="auto"/>
          <w:bottom w:val="none" w:sz="0" w:space="0" w:color="auto"/>
          <w:right w:val="none" w:sz="0" w:space="0" w:color="auto"/>
        </w:pBdr>
        <w:shd w:val="clear" w:color="auto" w:fill="FFFFFF"/>
        <w:spacing w:after="120" w:line="240" w:lineRule="auto"/>
        <w:jc w:val="lowKashida"/>
        <w:rPr>
          <w:rFonts w:asciiTheme="majorBidi" w:hAnsiTheme="majorBidi" w:cstheme="majorBidi"/>
          <w:color w:val="auto"/>
          <w:lang w:val="en-GB"/>
        </w:rPr>
      </w:pPr>
      <w:r w:rsidRPr="00686690">
        <w:rPr>
          <w:rFonts w:asciiTheme="majorBidi" w:hAnsiTheme="majorBidi" w:cstheme="majorBidi"/>
          <w:color w:val="auto"/>
          <w:lang w:val="en-GB"/>
        </w:rPr>
        <w:t>General Comment No. 21 on the right of everyone to take part in cultural life notes the human rights of indigenous peoples to “their cultural institutions, ancestral lands, natural resources and traditional knowledge.”</w:t>
      </w:r>
      <w:r w:rsidRPr="00686690">
        <w:rPr>
          <w:rStyle w:val="EndnoteReference"/>
          <w:rFonts w:asciiTheme="majorBidi" w:hAnsiTheme="majorBidi" w:cstheme="majorBidi"/>
          <w:color w:val="auto"/>
          <w:lang w:val="en-GB"/>
        </w:rPr>
        <w:endnoteReference w:id="32"/>
      </w:r>
      <w:r w:rsidRPr="00686690">
        <w:rPr>
          <w:rFonts w:asciiTheme="majorBidi" w:hAnsiTheme="majorBidi" w:cstheme="majorBidi"/>
          <w:color w:val="auto"/>
          <w:lang w:val="en-GB"/>
        </w:rPr>
        <w:t xml:space="preserve"> </w:t>
      </w:r>
    </w:p>
    <w:p w14:paraId="6CE647D5" w14:textId="77777777" w:rsidR="00686690" w:rsidRPr="00686690" w:rsidRDefault="00686690" w:rsidP="00686690">
      <w:pPr>
        <w:keepNext/>
        <w:keepLines/>
        <w:pBdr>
          <w:top w:val="none" w:sz="0" w:space="0" w:color="auto"/>
          <w:left w:val="none" w:sz="0" w:space="0" w:color="auto"/>
          <w:bottom w:val="none" w:sz="0" w:space="0" w:color="auto"/>
          <w:right w:val="none" w:sz="0" w:space="0" w:color="auto"/>
        </w:pBdr>
        <w:shd w:val="clear" w:color="auto" w:fill="FFFFFF"/>
        <w:autoSpaceDN w:val="0"/>
        <w:spacing w:after="120"/>
        <w:jc w:val="lowKashida"/>
        <w:textAlignment w:val="baseline"/>
        <w:outlineLvl w:val="0"/>
        <w:rPr>
          <w:rFonts w:asciiTheme="majorBidi" w:hAnsiTheme="majorBidi" w:cstheme="majorBidi"/>
          <w:sz w:val="22"/>
          <w:szCs w:val="22"/>
          <w:lang w:val="en-GB"/>
        </w:rPr>
      </w:pPr>
      <w:r w:rsidRPr="00686690">
        <w:rPr>
          <w:rFonts w:asciiTheme="majorBidi" w:hAnsiTheme="majorBidi" w:cstheme="majorBidi"/>
          <w:sz w:val="22"/>
          <w:szCs w:val="22"/>
          <w:lang w:val="en-GB"/>
        </w:rPr>
        <w:t>General Comment No. 14 on the right to the highest attainable standard of health</w:t>
      </w:r>
      <w:r w:rsidRPr="00686690">
        <w:rPr>
          <w:rStyle w:val="EndnoteReference"/>
          <w:rFonts w:asciiTheme="majorBidi" w:hAnsiTheme="majorBidi" w:cstheme="majorBidi"/>
          <w:sz w:val="22"/>
          <w:szCs w:val="22"/>
          <w:lang w:val="en-GB"/>
        </w:rPr>
        <w:endnoteReference w:id="33"/>
      </w:r>
      <w:r w:rsidRPr="00686690">
        <w:rPr>
          <w:rFonts w:asciiTheme="majorBidi" w:hAnsiTheme="majorBidi" w:cstheme="majorBidi"/>
          <w:sz w:val="22"/>
          <w:szCs w:val="22"/>
          <w:lang w:val="en-GB"/>
        </w:rPr>
        <w:t xml:space="preserve"> contains recognition of land’s link to health, pointing out how development-related displacement of indigenous peoples from their traditional territories and environment deny them their sources of nutrition and break their symbiotic relationship with their lands, having deleterious effects on their health.</w:t>
      </w:r>
      <w:r w:rsidRPr="00686690">
        <w:rPr>
          <w:rStyle w:val="EndnoteReference"/>
          <w:rFonts w:asciiTheme="majorBidi" w:hAnsiTheme="majorBidi" w:cstheme="majorBidi"/>
          <w:sz w:val="22"/>
          <w:szCs w:val="22"/>
          <w:lang w:val="en-GB"/>
        </w:rPr>
        <w:endnoteReference w:id="34"/>
      </w:r>
      <w:r w:rsidRPr="00686690">
        <w:rPr>
          <w:rFonts w:asciiTheme="majorBidi" w:hAnsiTheme="majorBidi" w:cstheme="majorBidi"/>
          <w:sz w:val="22"/>
          <w:szCs w:val="22"/>
          <w:lang w:val="en-GB"/>
        </w:rPr>
        <w:t xml:space="preserve"> In addition to this is land’s relation to the emerging human right to a healthy environment and corresponding state obligations,</w:t>
      </w:r>
      <w:r w:rsidRPr="00686690">
        <w:rPr>
          <w:rStyle w:val="EndnoteReference"/>
          <w:rFonts w:asciiTheme="majorBidi" w:hAnsiTheme="majorBidi" w:cstheme="majorBidi"/>
          <w:sz w:val="22"/>
          <w:szCs w:val="22"/>
          <w:lang w:val="en-GB"/>
        </w:rPr>
        <w:endnoteReference w:id="35"/>
      </w:r>
      <w:r w:rsidRPr="00686690">
        <w:rPr>
          <w:rFonts w:asciiTheme="majorBidi" w:hAnsiTheme="majorBidi" w:cstheme="majorBidi"/>
          <w:sz w:val="22"/>
          <w:szCs w:val="22"/>
          <w:lang w:val="en-GB"/>
        </w:rPr>
        <w:t xml:space="preserve"> which are variously enshrined in over 100 state constitutions.</w:t>
      </w:r>
      <w:r w:rsidRPr="00686690">
        <w:rPr>
          <w:rStyle w:val="EndnoteReference"/>
          <w:rFonts w:asciiTheme="majorBidi" w:hAnsiTheme="majorBidi" w:cstheme="majorBidi"/>
          <w:sz w:val="22"/>
          <w:szCs w:val="22"/>
          <w:lang w:val="en-GB"/>
        </w:rPr>
        <w:endnoteReference w:id="36"/>
      </w:r>
      <w:r w:rsidRPr="00686690">
        <w:rPr>
          <w:rFonts w:asciiTheme="majorBidi" w:hAnsiTheme="majorBidi" w:cstheme="majorBidi"/>
          <w:sz w:val="22"/>
          <w:szCs w:val="22"/>
          <w:lang w:val="en-GB"/>
        </w:rPr>
        <w:t xml:space="preserve"> </w:t>
      </w:r>
    </w:p>
    <w:p w14:paraId="595EB41B" w14:textId="77777777" w:rsidR="00686690" w:rsidRPr="00686690" w:rsidRDefault="00686690" w:rsidP="00686690">
      <w:pPr>
        <w:pStyle w:val="ListParagraph"/>
        <w:keepNext/>
        <w:keepLines/>
        <w:shd w:val="clear" w:color="auto" w:fill="FFFFFF"/>
        <w:spacing w:after="120"/>
        <w:ind w:left="0"/>
        <w:outlineLvl w:val="0"/>
        <w:rPr>
          <w:rFonts w:asciiTheme="majorBidi" w:hAnsiTheme="majorBidi" w:cstheme="majorBidi"/>
          <w:b/>
          <w:bCs/>
          <w:lang w:val="en-GB"/>
        </w:rPr>
      </w:pPr>
      <w:r w:rsidRPr="00686690">
        <w:rPr>
          <w:rFonts w:asciiTheme="majorBidi" w:hAnsiTheme="majorBidi" w:cstheme="majorBidi"/>
          <w:b/>
          <w:bCs/>
          <w:lang w:val="en-GB"/>
        </w:rPr>
        <w:t xml:space="preserve">Defining the Human Right to Land </w:t>
      </w:r>
    </w:p>
    <w:p w14:paraId="21306838" w14:textId="77777777" w:rsidR="00686690" w:rsidRPr="00686690" w:rsidRDefault="00686690" w:rsidP="00686690">
      <w:pPr>
        <w:keepNext/>
        <w:keepLines/>
        <w:pBdr>
          <w:top w:val="none" w:sz="0" w:space="0" w:color="auto"/>
          <w:left w:val="none" w:sz="0" w:space="0" w:color="auto"/>
          <w:bottom w:val="none" w:sz="0" w:space="0" w:color="auto"/>
          <w:right w:val="none" w:sz="0" w:space="0" w:color="auto"/>
        </w:pBdr>
        <w:shd w:val="clear" w:color="auto" w:fill="FFFFFF"/>
        <w:spacing w:after="120"/>
        <w:jc w:val="lowKashida"/>
        <w:outlineLvl w:val="0"/>
        <w:rPr>
          <w:rFonts w:asciiTheme="majorBidi" w:hAnsiTheme="majorBidi" w:cstheme="majorBidi"/>
          <w:sz w:val="22"/>
          <w:szCs w:val="22"/>
          <w:lang w:val="en-GB"/>
        </w:rPr>
      </w:pPr>
      <w:r w:rsidRPr="00686690">
        <w:rPr>
          <w:rFonts w:asciiTheme="majorBidi" w:hAnsiTheme="majorBidi" w:cstheme="majorBidi"/>
          <w:sz w:val="22"/>
          <w:szCs w:val="22"/>
          <w:lang w:val="en-GB"/>
        </w:rPr>
        <w:t>The human right to land is realized when every person, individually and/or collectively, enjoys access to, use of and secure tenure over land that is necessary and sufficient to achieve an adequate standard of living; to have a place to live in security, peace and dignity; to engage in recreational activities;</w:t>
      </w:r>
      <w:r w:rsidRPr="00686690">
        <w:rPr>
          <w:rStyle w:val="EndnoteReference"/>
          <w:rFonts w:asciiTheme="majorBidi" w:hAnsiTheme="majorBidi" w:cstheme="majorBidi"/>
          <w:sz w:val="22"/>
          <w:szCs w:val="22"/>
          <w:lang w:val="en-GB"/>
        </w:rPr>
        <w:endnoteReference w:id="37"/>
      </w:r>
      <w:r w:rsidRPr="00686690">
        <w:rPr>
          <w:rFonts w:asciiTheme="majorBidi" w:hAnsiTheme="majorBidi" w:cstheme="majorBidi"/>
          <w:sz w:val="22"/>
          <w:szCs w:val="22"/>
          <w:lang w:val="en-GB"/>
        </w:rPr>
        <w:t xml:space="preserve"> to participate in public life;</w:t>
      </w:r>
      <w:r w:rsidRPr="00686690">
        <w:rPr>
          <w:rStyle w:val="EndnoteReference"/>
          <w:rFonts w:asciiTheme="majorBidi" w:hAnsiTheme="majorBidi" w:cstheme="majorBidi"/>
          <w:sz w:val="22"/>
          <w:szCs w:val="22"/>
          <w:lang w:val="en-GB"/>
        </w:rPr>
        <w:endnoteReference w:id="38"/>
      </w:r>
      <w:r w:rsidRPr="00686690">
        <w:rPr>
          <w:rFonts w:asciiTheme="majorBidi" w:hAnsiTheme="majorBidi" w:cstheme="majorBidi"/>
          <w:sz w:val="22"/>
          <w:szCs w:val="22"/>
          <w:lang w:val="en-GB"/>
        </w:rPr>
        <w:t xml:space="preserve"> and to develop, conserve, diffuse and take part in culture in free association with others.</w:t>
      </w:r>
      <w:r w:rsidRPr="00686690">
        <w:rPr>
          <w:rStyle w:val="EndnoteReference"/>
          <w:rFonts w:asciiTheme="majorBidi" w:hAnsiTheme="majorBidi" w:cstheme="majorBidi"/>
          <w:sz w:val="22"/>
          <w:szCs w:val="22"/>
          <w:lang w:val="en-GB"/>
        </w:rPr>
        <w:endnoteReference w:id="39"/>
      </w:r>
      <w:r w:rsidRPr="00686690">
        <w:rPr>
          <w:rFonts w:asciiTheme="majorBidi" w:hAnsiTheme="majorBidi" w:cstheme="majorBidi"/>
          <w:sz w:val="22"/>
          <w:szCs w:val="22"/>
          <w:lang w:val="en-GB"/>
        </w:rPr>
        <w:t xml:space="preserve"> In the collective dimension, the human right to land is realized when joint and collective forms of tenure are secure and legally protected. In the wider collective dimension, nations and peoples realize their human right to land when they enjoy access to, use of, and sovereignty over their ancestral and continuously inhabited land such that is necessary and sufficient to exercise self-determination external or within independent states, as the case may be.</w:t>
      </w:r>
      <w:r w:rsidRPr="00686690">
        <w:rPr>
          <w:rStyle w:val="EndnoteReference"/>
          <w:rFonts w:asciiTheme="majorBidi" w:hAnsiTheme="majorBidi" w:cstheme="majorBidi"/>
          <w:sz w:val="22"/>
          <w:szCs w:val="22"/>
          <w:lang w:val="en-GB"/>
        </w:rPr>
        <w:endnoteReference w:id="40"/>
      </w:r>
    </w:p>
    <w:p w14:paraId="591B0236" w14:textId="77777777" w:rsidR="00686690" w:rsidRPr="00686690" w:rsidRDefault="00686690" w:rsidP="00686690">
      <w:pPr>
        <w:keepNext/>
        <w:keepLines/>
        <w:pBdr>
          <w:top w:val="none" w:sz="0" w:space="0" w:color="auto"/>
          <w:left w:val="none" w:sz="0" w:space="0" w:color="auto"/>
          <w:bottom w:val="none" w:sz="0" w:space="0" w:color="auto"/>
          <w:right w:val="none" w:sz="0" w:space="0" w:color="auto"/>
        </w:pBdr>
        <w:shd w:val="clear" w:color="auto" w:fill="FFFFFF"/>
        <w:spacing w:after="120"/>
        <w:jc w:val="lowKashida"/>
        <w:outlineLvl w:val="0"/>
        <w:rPr>
          <w:rFonts w:asciiTheme="majorBidi" w:hAnsiTheme="majorBidi" w:cstheme="majorBidi"/>
          <w:sz w:val="22"/>
          <w:szCs w:val="22"/>
          <w:lang w:val="en-GB"/>
        </w:rPr>
      </w:pPr>
      <w:bookmarkStart w:id="6" w:name="_Hlk493079438"/>
      <w:r w:rsidRPr="00686690">
        <w:rPr>
          <w:rFonts w:asciiTheme="majorBidi" w:hAnsiTheme="majorBidi" w:cstheme="majorBidi"/>
          <w:sz w:val="22"/>
          <w:szCs w:val="22"/>
          <w:lang w:val="en-GB"/>
        </w:rPr>
        <w:t>The human right to land consists of both freedoms and entitlements. The freedoms include the right to maintain access to and tenure on existing land necessary for the enjoyment of all human rights, and the right to be free from interference, arbitrary dispossession or denial of those rights within social justice criteria. The entitlements include meaningful individual and collective participation in, and benefit from equitable administration and governance of land that provide everyone’s equal opportunity to enjoy land as her/his human right.</w:t>
      </w:r>
      <w:bookmarkEnd w:id="6"/>
    </w:p>
    <w:p w14:paraId="7C30B199" w14:textId="77777777" w:rsidR="00686690" w:rsidRPr="00686690" w:rsidRDefault="00686690" w:rsidP="00686690">
      <w:pPr>
        <w:keepNext/>
        <w:keepLines/>
        <w:pBdr>
          <w:top w:val="none" w:sz="0" w:space="0" w:color="auto"/>
          <w:left w:val="none" w:sz="0" w:space="0" w:color="auto"/>
          <w:bottom w:val="none" w:sz="0" w:space="0" w:color="auto"/>
          <w:right w:val="none" w:sz="0" w:space="0" w:color="auto"/>
        </w:pBdr>
        <w:shd w:val="clear" w:color="auto" w:fill="FFFFFF"/>
        <w:autoSpaceDN w:val="0"/>
        <w:spacing w:after="120"/>
        <w:jc w:val="lowKashida"/>
        <w:textAlignment w:val="baseline"/>
        <w:outlineLvl w:val="0"/>
        <w:rPr>
          <w:rFonts w:asciiTheme="majorBidi" w:hAnsiTheme="majorBidi" w:cstheme="majorBidi"/>
          <w:sz w:val="22"/>
          <w:szCs w:val="22"/>
          <w:lang w:val="en-GB"/>
        </w:rPr>
      </w:pPr>
      <w:r w:rsidRPr="00686690">
        <w:rPr>
          <w:rFonts w:asciiTheme="majorBidi" w:hAnsiTheme="majorBidi" w:cstheme="majorBidi"/>
          <w:sz w:val="22"/>
          <w:szCs w:val="22"/>
          <w:lang w:val="en-GB"/>
        </w:rPr>
        <w:t>For</w:t>
      </w:r>
      <w:r w:rsidRPr="00686690">
        <w:rPr>
          <w:rFonts w:asciiTheme="majorBidi" w:hAnsiTheme="majorBidi" w:cstheme="majorBidi"/>
          <w:i/>
          <w:iCs/>
          <w:sz w:val="22"/>
          <w:szCs w:val="22"/>
          <w:lang w:val="en-GB"/>
        </w:rPr>
        <w:t xml:space="preserve"> </w:t>
      </w:r>
      <w:r w:rsidRPr="00686690">
        <w:rPr>
          <w:rFonts w:asciiTheme="majorBidi" w:hAnsiTheme="majorBidi" w:cstheme="majorBidi"/>
          <w:sz w:val="22"/>
          <w:szCs w:val="22"/>
          <w:lang w:val="en-GB"/>
        </w:rPr>
        <w:t xml:space="preserve">the land to be </w:t>
      </w:r>
      <w:r w:rsidRPr="00686690">
        <w:rPr>
          <w:rFonts w:asciiTheme="majorBidi" w:hAnsiTheme="majorBidi" w:cstheme="majorBidi"/>
          <w:i/>
          <w:iCs/>
          <w:sz w:val="22"/>
          <w:szCs w:val="22"/>
          <w:lang w:val="en-GB"/>
        </w:rPr>
        <w:t>adequate</w:t>
      </w:r>
      <w:r w:rsidRPr="00686690">
        <w:rPr>
          <w:rFonts w:asciiTheme="majorBidi" w:hAnsiTheme="majorBidi" w:cstheme="majorBidi"/>
          <w:sz w:val="22"/>
          <w:szCs w:val="22"/>
          <w:lang w:val="en-GB"/>
        </w:rPr>
        <w:t>, it must be sufficient and suitable in quantity and quality aspects to uphold human life,</w:t>
      </w:r>
      <w:r w:rsidRPr="00686690">
        <w:rPr>
          <w:rStyle w:val="EndnoteReference"/>
          <w:rFonts w:asciiTheme="majorBidi" w:hAnsiTheme="majorBidi" w:cstheme="majorBidi"/>
          <w:sz w:val="22"/>
          <w:szCs w:val="22"/>
          <w:lang w:val="en-GB"/>
        </w:rPr>
        <w:endnoteReference w:id="41"/>
      </w:r>
      <w:r w:rsidRPr="00686690">
        <w:rPr>
          <w:rFonts w:asciiTheme="majorBidi" w:hAnsiTheme="majorBidi" w:cstheme="majorBidi"/>
          <w:sz w:val="22"/>
          <w:szCs w:val="22"/>
          <w:lang w:val="en-GB"/>
        </w:rPr>
        <w:t xml:space="preserve"> dignity, well-being and livelihood through decent work, social security, housing, food, personal and environmental health, and participation in</w:t>
      </w:r>
      <w:r w:rsidRPr="00686690" w:rsidDel="003B61AC">
        <w:rPr>
          <w:rFonts w:asciiTheme="majorBidi" w:hAnsiTheme="majorBidi" w:cstheme="majorBidi"/>
          <w:sz w:val="22"/>
          <w:szCs w:val="22"/>
          <w:lang w:val="en-GB"/>
        </w:rPr>
        <w:t xml:space="preserve"> </w:t>
      </w:r>
      <w:r w:rsidRPr="00686690">
        <w:rPr>
          <w:rFonts w:asciiTheme="majorBidi" w:hAnsiTheme="majorBidi" w:cstheme="majorBidi"/>
          <w:sz w:val="22"/>
          <w:szCs w:val="22"/>
          <w:lang w:val="en-GB"/>
        </w:rPr>
        <w:t>public life and culture where land constitutes a factor in these human rights outcomes.</w:t>
      </w:r>
      <w:r w:rsidRPr="00686690">
        <w:rPr>
          <w:rStyle w:val="EndnoteReference"/>
          <w:rFonts w:asciiTheme="majorBidi" w:hAnsiTheme="majorBidi" w:cstheme="majorBidi"/>
          <w:sz w:val="22"/>
          <w:szCs w:val="22"/>
          <w:lang w:val="en-GB"/>
        </w:rPr>
        <w:endnoteReference w:id="42"/>
      </w:r>
      <w:r w:rsidRPr="00686690">
        <w:rPr>
          <w:rFonts w:asciiTheme="majorBidi" w:hAnsiTheme="majorBidi" w:cstheme="majorBidi"/>
          <w:sz w:val="22"/>
          <w:szCs w:val="22"/>
          <w:lang w:val="en-GB"/>
        </w:rPr>
        <w:t xml:space="preserve"> The adequacy of land should not be interpreted narrowly, but rather beyond mere spatial attributes, or monetary values and other material measures. The human rights metric for adequacy should treat land as a common social, cultural and environmental good with corresponding functions, and not primarily for its exchange value and economic function.</w:t>
      </w:r>
    </w:p>
    <w:p w14:paraId="731A2E91" w14:textId="77777777" w:rsidR="00686690" w:rsidRPr="00686690" w:rsidRDefault="00686690" w:rsidP="00686690">
      <w:pPr>
        <w:keepNext/>
        <w:keepLines/>
        <w:pBdr>
          <w:top w:val="none" w:sz="0" w:space="0" w:color="auto"/>
          <w:left w:val="none" w:sz="0" w:space="0" w:color="auto"/>
          <w:bottom w:val="none" w:sz="0" w:space="0" w:color="auto"/>
          <w:right w:val="none" w:sz="0" w:space="0" w:color="auto"/>
        </w:pBdr>
        <w:shd w:val="clear" w:color="auto" w:fill="FFFFFF"/>
        <w:spacing w:after="120"/>
        <w:jc w:val="lowKashida"/>
        <w:outlineLvl w:val="0"/>
        <w:rPr>
          <w:rFonts w:asciiTheme="majorBidi" w:hAnsiTheme="majorBidi" w:cstheme="majorBidi"/>
          <w:sz w:val="22"/>
          <w:szCs w:val="22"/>
          <w:lang w:val="en-GB"/>
        </w:rPr>
      </w:pPr>
      <w:r w:rsidRPr="00686690">
        <w:rPr>
          <w:rFonts w:asciiTheme="majorBidi" w:hAnsiTheme="majorBidi" w:cstheme="majorBidi"/>
          <w:sz w:val="22"/>
          <w:szCs w:val="22"/>
          <w:lang w:val="en-GB"/>
        </w:rPr>
        <w:t xml:space="preserve">In human rights criteria, adequate land encompasses five criteria that may vary according to </w:t>
      </w:r>
      <w:proofErr w:type="gramStart"/>
      <w:r w:rsidRPr="00686690">
        <w:rPr>
          <w:rFonts w:asciiTheme="majorBidi" w:hAnsiTheme="majorBidi" w:cstheme="majorBidi"/>
          <w:sz w:val="22"/>
          <w:szCs w:val="22"/>
          <w:lang w:val="en-GB"/>
        </w:rPr>
        <w:t>particular ambient</w:t>
      </w:r>
      <w:proofErr w:type="gramEnd"/>
      <w:r w:rsidRPr="00686690">
        <w:rPr>
          <w:rFonts w:asciiTheme="majorBidi" w:hAnsiTheme="majorBidi" w:cstheme="majorBidi"/>
          <w:sz w:val="22"/>
          <w:szCs w:val="22"/>
          <w:lang w:val="en-GB"/>
        </w:rPr>
        <w:t xml:space="preserve"> conditions. However, the following elements of the human right to </w:t>
      </w:r>
      <w:r w:rsidRPr="00686690">
        <w:rPr>
          <w:rFonts w:asciiTheme="majorBidi" w:hAnsiTheme="majorBidi" w:cstheme="majorBidi"/>
          <w:i/>
          <w:iCs/>
          <w:sz w:val="22"/>
          <w:szCs w:val="22"/>
          <w:lang w:val="en-GB"/>
        </w:rPr>
        <w:t>adequate</w:t>
      </w:r>
      <w:r w:rsidRPr="00686690">
        <w:rPr>
          <w:rFonts w:asciiTheme="majorBidi" w:hAnsiTheme="majorBidi" w:cstheme="majorBidi"/>
          <w:sz w:val="22"/>
          <w:szCs w:val="22"/>
          <w:lang w:val="en-GB"/>
        </w:rPr>
        <w:t xml:space="preserve"> land apply in all circumstances, regardless of the rural or urban context along the human settlement continuum, and should be elaborated in a General Comment on the human right to land:</w:t>
      </w:r>
    </w:p>
    <w:p w14:paraId="4E7977C5" w14:textId="77777777" w:rsidR="00686690" w:rsidRPr="00686690" w:rsidRDefault="00686690" w:rsidP="00686690">
      <w:pPr>
        <w:pBdr>
          <w:top w:val="none" w:sz="0" w:space="0" w:color="auto"/>
          <w:left w:val="none" w:sz="0" w:space="0" w:color="auto"/>
          <w:bottom w:val="none" w:sz="0" w:space="0" w:color="auto"/>
          <w:right w:val="none" w:sz="0" w:space="0" w:color="auto"/>
        </w:pBdr>
        <w:shd w:val="clear" w:color="auto" w:fill="FFFFFF"/>
        <w:ind w:left="284" w:hanging="284"/>
        <w:jc w:val="lowKashida"/>
        <w:rPr>
          <w:rFonts w:asciiTheme="majorBidi" w:hAnsiTheme="majorBidi" w:cstheme="majorBidi"/>
          <w:sz w:val="20"/>
          <w:szCs w:val="20"/>
          <w:lang w:val="en-GB"/>
        </w:rPr>
      </w:pPr>
      <w:r w:rsidRPr="00686690">
        <w:rPr>
          <w:rFonts w:asciiTheme="majorBidi" w:hAnsiTheme="majorBidi" w:cstheme="majorBidi"/>
          <w:sz w:val="20"/>
          <w:szCs w:val="20"/>
          <w:lang w:val="en-GB"/>
        </w:rPr>
        <w:t xml:space="preserve">1. </w:t>
      </w:r>
      <w:r w:rsidRPr="00686690">
        <w:rPr>
          <w:rFonts w:asciiTheme="majorBidi" w:hAnsiTheme="majorBidi" w:cstheme="majorBidi"/>
          <w:sz w:val="20"/>
          <w:szCs w:val="20"/>
          <w:lang w:val="en-GB"/>
        </w:rPr>
        <w:tab/>
      </w:r>
      <w:r w:rsidRPr="00686690">
        <w:rPr>
          <w:rFonts w:asciiTheme="majorBidi" w:hAnsiTheme="majorBidi" w:cstheme="majorBidi"/>
          <w:b/>
          <w:bCs/>
          <w:sz w:val="20"/>
          <w:szCs w:val="20"/>
          <w:lang w:val="en-GB"/>
        </w:rPr>
        <w:t>Availability</w:t>
      </w:r>
      <w:r w:rsidRPr="00686690">
        <w:rPr>
          <w:rFonts w:asciiTheme="majorBidi" w:hAnsiTheme="majorBidi" w:cstheme="majorBidi"/>
          <w:sz w:val="20"/>
          <w:szCs w:val="20"/>
          <w:lang w:val="en-GB"/>
        </w:rPr>
        <w:t xml:space="preserve">: </w:t>
      </w:r>
      <w:proofErr w:type="gramStart"/>
      <w:r w:rsidRPr="00686690">
        <w:rPr>
          <w:rFonts w:asciiTheme="majorBidi" w:hAnsiTheme="majorBidi" w:cstheme="majorBidi"/>
          <w:sz w:val="20"/>
          <w:szCs w:val="20"/>
          <w:lang w:val="en-GB"/>
        </w:rPr>
        <w:t>A sufficient</w:t>
      </w:r>
      <w:proofErr w:type="gramEnd"/>
      <w:r w:rsidRPr="00686690">
        <w:rPr>
          <w:rFonts w:asciiTheme="majorBidi" w:hAnsiTheme="majorBidi" w:cstheme="majorBidi"/>
          <w:sz w:val="20"/>
          <w:szCs w:val="20"/>
          <w:lang w:val="en-GB"/>
        </w:rPr>
        <w:t xml:space="preserve"> supply of land for each person’s personal and domestic uses, and as needed to realize other human rights;</w:t>
      </w:r>
    </w:p>
    <w:p w14:paraId="24F4AD97" w14:textId="77777777" w:rsidR="00686690" w:rsidRPr="00686690" w:rsidRDefault="00686690" w:rsidP="00686690">
      <w:pPr>
        <w:pBdr>
          <w:top w:val="none" w:sz="0" w:space="0" w:color="auto"/>
          <w:left w:val="none" w:sz="0" w:space="0" w:color="auto"/>
          <w:bottom w:val="none" w:sz="0" w:space="0" w:color="auto"/>
          <w:right w:val="none" w:sz="0" w:space="0" w:color="auto"/>
        </w:pBdr>
        <w:shd w:val="clear" w:color="auto" w:fill="FFFFFF"/>
        <w:ind w:left="284" w:hanging="284"/>
        <w:jc w:val="lowKashida"/>
        <w:rPr>
          <w:rFonts w:asciiTheme="majorBidi" w:hAnsiTheme="majorBidi" w:cstheme="majorBidi"/>
          <w:sz w:val="20"/>
          <w:szCs w:val="20"/>
          <w:lang w:val="en-GB"/>
        </w:rPr>
      </w:pPr>
      <w:r w:rsidRPr="00686690">
        <w:rPr>
          <w:rFonts w:asciiTheme="majorBidi" w:hAnsiTheme="majorBidi" w:cstheme="majorBidi"/>
          <w:sz w:val="20"/>
          <w:szCs w:val="20"/>
          <w:lang w:val="en-GB"/>
        </w:rPr>
        <w:t xml:space="preserve">2. </w:t>
      </w:r>
      <w:r w:rsidRPr="00686690">
        <w:rPr>
          <w:rFonts w:asciiTheme="majorBidi" w:hAnsiTheme="majorBidi" w:cstheme="majorBidi"/>
          <w:sz w:val="20"/>
          <w:szCs w:val="20"/>
          <w:lang w:val="en-GB"/>
        </w:rPr>
        <w:tab/>
      </w:r>
      <w:r w:rsidRPr="00686690">
        <w:rPr>
          <w:rFonts w:asciiTheme="majorBidi" w:hAnsiTheme="majorBidi" w:cstheme="majorBidi"/>
          <w:b/>
          <w:bCs/>
          <w:sz w:val="20"/>
          <w:szCs w:val="20"/>
          <w:lang w:val="en-GB"/>
        </w:rPr>
        <w:t xml:space="preserve">Accessibility </w:t>
      </w:r>
      <w:r w:rsidRPr="00686690">
        <w:rPr>
          <w:rFonts w:asciiTheme="majorBidi" w:hAnsiTheme="majorBidi" w:cstheme="majorBidi"/>
          <w:sz w:val="20"/>
          <w:szCs w:val="20"/>
          <w:lang w:val="en-GB"/>
        </w:rPr>
        <w:t xml:space="preserve">of land for everyone without discrimination on any arbitrary basis. Accessibility of land has four overlapping dimensions: (a) Physical accessibility, (b) Economic accessibility, (c) </w:t>
      </w:r>
      <w:bookmarkStart w:id="7" w:name="_Hlk492416929"/>
      <w:r w:rsidRPr="00686690">
        <w:rPr>
          <w:rFonts w:asciiTheme="majorBidi" w:hAnsiTheme="majorBidi" w:cstheme="majorBidi"/>
          <w:sz w:val="20"/>
          <w:szCs w:val="20"/>
          <w:lang w:val="en-GB"/>
        </w:rPr>
        <w:t>Accessibility</w:t>
      </w:r>
      <w:bookmarkEnd w:id="7"/>
      <w:r w:rsidRPr="00686690">
        <w:rPr>
          <w:rFonts w:asciiTheme="majorBidi" w:hAnsiTheme="majorBidi" w:cstheme="majorBidi"/>
          <w:sz w:val="20"/>
          <w:szCs w:val="20"/>
          <w:lang w:val="en-GB"/>
        </w:rPr>
        <w:t xml:space="preserve"> of information and (d) Accessibility of related facilities, goods and services;</w:t>
      </w:r>
    </w:p>
    <w:p w14:paraId="59B43858" w14:textId="77777777" w:rsidR="00686690" w:rsidRPr="00686690" w:rsidRDefault="00686690" w:rsidP="00686690">
      <w:pPr>
        <w:pBdr>
          <w:top w:val="none" w:sz="0" w:space="0" w:color="auto"/>
          <w:left w:val="none" w:sz="0" w:space="0" w:color="auto"/>
          <w:bottom w:val="none" w:sz="0" w:space="0" w:color="auto"/>
          <w:right w:val="none" w:sz="0" w:space="0" w:color="auto"/>
        </w:pBdr>
        <w:shd w:val="clear" w:color="auto" w:fill="FFFFFF"/>
        <w:ind w:left="284" w:hanging="284"/>
        <w:jc w:val="lowKashida"/>
        <w:rPr>
          <w:rFonts w:asciiTheme="majorBidi" w:hAnsiTheme="majorBidi" w:cstheme="majorBidi"/>
          <w:sz w:val="20"/>
          <w:szCs w:val="20"/>
          <w:lang w:val="en-GB"/>
        </w:rPr>
      </w:pPr>
      <w:r w:rsidRPr="00686690">
        <w:rPr>
          <w:rFonts w:asciiTheme="majorBidi" w:hAnsiTheme="majorBidi" w:cstheme="majorBidi"/>
          <w:sz w:val="20"/>
          <w:szCs w:val="20"/>
          <w:lang w:val="en-GB"/>
        </w:rPr>
        <w:t xml:space="preserve">3. </w:t>
      </w:r>
      <w:r w:rsidRPr="00686690">
        <w:rPr>
          <w:rFonts w:asciiTheme="majorBidi" w:hAnsiTheme="majorBidi" w:cstheme="majorBidi"/>
          <w:sz w:val="20"/>
          <w:szCs w:val="20"/>
          <w:lang w:val="en-GB"/>
        </w:rPr>
        <w:tab/>
      </w:r>
      <w:r w:rsidRPr="00686690">
        <w:rPr>
          <w:rFonts w:asciiTheme="majorBidi" w:hAnsiTheme="majorBidi" w:cstheme="majorBidi"/>
          <w:b/>
          <w:bCs/>
          <w:sz w:val="20"/>
          <w:szCs w:val="20"/>
          <w:lang w:val="en-GB"/>
        </w:rPr>
        <w:t>Acceptability</w:t>
      </w:r>
      <w:r w:rsidRPr="00686690">
        <w:rPr>
          <w:rFonts w:asciiTheme="majorBidi" w:hAnsiTheme="majorBidi" w:cstheme="majorBidi"/>
          <w:sz w:val="20"/>
          <w:szCs w:val="20"/>
          <w:lang w:val="en-GB"/>
        </w:rPr>
        <w:t xml:space="preserve">: As of a quality required for each personal or domestic use, including cultural appropriateness; </w:t>
      </w:r>
    </w:p>
    <w:p w14:paraId="71E2748A" w14:textId="77777777" w:rsidR="00686690" w:rsidRPr="00686690" w:rsidRDefault="00686690" w:rsidP="00686690">
      <w:pPr>
        <w:pBdr>
          <w:top w:val="none" w:sz="0" w:space="0" w:color="auto"/>
          <w:left w:val="none" w:sz="0" w:space="0" w:color="auto"/>
          <w:bottom w:val="none" w:sz="0" w:space="0" w:color="auto"/>
          <w:right w:val="none" w:sz="0" w:space="0" w:color="auto"/>
        </w:pBdr>
        <w:shd w:val="clear" w:color="auto" w:fill="FFFFFF"/>
        <w:ind w:left="284" w:hanging="284"/>
        <w:jc w:val="lowKashida"/>
        <w:rPr>
          <w:rFonts w:asciiTheme="majorBidi" w:hAnsiTheme="majorBidi" w:cstheme="majorBidi"/>
          <w:sz w:val="20"/>
          <w:szCs w:val="20"/>
          <w:lang w:val="en-GB"/>
        </w:rPr>
      </w:pPr>
      <w:r w:rsidRPr="00686690">
        <w:rPr>
          <w:rFonts w:asciiTheme="majorBidi" w:hAnsiTheme="majorBidi" w:cstheme="majorBidi"/>
          <w:sz w:val="20"/>
          <w:szCs w:val="20"/>
          <w:lang w:val="en-GB"/>
        </w:rPr>
        <w:t xml:space="preserve">4.  </w:t>
      </w:r>
      <w:r w:rsidRPr="00686690">
        <w:rPr>
          <w:rFonts w:asciiTheme="majorBidi" w:hAnsiTheme="majorBidi" w:cstheme="majorBidi"/>
          <w:sz w:val="20"/>
          <w:szCs w:val="20"/>
          <w:lang w:val="en-GB"/>
        </w:rPr>
        <w:tab/>
      </w:r>
      <w:r w:rsidRPr="00686690">
        <w:rPr>
          <w:rFonts w:asciiTheme="majorBidi" w:hAnsiTheme="majorBidi" w:cstheme="majorBidi"/>
          <w:b/>
          <w:bCs/>
          <w:sz w:val="20"/>
          <w:szCs w:val="20"/>
          <w:lang w:val="en-GB"/>
        </w:rPr>
        <w:t>Security of tenure</w:t>
      </w:r>
      <w:r w:rsidRPr="00686690">
        <w:rPr>
          <w:rFonts w:asciiTheme="majorBidi" w:hAnsiTheme="majorBidi" w:cstheme="majorBidi"/>
          <w:sz w:val="20"/>
          <w:szCs w:val="20"/>
          <w:lang w:val="en-GB"/>
        </w:rPr>
        <w:t>: Protecting against “the practice of forced eviction constitutes a gross violation of human rights,”</w:t>
      </w:r>
      <w:r w:rsidRPr="00686690">
        <w:rPr>
          <w:rFonts w:asciiTheme="majorBidi" w:hAnsiTheme="majorBidi" w:cstheme="majorBidi"/>
          <w:sz w:val="20"/>
          <w:szCs w:val="20"/>
          <w:vertAlign w:val="superscript"/>
          <w:lang w:val="en-GB"/>
        </w:rPr>
        <w:endnoteReference w:id="43"/>
      </w:r>
      <w:r w:rsidRPr="00686690">
        <w:rPr>
          <w:rFonts w:asciiTheme="majorBidi" w:hAnsiTheme="majorBidi" w:cstheme="majorBidi"/>
          <w:sz w:val="20"/>
          <w:szCs w:val="20"/>
          <w:lang w:val="en-GB"/>
        </w:rPr>
        <w:t xml:space="preserve"> in accordance with General Comment No. 7.</w:t>
      </w:r>
      <w:r w:rsidRPr="00686690">
        <w:rPr>
          <w:rStyle w:val="EndnoteReference"/>
          <w:rFonts w:asciiTheme="majorBidi" w:hAnsiTheme="majorBidi" w:cstheme="majorBidi"/>
          <w:sz w:val="20"/>
          <w:szCs w:val="20"/>
          <w:lang w:val="en-GB"/>
        </w:rPr>
        <w:endnoteReference w:id="44"/>
      </w:r>
    </w:p>
    <w:p w14:paraId="179DB38B" w14:textId="77777777" w:rsidR="00686690" w:rsidRPr="00686690" w:rsidRDefault="00686690" w:rsidP="00686690">
      <w:pPr>
        <w:pBdr>
          <w:top w:val="none" w:sz="0" w:space="0" w:color="auto"/>
          <w:left w:val="none" w:sz="0" w:space="0" w:color="auto"/>
          <w:bottom w:val="none" w:sz="0" w:space="0" w:color="auto"/>
          <w:right w:val="none" w:sz="0" w:space="0" w:color="auto"/>
        </w:pBdr>
        <w:shd w:val="clear" w:color="auto" w:fill="FFFFFF"/>
        <w:spacing w:after="120"/>
        <w:ind w:left="284" w:hanging="284"/>
        <w:jc w:val="lowKashida"/>
        <w:rPr>
          <w:rFonts w:asciiTheme="majorBidi" w:hAnsiTheme="majorBidi" w:cstheme="majorBidi"/>
          <w:sz w:val="20"/>
          <w:szCs w:val="20"/>
          <w:lang w:val="en-GB"/>
        </w:rPr>
      </w:pPr>
      <w:r w:rsidRPr="00686690">
        <w:rPr>
          <w:rFonts w:asciiTheme="majorBidi" w:hAnsiTheme="majorBidi" w:cstheme="majorBidi"/>
          <w:sz w:val="20"/>
          <w:szCs w:val="20"/>
          <w:lang w:val="en-GB"/>
        </w:rPr>
        <w:t xml:space="preserve">5. </w:t>
      </w:r>
      <w:r w:rsidRPr="00686690">
        <w:rPr>
          <w:rFonts w:asciiTheme="majorBidi" w:hAnsiTheme="majorBidi" w:cstheme="majorBidi"/>
          <w:sz w:val="20"/>
          <w:szCs w:val="20"/>
          <w:lang w:val="en-GB"/>
        </w:rPr>
        <w:tab/>
      </w:r>
      <w:r w:rsidRPr="00686690">
        <w:rPr>
          <w:rFonts w:asciiTheme="majorBidi" w:hAnsiTheme="majorBidi" w:cstheme="majorBidi"/>
          <w:b/>
          <w:bCs/>
          <w:sz w:val="20"/>
          <w:szCs w:val="20"/>
          <w:lang w:val="en-GB"/>
        </w:rPr>
        <w:t>Location</w:t>
      </w:r>
      <w:r w:rsidRPr="00686690">
        <w:rPr>
          <w:rFonts w:asciiTheme="majorBidi" w:hAnsiTheme="majorBidi" w:cstheme="majorBidi"/>
          <w:sz w:val="20"/>
          <w:szCs w:val="20"/>
          <w:lang w:val="en-GB"/>
        </w:rPr>
        <w:t xml:space="preserve"> suitable for the realization of other human rights.</w:t>
      </w:r>
    </w:p>
    <w:p w14:paraId="17FD9412" w14:textId="77777777" w:rsidR="00686690" w:rsidRPr="00686690" w:rsidRDefault="00686690" w:rsidP="00686690">
      <w:pPr>
        <w:pBdr>
          <w:top w:val="none" w:sz="0" w:space="0" w:color="auto"/>
          <w:left w:val="none" w:sz="0" w:space="0" w:color="auto"/>
          <w:bottom w:val="none" w:sz="0" w:space="0" w:color="auto"/>
          <w:right w:val="none" w:sz="0" w:space="0" w:color="auto"/>
        </w:pBdr>
        <w:shd w:val="clear" w:color="auto" w:fill="FFFFFF"/>
        <w:spacing w:after="120"/>
        <w:jc w:val="lowKashida"/>
        <w:rPr>
          <w:rFonts w:asciiTheme="majorBidi" w:hAnsiTheme="majorBidi" w:cstheme="majorBidi"/>
          <w:sz w:val="22"/>
          <w:szCs w:val="22"/>
          <w:lang w:val="en-GB"/>
        </w:rPr>
      </w:pPr>
      <w:r w:rsidRPr="00686690">
        <w:rPr>
          <w:rFonts w:asciiTheme="majorBidi" w:hAnsiTheme="majorBidi" w:cstheme="majorBidi"/>
          <w:color w:val="000000"/>
          <w:sz w:val="22"/>
          <w:szCs w:val="22"/>
          <w:lang w:val="en-GB"/>
        </w:rPr>
        <w:t>The General Comment should identify also the corresponding p</w:t>
      </w:r>
      <w:r w:rsidRPr="00686690">
        <w:rPr>
          <w:rFonts w:asciiTheme="majorBidi" w:hAnsiTheme="majorBidi" w:cstheme="majorBidi"/>
          <w:i/>
          <w:iCs/>
          <w:sz w:val="22"/>
          <w:szCs w:val="22"/>
          <w:lang w:val="en-GB"/>
        </w:rPr>
        <w:t xml:space="preserve">rocess and accessory rights, including those outside the Covenant, that are essential for respect, protection and fulfilment of </w:t>
      </w:r>
      <w:r w:rsidRPr="00686690">
        <w:rPr>
          <w:rFonts w:asciiTheme="majorBidi" w:hAnsiTheme="majorBidi" w:cstheme="majorBidi"/>
          <w:color w:val="000000"/>
          <w:sz w:val="22"/>
          <w:szCs w:val="22"/>
          <w:lang w:val="en-GB"/>
        </w:rPr>
        <w:t xml:space="preserve">the human right to land. </w:t>
      </w:r>
      <w:r w:rsidRPr="00686690">
        <w:rPr>
          <w:rFonts w:asciiTheme="majorBidi" w:hAnsiTheme="majorBidi" w:cstheme="majorBidi"/>
          <w:sz w:val="22"/>
          <w:szCs w:val="22"/>
          <w:lang w:val="en-GB"/>
        </w:rPr>
        <w:t xml:space="preserve">Added to those codified rights is the requisite of human capability, which is an acquired </w:t>
      </w:r>
      <w:r w:rsidRPr="00686690">
        <w:rPr>
          <w:rFonts w:asciiTheme="majorBidi" w:hAnsiTheme="majorBidi" w:cstheme="majorBidi"/>
          <w:sz w:val="22"/>
          <w:szCs w:val="22"/>
          <w:lang w:val="en-GB"/>
        </w:rPr>
        <w:lastRenderedPageBreak/>
        <w:t>condition and outcome of the enjoyment of a bundle of human rights</w:t>
      </w:r>
      <w:r w:rsidRPr="00686690">
        <w:rPr>
          <w:rStyle w:val="EndnoteReference"/>
          <w:rFonts w:asciiTheme="majorBidi" w:hAnsiTheme="majorBidi" w:cstheme="majorBidi"/>
          <w:sz w:val="22"/>
          <w:szCs w:val="22"/>
          <w:lang w:val="en-GB"/>
        </w:rPr>
        <w:endnoteReference w:id="45"/>
      </w:r>
      <w:r w:rsidRPr="00686690">
        <w:rPr>
          <w:rFonts w:asciiTheme="majorBidi" w:hAnsiTheme="majorBidi" w:cstheme="majorBidi"/>
          <w:sz w:val="22"/>
          <w:szCs w:val="22"/>
          <w:lang w:val="en-GB"/>
        </w:rPr>
        <w:t xml:space="preserve"> and necessary for free, prior and informed consent in the context of development.</w:t>
      </w:r>
      <w:r w:rsidRPr="00686690">
        <w:rPr>
          <w:rStyle w:val="EndnoteReference"/>
          <w:rFonts w:asciiTheme="majorBidi" w:hAnsiTheme="majorBidi" w:cstheme="majorBidi"/>
          <w:sz w:val="22"/>
          <w:szCs w:val="22"/>
          <w:lang w:val="en-GB"/>
        </w:rPr>
        <w:endnoteReference w:id="46"/>
      </w:r>
    </w:p>
    <w:p w14:paraId="76262F55" w14:textId="77777777" w:rsidR="00686690" w:rsidRPr="00686690" w:rsidRDefault="00686690" w:rsidP="00686690">
      <w:pPr>
        <w:pBdr>
          <w:top w:val="none" w:sz="0" w:space="0" w:color="auto"/>
          <w:left w:val="none" w:sz="0" w:space="0" w:color="auto"/>
          <w:bottom w:val="none" w:sz="0" w:space="0" w:color="auto"/>
          <w:right w:val="none" w:sz="0" w:space="0" w:color="auto"/>
        </w:pBdr>
        <w:shd w:val="clear" w:color="auto" w:fill="FFFFFF"/>
        <w:spacing w:after="120"/>
        <w:jc w:val="lowKashida"/>
        <w:rPr>
          <w:rFonts w:asciiTheme="majorBidi" w:hAnsiTheme="majorBidi" w:cstheme="majorBidi"/>
          <w:b/>
          <w:bCs/>
          <w:i/>
          <w:iCs/>
          <w:sz w:val="22"/>
          <w:szCs w:val="22"/>
          <w:lang w:val="en-GB"/>
        </w:rPr>
      </w:pPr>
      <w:r w:rsidRPr="00686690">
        <w:rPr>
          <w:rFonts w:asciiTheme="majorBidi" w:hAnsiTheme="majorBidi" w:cstheme="majorBidi"/>
          <w:b/>
          <w:bCs/>
          <w:i/>
          <w:iCs/>
          <w:sz w:val="22"/>
          <w:szCs w:val="22"/>
          <w:lang w:val="en-GB"/>
        </w:rPr>
        <w:t>Aspects of obligatory state functions</w:t>
      </w:r>
    </w:p>
    <w:p w14:paraId="31F2C3F2" w14:textId="77777777" w:rsidR="00686690" w:rsidRPr="00686690" w:rsidRDefault="00686690" w:rsidP="00686690">
      <w:pPr>
        <w:pStyle w:val="Body"/>
        <w:pBdr>
          <w:top w:val="none" w:sz="0" w:space="0" w:color="auto"/>
          <w:left w:val="none" w:sz="0" w:space="0" w:color="auto"/>
          <w:bottom w:val="none" w:sz="0" w:space="0" w:color="auto"/>
          <w:right w:val="none" w:sz="0" w:space="0" w:color="auto"/>
        </w:pBdr>
        <w:shd w:val="clear" w:color="auto" w:fill="FFFFFF"/>
        <w:spacing w:after="120" w:line="240" w:lineRule="auto"/>
        <w:jc w:val="lowKashida"/>
        <w:rPr>
          <w:rFonts w:asciiTheme="majorBidi" w:hAnsiTheme="majorBidi" w:cstheme="majorBidi"/>
          <w:color w:val="auto"/>
          <w:lang w:val="en-GB"/>
        </w:rPr>
      </w:pPr>
      <w:r w:rsidRPr="00686690">
        <w:rPr>
          <w:rFonts w:asciiTheme="majorBidi" w:hAnsiTheme="majorBidi" w:cstheme="majorBidi"/>
          <w:color w:val="auto"/>
          <w:lang w:val="en-GB"/>
        </w:rPr>
        <w:t>As noted, General Comment No. 4 provides that: “Discernible governmental obligations need to be developed aiming to substantiate the right of all to a secure place to live in peace and dignity, including access to land as an entitlement.”</w:t>
      </w:r>
      <w:r w:rsidRPr="00686690">
        <w:rPr>
          <w:rStyle w:val="EndnoteReference"/>
          <w:rFonts w:asciiTheme="majorBidi" w:hAnsiTheme="majorBidi" w:cstheme="majorBidi"/>
          <w:color w:val="auto"/>
          <w:lang w:val="en-GB"/>
        </w:rPr>
        <w:endnoteReference w:id="47"/>
      </w:r>
      <w:r w:rsidRPr="00686690">
        <w:rPr>
          <w:rFonts w:asciiTheme="majorBidi" w:hAnsiTheme="majorBidi" w:cstheme="majorBidi"/>
          <w:color w:val="auto"/>
          <w:lang w:val="en-GB"/>
        </w:rPr>
        <w:t xml:space="preserve"> The Committee further advises that, “within many States parties increasing access to land by landless or impoverished segments of the society should constitute a central policy goal.”</w:t>
      </w:r>
      <w:r w:rsidRPr="00686690">
        <w:rPr>
          <w:rStyle w:val="EndnoteReference"/>
          <w:rFonts w:asciiTheme="majorBidi" w:hAnsiTheme="majorBidi" w:cstheme="majorBidi"/>
          <w:color w:val="auto"/>
          <w:lang w:val="en-GB"/>
        </w:rPr>
        <w:endnoteReference w:id="48"/>
      </w:r>
    </w:p>
    <w:p w14:paraId="4953DC54" w14:textId="77777777" w:rsidR="00686690" w:rsidRPr="00686690" w:rsidRDefault="00686690" w:rsidP="00686690">
      <w:pPr>
        <w:keepNext/>
        <w:keepLines/>
        <w:pBdr>
          <w:top w:val="none" w:sz="0" w:space="0" w:color="auto"/>
          <w:left w:val="none" w:sz="0" w:space="0" w:color="auto"/>
          <w:bottom w:val="none" w:sz="0" w:space="0" w:color="auto"/>
          <w:right w:val="none" w:sz="0" w:space="0" w:color="auto"/>
        </w:pBdr>
        <w:shd w:val="clear" w:color="auto" w:fill="FFFFFF"/>
        <w:spacing w:after="120"/>
        <w:jc w:val="lowKashida"/>
        <w:outlineLvl w:val="0"/>
        <w:rPr>
          <w:rFonts w:asciiTheme="majorBidi" w:hAnsiTheme="majorBidi" w:cstheme="majorBidi"/>
          <w:sz w:val="22"/>
          <w:szCs w:val="22"/>
          <w:lang w:val="en-GB"/>
        </w:rPr>
      </w:pPr>
      <w:r w:rsidRPr="00686690">
        <w:rPr>
          <w:rFonts w:asciiTheme="majorBidi" w:hAnsiTheme="majorBidi" w:cstheme="majorBidi"/>
          <w:sz w:val="22"/>
          <w:szCs w:val="22"/>
          <w:lang w:val="en-GB"/>
        </w:rPr>
        <w:t>The state party’s obligation to respect, protect and fulfil Covenant rights requires the state to avoid, prevent and remedy violations of the human right to land. These three aspects of obligation apply to all organs of the state, whether the particular central or sub-national sphere of government, institution, representative or agent exercises legislative, executive, judicial or any other functions, whatever position it holds in the organization of the state, and whatever its character within the territorial unit of the state.</w:t>
      </w:r>
      <w:r w:rsidRPr="00686690">
        <w:rPr>
          <w:rStyle w:val="EndnoteReference"/>
          <w:rFonts w:asciiTheme="majorBidi" w:hAnsiTheme="majorBidi" w:cstheme="majorBidi"/>
          <w:sz w:val="22"/>
          <w:szCs w:val="22"/>
          <w:lang w:val="en-GB"/>
        </w:rPr>
        <w:endnoteReference w:id="49"/>
      </w:r>
      <w:r w:rsidRPr="00686690">
        <w:rPr>
          <w:rFonts w:asciiTheme="majorBidi" w:hAnsiTheme="majorBidi" w:cstheme="majorBidi"/>
          <w:sz w:val="22"/>
          <w:szCs w:val="22"/>
          <w:lang w:val="en-GB"/>
        </w:rPr>
        <w:t xml:space="preserve"> As with all human rights, respect, protection and fulfilment of the human right to land are required also as a constant of state obligation in all situations, including peace time, states of emergency, conflict, occupation, war and disaster.</w:t>
      </w:r>
    </w:p>
    <w:p w14:paraId="31384BF2" w14:textId="77777777" w:rsidR="00686690" w:rsidRPr="00686690" w:rsidRDefault="00686690" w:rsidP="00686690">
      <w:pPr>
        <w:pStyle w:val="Body"/>
        <w:pBdr>
          <w:top w:val="none" w:sz="0" w:space="0" w:color="auto"/>
          <w:left w:val="none" w:sz="0" w:space="0" w:color="auto"/>
          <w:bottom w:val="none" w:sz="0" w:space="0" w:color="auto"/>
          <w:right w:val="none" w:sz="0" w:space="0" w:color="auto"/>
        </w:pBdr>
        <w:shd w:val="clear" w:color="auto" w:fill="FFFFFF"/>
        <w:spacing w:after="120" w:line="240" w:lineRule="auto"/>
        <w:jc w:val="lowKashida"/>
        <w:rPr>
          <w:rFonts w:asciiTheme="majorBidi" w:hAnsiTheme="majorBidi" w:cstheme="majorBidi"/>
          <w:color w:val="auto"/>
          <w:lang w:val="en-GB"/>
        </w:rPr>
      </w:pPr>
      <w:r w:rsidRPr="00686690">
        <w:rPr>
          <w:rFonts w:asciiTheme="majorBidi" w:hAnsiTheme="majorBidi" w:cstheme="majorBidi"/>
          <w:color w:val="auto"/>
          <w:lang w:val="en-GB"/>
        </w:rPr>
        <w:t>It is particularly incumbent upon states parties, and other competent actors, to provide international assistance and cooperation, especially economic and technical, that enables developing countries to fulfil their core obligations. This is increasingly important in the context of fragile states, protracted crises and states and their populations such as Small Island Development States affected by climate change.</w:t>
      </w:r>
    </w:p>
    <w:p w14:paraId="57C65D0D" w14:textId="77777777" w:rsidR="00686690" w:rsidRPr="00686690" w:rsidRDefault="00686690" w:rsidP="00686690">
      <w:pPr>
        <w:pStyle w:val="Body"/>
        <w:pBdr>
          <w:top w:val="none" w:sz="0" w:space="0" w:color="auto"/>
          <w:left w:val="none" w:sz="0" w:space="0" w:color="auto"/>
          <w:bottom w:val="none" w:sz="0" w:space="0" w:color="auto"/>
          <w:right w:val="none" w:sz="0" w:space="0" w:color="auto"/>
        </w:pBdr>
        <w:shd w:val="clear" w:color="auto" w:fill="FFFFFF"/>
        <w:spacing w:after="120" w:line="240" w:lineRule="auto"/>
        <w:jc w:val="lowKashida"/>
        <w:rPr>
          <w:rFonts w:asciiTheme="majorBidi" w:hAnsiTheme="majorBidi" w:cstheme="majorBidi"/>
          <w:color w:val="auto"/>
          <w:lang w:val="en-GB"/>
        </w:rPr>
      </w:pPr>
      <w:r w:rsidRPr="00686690">
        <w:rPr>
          <w:rFonts w:asciiTheme="majorBidi" w:hAnsiTheme="majorBidi" w:cstheme="majorBidi"/>
          <w:color w:val="auto"/>
          <w:lang w:val="en-GB"/>
        </w:rPr>
        <w:t>In General Comment No. 3, the Committee confirms that states parties bear a core obligation to ensure the satisfaction of, at the very least, minimum essential levels of each of the human rights guaranteed in the Covenant.</w:t>
      </w:r>
      <w:r w:rsidRPr="00686690">
        <w:rPr>
          <w:rStyle w:val="EndnoteReference"/>
          <w:rFonts w:asciiTheme="majorBidi" w:hAnsiTheme="majorBidi" w:cstheme="majorBidi"/>
          <w:color w:val="auto"/>
          <w:lang w:val="en-GB"/>
        </w:rPr>
        <w:endnoteReference w:id="50"/>
      </w:r>
      <w:r w:rsidRPr="00686690">
        <w:rPr>
          <w:rFonts w:asciiTheme="majorBidi" w:hAnsiTheme="majorBidi" w:cstheme="majorBidi"/>
          <w:color w:val="auto"/>
          <w:lang w:val="en-GB"/>
        </w:rPr>
        <w:t xml:space="preserve"> </w:t>
      </w:r>
    </w:p>
    <w:p w14:paraId="6FECA944" w14:textId="2FE8D5B4" w:rsidR="00686690" w:rsidRPr="00686690" w:rsidRDefault="00686690" w:rsidP="00686690">
      <w:pPr>
        <w:pStyle w:val="Body"/>
        <w:keepNext/>
        <w:keepLines/>
        <w:pBdr>
          <w:top w:val="none" w:sz="0" w:space="0" w:color="auto"/>
          <w:left w:val="none" w:sz="0" w:space="0" w:color="auto"/>
          <w:bottom w:val="none" w:sz="0" w:space="0" w:color="auto"/>
          <w:right w:val="none" w:sz="0" w:space="0" w:color="auto"/>
        </w:pBdr>
        <w:shd w:val="clear" w:color="auto" w:fill="FFFFFF"/>
        <w:spacing w:after="120" w:line="240" w:lineRule="auto"/>
        <w:jc w:val="lowKashida"/>
        <w:outlineLvl w:val="0"/>
        <w:rPr>
          <w:rFonts w:asciiTheme="majorBidi" w:hAnsiTheme="majorBidi" w:cstheme="majorBidi"/>
          <w:b/>
          <w:bCs/>
          <w:color w:val="auto"/>
          <w:lang w:val="en-GB"/>
        </w:rPr>
      </w:pPr>
      <w:r w:rsidRPr="00686690">
        <w:rPr>
          <w:rFonts w:asciiTheme="majorBidi" w:hAnsiTheme="majorBidi" w:cstheme="majorBidi"/>
          <w:b/>
          <w:bCs/>
          <w:color w:val="auto"/>
          <w:lang w:val="en-GB"/>
        </w:rPr>
        <w:t xml:space="preserve">Violations of the </w:t>
      </w:r>
      <w:r w:rsidRPr="00686690">
        <w:rPr>
          <w:rFonts w:asciiTheme="majorBidi" w:hAnsiTheme="majorBidi" w:cstheme="majorBidi"/>
          <w:b/>
          <w:bCs/>
          <w:color w:val="auto"/>
          <w:lang w:val="en-GB"/>
        </w:rPr>
        <w:t xml:space="preserve">Human Right </w:t>
      </w:r>
      <w:r w:rsidRPr="00686690">
        <w:rPr>
          <w:rFonts w:asciiTheme="majorBidi" w:hAnsiTheme="majorBidi" w:cstheme="majorBidi"/>
          <w:b/>
          <w:bCs/>
          <w:color w:val="auto"/>
          <w:lang w:val="en-GB"/>
        </w:rPr>
        <w:t xml:space="preserve">to </w:t>
      </w:r>
      <w:r w:rsidRPr="00686690">
        <w:rPr>
          <w:rFonts w:asciiTheme="majorBidi" w:hAnsiTheme="majorBidi" w:cstheme="majorBidi"/>
          <w:b/>
          <w:bCs/>
          <w:color w:val="auto"/>
          <w:lang w:val="en-GB"/>
        </w:rPr>
        <w:t>La</w:t>
      </w:r>
      <w:r w:rsidRPr="00686690">
        <w:rPr>
          <w:rFonts w:asciiTheme="majorBidi" w:hAnsiTheme="majorBidi" w:cstheme="majorBidi"/>
          <w:b/>
          <w:bCs/>
          <w:color w:val="auto"/>
          <w:lang w:val="en-GB"/>
        </w:rPr>
        <w:t>nd</w:t>
      </w:r>
    </w:p>
    <w:p w14:paraId="652684F8" w14:textId="77777777" w:rsidR="00686690" w:rsidRPr="00686690" w:rsidRDefault="00686690" w:rsidP="00686690">
      <w:pPr>
        <w:keepNext/>
        <w:keepLines/>
        <w:pBdr>
          <w:top w:val="none" w:sz="0" w:space="0" w:color="auto"/>
          <w:left w:val="none" w:sz="0" w:space="0" w:color="auto"/>
          <w:bottom w:val="none" w:sz="0" w:space="0" w:color="auto"/>
          <w:right w:val="none" w:sz="0" w:space="0" w:color="auto"/>
        </w:pBdr>
        <w:shd w:val="clear" w:color="auto" w:fill="FFFFFF"/>
        <w:spacing w:after="120"/>
        <w:jc w:val="lowKashida"/>
        <w:outlineLvl w:val="0"/>
        <w:rPr>
          <w:rFonts w:asciiTheme="majorBidi" w:hAnsiTheme="majorBidi" w:cstheme="majorBidi"/>
          <w:sz w:val="22"/>
          <w:szCs w:val="22"/>
          <w:lang w:val="en-GB"/>
        </w:rPr>
      </w:pPr>
      <w:r w:rsidRPr="00686690">
        <w:rPr>
          <w:rFonts w:asciiTheme="majorBidi" w:hAnsiTheme="majorBidi" w:cstheme="majorBidi"/>
          <w:sz w:val="22"/>
          <w:szCs w:val="22"/>
          <w:lang w:val="en-GB"/>
        </w:rPr>
        <w:t>The human right to land and its link to life and well-being with dignity become clearest where and when impeded through cases involving any single or combination of actions or conditions that bring about the violation of codified human rights. In the case of the human right to land, those conditions may include, but not are limited to: discrimination; dispossession; displacement, including forced eviction; denial of equitable use of, and access [to land]; scarcity [of land]; damage or destruction [of land] and/or the means of access [to land]; and/or insufficient capability of persons, social groups and communities to access, use and maintain tenure to adequate land. In addition to these special circumstances, various factors also may intersect to result in increasing land pressures, including population growth, urbanization, infrastructure projects (e.g., energy, transport and tourism installations), climate change and desertification, natural resource (e.g., mineral, oil, gas and water) extraction, the expansion of large-scale and mechanised agriculture, monocultures and biofuel production. The denial of the human right to land in such cases could lead to the condition of “landlessness,”</w:t>
      </w:r>
      <w:r w:rsidRPr="00686690">
        <w:rPr>
          <w:rStyle w:val="EndnoteReference"/>
          <w:rFonts w:asciiTheme="majorBidi" w:hAnsiTheme="majorBidi" w:cstheme="majorBidi"/>
          <w:sz w:val="22"/>
          <w:szCs w:val="22"/>
          <w:lang w:val="en-GB"/>
        </w:rPr>
        <w:endnoteReference w:id="51"/>
      </w:r>
      <w:r w:rsidRPr="00686690">
        <w:rPr>
          <w:rFonts w:asciiTheme="majorBidi" w:hAnsiTheme="majorBidi" w:cstheme="majorBidi"/>
          <w:sz w:val="22"/>
          <w:szCs w:val="22"/>
          <w:lang w:val="en-GB"/>
        </w:rPr>
        <w:t xml:space="preserve"> which, in turn, involves the deprivation of a bundle of other Covenant human rights.</w:t>
      </w:r>
    </w:p>
    <w:p w14:paraId="11C81442" w14:textId="77777777" w:rsidR="00686690" w:rsidRPr="00686690" w:rsidRDefault="00686690" w:rsidP="00686690">
      <w:pPr>
        <w:pStyle w:val="Body"/>
        <w:pBdr>
          <w:top w:val="none" w:sz="0" w:space="0" w:color="auto"/>
          <w:left w:val="none" w:sz="0" w:space="0" w:color="auto"/>
          <w:bottom w:val="none" w:sz="0" w:space="0" w:color="auto"/>
          <w:right w:val="none" w:sz="0" w:space="0" w:color="auto"/>
        </w:pBdr>
        <w:shd w:val="clear" w:color="auto" w:fill="FFFFFF"/>
        <w:spacing w:after="120" w:line="240" w:lineRule="auto"/>
        <w:jc w:val="lowKashida"/>
        <w:rPr>
          <w:rFonts w:asciiTheme="majorBidi" w:hAnsiTheme="majorBidi" w:cstheme="majorBidi"/>
          <w:color w:val="auto"/>
          <w:lang w:val="en-GB"/>
        </w:rPr>
      </w:pPr>
      <w:r w:rsidRPr="00686690">
        <w:rPr>
          <w:rFonts w:asciiTheme="majorBidi" w:hAnsiTheme="majorBidi" w:cstheme="majorBidi"/>
          <w:color w:val="auto"/>
          <w:lang w:val="en-GB"/>
        </w:rPr>
        <w:t>As with human rights, generally, the normative content of the human right to land becomes clearer in cases of its violation. In state party reviews</w:t>
      </w:r>
      <w:r w:rsidRPr="00686690">
        <w:rPr>
          <w:rStyle w:val="EndnoteReference"/>
          <w:rFonts w:asciiTheme="majorBidi" w:hAnsiTheme="majorBidi" w:cstheme="majorBidi"/>
          <w:color w:val="auto"/>
          <w:lang w:val="en-GB"/>
        </w:rPr>
        <w:endnoteReference w:id="52"/>
      </w:r>
      <w:r w:rsidRPr="00686690">
        <w:rPr>
          <w:rFonts w:asciiTheme="majorBidi" w:hAnsiTheme="majorBidi" w:cstheme="majorBidi"/>
          <w:color w:val="auto"/>
          <w:lang w:val="en-GB"/>
        </w:rPr>
        <w:t xml:space="preserve"> and communications under the Optional Protocol,</w:t>
      </w:r>
      <w:r w:rsidRPr="00686690">
        <w:rPr>
          <w:rStyle w:val="EndnoteReference"/>
          <w:rFonts w:asciiTheme="majorBidi" w:hAnsiTheme="majorBidi" w:cstheme="majorBidi"/>
          <w:color w:val="auto"/>
          <w:lang w:val="en-GB"/>
        </w:rPr>
        <w:endnoteReference w:id="53"/>
      </w:r>
      <w:r w:rsidRPr="00686690">
        <w:rPr>
          <w:rFonts w:asciiTheme="majorBidi" w:hAnsiTheme="majorBidi" w:cstheme="majorBidi"/>
          <w:color w:val="auto"/>
          <w:lang w:val="en-GB"/>
        </w:rPr>
        <w:t xml:space="preserve"> the Committee continuously has confronted cases involving the deliberate and widespread denial of the human right to land in both developing and developed countries. That denial has led to the deprivation of other Covenant human rights and human needs, often involving the failure of the state to respect, protect and fulfil multiple, indivisible and interdependent economic, social and cultural human rights. Often such cases involve the derogation or violation of process and accessory human rights guaranteed also under ICCPR such as access to justice, information, freedom of movement and residence, freedom of opinion, expression, association and peaceful assembly, and participation in public life.</w:t>
      </w:r>
      <w:r w:rsidRPr="00686690">
        <w:rPr>
          <w:rStyle w:val="EndnoteReference"/>
          <w:rFonts w:asciiTheme="majorBidi" w:hAnsiTheme="majorBidi" w:cstheme="majorBidi"/>
          <w:color w:val="auto"/>
          <w:lang w:val="en-GB"/>
        </w:rPr>
        <w:endnoteReference w:id="54"/>
      </w:r>
      <w:r w:rsidRPr="00686690">
        <w:rPr>
          <w:rFonts w:asciiTheme="majorBidi" w:hAnsiTheme="majorBidi" w:cstheme="majorBidi"/>
          <w:color w:val="auto"/>
          <w:lang w:val="en-GB"/>
        </w:rPr>
        <w:t xml:space="preserve"> Breaches of Covenant human rights may cause and/or result from the violation of the human right to land.</w:t>
      </w:r>
    </w:p>
    <w:p w14:paraId="43BDEC9C" w14:textId="125B1B22" w:rsidR="00686690" w:rsidRDefault="00686690" w:rsidP="00686690">
      <w:pPr>
        <w:pStyle w:val="Body"/>
        <w:pBdr>
          <w:top w:val="none" w:sz="0" w:space="0" w:color="auto"/>
          <w:left w:val="none" w:sz="0" w:space="0" w:color="auto"/>
          <w:bottom w:val="none" w:sz="0" w:space="0" w:color="auto"/>
          <w:right w:val="none" w:sz="0" w:space="0" w:color="auto"/>
        </w:pBdr>
        <w:shd w:val="clear" w:color="auto" w:fill="FFFFFF"/>
        <w:spacing w:after="120" w:line="240" w:lineRule="auto"/>
        <w:jc w:val="lowKashida"/>
        <w:rPr>
          <w:rFonts w:asciiTheme="majorBidi" w:hAnsiTheme="majorBidi" w:cstheme="majorBidi"/>
          <w:color w:val="auto"/>
          <w:lang w:val="en-GB"/>
        </w:rPr>
      </w:pPr>
    </w:p>
    <w:p w14:paraId="4C2C986E" w14:textId="77777777" w:rsidR="00686690" w:rsidRPr="00686690" w:rsidRDefault="00686690" w:rsidP="00686690">
      <w:pPr>
        <w:pStyle w:val="Body"/>
        <w:pBdr>
          <w:top w:val="none" w:sz="0" w:space="0" w:color="auto"/>
          <w:left w:val="none" w:sz="0" w:space="0" w:color="auto"/>
          <w:bottom w:val="none" w:sz="0" w:space="0" w:color="auto"/>
          <w:right w:val="none" w:sz="0" w:space="0" w:color="auto"/>
        </w:pBdr>
        <w:shd w:val="clear" w:color="auto" w:fill="FFFFFF"/>
        <w:spacing w:after="120" w:line="240" w:lineRule="auto"/>
        <w:jc w:val="lowKashida"/>
        <w:rPr>
          <w:rFonts w:asciiTheme="majorBidi" w:hAnsiTheme="majorBidi" w:cstheme="majorBidi"/>
          <w:color w:val="auto"/>
          <w:lang w:val="en-GB"/>
        </w:rPr>
      </w:pPr>
    </w:p>
    <w:p w14:paraId="557337EA" w14:textId="77777777" w:rsidR="00686690" w:rsidRPr="00686690" w:rsidRDefault="00686690" w:rsidP="00686690">
      <w:pPr>
        <w:pStyle w:val="ListParagraph"/>
        <w:shd w:val="clear" w:color="auto" w:fill="FFFFFF"/>
        <w:spacing w:after="120"/>
        <w:ind w:left="0"/>
        <w:rPr>
          <w:rFonts w:asciiTheme="majorBidi" w:hAnsiTheme="majorBidi" w:cstheme="majorBidi"/>
          <w:lang w:val="en-GB"/>
        </w:rPr>
      </w:pPr>
      <w:r w:rsidRPr="00686690">
        <w:rPr>
          <w:rStyle w:val="None"/>
          <w:rFonts w:asciiTheme="majorBidi" w:hAnsiTheme="majorBidi" w:cstheme="majorBidi"/>
          <w:b/>
          <w:bCs/>
          <w:lang w:val="en-GB"/>
        </w:rPr>
        <w:lastRenderedPageBreak/>
        <w:t>Endnotes:</w:t>
      </w:r>
      <w:bookmarkEnd w:id="0"/>
    </w:p>
    <w:sectPr w:rsidR="00686690" w:rsidRPr="00686690" w:rsidSect="00686690">
      <w:headerReference w:type="even" r:id="rId6"/>
      <w:headerReference w:type="default" r:id="rId7"/>
      <w:footerReference w:type="even" r:id="rId8"/>
      <w:footerReference w:type="default" r:id="rId9"/>
      <w:headerReference w:type="first" r:id="rId10"/>
      <w:footerReference w:type="first" r:id="rId11"/>
      <w:endnotePr>
        <w:numFmt w:val="decimal"/>
      </w:endnotePr>
      <w:pgSz w:w="11900" w:h="16840" w:code="9"/>
      <w:pgMar w:top="1440" w:right="1440" w:bottom="1440" w:left="1440" w:header="113" w:footer="0" w:gutter="0"/>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A98A4" w14:textId="77777777" w:rsidR="00D93002" w:rsidRDefault="00D93002" w:rsidP="00686690">
      <w:r>
        <w:separator/>
      </w:r>
    </w:p>
  </w:endnote>
  <w:endnote w:type="continuationSeparator" w:id="0">
    <w:p w14:paraId="1E8AE46F" w14:textId="77777777" w:rsidR="00D93002" w:rsidRDefault="00D93002" w:rsidP="00686690">
      <w:r>
        <w:continuationSeparator/>
      </w:r>
    </w:p>
  </w:endnote>
  <w:endnote w:id="1">
    <w:p w14:paraId="4034E34D" w14:textId="77777777" w:rsidR="00686690" w:rsidRPr="00AF1D63" w:rsidRDefault="00686690" w:rsidP="00686690">
      <w:pPr>
        <w:pStyle w:val="EndnoteText"/>
        <w:ind w:left="227" w:hanging="227"/>
        <w:jc w:val="lowKashida"/>
        <w:rPr>
          <w:sz w:val="16"/>
          <w:szCs w:val="16"/>
        </w:rPr>
      </w:pPr>
      <w:r w:rsidRPr="00AF1D63">
        <w:rPr>
          <w:rStyle w:val="EndnoteReference"/>
          <w:sz w:val="16"/>
          <w:szCs w:val="16"/>
        </w:rPr>
        <w:endnoteRef/>
      </w:r>
      <w:r w:rsidRPr="00AF1D63">
        <w:rPr>
          <w:sz w:val="16"/>
          <w:szCs w:val="16"/>
        </w:rPr>
        <w:t xml:space="preserve"> </w:t>
      </w:r>
      <w:r>
        <w:rPr>
          <w:sz w:val="16"/>
          <w:szCs w:val="16"/>
        </w:rPr>
        <w:tab/>
      </w:r>
      <w:r w:rsidRPr="00AF1D63">
        <w:rPr>
          <w:sz w:val="16"/>
          <w:szCs w:val="16"/>
        </w:rPr>
        <w:t xml:space="preserve">Universal Declaration of Human Rights, A/RES/III/217A, 10 December 1948, Article 17, at: </w:t>
      </w:r>
      <w:hyperlink r:id="rId1" w:history="1">
        <w:r w:rsidRPr="00AF1D63">
          <w:rPr>
            <w:rStyle w:val="Hyperlink"/>
            <w:sz w:val="16"/>
            <w:szCs w:val="16"/>
          </w:rPr>
          <w:t>https://www.un.org/en/universal-declaration-human-rights/</w:t>
        </w:r>
      </w:hyperlink>
      <w:r w:rsidRPr="00AF1D63">
        <w:rPr>
          <w:sz w:val="16"/>
          <w:szCs w:val="16"/>
        </w:rPr>
        <w:t xml:space="preserve">. </w:t>
      </w:r>
    </w:p>
  </w:endnote>
  <w:endnote w:id="2">
    <w:p w14:paraId="4800CBE7"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Pr>
          <w:rFonts w:cs="Calibri"/>
          <w:sz w:val="16"/>
          <w:szCs w:val="16"/>
        </w:rPr>
        <w:tab/>
      </w:r>
      <w:r w:rsidRPr="002D3220">
        <w:rPr>
          <w:rFonts w:cs="Calibri"/>
          <w:i/>
          <w:iCs/>
          <w:sz w:val="16"/>
          <w:szCs w:val="16"/>
        </w:rPr>
        <w:t xml:space="preserve">Land and Human Rights, Standards and Application </w:t>
      </w:r>
      <w:r w:rsidRPr="002D3220">
        <w:rPr>
          <w:rFonts w:cs="Calibri"/>
          <w:sz w:val="16"/>
          <w:szCs w:val="16"/>
        </w:rPr>
        <w:t xml:space="preserve">(Geneva: OHCHR, 2015), at: </w:t>
      </w:r>
    </w:p>
    <w:p w14:paraId="619B28F8" w14:textId="77777777" w:rsidR="00686690" w:rsidRPr="002D3220" w:rsidRDefault="00686690" w:rsidP="00686690">
      <w:pPr>
        <w:pStyle w:val="EndnoteText"/>
        <w:ind w:left="227" w:hanging="227"/>
        <w:jc w:val="lowKashida"/>
        <w:rPr>
          <w:rFonts w:cs="Calibri"/>
          <w:sz w:val="16"/>
          <w:szCs w:val="16"/>
        </w:rPr>
      </w:pPr>
      <w:r w:rsidRPr="002D3220">
        <w:rPr>
          <w:rFonts w:cs="Calibri"/>
          <w:sz w:val="16"/>
          <w:szCs w:val="16"/>
        </w:rPr>
        <w:tab/>
      </w:r>
      <w:hyperlink r:id="rId2" w:history="1">
        <w:r w:rsidRPr="002D3220">
          <w:rPr>
            <w:rStyle w:val="Hyperlink"/>
            <w:rFonts w:cs="Calibri"/>
            <w:sz w:val="16"/>
            <w:szCs w:val="16"/>
          </w:rPr>
          <w:t>http://www.ohchr.org/Documents/Publications/Land_HR-StandardsApplications.pdf</w:t>
        </w:r>
      </w:hyperlink>
      <w:r w:rsidRPr="002D3220">
        <w:rPr>
          <w:rFonts w:cs="Calibri"/>
          <w:sz w:val="16"/>
          <w:szCs w:val="16"/>
        </w:rPr>
        <w:t xml:space="preserve">; </w:t>
      </w:r>
      <w:r w:rsidRPr="002D3220">
        <w:rPr>
          <w:rFonts w:cs="Calibri"/>
          <w:i/>
          <w:iCs/>
          <w:sz w:val="16"/>
          <w:szCs w:val="16"/>
        </w:rPr>
        <w:t>Land and Human Rights: Annotated Compilation of Case Law</w:t>
      </w:r>
      <w:r w:rsidRPr="002D3220">
        <w:rPr>
          <w:rFonts w:cs="Calibri"/>
          <w:sz w:val="16"/>
          <w:szCs w:val="16"/>
        </w:rPr>
        <w:t xml:space="preserve"> (Geneva: OHCHR, 2015), at: </w:t>
      </w:r>
    </w:p>
    <w:p w14:paraId="187F99F2" w14:textId="77777777" w:rsidR="00686690" w:rsidRPr="002D3220" w:rsidRDefault="00686690" w:rsidP="00686690">
      <w:pPr>
        <w:pStyle w:val="EndnoteText"/>
        <w:ind w:left="227" w:hanging="227"/>
        <w:jc w:val="lowKashida"/>
        <w:rPr>
          <w:rFonts w:cs="Calibri"/>
          <w:sz w:val="16"/>
          <w:szCs w:val="16"/>
        </w:rPr>
      </w:pPr>
      <w:r w:rsidRPr="002D3220">
        <w:rPr>
          <w:rFonts w:cs="Calibri"/>
          <w:sz w:val="16"/>
          <w:szCs w:val="16"/>
        </w:rPr>
        <w:tab/>
      </w:r>
      <w:hyperlink r:id="rId3" w:history="1">
        <w:r w:rsidRPr="002D3220">
          <w:rPr>
            <w:rStyle w:val="Hyperlink"/>
            <w:rFonts w:cs="Calibri"/>
            <w:sz w:val="16"/>
            <w:szCs w:val="16"/>
          </w:rPr>
          <w:t>http://www.ohchr.org/Documents/Publications/Land_HR-CaseLaw.pdf</w:t>
        </w:r>
      </w:hyperlink>
      <w:r w:rsidRPr="002D3220">
        <w:rPr>
          <w:rFonts w:cs="Calibri"/>
          <w:sz w:val="16"/>
          <w:szCs w:val="16"/>
        </w:rPr>
        <w:t xml:space="preserve">; </w:t>
      </w:r>
      <w:r w:rsidRPr="002D3220">
        <w:rPr>
          <w:rFonts w:cs="Calibri"/>
          <w:i/>
          <w:iCs/>
          <w:sz w:val="16"/>
          <w:szCs w:val="16"/>
        </w:rPr>
        <w:t>Realizing Women’s Rights to Land and Other Productive Resources</w:t>
      </w:r>
      <w:r w:rsidRPr="002D3220">
        <w:rPr>
          <w:rFonts w:cs="Calibri"/>
          <w:sz w:val="16"/>
          <w:szCs w:val="16"/>
        </w:rPr>
        <w:t xml:space="preserve"> (Geneva: OHCHR, 2013), at: </w:t>
      </w:r>
    </w:p>
    <w:p w14:paraId="7241A94F" w14:textId="77777777" w:rsidR="00686690" w:rsidRPr="002D3220" w:rsidRDefault="00686690" w:rsidP="00686690">
      <w:pPr>
        <w:pStyle w:val="EndnoteText"/>
        <w:ind w:left="227" w:hanging="227"/>
        <w:jc w:val="lowKashida"/>
        <w:rPr>
          <w:rFonts w:cs="Calibri"/>
          <w:sz w:val="16"/>
          <w:szCs w:val="16"/>
        </w:rPr>
      </w:pPr>
      <w:r w:rsidRPr="002D3220">
        <w:rPr>
          <w:rFonts w:cs="Calibri"/>
          <w:sz w:val="16"/>
          <w:szCs w:val="16"/>
        </w:rPr>
        <w:tab/>
      </w:r>
      <w:hyperlink r:id="rId4" w:history="1">
        <w:r w:rsidRPr="002D3220">
          <w:rPr>
            <w:rStyle w:val="Hyperlink"/>
            <w:rFonts w:cs="Calibri"/>
            <w:sz w:val="16"/>
            <w:szCs w:val="16"/>
          </w:rPr>
          <w:t>http://www.ohchr.org/Documents/Publications/RealizingWomensRightstoLand.pdf</w:t>
        </w:r>
      </w:hyperlink>
      <w:r w:rsidRPr="002D3220">
        <w:rPr>
          <w:rFonts w:cs="Calibri"/>
          <w:sz w:val="16"/>
          <w:szCs w:val="16"/>
        </w:rPr>
        <w:t xml:space="preserve">; Report of the United Nations High Commissioner for Human Rights on land and human rights, E/2014/86, at: </w:t>
      </w:r>
    </w:p>
    <w:p w14:paraId="5C093814" w14:textId="77777777" w:rsidR="00686690" w:rsidRPr="002D3220" w:rsidRDefault="00686690" w:rsidP="00686690">
      <w:pPr>
        <w:pStyle w:val="EndnoteText"/>
        <w:ind w:left="227" w:hanging="227"/>
        <w:jc w:val="lowKashida"/>
        <w:rPr>
          <w:rFonts w:cs="Calibri"/>
          <w:sz w:val="16"/>
          <w:szCs w:val="16"/>
        </w:rPr>
      </w:pPr>
      <w:r w:rsidRPr="002D3220">
        <w:rPr>
          <w:rFonts w:cs="Calibri"/>
          <w:sz w:val="16"/>
          <w:szCs w:val="16"/>
        </w:rPr>
        <w:tab/>
      </w:r>
      <w:hyperlink r:id="rId5" w:history="1">
        <w:r w:rsidRPr="002D3220">
          <w:rPr>
            <w:rStyle w:val="Hyperlink"/>
            <w:rFonts w:cs="Calibri"/>
            <w:sz w:val="16"/>
            <w:szCs w:val="16"/>
          </w:rPr>
          <w:t>http://www.un.org/Docs/journal/asp/ws.asp?m=E/2014/86</w:t>
        </w:r>
      </w:hyperlink>
      <w:r w:rsidRPr="002D3220">
        <w:rPr>
          <w:rFonts w:cs="Calibri"/>
          <w:sz w:val="16"/>
          <w:szCs w:val="16"/>
        </w:rPr>
        <w:t xml:space="preserve">. </w:t>
      </w:r>
    </w:p>
  </w:endnote>
  <w:endnote w:id="3">
    <w:p w14:paraId="68B9452F" w14:textId="77777777" w:rsidR="00686690" w:rsidRPr="002D3220" w:rsidRDefault="00686690" w:rsidP="00686690">
      <w:pPr>
        <w:pStyle w:val="EndnoteText"/>
        <w:ind w:left="227" w:hanging="227"/>
        <w:jc w:val="lowKashida"/>
        <w:rPr>
          <w:rFonts w:cs="Calibri"/>
          <w:spacing w:val="-4"/>
          <w:sz w:val="16"/>
          <w:szCs w:val="16"/>
        </w:rPr>
      </w:pPr>
      <w:r w:rsidRPr="002D3220">
        <w:rPr>
          <w:rStyle w:val="EndnoteReference"/>
          <w:rFonts w:cs="Calibri"/>
          <w:sz w:val="16"/>
          <w:szCs w:val="16"/>
        </w:rPr>
        <w:endnoteRef/>
      </w:r>
      <w:r w:rsidRPr="002D3220">
        <w:rPr>
          <w:rFonts w:cs="Calibri"/>
          <w:sz w:val="16"/>
          <w:szCs w:val="16"/>
        </w:rPr>
        <w:t xml:space="preserve"> </w:t>
      </w:r>
      <w:r>
        <w:rPr>
          <w:rFonts w:cs="Calibri"/>
          <w:sz w:val="16"/>
          <w:szCs w:val="16"/>
        </w:rPr>
        <w:tab/>
      </w:r>
      <w:r w:rsidRPr="002D3220">
        <w:rPr>
          <w:rFonts w:cs="Calibri"/>
          <w:spacing w:val="-4"/>
          <w:sz w:val="16"/>
          <w:szCs w:val="16"/>
        </w:rPr>
        <w:t xml:space="preserve">“Capital and land: The return of wealth is about more than housing,” </w:t>
      </w:r>
      <w:r w:rsidRPr="002D3220">
        <w:rPr>
          <w:rFonts w:cs="Calibri"/>
          <w:i/>
          <w:iCs/>
          <w:spacing w:val="-4"/>
          <w:sz w:val="16"/>
          <w:szCs w:val="16"/>
        </w:rPr>
        <w:t xml:space="preserve">The Economist </w:t>
      </w:r>
      <w:r w:rsidRPr="002D3220">
        <w:rPr>
          <w:rFonts w:cs="Calibri"/>
          <w:spacing w:val="-4"/>
          <w:sz w:val="16"/>
          <w:szCs w:val="16"/>
        </w:rPr>
        <w:t xml:space="preserve">(4 February 2014), at: ; Sam </w:t>
      </w:r>
      <w:proofErr w:type="spellStart"/>
      <w:r w:rsidRPr="002D3220">
        <w:rPr>
          <w:rFonts w:cs="Calibri"/>
          <w:spacing w:val="-4"/>
          <w:sz w:val="16"/>
          <w:szCs w:val="16"/>
        </w:rPr>
        <w:t>Moyo</w:t>
      </w:r>
      <w:proofErr w:type="spellEnd"/>
      <w:r w:rsidRPr="002D3220">
        <w:rPr>
          <w:rFonts w:cs="Calibri"/>
          <w:spacing w:val="-4"/>
          <w:sz w:val="16"/>
          <w:szCs w:val="16"/>
        </w:rPr>
        <w:t xml:space="preserve">, “Land Ownership Patterns and Income inequality in Southern Africa,” Identities, Conflict and Cohesion </w:t>
      </w:r>
      <w:proofErr w:type="spellStart"/>
      <w:r w:rsidRPr="002D3220">
        <w:rPr>
          <w:rFonts w:cs="Calibri"/>
          <w:spacing w:val="-4"/>
          <w:sz w:val="16"/>
          <w:szCs w:val="16"/>
        </w:rPr>
        <w:t>Programme</w:t>
      </w:r>
      <w:proofErr w:type="spellEnd"/>
      <w:r w:rsidRPr="002D3220">
        <w:rPr>
          <w:rFonts w:cs="Calibri"/>
          <w:spacing w:val="-4"/>
          <w:sz w:val="16"/>
          <w:szCs w:val="16"/>
        </w:rPr>
        <w:t xml:space="preserve"> Paper Number 10 December 2004 (Geneva: United Nations Research Institute for Social Development, 2015), at: </w:t>
      </w:r>
    </w:p>
    <w:p w14:paraId="26A007D3" w14:textId="77777777" w:rsidR="00686690" w:rsidRPr="002D3220" w:rsidRDefault="00686690" w:rsidP="00686690">
      <w:pPr>
        <w:pStyle w:val="EndnoteText"/>
        <w:ind w:left="227" w:firstLine="0"/>
        <w:jc w:val="lowKashida"/>
        <w:rPr>
          <w:rFonts w:cs="Calibri"/>
          <w:spacing w:val="-4"/>
          <w:sz w:val="16"/>
          <w:szCs w:val="16"/>
        </w:rPr>
      </w:pPr>
      <w:hyperlink r:id="rId6" w:history="1">
        <w:r w:rsidRPr="002D3220">
          <w:rPr>
            <w:rStyle w:val="Hyperlink"/>
            <w:rFonts w:cs="Calibri"/>
            <w:spacing w:val="-4"/>
            <w:sz w:val="16"/>
            <w:szCs w:val="16"/>
          </w:rPr>
          <w:t>http://www.unrisd.org/80256B3C005BCCF9/(httpAuxPages)/101C4E46DE4EA2B080256B6D005786F0/$file/moyo.pdf</w:t>
        </w:r>
      </w:hyperlink>
      <w:r w:rsidRPr="002D3220">
        <w:rPr>
          <w:rFonts w:cs="Calibri"/>
          <w:spacing w:val="-4"/>
          <w:sz w:val="16"/>
          <w:szCs w:val="16"/>
        </w:rPr>
        <w:t xml:space="preserve"> and </w:t>
      </w:r>
    </w:p>
    <w:p w14:paraId="6458E4C5" w14:textId="77777777" w:rsidR="00686690" w:rsidRPr="002D3220" w:rsidRDefault="00686690" w:rsidP="00686690">
      <w:pPr>
        <w:pStyle w:val="EndnoteText"/>
        <w:ind w:left="227" w:firstLine="0"/>
        <w:jc w:val="lowKashida"/>
        <w:rPr>
          <w:rFonts w:cs="Calibri"/>
          <w:spacing w:val="-4"/>
          <w:sz w:val="16"/>
          <w:szCs w:val="16"/>
        </w:rPr>
      </w:pPr>
      <w:hyperlink r:id="rId7" w:history="1">
        <w:r w:rsidRPr="002D3220">
          <w:rPr>
            <w:rStyle w:val="Hyperlink"/>
            <w:rFonts w:cs="Calibri"/>
            <w:spacing w:val="-4"/>
            <w:sz w:val="16"/>
            <w:szCs w:val="16"/>
          </w:rPr>
          <w:t>https://pdfs.semanticscholar.org/4b6d/5d9142a42693e17ca28d35e38ff5299d8136.pdf</w:t>
        </w:r>
      </w:hyperlink>
      <w:r w:rsidRPr="002D3220">
        <w:rPr>
          <w:rFonts w:cs="Calibri"/>
          <w:spacing w:val="-4"/>
          <w:sz w:val="16"/>
          <w:szCs w:val="16"/>
        </w:rPr>
        <w:t xml:space="preserve">; Michael R. Carter, “Land Ownership Inequality and the Income Distribution Consequences of Economic Growth,” Working Papers No. 201 (Helsinki: United Nations University, World Institute for Development Economics Research, 2000), at: </w:t>
      </w:r>
      <w:hyperlink r:id="rId8" w:history="1">
        <w:r w:rsidRPr="002D3220">
          <w:rPr>
            <w:rStyle w:val="Hyperlink"/>
            <w:rFonts w:cs="Calibri"/>
            <w:spacing w:val="-4"/>
            <w:sz w:val="16"/>
            <w:szCs w:val="16"/>
          </w:rPr>
          <w:t>https://pdfs.semanticscholar.org/4025/00aed5f49cddcb53705693a7f47b56490c7c.pdf</w:t>
        </w:r>
      </w:hyperlink>
      <w:r w:rsidRPr="002D3220">
        <w:rPr>
          <w:rFonts w:cs="Calibri"/>
          <w:spacing w:val="-4"/>
          <w:sz w:val="16"/>
          <w:szCs w:val="16"/>
        </w:rPr>
        <w:t xml:space="preserve">; Klaus Deininger and Pedro </w:t>
      </w:r>
      <w:proofErr w:type="spellStart"/>
      <w:r w:rsidRPr="002D3220">
        <w:rPr>
          <w:rFonts w:cs="Calibri"/>
          <w:spacing w:val="-4"/>
          <w:sz w:val="16"/>
          <w:szCs w:val="16"/>
        </w:rPr>
        <w:t>Olinto</w:t>
      </w:r>
      <w:proofErr w:type="spellEnd"/>
      <w:r w:rsidRPr="002D3220">
        <w:rPr>
          <w:rFonts w:cs="Calibri"/>
          <w:spacing w:val="-4"/>
          <w:sz w:val="16"/>
          <w:szCs w:val="16"/>
        </w:rPr>
        <w:t xml:space="preserve">, “Asset distribution, inequality, and growth” (Washington: The World Bank, 2000), at: </w:t>
      </w:r>
    </w:p>
    <w:p w14:paraId="414D3F78" w14:textId="77777777" w:rsidR="00686690" w:rsidRDefault="00686690" w:rsidP="00686690">
      <w:pPr>
        <w:pStyle w:val="EndnoteText"/>
        <w:ind w:left="227" w:firstLine="0"/>
        <w:jc w:val="lowKashida"/>
        <w:rPr>
          <w:rFonts w:cs="Calibri"/>
          <w:spacing w:val="-4"/>
          <w:sz w:val="16"/>
          <w:szCs w:val="16"/>
        </w:rPr>
      </w:pPr>
      <w:hyperlink r:id="rId9" w:history="1">
        <w:r w:rsidRPr="002D3220">
          <w:rPr>
            <w:rStyle w:val="Hyperlink"/>
            <w:rFonts w:cs="Calibri"/>
            <w:spacing w:val="-4"/>
            <w:sz w:val="16"/>
            <w:szCs w:val="16"/>
          </w:rPr>
          <w:t>http://web.worldbank.org/archive/website01066/WEB/IMAGES/127527-2.PDF</w:t>
        </w:r>
      </w:hyperlink>
      <w:r w:rsidRPr="002D3220">
        <w:rPr>
          <w:rFonts w:cs="Calibri"/>
          <w:spacing w:val="-4"/>
          <w:sz w:val="16"/>
          <w:szCs w:val="16"/>
        </w:rPr>
        <w:t xml:space="preserve">;  Keith Griffin, </w:t>
      </w:r>
      <w:proofErr w:type="spellStart"/>
      <w:r w:rsidRPr="002D3220">
        <w:rPr>
          <w:rFonts w:cs="Calibri"/>
          <w:spacing w:val="-4"/>
          <w:sz w:val="16"/>
          <w:szCs w:val="16"/>
        </w:rPr>
        <w:t>Azizur</w:t>
      </w:r>
      <w:proofErr w:type="spellEnd"/>
      <w:r w:rsidRPr="002D3220">
        <w:rPr>
          <w:rFonts w:cs="Calibri"/>
          <w:spacing w:val="-4"/>
          <w:sz w:val="16"/>
          <w:szCs w:val="16"/>
        </w:rPr>
        <w:t xml:space="preserve"> Rahman Khan and Amy </w:t>
      </w:r>
      <w:proofErr w:type="spellStart"/>
      <w:r w:rsidRPr="002D3220">
        <w:rPr>
          <w:rFonts w:cs="Calibri"/>
          <w:spacing w:val="-4"/>
          <w:sz w:val="16"/>
          <w:szCs w:val="16"/>
        </w:rPr>
        <w:t>Ickowitz</w:t>
      </w:r>
      <w:proofErr w:type="spellEnd"/>
      <w:r w:rsidRPr="002D3220">
        <w:rPr>
          <w:rFonts w:cs="Calibri"/>
          <w:spacing w:val="-4"/>
          <w:sz w:val="16"/>
          <w:szCs w:val="16"/>
        </w:rPr>
        <w:t xml:space="preserve">, “Poverty and the Distribution of Land,” </w:t>
      </w:r>
      <w:r w:rsidRPr="002D3220">
        <w:rPr>
          <w:rFonts w:cs="Calibri"/>
          <w:i/>
          <w:iCs/>
          <w:spacing w:val="-4"/>
          <w:sz w:val="16"/>
          <w:szCs w:val="16"/>
        </w:rPr>
        <w:t>Journal of Agrarian Change</w:t>
      </w:r>
      <w:r w:rsidRPr="002D3220">
        <w:rPr>
          <w:rFonts w:cs="Calibri"/>
          <w:spacing w:val="-4"/>
          <w:sz w:val="16"/>
          <w:szCs w:val="16"/>
        </w:rPr>
        <w:t xml:space="preserve">, Vol. 2 No. 3 (July 2002), pp. 279–330; </w:t>
      </w:r>
      <w:r w:rsidRPr="002D3220">
        <w:rPr>
          <w:rFonts w:cs="Calibri"/>
          <w:i/>
          <w:iCs/>
          <w:spacing w:val="-4"/>
          <w:sz w:val="16"/>
          <w:szCs w:val="16"/>
        </w:rPr>
        <w:t>Land inequality and decentralized governance in LDCs</w:t>
      </w:r>
      <w:r w:rsidRPr="002D3220">
        <w:rPr>
          <w:rFonts w:cs="Calibri"/>
          <w:spacing w:val="-4"/>
          <w:sz w:val="16"/>
          <w:szCs w:val="16"/>
        </w:rPr>
        <w:t xml:space="preserve"> (Helsinki: United Nations University, World Institute for Development Economics Research, 2000), at: </w:t>
      </w:r>
    </w:p>
    <w:p w14:paraId="4B88B9A2" w14:textId="77777777" w:rsidR="00686690" w:rsidRPr="002D3220" w:rsidRDefault="00686690" w:rsidP="00686690">
      <w:pPr>
        <w:pStyle w:val="EndnoteText"/>
        <w:ind w:left="227" w:firstLine="0"/>
        <w:rPr>
          <w:rFonts w:cs="Calibri"/>
          <w:sz w:val="16"/>
          <w:szCs w:val="16"/>
        </w:rPr>
      </w:pPr>
      <w:hyperlink r:id="rId10" w:history="1">
        <w:r w:rsidRPr="002D3220">
          <w:rPr>
            <w:rStyle w:val="Hyperlink"/>
            <w:rFonts w:cs="Calibri"/>
            <w:spacing w:val="-4"/>
            <w:sz w:val="16"/>
            <w:szCs w:val="16"/>
          </w:rPr>
          <w:t>https://www.wider.unu.edu/project/land-inequality-and-decentralized-governance-ldcs</w:t>
        </w:r>
      </w:hyperlink>
      <w:r w:rsidRPr="002D3220">
        <w:rPr>
          <w:rFonts w:cs="Calibri"/>
          <w:spacing w:val="-4"/>
          <w:sz w:val="16"/>
          <w:szCs w:val="16"/>
        </w:rPr>
        <w:t xml:space="preserve">; </w:t>
      </w:r>
      <w:r w:rsidRPr="00EB613C">
        <w:rPr>
          <w:rFonts w:cs="Calibri"/>
          <w:spacing w:val="-4"/>
          <w:sz w:val="16"/>
          <w:szCs w:val="16"/>
        </w:rPr>
        <w:t xml:space="preserve">Paolo Verme, </w:t>
      </w:r>
      <w:proofErr w:type="spellStart"/>
      <w:r w:rsidRPr="00EB613C">
        <w:rPr>
          <w:rFonts w:cs="Calibri"/>
          <w:spacing w:val="-4"/>
          <w:sz w:val="16"/>
          <w:szCs w:val="16"/>
        </w:rPr>
        <w:t>Branko</w:t>
      </w:r>
      <w:proofErr w:type="spellEnd"/>
      <w:r w:rsidRPr="00EB613C">
        <w:rPr>
          <w:rFonts w:cs="Calibri"/>
          <w:spacing w:val="-4"/>
          <w:sz w:val="16"/>
          <w:szCs w:val="16"/>
        </w:rPr>
        <w:t xml:space="preserve"> Milanovic,</w:t>
      </w:r>
      <w:r>
        <w:rPr>
          <w:rFonts w:cs="Calibri"/>
          <w:spacing w:val="-4"/>
          <w:sz w:val="16"/>
          <w:szCs w:val="16"/>
        </w:rPr>
        <w:t xml:space="preserve"> </w:t>
      </w:r>
      <w:proofErr w:type="spellStart"/>
      <w:r w:rsidRPr="00EB613C">
        <w:rPr>
          <w:rFonts w:cs="Calibri"/>
          <w:spacing w:val="-4"/>
          <w:sz w:val="16"/>
          <w:szCs w:val="16"/>
        </w:rPr>
        <w:t>Sherine</w:t>
      </w:r>
      <w:proofErr w:type="spellEnd"/>
      <w:r w:rsidRPr="00EB613C">
        <w:rPr>
          <w:rFonts w:cs="Calibri"/>
          <w:spacing w:val="-4"/>
          <w:sz w:val="16"/>
          <w:szCs w:val="16"/>
        </w:rPr>
        <w:t xml:space="preserve"> Al-</w:t>
      </w:r>
      <w:proofErr w:type="spellStart"/>
      <w:r w:rsidRPr="00EB613C">
        <w:rPr>
          <w:rFonts w:cs="Calibri"/>
          <w:spacing w:val="-4"/>
          <w:sz w:val="16"/>
          <w:szCs w:val="16"/>
        </w:rPr>
        <w:t>Shawarby</w:t>
      </w:r>
      <w:proofErr w:type="spellEnd"/>
      <w:r w:rsidRPr="00EB613C">
        <w:rPr>
          <w:rFonts w:cs="Calibri"/>
          <w:spacing w:val="-4"/>
          <w:sz w:val="16"/>
          <w:szCs w:val="16"/>
        </w:rPr>
        <w:t xml:space="preserve">, Sahar El </w:t>
      </w:r>
      <w:proofErr w:type="spellStart"/>
      <w:r w:rsidRPr="00EB613C">
        <w:rPr>
          <w:rFonts w:cs="Calibri"/>
          <w:spacing w:val="-4"/>
          <w:sz w:val="16"/>
          <w:szCs w:val="16"/>
        </w:rPr>
        <w:t>Tawila</w:t>
      </w:r>
      <w:proofErr w:type="spellEnd"/>
      <w:r w:rsidRPr="00EB613C">
        <w:rPr>
          <w:rFonts w:cs="Calibri"/>
          <w:spacing w:val="-4"/>
          <w:sz w:val="16"/>
          <w:szCs w:val="16"/>
        </w:rPr>
        <w:t>,</w:t>
      </w:r>
      <w:r>
        <w:rPr>
          <w:rFonts w:cs="Calibri"/>
          <w:spacing w:val="-4"/>
          <w:sz w:val="16"/>
          <w:szCs w:val="16"/>
        </w:rPr>
        <w:t xml:space="preserve"> </w:t>
      </w:r>
      <w:r w:rsidRPr="00EB613C">
        <w:rPr>
          <w:rFonts w:cs="Calibri"/>
          <w:spacing w:val="-4"/>
          <w:sz w:val="16"/>
          <w:szCs w:val="16"/>
        </w:rPr>
        <w:t xml:space="preserve">May </w:t>
      </w:r>
      <w:proofErr w:type="spellStart"/>
      <w:r w:rsidRPr="00EB613C">
        <w:rPr>
          <w:rFonts w:cs="Calibri"/>
          <w:spacing w:val="-4"/>
          <w:sz w:val="16"/>
          <w:szCs w:val="16"/>
        </w:rPr>
        <w:t>Gadallah</w:t>
      </w:r>
      <w:proofErr w:type="spellEnd"/>
      <w:r w:rsidRPr="00EB613C">
        <w:rPr>
          <w:rFonts w:cs="Calibri"/>
          <w:spacing w:val="-4"/>
          <w:sz w:val="16"/>
          <w:szCs w:val="16"/>
        </w:rPr>
        <w:t xml:space="preserve"> and </w:t>
      </w:r>
      <w:proofErr w:type="spellStart"/>
      <w:r w:rsidRPr="00EB613C">
        <w:rPr>
          <w:rFonts w:cs="Calibri"/>
          <w:spacing w:val="-4"/>
          <w:sz w:val="16"/>
          <w:szCs w:val="16"/>
        </w:rPr>
        <w:t>Enas</w:t>
      </w:r>
      <w:proofErr w:type="spellEnd"/>
      <w:r w:rsidRPr="00EB613C">
        <w:rPr>
          <w:rFonts w:cs="Calibri"/>
          <w:spacing w:val="-4"/>
          <w:sz w:val="16"/>
          <w:szCs w:val="16"/>
        </w:rPr>
        <w:t xml:space="preserve"> Ali </w:t>
      </w:r>
      <w:proofErr w:type="spellStart"/>
      <w:r w:rsidRPr="00EB613C">
        <w:rPr>
          <w:rFonts w:cs="Calibri"/>
          <w:spacing w:val="-4"/>
          <w:sz w:val="16"/>
          <w:szCs w:val="16"/>
        </w:rPr>
        <w:t>A.El</w:t>
      </w:r>
      <w:proofErr w:type="spellEnd"/>
      <w:r w:rsidRPr="00EB613C">
        <w:rPr>
          <w:rFonts w:cs="Calibri"/>
          <w:spacing w:val="-4"/>
          <w:sz w:val="16"/>
          <w:szCs w:val="16"/>
        </w:rPr>
        <w:t>-Majeed</w:t>
      </w:r>
      <w:r>
        <w:rPr>
          <w:rFonts w:cs="Calibri"/>
          <w:spacing w:val="-4"/>
          <w:sz w:val="16"/>
          <w:szCs w:val="16"/>
        </w:rPr>
        <w:t xml:space="preserve">, </w:t>
      </w:r>
      <w:r w:rsidRPr="002D3220">
        <w:rPr>
          <w:rFonts w:cs="Calibri"/>
          <w:i/>
          <w:iCs/>
          <w:spacing w:val="-4"/>
          <w:sz w:val="16"/>
          <w:szCs w:val="16"/>
        </w:rPr>
        <w:t>Inside Inequality in the Arab Republic of Egypt</w:t>
      </w:r>
      <w:r>
        <w:rPr>
          <w:rFonts w:cs="Calibri"/>
          <w:i/>
          <w:iCs/>
          <w:spacing w:val="-4"/>
          <w:sz w:val="16"/>
          <w:szCs w:val="16"/>
        </w:rPr>
        <w:t xml:space="preserve"> </w:t>
      </w:r>
      <w:r>
        <w:rPr>
          <w:rFonts w:cs="Calibri"/>
          <w:spacing w:val="-4"/>
          <w:sz w:val="16"/>
          <w:szCs w:val="16"/>
        </w:rPr>
        <w:t xml:space="preserve">(Washington: World Bank, 2014), at: </w:t>
      </w:r>
      <w:hyperlink r:id="rId11" w:history="1">
        <w:r w:rsidRPr="002D3220">
          <w:rPr>
            <w:rStyle w:val="Hyperlink"/>
            <w:rFonts w:cs="Calibri"/>
            <w:spacing w:val="-4"/>
            <w:sz w:val="16"/>
            <w:szCs w:val="16"/>
          </w:rPr>
          <w:t>http://www.worldbank.org/content/dam/Worldbank/egypt-inequality-book.pdf</w:t>
        </w:r>
      </w:hyperlink>
      <w:r w:rsidRPr="002D3220">
        <w:rPr>
          <w:rFonts w:cs="Calibri"/>
          <w:spacing w:val="-4"/>
          <w:sz w:val="16"/>
          <w:szCs w:val="16"/>
        </w:rPr>
        <w:t xml:space="preserve">; </w:t>
      </w:r>
      <w:r w:rsidRPr="002D3220">
        <w:rPr>
          <w:rFonts w:cs="Calibri"/>
          <w:i/>
          <w:iCs/>
          <w:spacing w:val="-4"/>
          <w:sz w:val="16"/>
          <w:szCs w:val="16"/>
        </w:rPr>
        <w:t xml:space="preserve">Unearthed: Land, Power and Inequality in Latin America </w:t>
      </w:r>
      <w:r w:rsidRPr="002D3220">
        <w:rPr>
          <w:rFonts w:cs="Calibri"/>
          <w:spacing w:val="-4"/>
          <w:sz w:val="16"/>
          <w:szCs w:val="16"/>
        </w:rPr>
        <w:t xml:space="preserve">(Oxford: Oxfam International November 2016), at: </w:t>
      </w:r>
      <w:hyperlink r:id="rId12" w:history="1">
        <w:r w:rsidRPr="002D3220">
          <w:rPr>
            <w:rStyle w:val="Hyperlink"/>
            <w:rFonts w:cs="Calibri"/>
            <w:spacing w:val="-4"/>
            <w:sz w:val="16"/>
            <w:szCs w:val="16"/>
          </w:rPr>
          <w:t>https://www.oxfam.org/sites/www.oxfam.org/files/file_attachments/bp-land-power-inequality-latin-america-301116-en.pdf</w:t>
        </w:r>
      </w:hyperlink>
      <w:r w:rsidRPr="002D3220">
        <w:rPr>
          <w:rFonts w:cs="Calibri"/>
          <w:spacing w:val="-4"/>
          <w:sz w:val="16"/>
          <w:szCs w:val="16"/>
        </w:rPr>
        <w:t xml:space="preserve">; Paolo Verme, </w:t>
      </w:r>
      <w:proofErr w:type="spellStart"/>
      <w:r w:rsidRPr="002D3220">
        <w:rPr>
          <w:rFonts w:cs="Calibri"/>
          <w:spacing w:val="-4"/>
          <w:sz w:val="16"/>
          <w:szCs w:val="16"/>
        </w:rPr>
        <w:t>Branko</w:t>
      </w:r>
      <w:proofErr w:type="spellEnd"/>
      <w:r w:rsidRPr="002D3220">
        <w:rPr>
          <w:rFonts w:cs="Calibri"/>
          <w:spacing w:val="-4"/>
          <w:sz w:val="16"/>
          <w:szCs w:val="16"/>
        </w:rPr>
        <w:t xml:space="preserve"> Milanovic, </w:t>
      </w:r>
      <w:proofErr w:type="spellStart"/>
      <w:r w:rsidRPr="002D3220">
        <w:rPr>
          <w:rFonts w:cs="Calibri"/>
          <w:spacing w:val="-4"/>
          <w:sz w:val="16"/>
          <w:szCs w:val="16"/>
        </w:rPr>
        <w:t>Sherine</w:t>
      </w:r>
      <w:proofErr w:type="spellEnd"/>
      <w:r w:rsidRPr="002D3220">
        <w:rPr>
          <w:rFonts w:cs="Calibri"/>
          <w:spacing w:val="-4"/>
          <w:sz w:val="16"/>
          <w:szCs w:val="16"/>
        </w:rPr>
        <w:t xml:space="preserve"> Al-</w:t>
      </w:r>
      <w:proofErr w:type="spellStart"/>
      <w:r w:rsidRPr="002D3220">
        <w:rPr>
          <w:rFonts w:cs="Calibri"/>
          <w:spacing w:val="-4"/>
          <w:sz w:val="16"/>
          <w:szCs w:val="16"/>
        </w:rPr>
        <w:t>Shawarby</w:t>
      </w:r>
      <w:proofErr w:type="spellEnd"/>
      <w:r w:rsidRPr="002D3220">
        <w:rPr>
          <w:rFonts w:cs="Calibri"/>
          <w:spacing w:val="-4"/>
          <w:sz w:val="16"/>
          <w:szCs w:val="16"/>
        </w:rPr>
        <w:t xml:space="preserve">, Sahar El </w:t>
      </w:r>
      <w:proofErr w:type="spellStart"/>
      <w:r w:rsidRPr="002D3220">
        <w:rPr>
          <w:rFonts w:cs="Calibri"/>
          <w:spacing w:val="-4"/>
          <w:sz w:val="16"/>
          <w:szCs w:val="16"/>
        </w:rPr>
        <w:t>Tawila</w:t>
      </w:r>
      <w:proofErr w:type="spellEnd"/>
      <w:r w:rsidRPr="002D3220">
        <w:rPr>
          <w:rFonts w:cs="Calibri"/>
          <w:spacing w:val="-4"/>
          <w:sz w:val="16"/>
          <w:szCs w:val="16"/>
        </w:rPr>
        <w:t xml:space="preserve">, May </w:t>
      </w:r>
      <w:proofErr w:type="spellStart"/>
      <w:r w:rsidRPr="002D3220">
        <w:rPr>
          <w:rFonts w:cs="Calibri"/>
          <w:spacing w:val="-4"/>
          <w:sz w:val="16"/>
          <w:szCs w:val="16"/>
        </w:rPr>
        <w:t>Gadallah</w:t>
      </w:r>
      <w:proofErr w:type="spellEnd"/>
      <w:r w:rsidRPr="002D3220">
        <w:rPr>
          <w:rFonts w:cs="Calibri"/>
          <w:spacing w:val="-4"/>
          <w:sz w:val="16"/>
          <w:szCs w:val="16"/>
        </w:rPr>
        <w:t xml:space="preserve">, and </w:t>
      </w:r>
      <w:proofErr w:type="spellStart"/>
      <w:r w:rsidRPr="002D3220">
        <w:rPr>
          <w:rFonts w:cs="Calibri"/>
          <w:spacing w:val="-4"/>
          <w:sz w:val="16"/>
          <w:szCs w:val="16"/>
        </w:rPr>
        <w:t>Enas</w:t>
      </w:r>
      <w:proofErr w:type="spellEnd"/>
      <w:r w:rsidRPr="002D3220">
        <w:rPr>
          <w:rFonts w:cs="Calibri"/>
          <w:spacing w:val="-4"/>
          <w:sz w:val="16"/>
          <w:szCs w:val="16"/>
        </w:rPr>
        <w:t xml:space="preserve"> Ali </w:t>
      </w:r>
      <w:proofErr w:type="spellStart"/>
      <w:r w:rsidRPr="002D3220">
        <w:rPr>
          <w:rFonts w:cs="Calibri"/>
          <w:spacing w:val="-4"/>
          <w:sz w:val="16"/>
          <w:szCs w:val="16"/>
        </w:rPr>
        <w:t>A.El</w:t>
      </w:r>
      <w:proofErr w:type="spellEnd"/>
      <w:r w:rsidRPr="002D3220">
        <w:rPr>
          <w:rFonts w:cs="Calibri"/>
          <w:spacing w:val="-4"/>
          <w:sz w:val="16"/>
          <w:szCs w:val="16"/>
        </w:rPr>
        <w:t xml:space="preserve">-Majeed, Inside Inequality in the Arab Republic of Egypt: Facts and Perceptions across People, Time, and Space (Washington: The World Bank, 2014), at: </w:t>
      </w:r>
      <w:hyperlink r:id="rId13" w:history="1">
        <w:r w:rsidRPr="002D3220">
          <w:rPr>
            <w:rStyle w:val="Hyperlink"/>
            <w:rFonts w:cs="Calibri"/>
            <w:spacing w:val="-4"/>
            <w:sz w:val="16"/>
            <w:szCs w:val="16"/>
          </w:rPr>
          <w:t>http://www.worldbank.org/content/dam/Worldbank/egypt-inequality-book.pdf</w:t>
        </w:r>
      </w:hyperlink>
      <w:r w:rsidRPr="002D3220">
        <w:rPr>
          <w:rFonts w:cs="Calibri"/>
          <w:spacing w:val="-4"/>
          <w:sz w:val="16"/>
          <w:szCs w:val="16"/>
        </w:rPr>
        <w:t xml:space="preserve">. </w:t>
      </w:r>
    </w:p>
  </w:endnote>
  <w:endnote w:id="4">
    <w:p w14:paraId="574649ED" w14:textId="77777777" w:rsidR="0068669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Pr>
          <w:rFonts w:cs="Calibri"/>
          <w:sz w:val="16"/>
          <w:szCs w:val="16"/>
        </w:rPr>
        <w:tab/>
      </w:r>
      <w:r w:rsidRPr="002D3220">
        <w:rPr>
          <w:rFonts w:cs="Calibri"/>
          <w:sz w:val="16"/>
          <w:szCs w:val="16"/>
        </w:rPr>
        <w:t xml:space="preserve">The United Nations and Land and Conflict Guidance Note of the Secretary-General, March 2019, at: </w:t>
      </w:r>
    </w:p>
    <w:p w14:paraId="3E8EED47" w14:textId="77777777" w:rsidR="00686690" w:rsidRPr="002D3220" w:rsidRDefault="00686690" w:rsidP="00686690">
      <w:pPr>
        <w:pStyle w:val="EndnoteText"/>
        <w:ind w:left="227" w:firstLine="0"/>
        <w:jc w:val="lowKashida"/>
        <w:rPr>
          <w:rFonts w:cs="Calibri"/>
          <w:sz w:val="16"/>
          <w:szCs w:val="16"/>
        </w:rPr>
      </w:pPr>
      <w:hyperlink r:id="rId14" w:history="1">
        <w:r w:rsidRPr="002D3220">
          <w:rPr>
            <w:rStyle w:val="Hyperlink"/>
            <w:rFonts w:cs="Calibri"/>
            <w:sz w:val="16"/>
            <w:szCs w:val="16"/>
          </w:rPr>
          <w:t>https://gltn.net/2019/03/15/guidance-note-of-the-secretary-general-the-united-nations-and-land-and-conflict-march-2019/</w:t>
        </w:r>
      </w:hyperlink>
      <w:r w:rsidRPr="002D3220">
        <w:rPr>
          <w:rFonts w:cs="Calibri"/>
          <w:sz w:val="16"/>
          <w:szCs w:val="16"/>
        </w:rPr>
        <w:t xml:space="preserve">. </w:t>
      </w:r>
    </w:p>
  </w:endnote>
  <w:endnote w:id="5">
    <w:p w14:paraId="0C319104" w14:textId="77777777" w:rsidR="00686690" w:rsidRPr="002D3220" w:rsidRDefault="00686690" w:rsidP="00686690">
      <w:pPr>
        <w:pStyle w:val="EndnoteText"/>
        <w:ind w:left="227" w:hanging="227"/>
        <w:jc w:val="lowKashida"/>
        <w:rPr>
          <w:rFonts w:cs="Calibri"/>
          <w:i/>
          <w:iCs/>
          <w:sz w:val="16"/>
          <w:szCs w:val="16"/>
        </w:rPr>
      </w:pPr>
      <w:r w:rsidRPr="002D3220">
        <w:rPr>
          <w:rStyle w:val="EndnoteReference"/>
          <w:rFonts w:cs="Calibri"/>
          <w:sz w:val="16"/>
          <w:szCs w:val="16"/>
        </w:rPr>
        <w:endnoteRef/>
      </w:r>
      <w:r w:rsidRPr="002D3220">
        <w:rPr>
          <w:rFonts w:cs="Calibri"/>
          <w:sz w:val="16"/>
          <w:szCs w:val="16"/>
        </w:rPr>
        <w:t xml:space="preserve"> </w:t>
      </w:r>
      <w:r>
        <w:rPr>
          <w:rFonts w:cs="Calibri"/>
          <w:sz w:val="16"/>
          <w:szCs w:val="16"/>
        </w:rPr>
        <w:tab/>
      </w:r>
      <w:r w:rsidRPr="002D3220">
        <w:rPr>
          <w:rFonts w:cs="Calibri"/>
          <w:sz w:val="16"/>
          <w:szCs w:val="16"/>
        </w:rPr>
        <w:t xml:space="preserve">Len Doyle and Ian Gough, </w:t>
      </w:r>
      <w:r w:rsidRPr="002D3220">
        <w:rPr>
          <w:rFonts w:cs="Calibri"/>
          <w:i/>
          <w:iCs/>
          <w:sz w:val="16"/>
          <w:szCs w:val="16"/>
        </w:rPr>
        <w:t>A Theory of Human Need</w:t>
      </w:r>
      <w:r w:rsidRPr="002D3220">
        <w:rPr>
          <w:rFonts w:cs="Calibri"/>
          <w:sz w:val="16"/>
          <w:szCs w:val="16"/>
        </w:rPr>
        <w:t xml:space="preserve"> (London: MacMillan, 1991)</w:t>
      </w:r>
      <w:r>
        <w:rPr>
          <w:rFonts w:cs="Calibri"/>
          <w:sz w:val="16"/>
          <w:szCs w:val="16"/>
        </w:rPr>
        <w:t>.</w:t>
      </w:r>
    </w:p>
  </w:endnote>
  <w:endnote w:id="6">
    <w:p w14:paraId="64950039"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Pr>
          <w:rFonts w:cs="Calibri"/>
          <w:sz w:val="16"/>
          <w:szCs w:val="16"/>
        </w:rPr>
        <w:tab/>
      </w:r>
      <w:r w:rsidRPr="002D3220">
        <w:rPr>
          <w:rFonts w:cs="Calibri"/>
          <w:sz w:val="16"/>
          <w:szCs w:val="16"/>
        </w:rPr>
        <w:t xml:space="preserve">John Rawls, </w:t>
      </w:r>
      <w:r w:rsidRPr="002D3220">
        <w:rPr>
          <w:rFonts w:cs="Calibri"/>
          <w:i/>
          <w:iCs/>
          <w:sz w:val="16"/>
          <w:szCs w:val="16"/>
        </w:rPr>
        <w:t xml:space="preserve">A Theory of Justice </w:t>
      </w:r>
      <w:r w:rsidRPr="002D3220">
        <w:rPr>
          <w:rFonts w:cs="Calibri"/>
          <w:sz w:val="16"/>
          <w:szCs w:val="16"/>
        </w:rPr>
        <w:t xml:space="preserve">(Cambridge MA: The Belknap Press of Harvard University Press, revised edition, 1999), at: </w:t>
      </w:r>
      <w:hyperlink r:id="rId15" w:history="1">
        <w:r w:rsidRPr="002D3220">
          <w:rPr>
            <w:rStyle w:val="Hyperlink"/>
            <w:rFonts w:cs="Calibri"/>
            <w:sz w:val="16"/>
            <w:szCs w:val="16"/>
          </w:rPr>
          <w:t>http://www.consiglio.regione.campania.it/cms/CM_PORTALE_CRC/servlet/Docs?dir=docs_biblio&amp;file=BiblioContenuto_3641.pdf</w:t>
        </w:r>
      </w:hyperlink>
      <w:r w:rsidRPr="002D3220">
        <w:rPr>
          <w:rFonts w:cs="Calibri"/>
          <w:sz w:val="16"/>
          <w:szCs w:val="16"/>
        </w:rPr>
        <w:t xml:space="preserve">. </w:t>
      </w:r>
    </w:p>
  </w:endnote>
  <w:endnote w:id="7">
    <w:p w14:paraId="43366645" w14:textId="77777777" w:rsidR="0068669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Pr>
          <w:rFonts w:cs="Calibri"/>
          <w:sz w:val="16"/>
          <w:szCs w:val="16"/>
        </w:rPr>
        <w:tab/>
      </w:r>
      <w:r w:rsidRPr="002D3220">
        <w:rPr>
          <w:rFonts w:cs="Calibri"/>
          <w:sz w:val="16"/>
          <w:szCs w:val="16"/>
        </w:rPr>
        <w:t xml:space="preserve">CESCR, General Comment No. 15: The right to </w:t>
      </w:r>
      <w:proofErr w:type="gramStart"/>
      <w:r w:rsidRPr="002D3220">
        <w:rPr>
          <w:rFonts w:cs="Calibri"/>
          <w:sz w:val="16"/>
          <w:szCs w:val="16"/>
        </w:rPr>
        <w:t>water,  E</w:t>
      </w:r>
      <w:proofErr w:type="gramEnd"/>
      <w:r w:rsidRPr="002D3220">
        <w:rPr>
          <w:rFonts w:cs="Calibri"/>
          <w:sz w:val="16"/>
          <w:szCs w:val="16"/>
        </w:rPr>
        <w:t xml:space="preserve">/C.12/2002/11, 20 January 2003, at: </w:t>
      </w:r>
    </w:p>
    <w:p w14:paraId="18FE3D8F" w14:textId="77777777" w:rsidR="00686690" w:rsidRPr="002D3220" w:rsidRDefault="00686690" w:rsidP="00686690">
      <w:pPr>
        <w:pStyle w:val="EndnoteText"/>
        <w:ind w:left="227" w:firstLine="0"/>
        <w:jc w:val="lowKashida"/>
        <w:rPr>
          <w:rFonts w:cs="Calibri"/>
          <w:sz w:val="16"/>
          <w:szCs w:val="16"/>
        </w:rPr>
      </w:pPr>
      <w:hyperlink r:id="rId16" w:history="1">
        <w:r w:rsidRPr="002D3220">
          <w:rPr>
            <w:rStyle w:val="Hyperlink"/>
            <w:rFonts w:cs="Calibri"/>
            <w:sz w:val="16"/>
            <w:szCs w:val="16"/>
          </w:rPr>
          <w:t>https://tbinternet.ohchr.org/_layouts/15/treatybodyexternal/Download.aspx?symbolno=E%2fC.12%2f2002%2f11&amp;Lang=en</w:t>
        </w:r>
      </w:hyperlink>
      <w:r w:rsidRPr="002D3220">
        <w:rPr>
          <w:rFonts w:cs="Calibri"/>
          <w:sz w:val="16"/>
          <w:szCs w:val="16"/>
        </w:rPr>
        <w:t xml:space="preserve">. </w:t>
      </w:r>
    </w:p>
  </w:endnote>
  <w:endnote w:id="8">
    <w:p w14:paraId="6C8C5E47" w14:textId="77777777" w:rsidR="0068669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Pr>
          <w:rFonts w:cs="Calibri"/>
          <w:sz w:val="16"/>
          <w:szCs w:val="16"/>
        </w:rPr>
        <w:tab/>
      </w:r>
      <w:r w:rsidRPr="002D3220">
        <w:rPr>
          <w:rFonts w:cs="Calibri"/>
          <w:sz w:val="16"/>
          <w:szCs w:val="16"/>
        </w:rPr>
        <w:t xml:space="preserve">The human right to water and sanitation, A/RES/64/292, 3 August 2010, at: </w:t>
      </w:r>
    </w:p>
    <w:p w14:paraId="6009C6FF" w14:textId="77777777" w:rsidR="00686690" w:rsidRPr="002D3220" w:rsidRDefault="00686690" w:rsidP="00686690">
      <w:pPr>
        <w:pStyle w:val="EndnoteText"/>
        <w:ind w:left="227" w:firstLine="0"/>
        <w:jc w:val="lowKashida"/>
        <w:rPr>
          <w:rFonts w:cs="Calibri"/>
          <w:sz w:val="16"/>
          <w:szCs w:val="16"/>
        </w:rPr>
      </w:pPr>
      <w:hyperlink r:id="rId17" w:history="1">
        <w:r w:rsidRPr="002D3220">
          <w:rPr>
            <w:rStyle w:val="Hyperlink"/>
            <w:rFonts w:cs="Calibri"/>
            <w:sz w:val="16"/>
            <w:szCs w:val="16"/>
          </w:rPr>
          <w:t>https://www.un.org/en/ga/search/view_doc.asp?symbol=A/RES/64/292</w:t>
        </w:r>
      </w:hyperlink>
      <w:r w:rsidRPr="002D3220">
        <w:rPr>
          <w:rFonts w:cs="Calibri"/>
          <w:sz w:val="16"/>
          <w:szCs w:val="16"/>
        </w:rPr>
        <w:t xml:space="preserve">; and The human rights to safe drinking water and sanitation, A/RES/70/169, 22 February 2016, at: </w:t>
      </w:r>
      <w:hyperlink r:id="rId18" w:history="1">
        <w:r w:rsidRPr="002D3220">
          <w:rPr>
            <w:rStyle w:val="Hyperlink"/>
            <w:rFonts w:cs="Calibri"/>
            <w:sz w:val="16"/>
            <w:szCs w:val="16"/>
          </w:rPr>
          <w:t>https://undocs.org/A/RES/70/169</w:t>
        </w:r>
      </w:hyperlink>
      <w:r w:rsidRPr="002D3220">
        <w:rPr>
          <w:rFonts w:cs="Calibri"/>
          <w:sz w:val="16"/>
          <w:szCs w:val="16"/>
        </w:rPr>
        <w:t xml:space="preserve">. </w:t>
      </w:r>
    </w:p>
  </w:endnote>
  <w:endnote w:id="9">
    <w:p w14:paraId="7224128E" w14:textId="77777777" w:rsidR="00686690" w:rsidRPr="002D3220" w:rsidRDefault="00686690" w:rsidP="00686690">
      <w:pPr>
        <w:pStyle w:val="EndnoteText"/>
        <w:ind w:left="170" w:hanging="170"/>
        <w:jc w:val="lowKashida"/>
        <w:rPr>
          <w:sz w:val="16"/>
          <w:szCs w:val="16"/>
        </w:rPr>
      </w:pPr>
      <w:r w:rsidRPr="002D3220">
        <w:rPr>
          <w:rStyle w:val="EndnoteReference"/>
          <w:sz w:val="16"/>
          <w:szCs w:val="16"/>
        </w:rPr>
        <w:endnoteRef/>
      </w:r>
      <w:r w:rsidRPr="002D3220">
        <w:rPr>
          <w:sz w:val="16"/>
          <w:szCs w:val="16"/>
        </w:rPr>
        <w:t xml:space="preserve"> </w:t>
      </w:r>
      <w:r>
        <w:rPr>
          <w:sz w:val="16"/>
          <w:szCs w:val="16"/>
        </w:rPr>
        <w:tab/>
      </w:r>
      <w:r w:rsidRPr="002D3220">
        <w:rPr>
          <w:sz w:val="16"/>
          <w:szCs w:val="16"/>
        </w:rPr>
        <w:t xml:space="preserve">As affirmed in gravitational biology, human physical development is adapted to life on land, as the factor gravity enables functions of the spine, internal organs, digestion, elimination of waste, flexible mobility, reproduction and the circulation of blood and oxygen. See Ralf H. </w:t>
      </w:r>
      <w:proofErr w:type="spellStart"/>
      <w:r w:rsidRPr="002D3220">
        <w:rPr>
          <w:sz w:val="16"/>
          <w:szCs w:val="16"/>
        </w:rPr>
        <w:t>Anken</w:t>
      </w:r>
      <w:proofErr w:type="spellEnd"/>
      <w:r w:rsidRPr="002D3220">
        <w:rPr>
          <w:sz w:val="16"/>
          <w:szCs w:val="16"/>
        </w:rPr>
        <w:t xml:space="preserve"> and </w:t>
      </w:r>
      <w:proofErr w:type="spellStart"/>
      <w:r w:rsidRPr="002D3220">
        <w:rPr>
          <w:sz w:val="16"/>
          <w:szCs w:val="16"/>
        </w:rPr>
        <w:t>Hinrich</w:t>
      </w:r>
      <w:proofErr w:type="spellEnd"/>
      <w:r w:rsidRPr="002D3220">
        <w:rPr>
          <w:sz w:val="16"/>
          <w:szCs w:val="16"/>
        </w:rPr>
        <w:t xml:space="preserve"> </w:t>
      </w:r>
      <w:proofErr w:type="spellStart"/>
      <w:r w:rsidRPr="002D3220">
        <w:rPr>
          <w:sz w:val="16"/>
          <w:szCs w:val="16"/>
        </w:rPr>
        <w:t>Rahmann</w:t>
      </w:r>
      <w:proofErr w:type="spellEnd"/>
      <w:r w:rsidRPr="002D3220">
        <w:rPr>
          <w:sz w:val="16"/>
          <w:szCs w:val="16"/>
        </w:rPr>
        <w:t>, Astrobiology: The Living Universe - Gravitational Biology; "Gravitational Zoology: How Animals Use and Cope with Gravity". 2001, at: http://library.thinkquest.org/C003763/print.php?page=human03;</w:t>
      </w:r>
    </w:p>
    <w:p w14:paraId="6CE8BD55" w14:textId="77777777" w:rsidR="00686690" w:rsidRPr="002D3220" w:rsidRDefault="00686690" w:rsidP="00686690">
      <w:pPr>
        <w:pStyle w:val="EndnoteText"/>
        <w:ind w:left="170" w:firstLine="0"/>
        <w:jc w:val="lowKashida"/>
        <w:rPr>
          <w:sz w:val="16"/>
          <w:szCs w:val="16"/>
        </w:rPr>
      </w:pPr>
      <w:r w:rsidRPr="002D3220">
        <w:rPr>
          <w:sz w:val="16"/>
          <w:szCs w:val="16"/>
        </w:rPr>
        <w:t xml:space="preserve">http://www.dlr.de/me/Institut/Abteilungen/Strahlenbiologie/pdf/astrobiologie/P4_20.pdf; Janet </w:t>
      </w:r>
      <w:proofErr w:type="spellStart"/>
      <w:r w:rsidRPr="002D3220">
        <w:rPr>
          <w:sz w:val="16"/>
          <w:szCs w:val="16"/>
        </w:rPr>
        <w:t>Tou</w:t>
      </w:r>
      <w:proofErr w:type="spellEnd"/>
      <w:r w:rsidRPr="002D3220">
        <w:rPr>
          <w:sz w:val="16"/>
          <w:szCs w:val="16"/>
        </w:rPr>
        <w:t xml:space="preserve">, April </w:t>
      </w:r>
      <w:proofErr w:type="spellStart"/>
      <w:r w:rsidRPr="002D3220">
        <w:rPr>
          <w:sz w:val="16"/>
          <w:szCs w:val="16"/>
        </w:rPr>
        <w:t>Ronca</w:t>
      </w:r>
      <w:proofErr w:type="spellEnd"/>
      <w:r w:rsidRPr="002D3220">
        <w:rPr>
          <w:sz w:val="16"/>
          <w:szCs w:val="16"/>
        </w:rPr>
        <w:t xml:space="preserve">, Richard </w:t>
      </w:r>
      <w:proofErr w:type="spellStart"/>
      <w:r w:rsidRPr="002D3220">
        <w:rPr>
          <w:sz w:val="16"/>
          <w:szCs w:val="16"/>
        </w:rPr>
        <w:t>Grindeland</w:t>
      </w:r>
      <w:proofErr w:type="spellEnd"/>
      <w:r w:rsidRPr="002D3220">
        <w:rPr>
          <w:sz w:val="16"/>
          <w:szCs w:val="16"/>
        </w:rPr>
        <w:t xml:space="preserve"> and Charles Wade, “Models to Study Gravitational Biology of Mammalian Reproduction,” Biology of Reproduction, Vol. 67 (2002), at:  </w:t>
      </w:r>
    </w:p>
    <w:p w14:paraId="37B44783" w14:textId="77777777" w:rsidR="00686690" w:rsidRPr="002D3220" w:rsidRDefault="00686690" w:rsidP="00686690">
      <w:pPr>
        <w:pStyle w:val="EndnoteText"/>
        <w:ind w:left="170" w:firstLine="0"/>
        <w:jc w:val="lowKashida"/>
        <w:rPr>
          <w:sz w:val="16"/>
          <w:szCs w:val="16"/>
        </w:rPr>
      </w:pPr>
      <w:r w:rsidRPr="002D3220">
        <w:rPr>
          <w:sz w:val="16"/>
          <w:szCs w:val="16"/>
        </w:rPr>
        <w:t>http://www.biolreprod.org/cgi/content/abstract/biolreprod.102.007252v1.</w:t>
      </w:r>
    </w:p>
  </w:endnote>
  <w:endnote w:id="10">
    <w:p w14:paraId="1A283A25"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sidRPr="002D3220">
        <w:rPr>
          <w:rFonts w:cs="Calibri"/>
          <w:sz w:val="16"/>
          <w:szCs w:val="16"/>
        </w:rPr>
        <w:tab/>
      </w:r>
      <w:r>
        <w:rPr>
          <w:rFonts w:cs="Calibri"/>
          <w:sz w:val="16"/>
          <w:szCs w:val="16"/>
        </w:rPr>
        <w:t xml:space="preserve">These range from </w:t>
      </w:r>
      <w:r w:rsidRPr="0094559A">
        <w:rPr>
          <w:rFonts w:cs="Calibri"/>
          <w:sz w:val="16"/>
          <w:szCs w:val="16"/>
        </w:rPr>
        <w:t>ranging from chronic stress to autonomic nervous system dysfunction, inflammation, pain, poor sleep, heart rate variability, hyper-coagulable blood and cardiovascular disease</w:t>
      </w:r>
      <w:r>
        <w:rPr>
          <w:rFonts w:cs="Calibri"/>
          <w:sz w:val="16"/>
          <w:szCs w:val="16"/>
        </w:rPr>
        <w:t xml:space="preserve">. See </w:t>
      </w:r>
      <w:r w:rsidRPr="002D3220">
        <w:rPr>
          <w:rFonts w:cs="Calibri"/>
          <w:sz w:val="16"/>
          <w:szCs w:val="16"/>
        </w:rPr>
        <w:t xml:space="preserve">James L </w:t>
      </w:r>
      <w:proofErr w:type="spellStart"/>
      <w:r w:rsidRPr="002D3220">
        <w:rPr>
          <w:rFonts w:cs="Calibri"/>
          <w:sz w:val="16"/>
          <w:szCs w:val="16"/>
        </w:rPr>
        <w:t>Oschman</w:t>
      </w:r>
      <w:proofErr w:type="spellEnd"/>
      <w:r w:rsidRPr="002D3220">
        <w:rPr>
          <w:rFonts w:cs="Calibri"/>
          <w:sz w:val="16"/>
          <w:szCs w:val="16"/>
        </w:rPr>
        <w:t xml:space="preserve">, </w:t>
      </w:r>
      <w:proofErr w:type="spellStart"/>
      <w:r w:rsidRPr="002D3220">
        <w:rPr>
          <w:rFonts w:cs="Calibri"/>
          <w:sz w:val="16"/>
          <w:szCs w:val="16"/>
        </w:rPr>
        <w:t>Gaétan</w:t>
      </w:r>
      <w:proofErr w:type="spellEnd"/>
      <w:r w:rsidRPr="002D3220">
        <w:rPr>
          <w:rFonts w:cs="Calibri"/>
          <w:sz w:val="16"/>
          <w:szCs w:val="16"/>
        </w:rPr>
        <w:t xml:space="preserve"> Chevalier, Richard Brown, “The effects of grounding (earthing) on inflammation, the immune response, wound healing, and prevention and treatment of chronic inflammatory and autoimmune diseases,” Journal of Inflammation Research, Vol. 8 (24 March 2015), at: </w:t>
      </w:r>
      <w:hyperlink r:id="rId19" w:history="1">
        <w:r w:rsidRPr="002D3220">
          <w:rPr>
            <w:rStyle w:val="Hyperlink"/>
            <w:rFonts w:cs="Calibri"/>
            <w:sz w:val="16"/>
            <w:szCs w:val="16"/>
          </w:rPr>
          <w:t>https://www.dovepress.com/the-effects-of-grounding-earthing-on-inflammation-the-immune-response--peer-reviewed-article-JIR</w:t>
        </w:r>
      </w:hyperlink>
      <w:r w:rsidRPr="002D3220">
        <w:rPr>
          <w:rFonts w:cs="Calibri"/>
          <w:sz w:val="16"/>
          <w:szCs w:val="16"/>
        </w:rPr>
        <w:t xml:space="preserve">; Joseph Mercola, “The Effects of Grounding” (21 November 2015), at: </w:t>
      </w:r>
      <w:hyperlink r:id="rId20" w:history="1">
        <w:r w:rsidRPr="002D3220">
          <w:rPr>
            <w:rStyle w:val="Hyperlink"/>
            <w:rFonts w:cs="Calibri"/>
            <w:sz w:val="16"/>
            <w:szCs w:val="16"/>
          </w:rPr>
          <w:t>https://articles.mercola.com/sites/articles/archive/2015/11/21/grounding-effects.aspx</w:t>
        </w:r>
      </w:hyperlink>
      <w:r>
        <w:rPr>
          <w:rStyle w:val="Hyperlink"/>
          <w:rFonts w:cs="Calibri"/>
          <w:sz w:val="16"/>
          <w:szCs w:val="16"/>
        </w:rPr>
        <w:t xml:space="preserve">; </w:t>
      </w:r>
      <w:proofErr w:type="spellStart"/>
      <w:r w:rsidRPr="002D3220">
        <w:rPr>
          <w:rFonts w:cs="Calibri"/>
          <w:sz w:val="16"/>
          <w:szCs w:val="16"/>
        </w:rPr>
        <w:t>Gaétan</w:t>
      </w:r>
      <w:proofErr w:type="spellEnd"/>
      <w:r w:rsidRPr="002D3220">
        <w:rPr>
          <w:rFonts w:cs="Calibri"/>
          <w:sz w:val="16"/>
          <w:szCs w:val="16"/>
        </w:rPr>
        <w:t xml:space="preserve"> Chevalier, Stephen T. Sinatra, James L. </w:t>
      </w:r>
      <w:proofErr w:type="spellStart"/>
      <w:r w:rsidRPr="002D3220">
        <w:rPr>
          <w:rFonts w:cs="Calibri"/>
          <w:sz w:val="16"/>
          <w:szCs w:val="16"/>
        </w:rPr>
        <w:t>Oschman</w:t>
      </w:r>
      <w:proofErr w:type="spellEnd"/>
      <w:r w:rsidRPr="002D3220">
        <w:rPr>
          <w:rFonts w:cs="Calibri"/>
          <w:sz w:val="16"/>
          <w:szCs w:val="16"/>
        </w:rPr>
        <w:t xml:space="preserve">, and Richard M. Delany, “Earthing (Grounding) the Human Body Reduces Blood Viscosity—a Major Factor in Cardiovascular Disease,” The Journal of Alternative and Complementary Medicine, Vol. 19, No. 2 (2013), at: </w:t>
      </w:r>
      <w:hyperlink r:id="rId21" w:history="1">
        <w:r w:rsidRPr="002D3220">
          <w:rPr>
            <w:rStyle w:val="Hyperlink"/>
            <w:rFonts w:cs="Calibri"/>
            <w:sz w:val="16"/>
            <w:szCs w:val="16"/>
          </w:rPr>
          <w:t>https://www.liebertpub.com/doi/pdfplus/10.1089/acm.2011.0820</w:t>
        </w:r>
      </w:hyperlink>
      <w:r w:rsidRPr="002D3220">
        <w:rPr>
          <w:rStyle w:val="Hyperlink"/>
          <w:rFonts w:cs="Calibri"/>
          <w:sz w:val="16"/>
          <w:szCs w:val="16"/>
        </w:rPr>
        <w:t xml:space="preserve">. Direct contact with land (earthing) during exercise also can inhibit hepatic protein catabolism or increase renal urea excretion, resulting in a positive nitrogen balance. This phenomenon has fundamental importance in understanding human metabolic processes. </w:t>
      </w:r>
      <w:proofErr w:type="spellStart"/>
      <w:r w:rsidRPr="002D3220">
        <w:rPr>
          <w:rFonts w:cs="Calibri"/>
          <w:sz w:val="16"/>
          <w:szCs w:val="16"/>
        </w:rPr>
        <w:t>Paweł</w:t>
      </w:r>
      <w:proofErr w:type="spellEnd"/>
      <w:r w:rsidRPr="002D3220">
        <w:rPr>
          <w:rFonts w:cs="Calibri"/>
          <w:sz w:val="16"/>
          <w:szCs w:val="16"/>
        </w:rPr>
        <w:t xml:space="preserve"> </w:t>
      </w:r>
      <w:proofErr w:type="spellStart"/>
      <w:r w:rsidRPr="002D3220">
        <w:rPr>
          <w:rFonts w:cs="Calibri"/>
          <w:sz w:val="16"/>
          <w:szCs w:val="16"/>
        </w:rPr>
        <w:t>Sokal</w:t>
      </w:r>
      <w:proofErr w:type="spellEnd"/>
      <w:r w:rsidRPr="002D3220">
        <w:rPr>
          <w:rFonts w:cs="Calibri"/>
          <w:sz w:val="16"/>
          <w:szCs w:val="16"/>
        </w:rPr>
        <w:t xml:space="preserve">, Zbigniew </w:t>
      </w:r>
      <w:proofErr w:type="spellStart"/>
      <w:r w:rsidRPr="002D3220">
        <w:rPr>
          <w:rFonts w:cs="Calibri"/>
          <w:sz w:val="16"/>
          <w:szCs w:val="16"/>
        </w:rPr>
        <w:t>Jastrzębski</w:t>
      </w:r>
      <w:proofErr w:type="spellEnd"/>
      <w:r w:rsidRPr="002D3220">
        <w:rPr>
          <w:rFonts w:cs="Calibri"/>
          <w:sz w:val="16"/>
          <w:szCs w:val="16"/>
        </w:rPr>
        <w:t xml:space="preserve">, </w:t>
      </w:r>
      <w:proofErr w:type="spellStart"/>
      <w:r w:rsidRPr="002D3220">
        <w:rPr>
          <w:rFonts w:cs="Calibri"/>
          <w:sz w:val="16"/>
          <w:szCs w:val="16"/>
        </w:rPr>
        <w:t>Ewelina</w:t>
      </w:r>
      <w:proofErr w:type="spellEnd"/>
      <w:r w:rsidRPr="002D3220">
        <w:rPr>
          <w:rFonts w:cs="Calibri"/>
          <w:sz w:val="16"/>
          <w:szCs w:val="16"/>
        </w:rPr>
        <w:t xml:space="preserve"> </w:t>
      </w:r>
      <w:proofErr w:type="spellStart"/>
      <w:r w:rsidRPr="002D3220">
        <w:rPr>
          <w:rFonts w:cs="Calibri"/>
          <w:sz w:val="16"/>
          <w:szCs w:val="16"/>
        </w:rPr>
        <w:t>Jaskulska</w:t>
      </w:r>
      <w:proofErr w:type="spellEnd"/>
      <w:r w:rsidRPr="002D3220">
        <w:rPr>
          <w:rFonts w:cs="Calibri"/>
          <w:sz w:val="16"/>
          <w:szCs w:val="16"/>
        </w:rPr>
        <w:t xml:space="preserve">, Karol </w:t>
      </w:r>
      <w:proofErr w:type="spellStart"/>
      <w:r w:rsidRPr="002D3220">
        <w:rPr>
          <w:rFonts w:cs="Calibri"/>
          <w:sz w:val="16"/>
          <w:szCs w:val="16"/>
        </w:rPr>
        <w:t>Sokal</w:t>
      </w:r>
      <w:proofErr w:type="spellEnd"/>
      <w:r w:rsidRPr="002D3220">
        <w:rPr>
          <w:rFonts w:cs="Calibri"/>
          <w:sz w:val="16"/>
          <w:szCs w:val="16"/>
        </w:rPr>
        <w:t xml:space="preserve">, Maria </w:t>
      </w:r>
      <w:proofErr w:type="spellStart"/>
      <w:r w:rsidRPr="002D3220">
        <w:rPr>
          <w:rFonts w:cs="Calibri"/>
          <w:sz w:val="16"/>
          <w:szCs w:val="16"/>
        </w:rPr>
        <w:t>Jastrzębska</w:t>
      </w:r>
      <w:proofErr w:type="spellEnd"/>
      <w:r w:rsidRPr="002D3220">
        <w:rPr>
          <w:rFonts w:cs="Calibri"/>
          <w:sz w:val="16"/>
          <w:szCs w:val="16"/>
        </w:rPr>
        <w:t xml:space="preserve">, </w:t>
      </w:r>
      <w:proofErr w:type="spellStart"/>
      <w:r w:rsidRPr="002D3220">
        <w:rPr>
          <w:rFonts w:cs="Calibri"/>
          <w:sz w:val="16"/>
          <w:szCs w:val="16"/>
        </w:rPr>
        <w:t>Łukasz</w:t>
      </w:r>
      <w:proofErr w:type="spellEnd"/>
      <w:r w:rsidRPr="002D3220">
        <w:rPr>
          <w:rFonts w:cs="Calibri"/>
          <w:sz w:val="16"/>
          <w:szCs w:val="16"/>
        </w:rPr>
        <w:t xml:space="preserve"> </w:t>
      </w:r>
      <w:proofErr w:type="spellStart"/>
      <w:r w:rsidRPr="002D3220">
        <w:rPr>
          <w:rFonts w:cs="Calibri"/>
          <w:sz w:val="16"/>
          <w:szCs w:val="16"/>
        </w:rPr>
        <w:t>Radzimiński</w:t>
      </w:r>
      <w:proofErr w:type="spellEnd"/>
      <w:r w:rsidRPr="002D3220">
        <w:rPr>
          <w:rFonts w:cs="Calibri"/>
          <w:sz w:val="16"/>
          <w:szCs w:val="16"/>
        </w:rPr>
        <w:t xml:space="preserve">, Robert </w:t>
      </w:r>
      <w:proofErr w:type="spellStart"/>
      <w:r w:rsidRPr="002D3220">
        <w:rPr>
          <w:rFonts w:cs="Calibri"/>
          <w:sz w:val="16"/>
          <w:szCs w:val="16"/>
        </w:rPr>
        <w:t>Dargiewicz</w:t>
      </w:r>
      <w:proofErr w:type="spellEnd"/>
      <w:r w:rsidRPr="002D3220">
        <w:rPr>
          <w:rFonts w:cs="Calibri"/>
          <w:sz w:val="16"/>
          <w:szCs w:val="16"/>
        </w:rPr>
        <w:t xml:space="preserve">, and Piotr </w:t>
      </w:r>
      <w:proofErr w:type="spellStart"/>
      <w:r w:rsidRPr="002D3220">
        <w:rPr>
          <w:rFonts w:cs="Calibri"/>
          <w:sz w:val="16"/>
          <w:szCs w:val="16"/>
        </w:rPr>
        <w:t>Zieliński</w:t>
      </w:r>
      <w:proofErr w:type="spellEnd"/>
      <w:r w:rsidRPr="002D3220">
        <w:rPr>
          <w:rFonts w:cs="Calibri"/>
          <w:sz w:val="16"/>
          <w:szCs w:val="16"/>
        </w:rPr>
        <w:t xml:space="preserve">, “Differences in Blood Urea and Creatinine Concentrations in Earthed and Unearthed Subjects during Cycling Exercise and Recovery,” Evidence-Based Complementary and Alternative Medicine, Vol. 2013 (2013), at: </w:t>
      </w:r>
      <w:hyperlink r:id="rId22" w:history="1">
        <w:r w:rsidRPr="002D3220">
          <w:rPr>
            <w:rStyle w:val="Hyperlink"/>
            <w:rFonts w:cs="Calibri"/>
            <w:sz w:val="16"/>
            <w:szCs w:val="16"/>
          </w:rPr>
          <w:t>http://dx.doi.org/10.1155/2013/382643</w:t>
        </w:r>
      </w:hyperlink>
      <w:r w:rsidRPr="002D3220">
        <w:rPr>
          <w:rFonts w:cs="Calibri"/>
          <w:sz w:val="16"/>
          <w:szCs w:val="16"/>
        </w:rPr>
        <w:t>.</w:t>
      </w:r>
    </w:p>
  </w:endnote>
  <w:endnote w:id="11">
    <w:p w14:paraId="144B50D8"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sidRPr="002D3220">
        <w:rPr>
          <w:rFonts w:cs="Calibri"/>
          <w:sz w:val="16"/>
          <w:szCs w:val="16"/>
        </w:rPr>
        <w:tab/>
        <w:t xml:space="preserve">Karol </w:t>
      </w:r>
      <w:proofErr w:type="spellStart"/>
      <w:r w:rsidRPr="002D3220">
        <w:rPr>
          <w:rFonts w:cs="Calibri"/>
          <w:sz w:val="16"/>
          <w:szCs w:val="16"/>
        </w:rPr>
        <w:t>Sokal</w:t>
      </w:r>
      <w:proofErr w:type="spellEnd"/>
      <w:r w:rsidRPr="002D3220">
        <w:rPr>
          <w:rFonts w:cs="Calibri"/>
          <w:sz w:val="16"/>
          <w:szCs w:val="16"/>
        </w:rPr>
        <w:t xml:space="preserve"> and Pawel </w:t>
      </w:r>
      <w:proofErr w:type="spellStart"/>
      <w:r w:rsidRPr="002D3220">
        <w:rPr>
          <w:rFonts w:cs="Calibri"/>
          <w:sz w:val="16"/>
          <w:szCs w:val="16"/>
        </w:rPr>
        <w:t>Sokal</w:t>
      </w:r>
      <w:proofErr w:type="spellEnd"/>
      <w:r w:rsidRPr="002D3220">
        <w:rPr>
          <w:rFonts w:cs="Calibri"/>
          <w:sz w:val="16"/>
          <w:szCs w:val="16"/>
        </w:rPr>
        <w:t xml:space="preserve">, “Earthing the Human Body Influences Physiologic Processes,” </w:t>
      </w:r>
      <w:r w:rsidRPr="002D3220">
        <w:rPr>
          <w:rFonts w:cs="Calibri"/>
          <w:i/>
          <w:iCs/>
          <w:sz w:val="16"/>
          <w:szCs w:val="16"/>
        </w:rPr>
        <w:t>The Journal of Alternative and Complementary Medicine</w:t>
      </w:r>
      <w:r w:rsidRPr="002D3220">
        <w:rPr>
          <w:rFonts w:cs="Calibri"/>
          <w:sz w:val="16"/>
          <w:szCs w:val="16"/>
        </w:rPr>
        <w:t xml:space="preserve">, Vol. 17, Issue 4 (April 2011), at: </w:t>
      </w:r>
    </w:p>
    <w:p w14:paraId="2869392D" w14:textId="77777777" w:rsidR="00686690" w:rsidRPr="002D3220" w:rsidRDefault="00686690" w:rsidP="00686690">
      <w:pPr>
        <w:pStyle w:val="EndnoteText"/>
        <w:ind w:left="227" w:hanging="227"/>
        <w:jc w:val="lowKashida"/>
        <w:rPr>
          <w:rFonts w:cs="Calibri"/>
          <w:sz w:val="16"/>
          <w:szCs w:val="16"/>
        </w:rPr>
      </w:pPr>
      <w:r w:rsidRPr="002D3220">
        <w:rPr>
          <w:rFonts w:cs="Calibri"/>
          <w:sz w:val="16"/>
          <w:szCs w:val="16"/>
        </w:rPr>
        <w:tab/>
      </w:r>
      <w:hyperlink r:id="rId23" w:history="1">
        <w:r w:rsidRPr="002D3220">
          <w:rPr>
            <w:rStyle w:val="Hyperlink"/>
            <w:rFonts w:cs="Calibri"/>
            <w:sz w:val="16"/>
            <w:szCs w:val="16"/>
          </w:rPr>
          <w:t>https://www.liebertpub.com/doi/abs/10.1089/acm.2010.0687</w:t>
        </w:r>
      </w:hyperlink>
      <w:r w:rsidRPr="002D3220">
        <w:rPr>
          <w:rFonts w:cs="Calibri"/>
          <w:sz w:val="16"/>
          <w:szCs w:val="16"/>
        </w:rPr>
        <w:t xml:space="preserve">.  </w:t>
      </w:r>
    </w:p>
  </w:endnote>
  <w:endnote w:id="12">
    <w:p w14:paraId="67C32A7E"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sidRPr="002D3220">
        <w:rPr>
          <w:rFonts w:cs="Calibri"/>
          <w:sz w:val="16"/>
          <w:szCs w:val="16"/>
        </w:rPr>
        <w:tab/>
        <w:t>Also referred to as the “Schumann resonance,” named after the physicist who first studied the theoretical aspects of the global resonances of the earth–ionosphere waveguide system. Winfried Otto Schumann, “</w:t>
      </w:r>
      <w:proofErr w:type="spellStart"/>
      <w:r w:rsidRPr="002D3220">
        <w:rPr>
          <w:rFonts w:cs="Calibri"/>
          <w:sz w:val="16"/>
          <w:szCs w:val="16"/>
        </w:rPr>
        <w:t>Über</w:t>
      </w:r>
      <w:proofErr w:type="spellEnd"/>
      <w:r w:rsidRPr="002D3220">
        <w:rPr>
          <w:rFonts w:cs="Calibri"/>
          <w:sz w:val="16"/>
          <w:szCs w:val="16"/>
        </w:rPr>
        <w:t xml:space="preserve"> die </w:t>
      </w:r>
      <w:proofErr w:type="spellStart"/>
      <w:r w:rsidRPr="002D3220">
        <w:rPr>
          <w:rFonts w:cs="Calibri"/>
          <w:sz w:val="16"/>
          <w:szCs w:val="16"/>
        </w:rPr>
        <w:t>strahlungslosen</w:t>
      </w:r>
      <w:proofErr w:type="spellEnd"/>
      <w:r w:rsidRPr="002D3220">
        <w:rPr>
          <w:rFonts w:cs="Calibri"/>
          <w:sz w:val="16"/>
          <w:szCs w:val="16"/>
        </w:rPr>
        <w:t xml:space="preserve"> </w:t>
      </w:r>
      <w:proofErr w:type="spellStart"/>
      <w:r w:rsidRPr="002D3220">
        <w:rPr>
          <w:rFonts w:cs="Calibri"/>
          <w:sz w:val="16"/>
          <w:szCs w:val="16"/>
        </w:rPr>
        <w:t>Eigenschwingungen</w:t>
      </w:r>
      <w:proofErr w:type="spellEnd"/>
      <w:r w:rsidRPr="002D3220">
        <w:rPr>
          <w:rFonts w:cs="Calibri"/>
          <w:sz w:val="16"/>
          <w:szCs w:val="16"/>
        </w:rPr>
        <w:t xml:space="preserve"> </w:t>
      </w:r>
      <w:proofErr w:type="spellStart"/>
      <w:r w:rsidRPr="002D3220">
        <w:rPr>
          <w:rFonts w:cs="Calibri"/>
          <w:sz w:val="16"/>
          <w:szCs w:val="16"/>
        </w:rPr>
        <w:t>einer</w:t>
      </w:r>
      <w:proofErr w:type="spellEnd"/>
      <w:r w:rsidRPr="002D3220">
        <w:rPr>
          <w:rFonts w:cs="Calibri"/>
          <w:sz w:val="16"/>
          <w:szCs w:val="16"/>
        </w:rPr>
        <w:t xml:space="preserve"> </w:t>
      </w:r>
      <w:proofErr w:type="spellStart"/>
      <w:r w:rsidRPr="002D3220">
        <w:rPr>
          <w:rFonts w:cs="Calibri"/>
          <w:sz w:val="16"/>
          <w:szCs w:val="16"/>
        </w:rPr>
        <w:t>leitenden</w:t>
      </w:r>
      <w:proofErr w:type="spellEnd"/>
      <w:r w:rsidRPr="002D3220">
        <w:rPr>
          <w:rFonts w:cs="Calibri"/>
          <w:sz w:val="16"/>
          <w:szCs w:val="16"/>
        </w:rPr>
        <w:t xml:space="preserve"> Kugel, die von </w:t>
      </w:r>
      <w:proofErr w:type="spellStart"/>
      <w:r w:rsidRPr="002D3220">
        <w:rPr>
          <w:rFonts w:cs="Calibri"/>
          <w:sz w:val="16"/>
          <w:szCs w:val="16"/>
        </w:rPr>
        <w:t>einer</w:t>
      </w:r>
      <w:proofErr w:type="spellEnd"/>
      <w:r w:rsidRPr="002D3220">
        <w:rPr>
          <w:rFonts w:cs="Calibri"/>
          <w:sz w:val="16"/>
          <w:szCs w:val="16"/>
        </w:rPr>
        <w:t xml:space="preserve"> </w:t>
      </w:r>
      <w:proofErr w:type="spellStart"/>
      <w:r w:rsidRPr="002D3220">
        <w:rPr>
          <w:rFonts w:cs="Calibri"/>
          <w:sz w:val="16"/>
          <w:szCs w:val="16"/>
        </w:rPr>
        <w:t>Luftschicht</w:t>
      </w:r>
      <w:proofErr w:type="spellEnd"/>
      <w:r w:rsidRPr="002D3220">
        <w:rPr>
          <w:rFonts w:cs="Calibri"/>
          <w:sz w:val="16"/>
          <w:szCs w:val="16"/>
        </w:rPr>
        <w:t xml:space="preserve"> und </w:t>
      </w:r>
      <w:proofErr w:type="spellStart"/>
      <w:r w:rsidRPr="002D3220">
        <w:rPr>
          <w:rFonts w:cs="Calibri"/>
          <w:sz w:val="16"/>
          <w:szCs w:val="16"/>
        </w:rPr>
        <w:t>einer</w:t>
      </w:r>
      <w:proofErr w:type="spellEnd"/>
      <w:r w:rsidRPr="002D3220">
        <w:rPr>
          <w:rFonts w:cs="Calibri"/>
          <w:sz w:val="16"/>
          <w:szCs w:val="16"/>
        </w:rPr>
        <w:t xml:space="preserve"> </w:t>
      </w:r>
      <w:proofErr w:type="spellStart"/>
      <w:r w:rsidRPr="002D3220">
        <w:rPr>
          <w:rFonts w:cs="Calibri"/>
          <w:sz w:val="16"/>
          <w:szCs w:val="16"/>
        </w:rPr>
        <w:t>Ionosphärenhülle</w:t>
      </w:r>
      <w:proofErr w:type="spellEnd"/>
      <w:r w:rsidRPr="002D3220">
        <w:rPr>
          <w:rFonts w:cs="Calibri"/>
          <w:sz w:val="16"/>
          <w:szCs w:val="16"/>
        </w:rPr>
        <w:t xml:space="preserve"> </w:t>
      </w:r>
      <w:proofErr w:type="spellStart"/>
      <w:r w:rsidRPr="002D3220">
        <w:rPr>
          <w:rFonts w:cs="Calibri"/>
          <w:sz w:val="16"/>
          <w:szCs w:val="16"/>
        </w:rPr>
        <w:t>umgeben</w:t>
      </w:r>
      <w:proofErr w:type="spellEnd"/>
      <w:r w:rsidRPr="002D3220">
        <w:rPr>
          <w:rFonts w:cs="Calibri"/>
          <w:sz w:val="16"/>
          <w:szCs w:val="16"/>
        </w:rPr>
        <w:t xml:space="preserve"> </w:t>
      </w:r>
      <w:proofErr w:type="spellStart"/>
      <w:r w:rsidRPr="002D3220">
        <w:rPr>
          <w:rFonts w:cs="Calibri"/>
          <w:sz w:val="16"/>
          <w:szCs w:val="16"/>
        </w:rPr>
        <w:t>ist</w:t>
      </w:r>
      <w:proofErr w:type="spellEnd"/>
      <w:r w:rsidRPr="002D3220">
        <w:rPr>
          <w:rFonts w:cs="Calibri"/>
          <w:sz w:val="16"/>
          <w:szCs w:val="16"/>
        </w:rPr>
        <w:t xml:space="preserve">,” </w:t>
      </w:r>
      <w:proofErr w:type="spellStart"/>
      <w:r w:rsidRPr="002D3220">
        <w:rPr>
          <w:rFonts w:cs="Calibri"/>
          <w:i/>
          <w:iCs/>
          <w:sz w:val="16"/>
          <w:szCs w:val="16"/>
        </w:rPr>
        <w:t>Zeitschrift</w:t>
      </w:r>
      <w:proofErr w:type="spellEnd"/>
      <w:r w:rsidRPr="002D3220">
        <w:rPr>
          <w:rFonts w:cs="Calibri"/>
          <w:i/>
          <w:iCs/>
          <w:sz w:val="16"/>
          <w:szCs w:val="16"/>
        </w:rPr>
        <w:t xml:space="preserve"> </w:t>
      </w:r>
      <w:proofErr w:type="spellStart"/>
      <w:r w:rsidRPr="002D3220">
        <w:rPr>
          <w:rFonts w:cs="Calibri"/>
          <w:i/>
          <w:iCs/>
          <w:sz w:val="16"/>
          <w:szCs w:val="16"/>
        </w:rPr>
        <w:t>für</w:t>
      </w:r>
      <w:proofErr w:type="spellEnd"/>
      <w:r w:rsidRPr="002D3220">
        <w:rPr>
          <w:rFonts w:cs="Calibri"/>
          <w:i/>
          <w:iCs/>
          <w:sz w:val="16"/>
          <w:szCs w:val="16"/>
        </w:rPr>
        <w:t xml:space="preserve"> </w:t>
      </w:r>
      <w:proofErr w:type="spellStart"/>
      <w:r w:rsidRPr="002D3220">
        <w:rPr>
          <w:rFonts w:cs="Calibri"/>
          <w:i/>
          <w:iCs/>
          <w:sz w:val="16"/>
          <w:szCs w:val="16"/>
        </w:rPr>
        <w:t>Naturforschung</w:t>
      </w:r>
      <w:proofErr w:type="spellEnd"/>
      <w:r w:rsidRPr="002D3220">
        <w:rPr>
          <w:rFonts w:cs="Calibri"/>
          <w:sz w:val="16"/>
          <w:szCs w:val="16"/>
        </w:rPr>
        <w:t xml:space="preserve">, Vol. 7, No 2 (1952), at: </w:t>
      </w:r>
      <w:hyperlink r:id="rId24" w:history="1">
        <w:r w:rsidRPr="002D3220">
          <w:rPr>
            <w:rStyle w:val="Hyperlink"/>
            <w:rFonts w:cs="Calibri"/>
            <w:sz w:val="16"/>
            <w:szCs w:val="16"/>
          </w:rPr>
          <w:t>https://www.degruyter.com/downloadpdf/j/zna.1952.7.issue-2/zna-1952-0202/zna-1952-0202.pdf</w:t>
        </w:r>
      </w:hyperlink>
      <w:r w:rsidRPr="002D3220">
        <w:rPr>
          <w:rFonts w:cs="Calibri"/>
          <w:sz w:val="16"/>
          <w:szCs w:val="16"/>
        </w:rPr>
        <w:t xml:space="preserve">.  </w:t>
      </w:r>
    </w:p>
  </w:endnote>
  <w:endnote w:id="13">
    <w:p w14:paraId="454217FD"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sidRPr="002D3220">
        <w:rPr>
          <w:rFonts w:cs="Calibri"/>
          <w:sz w:val="16"/>
          <w:szCs w:val="16"/>
        </w:rPr>
        <w:tab/>
        <w:t xml:space="preserve">The neural oscillations in the frequency range of 7.5–12.5 Hz arising from synchronous and coherent (in phase or constructive) electrical activity of thalamic pacemaker cells in humans when a person is awake and relaxed. </w:t>
      </w:r>
    </w:p>
  </w:endnote>
  <w:endnote w:id="14">
    <w:p w14:paraId="139F1430"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bookmarkStart w:id="2" w:name="_Hlk20608050"/>
      <w:r w:rsidRPr="002D3220">
        <w:rPr>
          <w:rFonts w:cs="Calibri"/>
          <w:sz w:val="16"/>
          <w:szCs w:val="16"/>
          <w:rtl/>
        </w:rPr>
        <w:t>﴿المسلمون شركاء في ثلاث في الماء والكلأ والنار وثمنه حرام﴾</w:t>
      </w:r>
      <w:r w:rsidRPr="002D3220">
        <w:rPr>
          <w:rFonts w:cs="Calibri"/>
          <w:sz w:val="16"/>
          <w:szCs w:val="16"/>
        </w:rPr>
        <w:t xml:space="preserve"> or </w:t>
      </w:r>
      <w:proofErr w:type="gramStart"/>
      <w:r w:rsidRPr="002D3220">
        <w:rPr>
          <w:rFonts w:cs="Calibri"/>
          <w:sz w:val="16"/>
          <w:szCs w:val="16"/>
          <w:rtl/>
        </w:rPr>
        <w:t>﴿ الناس</w:t>
      </w:r>
      <w:proofErr w:type="gramEnd"/>
      <w:r w:rsidRPr="002D3220">
        <w:rPr>
          <w:rFonts w:cs="Calibri"/>
          <w:sz w:val="16"/>
          <w:szCs w:val="16"/>
          <w:rtl/>
        </w:rPr>
        <w:t xml:space="preserve"> شركاء في ثلاثة: في الكلأ، والماء، والنار﴾</w:t>
      </w:r>
      <w:r w:rsidRPr="002D3220">
        <w:rPr>
          <w:rFonts w:cs="Calibri"/>
          <w:sz w:val="16"/>
          <w:szCs w:val="16"/>
        </w:rPr>
        <w:t xml:space="preserve">, Hadith no. 2472, by the authority of Ibn Abbas, and Hadith no. 2473 by the authority of Abu Hurairah, at: </w:t>
      </w:r>
      <w:hyperlink r:id="rId25" w:history="1">
        <w:r w:rsidRPr="002D3220">
          <w:rPr>
            <w:rStyle w:val="Hyperlink"/>
            <w:rFonts w:cs="Calibri"/>
            <w:sz w:val="16"/>
            <w:szCs w:val="16"/>
          </w:rPr>
          <w:t>http://mobile.ahadith.co.uk/chapter.php?page=4&amp;cid=175</w:t>
        </w:r>
      </w:hyperlink>
      <w:r w:rsidRPr="002D3220">
        <w:rPr>
          <w:rFonts w:cs="Calibri"/>
          <w:sz w:val="16"/>
          <w:szCs w:val="16"/>
        </w:rPr>
        <w:t xml:space="preserve"> and </w:t>
      </w:r>
      <w:hyperlink r:id="rId26" w:history="1">
        <w:r w:rsidRPr="002D3220">
          <w:rPr>
            <w:rStyle w:val="Hyperlink"/>
            <w:rFonts w:cs="Calibri"/>
            <w:sz w:val="16"/>
            <w:szCs w:val="16"/>
          </w:rPr>
          <w:t>http://www.taimiah.org/Display.Asp?f=bc9051100010.htm</w:t>
        </w:r>
      </w:hyperlink>
      <w:r w:rsidRPr="002D3220">
        <w:rPr>
          <w:rFonts w:cs="Calibri"/>
          <w:sz w:val="16"/>
          <w:szCs w:val="16"/>
        </w:rPr>
        <w:t xml:space="preserve">. See also the </w:t>
      </w:r>
      <w:proofErr w:type="spellStart"/>
      <w:r w:rsidRPr="002D3220">
        <w:rPr>
          <w:rFonts w:cs="Calibri"/>
          <w:sz w:val="16"/>
          <w:szCs w:val="16"/>
        </w:rPr>
        <w:t>Ahadith</w:t>
      </w:r>
      <w:proofErr w:type="spellEnd"/>
      <w:r w:rsidRPr="002D3220">
        <w:rPr>
          <w:rFonts w:cs="Calibri"/>
          <w:sz w:val="16"/>
          <w:szCs w:val="16"/>
        </w:rPr>
        <w:t xml:space="preserve"> related by Abu-</w:t>
      </w:r>
      <w:proofErr w:type="spellStart"/>
      <w:r w:rsidRPr="002D3220">
        <w:rPr>
          <w:rFonts w:cs="Calibri"/>
          <w:sz w:val="16"/>
          <w:szCs w:val="16"/>
        </w:rPr>
        <w:t>Dawud</w:t>
      </w:r>
      <w:proofErr w:type="spellEnd"/>
      <w:r w:rsidRPr="002D3220">
        <w:rPr>
          <w:rFonts w:cs="Calibri"/>
          <w:sz w:val="16"/>
          <w:szCs w:val="16"/>
        </w:rPr>
        <w:t xml:space="preserve">, Ibn </w:t>
      </w:r>
      <w:proofErr w:type="spellStart"/>
      <w:r w:rsidRPr="002D3220">
        <w:rPr>
          <w:rFonts w:cs="Calibri"/>
          <w:sz w:val="16"/>
          <w:szCs w:val="16"/>
        </w:rPr>
        <w:t>Majah</w:t>
      </w:r>
      <w:proofErr w:type="spellEnd"/>
      <w:r w:rsidRPr="002D3220">
        <w:rPr>
          <w:rFonts w:cs="Calibri"/>
          <w:sz w:val="16"/>
          <w:szCs w:val="16"/>
        </w:rPr>
        <w:t xml:space="preserve"> and al-</w:t>
      </w:r>
      <w:proofErr w:type="spellStart"/>
      <w:r w:rsidRPr="002D3220">
        <w:rPr>
          <w:rFonts w:cs="Calibri"/>
          <w:sz w:val="16"/>
          <w:szCs w:val="16"/>
        </w:rPr>
        <w:t>Khallal</w:t>
      </w:r>
      <w:proofErr w:type="spellEnd"/>
      <w:r w:rsidRPr="002D3220">
        <w:rPr>
          <w:rFonts w:cs="Calibri"/>
          <w:sz w:val="16"/>
          <w:szCs w:val="16"/>
        </w:rPr>
        <w:t xml:space="preserve">, </w:t>
      </w:r>
      <w:proofErr w:type="spellStart"/>
      <w:r w:rsidRPr="002D3220">
        <w:rPr>
          <w:rFonts w:cs="Calibri"/>
          <w:i/>
          <w:iCs/>
          <w:sz w:val="16"/>
          <w:szCs w:val="16"/>
        </w:rPr>
        <w:t>Islamset</w:t>
      </w:r>
      <w:proofErr w:type="spellEnd"/>
      <w:r w:rsidRPr="002D3220">
        <w:rPr>
          <w:rFonts w:cs="Calibri"/>
          <w:sz w:val="16"/>
          <w:szCs w:val="16"/>
        </w:rPr>
        <w:t xml:space="preserve">, at: </w:t>
      </w:r>
      <w:hyperlink r:id="rId27" w:history="1">
        <w:r w:rsidRPr="002D3220">
          <w:rPr>
            <w:rStyle w:val="Hyperlink"/>
            <w:rFonts w:cs="Calibri"/>
            <w:sz w:val="16"/>
            <w:szCs w:val="16"/>
          </w:rPr>
          <w:t>http://www.islamset.com/env/contenv.html</w:t>
        </w:r>
      </w:hyperlink>
      <w:r w:rsidRPr="002D3220">
        <w:rPr>
          <w:rFonts w:cs="Calibri"/>
          <w:sz w:val="16"/>
          <w:szCs w:val="16"/>
        </w:rPr>
        <w:t xml:space="preserve">.  </w:t>
      </w:r>
      <w:bookmarkEnd w:id="2"/>
    </w:p>
  </w:endnote>
  <w:endnote w:id="15">
    <w:p w14:paraId="58D62FA8"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sidRPr="002D3220">
        <w:rPr>
          <w:rFonts w:cs="Calibri"/>
          <w:sz w:val="16"/>
          <w:szCs w:val="16"/>
        </w:rPr>
        <w:tab/>
        <w:t xml:space="preserve">See Roger S. Gottlieb, ed., </w:t>
      </w:r>
      <w:r w:rsidRPr="002D3220">
        <w:rPr>
          <w:rFonts w:cs="Calibri"/>
          <w:i/>
          <w:iCs/>
          <w:sz w:val="16"/>
          <w:szCs w:val="16"/>
        </w:rPr>
        <w:t>This Sacred Earth: Religion, Nature, Environment</w:t>
      </w:r>
      <w:r w:rsidRPr="002D3220">
        <w:rPr>
          <w:rFonts w:cs="Calibri"/>
          <w:sz w:val="16"/>
          <w:szCs w:val="16"/>
        </w:rPr>
        <w:t xml:space="preserve"> (New York: Routledge, 2nd edition 2004).</w:t>
      </w:r>
    </w:p>
  </w:endnote>
  <w:endnote w:id="16">
    <w:p w14:paraId="2BEF1F0B"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sidRPr="002D3220">
        <w:rPr>
          <w:rFonts w:cs="Calibri"/>
          <w:sz w:val="16"/>
          <w:szCs w:val="16"/>
        </w:rPr>
        <w:tab/>
        <w:t xml:space="preserve">Luther Standing Bear (a.k.a. Ota </w:t>
      </w:r>
      <w:proofErr w:type="spellStart"/>
      <w:r w:rsidRPr="002D3220">
        <w:rPr>
          <w:rFonts w:cs="Calibri"/>
          <w:sz w:val="16"/>
          <w:szCs w:val="16"/>
        </w:rPr>
        <w:t>Kte</w:t>
      </w:r>
      <w:proofErr w:type="spellEnd"/>
      <w:r w:rsidRPr="002D3220">
        <w:rPr>
          <w:rFonts w:cs="Calibri"/>
          <w:sz w:val="16"/>
          <w:szCs w:val="16"/>
        </w:rPr>
        <w:t xml:space="preserve"> or </w:t>
      </w:r>
      <w:proofErr w:type="spellStart"/>
      <w:r w:rsidRPr="002D3220">
        <w:rPr>
          <w:rFonts w:cs="Calibri"/>
          <w:sz w:val="16"/>
          <w:szCs w:val="16"/>
        </w:rPr>
        <w:t>Mochunozhin</w:t>
      </w:r>
      <w:proofErr w:type="spellEnd"/>
      <w:r w:rsidRPr="002D3220">
        <w:rPr>
          <w:rFonts w:cs="Calibri"/>
          <w:sz w:val="16"/>
          <w:szCs w:val="16"/>
        </w:rPr>
        <w:t xml:space="preserve">), </w:t>
      </w:r>
      <w:r w:rsidRPr="002D3220">
        <w:rPr>
          <w:rFonts w:cs="Calibri"/>
          <w:i/>
          <w:iCs/>
          <w:sz w:val="16"/>
          <w:szCs w:val="16"/>
        </w:rPr>
        <w:t xml:space="preserve">Land of the Spotted Eagle </w:t>
      </w:r>
      <w:r w:rsidRPr="002D3220">
        <w:rPr>
          <w:rFonts w:cs="Calibri"/>
          <w:sz w:val="16"/>
          <w:szCs w:val="16"/>
        </w:rPr>
        <w:t>(Lincoln NE and London: University of Nebraska Press, 1933; Bison Book reprinting, 1978).</w:t>
      </w:r>
    </w:p>
  </w:endnote>
  <w:endnote w:id="17">
    <w:p w14:paraId="0F86A8C3" w14:textId="77777777" w:rsidR="00686690" w:rsidRPr="002D3220" w:rsidRDefault="00686690" w:rsidP="00686690">
      <w:pPr>
        <w:pStyle w:val="EndnoteText"/>
        <w:ind w:left="227" w:hanging="227"/>
        <w:jc w:val="lowKashida"/>
        <w:rPr>
          <w:rFonts w:cs="Calibri"/>
          <w:i/>
          <w:iCs/>
          <w:sz w:val="16"/>
          <w:szCs w:val="16"/>
        </w:rPr>
      </w:pPr>
      <w:r w:rsidRPr="002D3220">
        <w:rPr>
          <w:rStyle w:val="EndnoteReference"/>
          <w:rFonts w:cs="Calibri"/>
          <w:sz w:val="16"/>
          <w:szCs w:val="16"/>
        </w:rPr>
        <w:endnoteRef/>
      </w:r>
      <w:r w:rsidRPr="002D3220">
        <w:rPr>
          <w:rFonts w:cs="Calibri"/>
          <w:sz w:val="16"/>
          <w:szCs w:val="16"/>
        </w:rPr>
        <w:t xml:space="preserve"> </w:t>
      </w:r>
      <w:r>
        <w:rPr>
          <w:rFonts w:cs="Calibri"/>
          <w:sz w:val="16"/>
          <w:szCs w:val="16"/>
        </w:rPr>
        <w:tab/>
      </w:r>
      <w:r w:rsidRPr="002D3220">
        <w:rPr>
          <w:rFonts w:cs="Calibri"/>
          <w:sz w:val="16"/>
          <w:szCs w:val="16"/>
        </w:rPr>
        <w:t xml:space="preserve">CESCR, General Comment No. 15, </w:t>
      </w:r>
      <w:r w:rsidRPr="002D3220">
        <w:rPr>
          <w:rFonts w:cs="Calibri"/>
          <w:i/>
          <w:iCs/>
          <w:sz w:val="16"/>
          <w:szCs w:val="16"/>
        </w:rPr>
        <w:t>op. cit.</w:t>
      </w:r>
    </w:p>
  </w:endnote>
  <w:endnote w:id="18">
    <w:p w14:paraId="3C050A6C" w14:textId="77777777" w:rsidR="0068669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Pr>
          <w:rFonts w:cs="Calibri"/>
          <w:sz w:val="16"/>
          <w:szCs w:val="16"/>
        </w:rPr>
        <w:tab/>
      </w:r>
      <w:r w:rsidRPr="002D3220">
        <w:rPr>
          <w:rFonts w:cs="Calibri"/>
          <w:sz w:val="16"/>
          <w:szCs w:val="16"/>
        </w:rPr>
        <w:t xml:space="preserve">CESCR, General Comments No. 12, The right to adequate food (Art.11), E/C.12/1999/5, 12 May 1999, at: </w:t>
      </w:r>
    </w:p>
    <w:p w14:paraId="286D92F3" w14:textId="77777777" w:rsidR="00686690" w:rsidRPr="002D3220" w:rsidRDefault="00686690" w:rsidP="00686690">
      <w:pPr>
        <w:pStyle w:val="EndnoteText"/>
        <w:ind w:left="227" w:firstLine="0"/>
        <w:jc w:val="lowKashida"/>
        <w:rPr>
          <w:rFonts w:cs="Calibri"/>
          <w:sz w:val="16"/>
          <w:szCs w:val="16"/>
        </w:rPr>
      </w:pPr>
      <w:hyperlink r:id="rId28" w:history="1">
        <w:r w:rsidRPr="002D3220">
          <w:rPr>
            <w:rStyle w:val="Hyperlink"/>
            <w:rFonts w:cs="Calibri"/>
            <w:sz w:val="16"/>
            <w:szCs w:val="16"/>
          </w:rPr>
          <w:t>https://tbinternet.ohchr.org/_layouts/15/treatybodyexternal/Download.aspx?symbolno=E%2fC.12%2f1999%2f5&amp;Lang=en</w:t>
        </w:r>
      </w:hyperlink>
      <w:r w:rsidRPr="002D3220">
        <w:rPr>
          <w:rFonts w:cs="Calibri"/>
          <w:sz w:val="16"/>
          <w:szCs w:val="16"/>
        </w:rPr>
        <w:t xml:space="preserve">. </w:t>
      </w:r>
    </w:p>
  </w:endnote>
  <w:endnote w:id="19">
    <w:p w14:paraId="0EAB3338"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sidRPr="002D3220">
        <w:rPr>
          <w:rFonts w:cs="Calibri"/>
          <w:sz w:val="16"/>
          <w:szCs w:val="16"/>
        </w:rPr>
        <w:tab/>
      </w:r>
      <w:proofErr w:type="spellStart"/>
      <w:r w:rsidRPr="002D3220">
        <w:rPr>
          <w:rFonts w:cs="Calibri"/>
          <w:sz w:val="16"/>
          <w:szCs w:val="16"/>
        </w:rPr>
        <w:t>Gaétan</w:t>
      </w:r>
      <w:proofErr w:type="spellEnd"/>
      <w:r w:rsidRPr="002D3220">
        <w:rPr>
          <w:rFonts w:cs="Calibri"/>
          <w:sz w:val="16"/>
          <w:szCs w:val="16"/>
        </w:rPr>
        <w:t xml:space="preserve"> Chevalier, Stephen T. Sinatra, James L. </w:t>
      </w:r>
      <w:proofErr w:type="spellStart"/>
      <w:r w:rsidRPr="002D3220">
        <w:rPr>
          <w:rFonts w:cs="Calibri"/>
          <w:sz w:val="16"/>
          <w:szCs w:val="16"/>
        </w:rPr>
        <w:t>Oschman</w:t>
      </w:r>
      <w:proofErr w:type="spellEnd"/>
      <w:r w:rsidRPr="002D3220">
        <w:rPr>
          <w:rFonts w:cs="Calibri"/>
          <w:sz w:val="16"/>
          <w:szCs w:val="16"/>
        </w:rPr>
        <w:t xml:space="preserve">, Karol </w:t>
      </w:r>
      <w:proofErr w:type="spellStart"/>
      <w:r w:rsidRPr="002D3220">
        <w:rPr>
          <w:rFonts w:cs="Calibri"/>
          <w:sz w:val="16"/>
          <w:szCs w:val="16"/>
        </w:rPr>
        <w:t>Sokal</w:t>
      </w:r>
      <w:proofErr w:type="spellEnd"/>
      <w:r w:rsidRPr="002D3220">
        <w:rPr>
          <w:rFonts w:cs="Calibri"/>
          <w:sz w:val="16"/>
          <w:szCs w:val="16"/>
        </w:rPr>
        <w:t xml:space="preserve">, and Pawel </w:t>
      </w:r>
      <w:proofErr w:type="spellStart"/>
      <w:r w:rsidRPr="002D3220">
        <w:rPr>
          <w:rFonts w:cs="Calibri"/>
          <w:sz w:val="16"/>
          <w:szCs w:val="16"/>
        </w:rPr>
        <w:t>Sokal</w:t>
      </w:r>
      <w:proofErr w:type="spellEnd"/>
      <w:r w:rsidRPr="002D3220">
        <w:rPr>
          <w:rFonts w:cs="Calibri"/>
          <w:sz w:val="16"/>
          <w:szCs w:val="16"/>
        </w:rPr>
        <w:t xml:space="preserve">, “Earthing: Health Implications of Reconnecting the Human Body to the Earth's Surface Electrons,” </w:t>
      </w:r>
      <w:r w:rsidRPr="002D3220">
        <w:rPr>
          <w:rFonts w:cs="Calibri"/>
          <w:i/>
          <w:iCs/>
          <w:sz w:val="16"/>
          <w:szCs w:val="16"/>
        </w:rPr>
        <w:t>Journal of Environment and Public Health</w:t>
      </w:r>
      <w:r w:rsidRPr="002D3220">
        <w:rPr>
          <w:rFonts w:cs="Calibri"/>
          <w:sz w:val="16"/>
          <w:szCs w:val="16"/>
        </w:rPr>
        <w:t xml:space="preserve">, Vol. 2012 (2012), at; </w:t>
      </w:r>
      <w:hyperlink r:id="rId29" w:history="1">
        <w:r w:rsidRPr="002D3220">
          <w:rPr>
            <w:rStyle w:val="Hyperlink"/>
            <w:rFonts w:cs="Calibri"/>
            <w:sz w:val="16"/>
            <w:szCs w:val="16"/>
          </w:rPr>
          <w:t>http://dx.doi.org/10.1155/2012/291541</w:t>
        </w:r>
      </w:hyperlink>
      <w:r w:rsidRPr="002D3220">
        <w:rPr>
          <w:rFonts w:cs="Calibri"/>
          <w:sz w:val="16"/>
          <w:szCs w:val="16"/>
        </w:rPr>
        <w:t xml:space="preserve">. </w:t>
      </w:r>
    </w:p>
  </w:endnote>
  <w:endnote w:id="20">
    <w:p w14:paraId="58D8B4FF"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Pr>
          <w:rFonts w:cs="Calibri"/>
          <w:sz w:val="16"/>
          <w:szCs w:val="16"/>
        </w:rPr>
        <w:tab/>
      </w:r>
      <w:r w:rsidRPr="002D3220">
        <w:rPr>
          <w:rFonts w:cs="Calibri"/>
          <w:sz w:val="16"/>
          <w:szCs w:val="16"/>
        </w:rPr>
        <w:t xml:space="preserve">The New Urban Agenda, adopted by the General Assembly on 23 December 2016, recognizes the “social and ecological function of land, with a view to progressively achieving the full realization of the right to adequate housing as a component of the right to an adequate standard of living, without discrimination, universal access to safe and affordable drinking water and sanitation, as well as equal access for all to public goods and quality services in areas such as food security and nutrition, health, education, infrastructure, mobility and transportation, energy, air quality and livelihood through decent works…” A/RES/71/256, 25 January 2017, para. 13, at: </w:t>
      </w:r>
    </w:p>
    <w:p w14:paraId="0CA489AF" w14:textId="77777777" w:rsidR="00686690" w:rsidRPr="002D3220" w:rsidRDefault="00686690" w:rsidP="00686690">
      <w:pPr>
        <w:pStyle w:val="EndnoteText"/>
        <w:ind w:left="227" w:hanging="227"/>
        <w:jc w:val="lowKashida"/>
        <w:rPr>
          <w:rFonts w:cs="Calibri"/>
          <w:sz w:val="16"/>
          <w:szCs w:val="16"/>
        </w:rPr>
      </w:pPr>
      <w:r w:rsidRPr="002D3220">
        <w:rPr>
          <w:rFonts w:cs="Calibri"/>
          <w:sz w:val="16"/>
          <w:szCs w:val="16"/>
        </w:rPr>
        <w:tab/>
      </w:r>
      <w:hyperlink r:id="rId30" w:history="1">
        <w:r w:rsidRPr="002D3220">
          <w:rPr>
            <w:rStyle w:val="Hyperlink"/>
            <w:rFonts w:cs="Calibri"/>
            <w:sz w:val="16"/>
            <w:szCs w:val="16"/>
          </w:rPr>
          <w:t>http://www.un.org/en/ga/search/view_doc.asp?symbol=A/RES/71/256</w:t>
        </w:r>
      </w:hyperlink>
      <w:r w:rsidRPr="002D3220">
        <w:rPr>
          <w:rFonts w:cs="Calibri"/>
          <w:sz w:val="16"/>
          <w:szCs w:val="16"/>
        </w:rPr>
        <w:t xml:space="preserve">; </w:t>
      </w:r>
    </w:p>
  </w:endnote>
  <w:endnote w:id="21">
    <w:p w14:paraId="1F42B965" w14:textId="77777777" w:rsidR="00686690" w:rsidRPr="002D3220" w:rsidRDefault="00686690" w:rsidP="00686690">
      <w:pPr>
        <w:pStyle w:val="EndnoteText"/>
        <w:ind w:left="227" w:hanging="227"/>
        <w:jc w:val="lowKashida"/>
        <w:rPr>
          <w:rFonts w:cs="Calibri"/>
          <w:sz w:val="16"/>
          <w:szCs w:val="16"/>
        </w:rPr>
      </w:pPr>
      <w:r w:rsidRPr="002D3220">
        <w:rPr>
          <w:rFonts w:cs="Calibri"/>
          <w:sz w:val="16"/>
          <w:szCs w:val="16"/>
          <w:vertAlign w:val="superscript"/>
        </w:rPr>
        <w:endnoteRef/>
      </w:r>
      <w:r w:rsidRPr="002D3220">
        <w:rPr>
          <w:rFonts w:cs="Calibri"/>
          <w:sz w:val="16"/>
          <w:szCs w:val="16"/>
        </w:rPr>
        <w:t xml:space="preserve"> </w:t>
      </w:r>
      <w:r w:rsidRPr="002D3220">
        <w:rPr>
          <w:rFonts w:cs="Calibri"/>
          <w:sz w:val="16"/>
          <w:szCs w:val="16"/>
        </w:rPr>
        <w:tab/>
        <w:t>See CESCR General Comment No. 4 on the Right to Adequate Housing (1991), contained in UN Doc. E/1992/23, at paras. 8(a) and (e); CESCR General Comment No. 7 (1997) on Forced Evictions, contained in UN Doc. E/1998/22, annex IV., at paras. 2, 3, 7, 9, 15 and 16; CESCR General Comment No. 12 (1999) on the Right to Adequate Food, UN Doc. E/C.12/1999/5, at paras. 12, 13 and 26; CESCR General Comment No. 14 (2000) on the Right to the Highest Attainable Standard of Health, UN Doc. E/C.12/2000/4, at para. 27; CESCR General Comment No. 15 (2002) on the Human right to land, UN Doc. E/C.12/2002/11, at paras. 16(c) and (d); CESCR General Comment No. 16 (2005) on the Equal Right of Men and Women to the Enjoyment of all Economic, Social and Cultural Rights, UN Doc. E/C.12/2005/4, at para. 28; CESCR General Comment No. 21 (2009) on the Right of Everyone to Take Part in Cultural Life, E/C.12/GC/21, at paras. 3, 15(b), 36, 49(d), and 50(c).</w:t>
      </w:r>
      <w:r w:rsidRPr="002D3220">
        <w:rPr>
          <w:rFonts w:cs="Calibri"/>
          <w:sz w:val="16"/>
          <w:szCs w:val="16"/>
        </w:rPr>
        <w:tab/>
      </w:r>
    </w:p>
  </w:endnote>
  <w:endnote w:id="22">
    <w:p w14:paraId="5DCF21B8"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sidRPr="002D3220">
        <w:rPr>
          <w:rFonts w:cs="Calibri"/>
          <w:sz w:val="16"/>
          <w:szCs w:val="16"/>
        </w:rPr>
        <w:tab/>
        <w:t xml:space="preserve">These include, inter alia, the adoption of the 2007 United Nations Declaration on the Rights of Indigenous Peoples; the Istanbul </w:t>
      </w:r>
      <w:proofErr w:type="spellStart"/>
      <w:r w:rsidRPr="002D3220">
        <w:rPr>
          <w:rFonts w:cs="Calibri"/>
          <w:sz w:val="16"/>
          <w:szCs w:val="16"/>
        </w:rPr>
        <w:t>Programme</w:t>
      </w:r>
      <w:proofErr w:type="spellEnd"/>
      <w:r w:rsidRPr="002D3220">
        <w:rPr>
          <w:rFonts w:cs="Calibri"/>
          <w:sz w:val="16"/>
          <w:szCs w:val="16"/>
        </w:rPr>
        <w:t xml:space="preserve"> of Action for the Least Developed Countries for the Decade 2011–2020, the 2012 Voluntary Guidelines on the Responsible Governance of Tenure of Land, Fisheries and Forests in the Context of National Food Security, Rio+20 (2012), the Vienna </w:t>
      </w:r>
      <w:proofErr w:type="spellStart"/>
      <w:r w:rsidRPr="002D3220">
        <w:rPr>
          <w:rFonts w:cs="Calibri"/>
          <w:sz w:val="16"/>
          <w:szCs w:val="16"/>
        </w:rPr>
        <w:t>Programme</w:t>
      </w:r>
      <w:proofErr w:type="spellEnd"/>
      <w:r w:rsidRPr="002D3220">
        <w:rPr>
          <w:rFonts w:cs="Calibri"/>
          <w:sz w:val="16"/>
          <w:szCs w:val="16"/>
        </w:rPr>
        <w:t xml:space="preserve"> of Action for Landlocked Developing Countries for the Decade 2014–2024, the Small Island Developing States (SIDS) Accelerated Modalities of Action (SAMOA) Pathway (2014), the 2015 Sustainable Development Agenda toward 2030, the 2015 Paris Agreement on climate change, the 2015 Framework for Action for Food Security and Nutrition in Protracted Crises, the Sendai Framework for Disaster Risk Reduction (2015–30), 2030 Agenda for Sustainable Development (2015), World Humanitarian Summit (2016), the 2016 New Urban Agenda and the UN Declaration on the Rights of Peasants and Other People Working in Rural Areas</w:t>
      </w:r>
      <w:r>
        <w:rPr>
          <w:rFonts w:cs="Calibri"/>
          <w:sz w:val="16"/>
          <w:szCs w:val="16"/>
        </w:rPr>
        <w:t>,</w:t>
      </w:r>
      <w:r w:rsidRPr="002D3220">
        <w:rPr>
          <w:rFonts w:cs="Calibri"/>
          <w:sz w:val="16"/>
          <w:szCs w:val="16"/>
        </w:rPr>
        <w:t xml:space="preserve"> </w:t>
      </w:r>
      <w:r w:rsidRPr="0043408E">
        <w:rPr>
          <w:rFonts w:cs="Calibri"/>
          <w:sz w:val="16"/>
          <w:szCs w:val="16"/>
        </w:rPr>
        <w:t xml:space="preserve">A/73/165, 17 December 2018, at: </w:t>
      </w:r>
      <w:hyperlink r:id="rId31" w:history="1">
        <w:r w:rsidRPr="00281197">
          <w:rPr>
            <w:rStyle w:val="Hyperlink"/>
            <w:rFonts w:cs="Calibri"/>
            <w:sz w:val="16"/>
            <w:szCs w:val="16"/>
          </w:rPr>
          <w:t>https://undocs.org/en/A/RES/73/165</w:t>
        </w:r>
      </w:hyperlink>
      <w:r>
        <w:rPr>
          <w:rFonts w:cs="Calibri"/>
          <w:sz w:val="16"/>
          <w:szCs w:val="16"/>
        </w:rPr>
        <w:t xml:space="preserve">. </w:t>
      </w:r>
    </w:p>
  </w:endnote>
  <w:endnote w:id="23">
    <w:p w14:paraId="6E4D7B5D" w14:textId="77777777" w:rsidR="00686690" w:rsidRPr="002D3220" w:rsidRDefault="00686690" w:rsidP="00686690">
      <w:pPr>
        <w:pStyle w:val="EndnoteText"/>
        <w:ind w:left="227" w:hanging="227"/>
        <w:rPr>
          <w:rFonts w:cs="Calibri"/>
          <w:color w:val="C00000"/>
          <w:sz w:val="16"/>
          <w:szCs w:val="16"/>
        </w:rPr>
      </w:pPr>
      <w:r w:rsidRPr="002D3220">
        <w:rPr>
          <w:rStyle w:val="EndnoteReference"/>
          <w:rFonts w:cs="Calibri"/>
          <w:sz w:val="16"/>
          <w:szCs w:val="16"/>
        </w:rPr>
        <w:endnoteRef/>
      </w:r>
      <w:r w:rsidRPr="002D3220">
        <w:rPr>
          <w:rFonts w:cs="Calibri"/>
          <w:sz w:val="16"/>
          <w:szCs w:val="16"/>
        </w:rPr>
        <w:t xml:space="preserve"> </w:t>
      </w:r>
      <w:r>
        <w:rPr>
          <w:rFonts w:cs="Calibri"/>
          <w:sz w:val="16"/>
          <w:szCs w:val="16"/>
        </w:rPr>
        <w:tab/>
      </w:r>
      <w:proofErr w:type="spellStart"/>
      <w:r w:rsidRPr="00691A8F">
        <w:rPr>
          <w:rFonts w:cs="Calibri"/>
          <w:spacing w:val="-2"/>
          <w:sz w:val="16"/>
          <w:szCs w:val="16"/>
        </w:rPr>
        <w:t>Oumar</w:t>
      </w:r>
      <w:proofErr w:type="spellEnd"/>
      <w:r w:rsidRPr="00691A8F">
        <w:rPr>
          <w:rFonts w:cs="Calibri"/>
          <w:spacing w:val="-2"/>
          <w:sz w:val="16"/>
          <w:szCs w:val="16"/>
        </w:rPr>
        <w:t xml:space="preserve"> </w:t>
      </w:r>
      <w:proofErr w:type="spellStart"/>
      <w:r w:rsidRPr="00691A8F">
        <w:rPr>
          <w:rFonts w:cs="Calibri"/>
          <w:spacing w:val="-2"/>
          <w:sz w:val="16"/>
          <w:szCs w:val="16"/>
        </w:rPr>
        <w:t>Sylla</w:t>
      </w:r>
      <w:proofErr w:type="spellEnd"/>
      <w:r w:rsidRPr="00691A8F">
        <w:rPr>
          <w:rFonts w:cs="Calibri"/>
          <w:spacing w:val="-2"/>
          <w:sz w:val="16"/>
          <w:szCs w:val="16"/>
        </w:rPr>
        <w:t xml:space="preserve"> and </w:t>
      </w:r>
      <w:proofErr w:type="spellStart"/>
      <w:r w:rsidRPr="00691A8F">
        <w:rPr>
          <w:rFonts w:cs="Calibri"/>
          <w:spacing w:val="-2"/>
          <w:sz w:val="16"/>
          <w:szCs w:val="16"/>
        </w:rPr>
        <w:t>Everlyne</w:t>
      </w:r>
      <w:proofErr w:type="spellEnd"/>
      <w:r w:rsidRPr="00691A8F">
        <w:rPr>
          <w:rFonts w:cs="Calibri"/>
          <w:spacing w:val="-2"/>
          <w:sz w:val="16"/>
          <w:szCs w:val="16"/>
        </w:rPr>
        <w:t xml:space="preserve"> </w:t>
      </w:r>
      <w:proofErr w:type="spellStart"/>
      <w:r w:rsidRPr="00691A8F">
        <w:rPr>
          <w:rFonts w:cs="Calibri"/>
          <w:spacing w:val="-2"/>
          <w:sz w:val="16"/>
          <w:szCs w:val="16"/>
        </w:rPr>
        <w:t>Nairesiae</w:t>
      </w:r>
      <w:proofErr w:type="spellEnd"/>
      <w:r w:rsidRPr="00691A8F">
        <w:rPr>
          <w:rFonts w:cs="Calibri"/>
          <w:spacing w:val="-2"/>
          <w:sz w:val="16"/>
          <w:szCs w:val="16"/>
        </w:rPr>
        <w:t xml:space="preserve">, “Progress in Land Indicators,” </w:t>
      </w:r>
      <w:r w:rsidRPr="00691A8F">
        <w:rPr>
          <w:rFonts w:cs="Calibri"/>
          <w:i/>
          <w:iCs/>
          <w:spacing w:val="-2"/>
          <w:sz w:val="16"/>
          <w:szCs w:val="16"/>
        </w:rPr>
        <w:t xml:space="preserve">HLRN News </w:t>
      </w:r>
      <w:r w:rsidRPr="00691A8F">
        <w:rPr>
          <w:rFonts w:cs="Calibri"/>
          <w:spacing w:val="-2"/>
          <w:sz w:val="16"/>
          <w:szCs w:val="16"/>
        </w:rPr>
        <w:t xml:space="preserve">(30 July 2018), at: </w:t>
      </w:r>
      <w:hyperlink r:id="rId32" w:history="1">
        <w:r w:rsidRPr="00281197">
          <w:rPr>
            <w:rStyle w:val="Hyperlink"/>
            <w:rFonts w:cs="Calibri"/>
            <w:spacing w:val="-2"/>
            <w:sz w:val="16"/>
            <w:szCs w:val="16"/>
          </w:rPr>
          <w:t>https://www.hlrn.org/news.php?id=p21nZg==</w:t>
        </w:r>
      </w:hyperlink>
      <w:r w:rsidRPr="00691A8F">
        <w:rPr>
          <w:rFonts w:cs="Calibri"/>
          <w:spacing w:val="-2"/>
          <w:sz w:val="16"/>
          <w:szCs w:val="16"/>
        </w:rPr>
        <w:t>.</w:t>
      </w:r>
      <w:r>
        <w:rPr>
          <w:rFonts w:cs="Calibri"/>
          <w:sz w:val="16"/>
          <w:szCs w:val="16"/>
        </w:rPr>
        <w:t xml:space="preserve"> </w:t>
      </w:r>
    </w:p>
  </w:endnote>
  <w:endnote w:id="24">
    <w:p w14:paraId="2D8291BA"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ab/>
        <w:t>Article 6 of the International Covenant on Civil and Political Rights (ICCPR).</w:t>
      </w:r>
    </w:p>
  </w:endnote>
  <w:endnote w:id="25">
    <w:p w14:paraId="051D58A0"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Pr>
          <w:rFonts w:cs="Calibri"/>
          <w:sz w:val="16"/>
          <w:szCs w:val="16"/>
        </w:rPr>
        <w:tab/>
      </w:r>
      <w:r w:rsidRPr="002D3220">
        <w:rPr>
          <w:rFonts w:cs="Calibri"/>
          <w:sz w:val="16"/>
          <w:szCs w:val="16"/>
        </w:rPr>
        <w:t xml:space="preserve">General Comment No. 15 (2002) The human right to water (arts. 11 and 12 of the Covenant), twenty-ninth session (2002), E/C.12/2002/11, 20 January 2003, at: </w:t>
      </w:r>
      <w:hyperlink r:id="rId33" w:history="1">
        <w:r w:rsidRPr="002D3220">
          <w:rPr>
            <w:rStyle w:val="Hyperlink"/>
            <w:rFonts w:cs="Calibri"/>
            <w:sz w:val="16"/>
            <w:szCs w:val="16"/>
          </w:rPr>
          <w:t>http://www2.ohchr.org/english/issues/water/docs/CESCR_GC_15.pdf</w:t>
        </w:r>
      </w:hyperlink>
      <w:r w:rsidRPr="002D3220">
        <w:rPr>
          <w:rFonts w:cs="Calibri"/>
          <w:sz w:val="16"/>
          <w:szCs w:val="16"/>
        </w:rPr>
        <w:t xml:space="preserve">;  The human right to water and sanitation, A/RES/64/292, 3 August 2010, at: </w:t>
      </w:r>
      <w:hyperlink r:id="rId34" w:history="1">
        <w:r w:rsidRPr="002D3220">
          <w:rPr>
            <w:rStyle w:val="Hyperlink"/>
            <w:rFonts w:cs="Calibri"/>
            <w:sz w:val="16"/>
            <w:szCs w:val="16"/>
          </w:rPr>
          <w:t>http://www.un.org/en/ga/search/view_doc.asp?symbol=A/RES/64/292</w:t>
        </w:r>
      </w:hyperlink>
      <w:r w:rsidRPr="002D3220">
        <w:rPr>
          <w:rFonts w:cs="Calibri"/>
          <w:sz w:val="16"/>
          <w:szCs w:val="16"/>
        </w:rPr>
        <w:t xml:space="preserve">.  </w:t>
      </w:r>
    </w:p>
  </w:endnote>
  <w:endnote w:id="26">
    <w:p w14:paraId="51DDB39D" w14:textId="77777777" w:rsidR="00686690" w:rsidRPr="002D3220" w:rsidRDefault="00686690" w:rsidP="00686690">
      <w:pPr>
        <w:pStyle w:val="EndnoteText"/>
        <w:ind w:left="227" w:hanging="227"/>
        <w:jc w:val="lowKashida"/>
        <w:rPr>
          <w:rFonts w:cs="Calibri"/>
          <w:sz w:val="16"/>
          <w:szCs w:val="16"/>
        </w:rPr>
      </w:pPr>
      <w:r w:rsidRPr="002D3220">
        <w:rPr>
          <w:rFonts w:cs="Calibri"/>
          <w:sz w:val="16"/>
          <w:szCs w:val="16"/>
          <w:vertAlign w:val="superscript"/>
        </w:rPr>
        <w:endnoteRef/>
      </w:r>
      <w:r w:rsidRPr="002D3220">
        <w:rPr>
          <w:rFonts w:cs="Calibri"/>
          <w:sz w:val="16"/>
          <w:szCs w:val="16"/>
        </w:rPr>
        <w:t xml:space="preserve">  </w:t>
      </w:r>
      <w:r>
        <w:rPr>
          <w:rFonts w:cs="Calibri"/>
          <w:sz w:val="16"/>
          <w:szCs w:val="16"/>
        </w:rPr>
        <w:tab/>
      </w:r>
      <w:r w:rsidRPr="002D3220">
        <w:rPr>
          <w:rFonts w:cs="Calibri"/>
          <w:sz w:val="16"/>
          <w:szCs w:val="16"/>
        </w:rPr>
        <w:t xml:space="preserve">See CESCR, General Comment No. 15 (2002) on the right to </w:t>
      </w:r>
      <w:r>
        <w:rPr>
          <w:rFonts w:cs="Calibri"/>
          <w:sz w:val="16"/>
          <w:szCs w:val="16"/>
        </w:rPr>
        <w:t>water</w:t>
      </w:r>
      <w:r w:rsidRPr="002D3220">
        <w:rPr>
          <w:rFonts w:cs="Calibri"/>
          <w:sz w:val="16"/>
          <w:szCs w:val="16"/>
        </w:rPr>
        <w:t>, UN Doc. E/C.12/2002/11, at para. 3</w:t>
      </w:r>
      <w:r>
        <w:rPr>
          <w:rFonts w:cs="Calibri"/>
          <w:sz w:val="16"/>
          <w:szCs w:val="16"/>
        </w:rPr>
        <w:t>, noting that t</w:t>
      </w:r>
      <w:r w:rsidRPr="00223FEE">
        <w:rPr>
          <w:rFonts w:cs="Calibri"/>
          <w:sz w:val="16"/>
          <w:szCs w:val="16"/>
        </w:rPr>
        <w:t xml:space="preserve">he word “including” indicates that this catalogue of </w:t>
      </w:r>
      <w:r>
        <w:rPr>
          <w:rFonts w:cs="Calibri"/>
          <w:sz w:val="16"/>
          <w:szCs w:val="16"/>
        </w:rPr>
        <w:t xml:space="preserve">indivisible and interdependent </w:t>
      </w:r>
      <w:r w:rsidRPr="00223FEE">
        <w:rPr>
          <w:rFonts w:cs="Calibri"/>
          <w:sz w:val="16"/>
          <w:szCs w:val="16"/>
        </w:rPr>
        <w:t>rights is not intended to be exhaustive.</w:t>
      </w:r>
    </w:p>
  </w:endnote>
  <w:endnote w:id="27">
    <w:p w14:paraId="41405E6F" w14:textId="77777777" w:rsidR="00686690" w:rsidRPr="002D3220" w:rsidRDefault="00686690" w:rsidP="00686690">
      <w:pPr>
        <w:pStyle w:val="EndnoteText"/>
        <w:tabs>
          <w:tab w:val="left" w:pos="720"/>
        </w:tabs>
        <w:ind w:left="227" w:hanging="227"/>
        <w:jc w:val="lowKashida"/>
        <w:rPr>
          <w:rFonts w:cs="Calibri"/>
          <w:sz w:val="16"/>
          <w:szCs w:val="16"/>
          <w:lang w:val="es-ES"/>
        </w:rPr>
      </w:pPr>
      <w:r w:rsidRPr="002D3220">
        <w:rPr>
          <w:rStyle w:val="EndnoteReference"/>
          <w:rFonts w:cs="Calibri"/>
          <w:sz w:val="16"/>
          <w:szCs w:val="16"/>
        </w:rPr>
        <w:endnoteRef/>
      </w:r>
      <w:r w:rsidRPr="002D3220">
        <w:rPr>
          <w:rFonts w:cs="Calibri"/>
          <w:sz w:val="16"/>
          <w:szCs w:val="16"/>
          <w:lang w:val="es-ES"/>
        </w:rPr>
        <w:t xml:space="preserve">  </w:t>
      </w:r>
      <w:r>
        <w:rPr>
          <w:rFonts w:cs="Calibri"/>
          <w:sz w:val="16"/>
          <w:szCs w:val="16"/>
          <w:lang w:val="es-ES"/>
        </w:rPr>
        <w:tab/>
      </w:r>
      <w:r w:rsidRPr="002D3220">
        <w:rPr>
          <w:rFonts w:cs="Calibri"/>
          <w:sz w:val="16"/>
          <w:szCs w:val="16"/>
          <w:lang w:val="es-ES"/>
        </w:rPr>
        <w:t>As recognised in E/CN.4/2001/51, E/CN.4/2002/59, E/CN.4/2005/48, E/CN.4/2005/43 and E/CN.4/2006/118.</w:t>
      </w:r>
    </w:p>
  </w:endnote>
  <w:endnote w:id="28">
    <w:p w14:paraId="5D739E57"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lang w:val="es-ES"/>
        </w:rPr>
        <w:t xml:space="preserve">  </w:t>
      </w:r>
      <w:r>
        <w:rPr>
          <w:rFonts w:cs="Calibri"/>
          <w:sz w:val="16"/>
          <w:szCs w:val="16"/>
          <w:lang w:val="es-ES"/>
        </w:rPr>
        <w:tab/>
      </w:r>
      <w:r w:rsidRPr="002D3220">
        <w:rPr>
          <w:rFonts w:cs="Calibri"/>
          <w:sz w:val="16"/>
          <w:szCs w:val="16"/>
          <w:lang w:val="es-ES"/>
        </w:rPr>
        <w:t xml:space="preserve">General </w:t>
      </w:r>
      <w:r w:rsidRPr="002D3220">
        <w:rPr>
          <w:rFonts w:cs="Calibri"/>
          <w:sz w:val="16"/>
          <w:szCs w:val="16"/>
          <w:lang w:val="es-ES"/>
        </w:rPr>
        <w:t xml:space="preserve">Comment No. 4, op. cit., para. 8(e). </w:t>
      </w:r>
      <w:r w:rsidRPr="002D3220">
        <w:rPr>
          <w:rFonts w:cs="Calibri"/>
          <w:sz w:val="16"/>
          <w:szCs w:val="16"/>
        </w:rPr>
        <w:t>See also the reports of country missions and working visits by the Special Rapporteur on adequate housing to Afghanistan, Australia, Brazil, Cambodia, Islamic Republic of Iran, Kenya, occupied Palestinian territories and Peru.</w:t>
      </w:r>
    </w:p>
  </w:endnote>
  <w:endnote w:id="29">
    <w:p w14:paraId="378E5D87" w14:textId="77777777" w:rsidR="00686690" w:rsidRPr="002D3220" w:rsidRDefault="00686690" w:rsidP="00686690">
      <w:pPr>
        <w:pStyle w:val="EndnoteText"/>
        <w:ind w:left="227" w:hanging="227"/>
        <w:jc w:val="lowKashida"/>
        <w:rPr>
          <w:rFonts w:cs="Calibri"/>
          <w:sz w:val="16"/>
          <w:szCs w:val="16"/>
          <w:lang w:bidi="ar-SY"/>
        </w:rPr>
      </w:pPr>
      <w:r w:rsidRPr="002D3220">
        <w:rPr>
          <w:rStyle w:val="EndnoteReference"/>
          <w:rFonts w:cs="Calibri"/>
          <w:sz w:val="16"/>
          <w:szCs w:val="16"/>
        </w:rPr>
        <w:endnoteRef/>
      </w:r>
      <w:r w:rsidRPr="002D3220">
        <w:rPr>
          <w:rFonts w:cs="Calibri"/>
          <w:sz w:val="16"/>
          <w:szCs w:val="16"/>
        </w:rPr>
        <w:t xml:space="preserve"> </w:t>
      </w:r>
      <w:r>
        <w:rPr>
          <w:rFonts w:cs="Calibri"/>
          <w:sz w:val="16"/>
          <w:szCs w:val="16"/>
        </w:rPr>
        <w:tab/>
      </w:r>
      <w:r w:rsidRPr="002D3220">
        <w:rPr>
          <w:rFonts w:cs="Calibri"/>
          <w:sz w:val="16"/>
          <w:szCs w:val="16"/>
          <w:lang w:bidi="ar-SY"/>
        </w:rPr>
        <w:t xml:space="preserve">CESCR, </w:t>
      </w:r>
      <w:r w:rsidRPr="002D3220">
        <w:rPr>
          <w:rFonts w:cs="Calibri"/>
          <w:sz w:val="16"/>
          <w:szCs w:val="16"/>
          <w:rtl/>
          <w:lang w:bidi="ar-SY"/>
        </w:rPr>
        <w:t xml:space="preserve">لتعليق العام رقم 4، الحق في السكن الملائم (المادة 11(1) من </w:t>
      </w:r>
      <w:proofErr w:type="gramStart"/>
      <w:r w:rsidRPr="002D3220">
        <w:rPr>
          <w:rFonts w:cs="Calibri"/>
          <w:sz w:val="16"/>
          <w:szCs w:val="16"/>
          <w:rtl/>
          <w:lang w:bidi="ar-SY"/>
        </w:rPr>
        <w:t>العهد)،</w:t>
      </w:r>
      <w:proofErr w:type="gramEnd"/>
      <w:r w:rsidRPr="002D3220">
        <w:rPr>
          <w:rFonts w:cs="Calibri"/>
          <w:sz w:val="16"/>
          <w:szCs w:val="16"/>
          <w:rtl/>
          <w:lang w:bidi="ar-SY"/>
        </w:rPr>
        <w:t xml:space="preserve"> الفقرة 8(ه)</w:t>
      </w:r>
      <w:r>
        <w:rPr>
          <w:rFonts w:cs="Calibri"/>
          <w:sz w:val="16"/>
          <w:szCs w:val="16"/>
          <w:lang w:bidi="ar-SY"/>
        </w:rPr>
        <w:t xml:space="preserve">, at: </w:t>
      </w:r>
      <w:r w:rsidRPr="002D3220">
        <w:rPr>
          <w:rFonts w:cs="Calibri"/>
          <w:sz w:val="16"/>
          <w:szCs w:val="16"/>
          <w:lang w:bidi="ar-SY"/>
        </w:rPr>
        <w:t>.</w:t>
      </w:r>
    </w:p>
  </w:endnote>
  <w:endnote w:id="30">
    <w:p w14:paraId="6BA6C96D" w14:textId="77777777" w:rsidR="00686690" w:rsidRPr="002D3220" w:rsidRDefault="00686690" w:rsidP="00686690">
      <w:pPr>
        <w:pStyle w:val="EndnoteText"/>
        <w:ind w:left="227" w:hanging="227"/>
        <w:jc w:val="lowKashida"/>
        <w:rPr>
          <w:rFonts w:cs="Calibri"/>
          <w:sz w:val="16"/>
          <w:szCs w:val="16"/>
          <w:lang w:val="es-CO"/>
        </w:rPr>
      </w:pPr>
      <w:r w:rsidRPr="002D3220">
        <w:rPr>
          <w:rStyle w:val="EndnoteReference"/>
          <w:rFonts w:cs="Calibri"/>
          <w:sz w:val="16"/>
          <w:szCs w:val="16"/>
        </w:rPr>
        <w:endnoteRef/>
      </w:r>
      <w:r w:rsidRPr="002D3220">
        <w:rPr>
          <w:rFonts w:cs="Calibri"/>
          <w:sz w:val="16"/>
          <w:szCs w:val="16"/>
          <w:lang w:val="es-CL"/>
        </w:rPr>
        <w:t xml:space="preserve">  </w:t>
      </w:r>
      <w:r>
        <w:rPr>
          <w:rFonts w:cs="Calibri"/>
          <w:sz w:val="16"/>
          <w:szCs w:val="16"/>
          <w:lang w:val="es-CL"/>
        </w:rPr>
        <w:tab/>
      </w:r>
      <w:r w:rsidRPr="004860EC">
        <w:rPr>
          <w:rFonts w:cs="Calibri"/>
          <w:i/>
          <w:iCs/>
          <w:sz w:val="16"/>
          <w:szCs w:val="16"/>
          <w:lang w:val="es-CL"/>
        </w:rPr>
        <w:t>Ibid</w:t>
      </w:r>
      <w:r w:rsidRPr="002D3220">
        <w:rPr>
          <w:rFonts w:cs="Calibri"/>
          <w:sz w:val="16"/>
          <w:szCs w:val="16"/>
          <w:lang w:val="es-CL"/>
        </w:rPr>
        <w:t>., para. 16(c).</w:t>
      </w:r>
    </w:p>
  </w:endnote>
  <w:endnote w:id="31">
    <w:p w14:paraId="788A3C14"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Pr>
          <w:rFonts w:cs="Calibri"/>
          <w:sz w:val="16"/>
          <w:szCs w:val="16"/>
        </w:rPr>
        <w:tab/>
      </w:r>
      <w:r w:rsidRPr="004860EC">
        <w:rPr>
          <w:rFonts w:cs="Calibri"/>
          <w:i/>
          <w:iCs/>
          <w:sz w:val="16"/>
          <w:szCs w:val="16"/>
        </w:rPr>
        <w:t>Ibid</w:t>
      </w:r>
      <w:r w:rsidRPr="002D3220">
        <w:rPr>
          <w:rFonts w:cs="Calibri"/>
          <w:sz w:val="16"/>
          <w:szCs w:val="16"/>
        </w:rPr>
        <w:t>., para. 16(d).</w:t>
      </w:r>
    </w:p>
  </w:endnote>
  <w:endnote w:id="32">
    <w:p w14:paraId="6A2FB13E" w14:textId="77777777" w:rsidR="00686690" w:rsidRPr="002D3220" w:rsidRDefault="00686690" w:rsidP="00686690">
      <w:pPr>
        <w:pStyle w:val="EndnoteText"/>
        <w:ind w:left="227" w:hanging="227"/>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Pr>
          <w:rFonts w:cs="Calibri"/>
          <w:sz w:val="16"/>
          <w:szCs w:val="16"/>
        </w:rPr>
        <w:tab/>
      </w:r>
      <w:r w:rsidRPr="00A55FCF">
        <w:rPr>
          <w:rFonts w:cs="Calibri"/>
          <w:sz w:val="16"/>
          <w:szCs w:val="16"/>
        </w:rPr>
        <w:t>General comment No. 21</w:t>
      </w:r>
      <w:r>
        <w:rPr>
          <w:rFonts w:cs="Calibri"/>
          <w:sz w:val="16"/>
          <w:szCs w:val="16"/>
        </w:rPr>
        <w:t xml:space="preserve">: </w:t>
      </w:r>
      <w:r w:rsidRPr="00A55FCF">
        <w:rPr>
          <w:rFonts w:cs="Calibri"/>
          <w:sz w:val="16"/>
          <w:szCs w:val="16"/>
        </w:rPr>
        <w:t>Right of everyone to take part in cultural life (art. 15, para. 1 (a), of the International Covenant on Economic, Social and Cultural Rights</w:t>
      </w:r>
      <w:proofErr w:type="gramStart"/>
      <w:r w:rsidRPr="00A55FCF">
        <w:rPr>
          <w:rFonts w:cs="Calibri"/>
          <w:sz w:val="16"/>
          <w:szCs w:val="16"/>
        </w:rPr>
        <w:t xml:space="preserve">) </w:t>
      </w:r>
      <w:r>
        <w:rPr>
          <w:rFonts w:cs="Calibri"/>
          <w:sz w:val="16"/>
          <w:szCs w:val="16"/>
        </w:rPr>
        <w:t>,</w:t>
      </w:r>
      <w:proofErr w:type="gramEnd"/>
      <w:r>
        <w:rPr>
          <w:rFonts w:cs="Calibri"/>
          <w:sz w:val="16"/>
          <w:szCs w:val="16"/>
        </w:rPr>
        <w:t xml:space="preserve"> 21 December </w:t>
      </w:r>
      <w:r w:rsidRPr="00BE3B3C">
        <w:rPr>
          <w:rFonts w:cs="Calibri"/>
          <w:sz w:val="16"/>
          <w:szCs w:val="16"/>
        </w:rPr>
        <w:t>2009</w:t>
      </w:r>
      <w:r>
        <w:rPr>
          <w:rFonts w:cs="Calibri"/>
          <w:sz w:val="16"/>
          <w:szCs w:val="16"/>
        </w:rPr>
        <w:t xml:space="preserve">, para. 3, at: </w:t>
      </w:r>
      <w:hyperlink r:id="rId35" w:history="1">
        <w:r w:rsidRPr="0033402C">
          <w:rPr>
            <w:rStyle w:val="Hyperlink"/>
            <w:rFonts w:cs="Calibri"/>
            <w:sz w:val="16"/>
            <w:szCs w:val="16"/>
          </w:rPr>
          <w:t>https://tbinternet.ohchr.org/_layouts/15/treatybodyexternal/Download.aspx?symbolno=E%2fC.12%2fGC%2f21%2fREV.1&amp;Lang=en</w:t>
        </w:r>
      </w:hyperlink>
      <w:r>
        <w:rPr>
          <w:rFonts w:cs="Calibri"/>
          <w:sz w:val="16"/>
          <w:szCs w:val="16"/>
        </w:rPr>
        <w:t xml:space="preserve">, citing the </w:t>
      </w:r>
      <w:r w:rsidRPr="002D3220">
        <w:rPr>
          <w:rFonts w:cs="Calibri"/>
          <w:sz w:val="16"/>
          <w:szCs w:val="16"/>
        </w:rPr>
        <w:t xml:space="preserve">United Nations Declaration on the Rights of Indigenous Peoples, A/RES/61/295, 13 September 2007, in particular Articles 5, 8, and 10–13 ff, at: </w:t>
      </w:r>
      <w:hyperlink r:id="rId36" w:history="1">
        <w:r w:rsidRPr="002D3220">
          <w:rPr>
            <w:rStyle w:val="Hyperlink"/>
            <w:rFonts w:cs="Calibri"/>
            <w:sz w:val="16"/>
            <w:szCs w:val="16"/>
          </w:rPr>
          <w:t>https://www.un.org/development/desa/indigenouspeoples/wp-content/uploads/sites/19/2018/11/UNDRIP_E_web.pdf</w:t>
        </w:r>
      </w:hyperlink>
      <w:r w:rsidRPr="002D3220">
        <w:rPr>
          <w:rFonts w:cs="Calibri"/>
          <w:sz w:val="16"/>
          <w:szCs w:val="16"/>
        </w:rPr>
        <w:t xml:space="preserve">. See also ILO Convention No. 169 concerning Indigenous and Tribal Peoples in Independent Countries (1989), </w:t>
      </w:r>
      <w:proofErr w:type="gramStart"/>
      <w:r w:rsidRPr="002D3220">
        <w:rPr>
          <w:rFonts w:cs="Calibri"/>
          <w:sz w:val="16"/>
          <w:szCs w:val="16"/>
        </w:rPr>
        <w:t>in particular arts</w:t>
      </w:r>
      <w:proofErr w:type="gramEnd"/>
      <w:r w:rsidRPr="002D3220">
        <w:rPr>
          <w:rFonts w:cs="Calibri"/>
          <w:sz w:val="16"/>
          <w:szCs w:val="16"/>
        </w:rPr>
        <w:t xml:space="preserve">. 2, 5, 7, 8, and 13–15 ff, at: </w:t>
      </w:r>
      <w:hyperlink r:id="rId37" w:history="1">
        <w:r w:rsidRPr="002D3220">
          <w:rPr>
            <w:rStyle w:val="Hyperlink"/>
            <w:rFonts w:cs="Calibri"/>
            <w:sz w:val="16"/>
            <w:szCs w:val="16"/>
          </w:rPr>
          <w:t>https://www.ilo.org/dyn/normlex/en/f?p=NORMLEXPUB:12100:0::NO::P12100_ILO_CODE:C169</w:t>
        </w:r>
      </w:hyperlink>
      <w:r w:rsidRPr="002D3220">
        <w:rPr>
          <w:rFonts w:cs="Calibri"/>
          <w:sz w:val="16"/>
          <w:szCs w:val="16"/>
        </w:rPr>
        <w:t xml:space="preserve">. </w:t>
      </w:r>
    </w:p>
  </w:endnote>
  <w:endnote w:id="33">
    <w:p w14:paraId="42AF799B"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Pr>
          <w:rFonts w:cs="Calibri"/>
          <w:sz w:val="16"/>
          <w:szCs w:val="16"/>
        </w:rPr>
        <w:tab/>
      </w:r>
      <w:r w:rsidRPr="002D3220">
        <w:rPr>
          <w:rFonts w:cs="Calibri"/>
          <w:sz w:val="16"/>
          <w:szCs w:val="16"/>
        </w:rPr>
        <w:t>CESCR, General Comment No. 14: The right to the highest attainable standard of health, E/C.12/2000/4,</w:t>
      </w:r>
      <w:r>
        <w:rPr>
          <w:rFonts w:cs="Calibri"/>
          <w:sz w:val="16"/>
          <w:szCs w:val="16"/>
        </w:rPr>
        <w:t xml:space="preserve"> </w:t>
      </w:r>
      <w:r w:rsidRPr="002D3220">
        <w:rPr>
          <w:rFonts w:cs="Calibri"/>
          <w:sz w:val="16"/>
          <w:szCs w:val="16"/>
        </w:rPr>
        <w:t xml:space="preserve">11 August 2000, para. 27, at: </w:t>
      </w:r>
      <w:hyperlink r:id="rId38" w:history="1">
        <w:r w:rsidRPr="002D3220">
          <w:rPr>
            <w:rStyle w:val="Hyperlink"/>
            <w:rFonts w:cs="Calibri"/>
            <w:sz w:val="16"/>
            <w:szCs w:val="16"/>
          </w:rPr>
          <w:t>https://tbinternet.ohchr.org/_layouts/15/treatybodyexternal/Download.aspx?symbolno=E%2fC.12%2f2000%2f4&amp;Lang=en</w:t>
        </w:r>
      </w:hyperlink>
      <w:r w:rsidRPr="002D3220">
        <w:rPr>
          <w:rFonts w:cs="Calibri"/>
          <w:sz w:val="16"/>
          <w:szCs w:val="16"/>
        </w:rPr>
        <w:t xml:space="preserve">. </w:t>
      </w:r>
    </w:p>
  </w:endnote>
  <w:endnote w:id="34">
    <w:p w14:paraId="60D9003B"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Pr>
          <w:rFonts w:cs="Calibri"/>
          <w:sz w:val="16"/>
          <w:szCs w:val="16"/>
        </w:rPr>
        <w:tab/>
        <w:t xml:space="preserve">General Comment No. </w:t>
      </w:r>
      <w:r w:rsidRPr="002D3220">
        <w:rPr>
          <w:rFonts w:cs="Calibri"/>
          <w:sz w:val="16"/>
          <w:szCs w:val="16"/>
        </w:rPr>
        <w:t xml:space="preserve">15, </w:t>
      </w:r>
      <w:r w:rsidRPr="002D3220">
        <w:rPr>
          <w:rFonts w:cs="Calibri"/>
          <w:i/>
          <w:iCs/>
          <w:sz w:val="16"/>
          <w:szCs w:val="16"/>
        </w:rPr>
        <w:t>op. cit.</w:t>
      </w:r>
      <w:r w:rsidRPr="002D3220">
        <w:rPr>
          <w:rFonts w:cs="Calibri"/>
          <w:sz w:val="16"/>
          <w:szCs w:val="16"/>
        </w:rPr>
        <w:t>, para</w:t>
      </w:r>
      <w:r>
        <w:rPr>
          <w:rFonts w:cs="Calibri"/>
          <w:sz w:val="16"/>
          <w:szCs w:val="16"/>
        </w:rPr>
        <w:t>s</w:t>
      </w:r>
      <w:r w:rsidRPr="002D3220">
        <w:rPr>
          <w:rFonts w:cs="Calibri"/>
          <w:sz w:val="16"/>
          <w:szCs w:val="16"/>
        </w:rPr>
        <w:t>. 1, 3, 6, 8, 11–13, 29, 41, 44</w:t>
      </w:r>
      <w:r>
        <w:rPr>
          <w:rFonts w:cs="Calibri"/>
          <w:sz w:val="16"/>
          <w:szCs w:val="16"/>
        </w:rPr>
        <w:t>;</w:t>
      </w:r>
      <w:r w:rsidRPr="005C7C9C">
        <w:rPr>
          <w:rFonts w:cs="Calibri"/>
          <w:sz w:val="16"/>
          <w:szCs w:val="16"/>
          <w:lang w:val="es-CL"/>
        </w:rPr>
        <w:t xml:space="preserve"> </w:t>
      </w:r>
      <w:r w:rsidRPr="00EA32AC">
        <w:rPr>
          <w:rFonts w:cs="Calibri"/>
          <w:sz w:val="16"/>
          <w:szCs w:val="16"/>
          <w:lang w:val="es-CL"/>
        </w:rPr>
        <w:t>General Comment No. 14 (2000)</w:t>
      </w:r>
      <w:r w:rsidRPr="002D3220">
        <w:rPr>
          <w:rFonts w:cs="Calibri"/>
          <w:sz w:val="16"/>
          <w:szCs w:val="16"/>
          <w:lang w:val="es-CL"/>
        </w:rPr>
        <w:t xml:space="preserve">, para. </w:t>
      </w:r>
      <w:r w:rsidRPr="002D3220">
        <w:rPr>
          <w:rFonts w:cs="Calibri"/>
          <w:sz w:val="16"/>
          <w:szCs w:val="16"/>
        </w:rPr>
        <w:t>27.</w:t>
      </w:r>
    </w:p>
  </w:endnote>
  <w:endnote w:id="35">
    <w:p w14:paraId="7FEAB7DD" w14:textId="77777777" w:rsidR="00686690" w:rsidRDefault="00686690" w:rsidP="00686690">
      <w:pPr>
        <w:pStyle w:val="EndnoteText"/>
      </w:pPr>
      <w:r>
        <w:rPr>
          <w:rStyle w:val="EndnoteReference"/>
        </w:rPr>
        <w:endnoteRef/>
      </w:r>
      <w:r>
        <w:t xml:space="preserve"> </w:t>
      </w:r>
      <w:r w:rsidRPr="002D3220">
        <w:rPr>
          <w:sz w:val="16"/>
          <w:szCs w:val="16"/>
        </w:rPr>
        <w:t xml:space="preserve">Human rights obligations relating to the enjoyment of a safe, clean, healthy and sustainable environment, Report of the Special Rapporteur on the issue of human rights obligations relating to the enjoyment of a safe, clean, healthy and sustainable environment, Note by the Secretary-General, A/73/188, 19 July 2018, at: </w:t>
      </w:r>
      <w:hyperlink r:id="rId39" w:history="1">
        <w:r w:rsidRPr="002D3220">
          <w:rPr>
            <w:rStyle w:val="Hyperlink"/>
            <w:sz w:val="16"/>
            <w:szCs w:val="16"/>
          </w:rPr>
          <w:t>http://srenvironment.org/sites/default/files/Reports/2018/Boyd%20Knox%20UNGA%20report%202018.pdf</w:t>
        </w:r>
      </w:hyperlink>
      <w:r w:rsidRPr="002D3220">
        <w:rPr>
          <w:sz w:val="16"/>
          <w:szCs w:val="16"/>
        </w:rPr>
        <w:t xml:space="preserve">; John H. Knox and </w:t>
      </w:r>
      <w:proofErr w:type="spellStart"/>
      <w:r w:rsidRPr="002D3220">
        <w:rPr>
          <w:sz w:val="16"/>
          <w:szCs w:val="16"/>
        </w:rPr>
        <w:t>Ramin</w:t>
      </w:r>
      <w:proofErr w:type="spellEnd"/>
      <w:r w:rsidRPr="002D3220">
        <w:rPr>
          <w:sz w:val="16"/>
          <w:szCs w:val="16"/>
        </w:rPr>
        <w:t xml:space="preserve"> </w:t>
      </w:r>
      <w:proofErr w:type="spellStart"/>
      <w:r w:rsidRPr="002D3220">
        <w:rPr>
          <w:sz w:val="16"/>
          <w:szCs w:val="16"/>
        </w:rPr>
        <w:t>Pezan</w:t>
      </w:r>
      <w:proofErr w:type="spellEnd"/>
      <w:r w:rsidRPr="002D3220">
        <w:rPr>
          <w:sz w:val="16"/>
          <w:szCs w:val="16"/>
        </w:rPr>
        <w:t xml:space="preserve">, </w:t>
      </w:r>
      <w:r w:rsidRPr="002D3220">
        <w:rPr>
          <w:i/>
          <w:iCs/>
          <w:sz w:val="16"/>
          <w:szCs w:val="16"/>
        </w:rPr>
        <w:t>The Human Right to a Healthy Environment</w:t>
      </w:r>
      <w:r w:rsidRPr="002D3220">
        <w:rPr>
          <w:sz w:val="16"/>
          <w:szCs w:val="16"/>
        </w:rPr>
        <w:t xml:space="preserve"> (Cambridge: Cambridge University Press, 2018).</w:t>
      </w:r>
      <w:r>
        <w:t xml:space="preserve"> </w:t>
      </w:r>
    </w:p>
  </w:endnote>
  <w:endnote w:id="36">
    <w:p w14:paraId="6A9C90B8" w14:textId="77777777" w:rsidR="00686690" w:rsidRPr="002D3220" w:rsidRDefault="00686690" w:rsidP="00686690">
      <w:pPr>
        <w:pStyle w:val="EndnoteText"/>
        <w:ind w:left="170" w:hanging="170"/>
        <w:jc w:val="lowKashida"/>
        <w:rPr>
          <w:sz w:val="16"/>
          <w:szCs w:val="16"/>
        </w:rPr>
      </w:pPr>
      <w:r w:rsidRPr="002D3220">
        <w:rPr>
          <w:rStyle w:val="EndnoteReference"/>
          <w:sz w:val="16"/>
          <w:szCs w:val="16"/>
        </w:rPr>
        <w:endnoteRef/>
      </w:r>
      <w:r w:rsidRPr="002D3220">
        <w:rPr>
          <w:sz w:val="16"/>
          <w:szCs w:val="16"/>
        </w:rPr>
        <w:t xml:space="preserve"> David R. Boyd, “Catalyst for change: evaluating forty years of experience in implementing the right to a healthy environment</w:t>
      </w:r>
      <w:r>
        <w:rPr>
          <w:sz w:val="16"/>
          <w:szCs w:val="16"/>
        </w:rPr>
        <w:t>,</w:t>
      </w:r>
      <w:r w:rsidRPr="002D3220">
        <w:rPr>
          <w:sz w:val="16"/>
          <w:szCs w:val="16"/>
        </w:rPr>
        <w:t xml:space="preserve">” in </w:t>
      </w:r>
      <w:r w:rsidRPr="00A70319">
        <w:rPr>
          <w:sz w:val="16"/>
          <w:szCs w:val="16"/>
        </w:rPr>
        <w:t xml:space="preserve">Knox and </w:t>
      </w:r>
      <w:proofErr w:type="spellStart"/>
      <w:r w:rsidRPr="00A70319">
        <w:rPr>
          <w:sz w:val="16"/>
          <w:szCs w:val="16"/>
        </w:rPr>
        <w:t>Pejan</w:t>
      </w:r>
      <w:proofErr w:type="spellEnd"/>
      <w:r w:rsidRPr="00A70319">
        <w:rPr>
          <w:sz w:val="16"/>
          <w:szCs w:val="16"/>
        </w:rPr>
        <w:t xml:space="preserve">, </w:t>
      </w:r>
      <w:r>
        <w:rPr>
          <w:i/>
          <w:iCs/>
          <w:sz w:val="16"/>
          <w:szCs w:val="16"/>
        </w:rPr>
        <w:t>op. cit.</w:t>
      </w:r>
      <w:r>
        <w:rPr>
          <w:sz w:val="16"/>
          <w:szCs w:val="16"/>
        </w:rPr>
        <w:t xml:space="preserve">; </w:t>
      </w:r>
      <w:r w:rsidRPr="002D3220">
        <w:rPr>
          <w:sz w:val="16"/>
          <w:szCs w:val="16"/>
        </w:rPr>
        <w:t xml:space="preserve">David R. Boyd, </w:t>
      </w:r>
      <w:r w:rsidRPr="002D3220">
        <w:rPr>
          <w:i/>
          <w:iCs/>
          <w:sz w:val="16"/>
          <w:szCs w:val="16"/>
        </w:rPr>
        <w:t>The Environmental Rights Revolution: A Global Study of Constitutions, Human Rights, and the Environment</w:t>
      </w:r>
      <w:r w:rsidRPr="002D3220">
        <w:rPr>
          <w:sz w:val="16"/>
          <w:szCs w:val="16"/>
        </w:rPr>
        <w:t xml:space="preserve"> (Vancouver</w:t>
      </w:r>
      <w:r>
        <w:rPr>
          <w:sz w:val="16"/>
          <w:szCs w:val="16"/>
        </w:rPr>
        <w:t xml:space="preserve">: University of British Columbia </w:t>
      </w:r>
      <w:r w:rsidRPr="002D3220">
        <w:rPr>
          <w:sz w:val="16"/>
          <w:szCs w:val="16"/>
        </w:rPr>
        <w:t xml:space="preserve">Press, 2012); James R. May and Erin Daly, </w:t>
      </w:r>
      <w:r w:rsidRPr="002D3220">
        <w:rPr>
          <w:i/>
          <w:iCs/>
          <w:sz w:val="16"/>
          <w:szCs w:val="16"/>
        </w:rPr>
        <w:t>Global Environmental Constitutionalism</w:t>
      </w:r>
      <w:r w:rsidRPr="002D3220">
        <w:rPr>
          <w:sz w:val="16"/>
          <w:szCs w:val="16"/>
        </w:rPr>
        <w:t xml:space="preserve"> (Cambridge, Cambridge University Press, 2015.</w:t>
      </w:r>
    </w:p>
  </w:endnote>
  <w:endnote w:id="37">
    <w:p w14:paraId="1368D15E"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Pr>
          <w:rFonts w:cs="Calibri"/>
          <w:sz w:val="16"/>
          <w:szCs w:val="16"/>
        </w:rPr>
        <w:tab/>
      </w:r>
      <w:r w:rsidRPr="002D3220">
        <w:rPr>
          <w:rFonts w:cs="Calibri"/>
          <w:sz w:val="16"/>
          <w:szCs w:val="16"/>
        </w:rPr>
        <w:t>Ad minimum, in accordance with Article 31 of the Convention on the Rights of the Child. Article 30 of International Convention on the Protection and Promotion of the Rights and Dignity of Persons with Disabilities, A/Res/61/106, Annex I, U.N. GAOR, 61</w:t>
      </w:r>
      <w:r w:rsidRPr="002D3220">
        <w:rPr>
          <w:rFonts w:cs="Calibri"/>
          <w:sz w:val="16"/>
          <w:szCs w:val="16"/>
          <w:vertAlign w:val="superscript"/>
        </w:rPr>
        <w:t>st</w:t>
      </w:r>
      <w:r w:rsidRPr="002D3220">
        <w:rPr>
          <w:rFonts w:cs="Calibri"/>
          <w:sz w:val="16"/>
          <w:szCs w:val="16"/>
        </w:rPr>
        <w:t xml:space="preserve"> Sess., Supp. No. 49, at 65, U.N. Doc. A/61/49 (2006), entered into force 3 May 2008.</w:t>
      </w:r>
    </w:p>
  </w:endnote>
  <w:endnote w:id="38">
    <w:p w14:paraId="3734B38E"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Pr>
          <w:rFonts w:cs="Calibri"/>
          <w:sz w:val="16"/>
          <w:szCs w:val="16"/>
        </w:rPr>
        <w:tab/>
      </w:r>
      <w:r w:rsidRPr="002D3220">
        <w:rPr>
          <w:rFonts w:cs="Calibri"/>
          <w:sz w:val="16"/>
          <w:szCs w:val="16"/>
        </w:rPr>
        <w:t>In accordance with ICCPR, Article 25.</w:t>
      </w:r>
    </w:p>
  </w:endnote>
  <w:endnote w:id="39">
    <w:p w14:paraId="7BD90F19" w14:textId="77777777" w:rsidR="0068669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Pr>
          <w:rFonts w:cs="Calibri"/>
          <w:sz w:val="16"/>
          <w:szCs w:val="16"/>
        </w:rPr>
        <w:tab/>
      </w:r>
      <w:r w:rsidRPr="002D3220">
        <w:rPr>
          <w:rFonts w:cs="Calibri"/>
          <w:sz w:val="16"/>
          <w:szCs w:val="16"/>
        </w:rPr>
        <w:t xml:space="preserve">ICESCR, </w:t>
      </w:r>
      <w:r w:rsidRPr="002D3220">
        <w:rPr>
          <w:rFonts w:cs="Calibri"/>
          <w:i/>
          <w:iCs/>
          <w:sz w:val="16"/>
          <w:szCs w:val="16"/>
        </w:rPr>
        <w:t xml:space="preserve">op. cit., </w:t>
      </w:r>
      <w:r w:rsidRPr="002D3220">
        <w:rPr>
          <w:rFonts w:cs="Calibri"/>
          <w:sz w:val="16"/>
          <w:szCs w:val="16"/>
        </w:rPr>
        <w:t xml:space="preserve">Article 15; CESCR, General comment No. 21: Right of everyone to take part in cultural life, E/C.12/GC/21, 21 December 2009, paras. 7, 9, 15, 19, 49, 52, 54–55, and 74, at: </w:t>
      </w:r>
    </w:p>
    <w:p w14:paraId="51251AFB" w14:textId="77777777" w:rsidR="00686690" w:rsidRPr="002D3220" w:rsidRDefault="00686690" w:rsidP="00686690">
      <w:pPr>
        <w:pStyle w:val="EndnoteText"/>
        <w:ind w:left="227" w:firstLine="0"/>
        <w:jc w:val="lowKashida"/>
        <w:rPr>
          <w:rFonts w:cs="Calibri"/>
          <w:sz w:val="16"/>
          <w:szCs w:val="16"/>
        </w:rPr>
      </w:pPr>
      <w:hyperlink r:id="rId40" w:history="1">
        <w:r w:rsidRPr="002D3220">
          <w:rPr>
            <w:rStyle w:val="Hyperlink"/>
            <w:rFonts w:cs="Calibri"/>
            <w:sz w:val="16"/>
            <w:szCs w:val="16"/>
          </w:rPr>
          <w:t>https://tbinternet.ohchr.org/_layouts/15/treatybodyexternal/Download.aspx?symbolno=E%2fC.12%2fGC%2f21&amp;Lang=en</w:t>
        </w:r>
      </w:hyperlink>
      <w:r w:rsidRPr="002D3220">
        <w:rPr>
          <w:rFonts w:cs="Calibri"/>
          <w:sz w:val="16"/>
          <w:szCs w:val="16"/>
        </w:rPr>
        <w:t xml:space="preserve">. </w:t>
      </w:r>
    </w:p>
  </w:endnote>
  <w:endnote w:id="40">
    <w:p w14:paraId="1788F46A"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In accordance with Article 1, common to ICESCR and ICCPR.</w:t>
      </w:r>
    </w:p>
  </w:endnote>
  <w:endnote w:id="41">
    <w:p w14:paraId="7C154931"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sidRPr="002D3220">
        <w:rPr>
          <w:rFonts w:cs="Calibri"/>
          <w:sz w:val="16"/>
          <w:szCs w:val="16"/>
        </w:rPr>
        <w:tab/>
        <w:t>ICCPR, Article 6.</w:t>
      </w:r>
    </w:p>
  </w:endnote>
  <w:endnote w:id="42">
    <w:p w14:paraId="57A5CFF7"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sidRPr="002D3220">
        <w:rPr>
          <w:rFonts w:cs="Calibri"/>
          <w:sz w:val="16"/>
          <w:szCs w:val="16"/>
        </w:rPr>
        <w:tab/>
        <w:t>In accordance with Articles 1–3, 6–8, 9, 10, 11, 12, and 15 of the Covenant</w:t>
      </w:r>
    </w:p>
  </w:endnote>
  <w:endnote w:id="43">
    <w:p w14:paraId="0F28179E"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Pr>
          <w:rFonts w:cs="Calibri"/>
          <w:sz w:val="16"/>
          <w:szCs w:val="16"/>
        </w:rPr>
        <w:tab/>
      </w:r>
      <w:r w:rsidRPr="002D3220">
        <w:rPr>
          <w:rFonts w:cs="Calibri"/>
          <w:sz w:val="16"/>
          <w:szCs w:val="16"/>
        </w:rPr>
        <w:t>Commission on Human Rights, resolutions 1993/77 and 2004/28, op. cit.</w:t>
      </w:r>
    </w:p>
  </w:endnote>
  <w:endnote w:id="44">
    <w:p w14:paraId="101EB68F"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Pr>
          <w:rFonts w:cs="Calibri"/>
          <w:sz w:val="16"/>
          <w:szCs w:val="16"/>
        </w:rPr>
        <w:tab/>
      </w:r>
      <w:r w:rsidRPr="002D3220">
        <w:rPr>
          <w:rFonts w:cs="Calibri"/>
          <w:sz w:val="16"/>
          <w:szCs w:val="16"/>
        </w:rPr>
        <w:t>CESCR General Comment No. 7 (1997) on Forced Evictions, contained in UN Doc. E/1998/22, annex IV., at paras. 15 and 16.</w:t>
      </w:r>
    </w:p>
  </w:endnote>
  <w:endnote w:id="45">
    <w:p w14:paraId="054E3B3C"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sidRPr="002D3220">
        <w:rPr>
          <w:rFonts w:cs="Calibri"/>
          <w:sz w:val="16"/>
          <w:szCs w:val="16"/>
        </w:rPr>
        <w:tab/>
        <w:t xml:space="preserve">Conceived by Amartya Sen, Nobel Laureate in Economics, the capability approach has been developed in different directions by Amartya Sen, Martha Nussbaum and a growing group of others. The approach has provided the intellectual foundation for human development and provides strong arguments for the right to development, which is the composite of a bundle of rights, including participation, human well-being and freedom as the central features of development. This line of argument has spawned considerable research in moral philosophy, economics, political theory, education, health, food security, ecosystems, empowerment, and other areas. Development actors from NGOs to multilateral institutions engage with this approach, drawing out multidisciplinary insights. For further reference, see: Amartya Kumar Sen, </w:t>
      </w:r>
      <w:r w:rsidRPr="002D3220">
        <w:rPr>
          <w:rFonts w:cs="Calibri"/>
          <w:i/>
          <w:iCs/>
          <w:sz w:val="16"/>
          <w:szCs w:val="16"/>
        </w:rPr>
        <w:t>Development as Freedom</w:t>
      </w:r>
      <w:r w:rsidRPr="002D3220">
        <w:rPr>
          <w:rFonts w:cs="Calibri"/>
          <w:sz w:val="16"/>
          <w:szCs w:val="16"/>
        </w:rPr>
        <w:t xml:space="preserve"> (New York: Alfred A. Knopf, 2000); </w:t>
      </w:r>
      <w:r w:rsidRPr="002D3220">
        <w:rPr>
          <w:rFonts w:cs="Calibri"/>
          <w:i/>
          <w:iCs/>
          <w:sz w:val="16"/>
          <w:szCs w:val="16"/>
        </w:rPr>
        <w:t>Commodities and Capabilities</w:t>
      </w:r>
      <w:r w:rsidRPr="002D3220">
        <w:rPr>
          <w:rFonts w:cs="Calibri"/>
          <w:sz w:val="16"/>
          <w:szCs w:val="16"/>
        </w:rPr>
        <w:t xml:space="preserve"> (Oxford: Oxford University Press, 1999); </w:t>
      </w:r>
      <w:r w:rsidRPr="002D3220">
        <w:rPr>
          <w:rFonts w:cs="Calibri"/>
          <w:i/>
          <w:iCs/>
          <w:sz w:val="16"/>
          <w:szCs w:val="16"/>
        </w:rPr>
        <w:t>Poverty and Famines: An Essay on Entitlement and Deprivation</w:t>
      </w:r>
      <w:r w:rsidRPr="002D3220">
        <w:rPr>
          <w:rFonts w:cs="Calibri"/>
          <w:sz w:val="16"/>
          <w:szCs w:val="16"/>
        </w:rPr>
        <w:t xml:space="preserve"> (Oxford, Clarendon Press, 1981); </w:t>
      </w:r>
      <w:r w:rsidRPr="002D3220">
        <w:rPr>
          <w:rFonts w:cs="Calibri"/>
          <w:i/>
          <w:iCs/>
          <w:sz w:val="16"/>
          <w:szCs w:val="16"/>
        </w:rPr>
        <w:t>On Economic Inequality</w:t>
      </w:r>
      <w:r w:rsidRPr="002D3220">
        <w:rPr>
          <w:rFonts w:cs="Calibri"/>
          <w:sz w:val="16"/>
          <w:szCs w:val="16"/>
        </w:rPr>
        <w:t xml:space="preserve"> (Oxford: Clarendon Press, 1973); </w:t>
      </w:r>
      <w:r w:rsidRPr="002D3220">
        <w:rPr>
          <w:rFonts w:cs="Calibri"/>
          <w:i/>
          <w:iCs/>
          <w:sz w:val="16"/>
          <w:szCs w:val="16"/>
        </w:rPr>
        <w:t>Collective Choice and Social Welfare</w:t>
      </w:r>
      <w:r w:rsidRPr="002D3220">
        <w:rPr>
          <w:rFonts w:cs="Calibri"/>
          <w:sz w:val="16"/>
          <w:szCs w:val="16"/>
        </w:rPr>
        <w:t xml:space="preserve"> (San Francisco: Holden Day; also London: Oliver and Boyd, 1970).</w:t>
      </w:r>
    </w:p>
  </w:endnote>
  <w:endnote w:id="46">
    <w:p w14:paraId="25431184" w14:textId="77777777" w:rsidR="0068669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Pr>
          <w:rFonts w:cs="Calibri"/>
          <w:sz w:val="16"/>
          <w:szCs w:val="16"/>
        </w:rPr>
        <w:tab/>
      </w:r>
      <w:r w:rsidRPr="002D3220">
        <w:rPr>
          <w:rFonts w:cs="Calibri"/>
          <w:sz w:val="16"/>
          <w:szCs w:val="16"/>
        </w:rPr>
        <w:t xml:space="preserve">See “Violation Impact-assessment Tool,” Housing and Land Rights Network – Habitat International Coalition, at: </w:t>
      </w:r>
    </w:p>
    <w:p w14:paraId="1903A895" w14:textId="77777777" w:rsidR="00686690" w:rsidRPr="002D3220" w:rsidRDefault="00686690" w:rsidP="00686690">
      <w:pPr>
        <w:pStyle w:val="EndnoteText"/>
        <w:ind w:left="227" w:firstLine="0"/>
        <w:jc w:val="lowKashida"/>
        <w:rPr>
          <w:rFonts w:cs="Calibri"/>
          <w:sz w:val="16"/>
          <w:szCs w:val="16"/>
        </w:rPr>
      </w:pPr>
      <w:hyperlink r:id="rId41" w:anchor=".XY_bp0YzatE" w:history="1">
        <w:r w:rsidRPr="002D3220">
          <w:rPr>
            <w:rStyle w:val="Hyperlink"/>
            <w:rFonts w:cs="Calibri"/>
            <w:sz w:val="16"/>
            <w:szCs w:val="16"/>
          </w:rPr>
          <w:t>http://www.hlrn.org/spage.php?id=qnE=#.XY_bp0YzatE</w:t>
        </w:r>
      </w:hyperlink>
      <w:r w:rsidRPr="002D3220">
        <w:rPr>
          <w:rFonts w:cs="Calibri"/>
          <w:sz w:val="16"/>
          <w:szCs w:val="16"/>
        </w:rPr>
        <w:t xml:space="preserve">. </w:t>
      </w:r>
    </w:p>
  </w:endnote>
  <w:endnote w:id="47">
    <w:p w14:paraId="3C671560"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Pr>
          <w:rFonts w:cs="Calibri"/>
          <w:sz w:val="16"/>
          <w:szCs w:val="16"/>
        </w:rPr>
        <w:tab/>
      </w:r>
      <w:r w:rsidRPr="002D3220">
        <w:rPr>
          <w:rFonts w:cs="Calibri"/>
          <w:sz w:val="16"/>
          <w:szCs w:val="16"/>
        </w:rPr>
        <w:t xml:space="preserve">General </w:t>
      </w:r>
      <w:r>
        <w:rPr>
          <w:rFonts w:cs="Calibri"/>
          <w:sz w:val="16"/>
          <w:szCs w:val="16"/>
        </w:rPr>
        <w:t>C</w:t>
      </w:r>
      <w:r w:rsidRPr="002D3220">
        <w:rPr>
          <w:rFonts w:cs="Calibri"/>
          <w:sz w:val="16"/>
          <w:szCs w:val="16"/>
        </w:rPr>
        <w:t>omment No. 4</w:t>
      </w:r>
      <w:r>
        <w:rPr>
          <w:rFonts w:cs="Calibri"/>
          <w:sz w:val="16"/>
          <w:szCs w:val="16"/>
        </w:rPr>
        <w:t xml:space="preserve">, </w:t>
      </w:r>
      <w:r>
        <w:rPr>
          <w:rFonts w:cs="Calibri"/>
          <w:i/>
          <w:iCs/>
          <w:sz w:val="16"/>
          <w:szCs w:val="16"/>
        </w:rPr>
        <w:t xml:space="preserve">op. </w:t>
      </w:r>
      <w:proofErr w:type="spellStart"/>
      <w:r>
        <w:rPr>
          <w:rFonts w:cs="Calibri"/>
          <w:i/>
          <w:iCs/>
          <w:sz w:val="16"/>
          <w:szCs w:val="16"/>
        </w:rPr>
        <w:t>cit</w:t>
      </w:r>
      <w:proofErr w:type="spellEnd"/>
      <w:r>
        <w:rPr>
          <w:rFonts w:cs="Calibri"/>
          <w:i/>
          <w:iCs/>
          <w:sz w:val="16"/>
          <w:szCs w:val="16"/>
        </w:rPr>
        <w:t xml:space="preserve">, </w:t>
      </w:r>
      <w:r w:rsidRPr="002D3220">
        <w:rPr>
          <w:rFonts w:cs="Calibri"/>
          <w:sz w:val="16"/>
          <w:szCs w:val="16"/>
        </w:rPr>
        <w:t>para.8(e).</w:t>
      </w:r>
    </w:p>
  </w:endnote>
  <w:endnote w:id="48">
    <w:p w14:paraId="59ABD505"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Pr>
          <w:rFonts w:cs="Calibri"/>
          <w:sz w:val="16"/>
          <w:szCs w:val="16"/>
        </w:rPr>
        <w:tab/>
      </w:r>
      <w:r w:rsidRPr="004860EC">
        <w:rPr>
          <w:rFonts w:cs="Calibri"/>
          <w:i/>
          <w:iCs/>
          <w:sz w:val="16"/>
          <w:szCs w:val="16"/>
        </w:rPr>
        <w:t>Ibid</w:t>
      </w:r>
      <w:r w:rsidRPr="002D3220">
        <w:rPr>
          <w:rFonts w:cs="Calibri"/>
          <w:sz w:val="16"/>
          <w:szCs w:val="16"/>
        </w:rPr>
        <w:t>.</w:t>
      </w:r>
    </w:p>
  </w:endnote>
  <w:endnote w:id="49">
    <w:p w14:paraId="30181628"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Pr>
          <w:rFonts w:cs="Calibri"/>
          <w:sz w:val="16"/>
          <w:szCs w:val="16"/>
        </w:rPr>
        <w:tab/>
      </w:r>
      <w:r w:rsidRPr="002D3220">
        <w:rPr>
          <w:rFonts w:cs="Calibri"/>
          <w:sz w:val="16"/>
          <w:szCs w:val="16"/>
        </w:rPr>
        <w:t xml:space="preserve">Draft articles on Responsibility of States for internationally wrongful acts, A/56/10 (2001), at: </w:t>
      </w:r>
    </w:p>
    <w:p w14:paraId="2716C13E" w14:textId="77777777" w:rsidR="00686690" w:rsidRPr="002D3220" w:rsidRDefault="00686690" w:rsidP="00686690">
      <w:pPr>
        <w:pStyle w:val="EndnoteText"/>
        <w:ind w:left="227" w:hanging="227"/>
        <w:jc w:val="lowKashida"/>
        <w:rPr>
          <w:rFonts w:cs="Calibri"/>
          <w:sz w:val="16"/>
          <w:szCs w:val="16"/>
        </w:rPr>
      </w:pPr>
      <w:r w:rsidRPr="002D3220">
        <w:rPr>
          <w:rFonts w:cs="Calibri"/>
          <w:sz w:val="16"/>
          <w:szCs w:val="16"/>
        </w:rPr>
        <w:tab/>
      </w:r>
      <w:hyperlink r:id="rId42" w:history="1">
        <w:r w:rsidRPr="002D3220">
          <w:rPr>
            <w:rStyle w:val="Hyperlink"/>
            <w:rFonts w:cs="Calibri"/>
            <w:spacing w:val="-2"/>
            <w:sz w:val="16"/>
            <w:szCs w:val="16"/>
          </w:rPr>
          <w:t>http://www.un.org/documents/ga/docs/56/a5610.pdf</w:t>
        </w:r>
      </w:hyperlink>
      <w:r w:rsidRPr="002D3220">
        <w:rPr>
          <w:rFonts w:cs="Calibri"/>
          <w:spacing w:val="-2"/>
          <w:sz w:val="16"/>
          <w:szCs w:val="16"/>
        </w:rPr>
        <w:t xml:space="preserve">; and Commentaries, at: </w:t>
      </w:r>
      <w:hyperlink r:id="rId43" w:history="1">
        <w:r w:rsidRPr="002D3220">
          <w:rPr>
            <w:rStyle w:val="Hyperlink"/>
            <w:rFonts w:cs="Calibri"/>
            <w:spacing w:val="-2"/>
            <w:sz w:val="16"/>
            <w:szCs w:val="16"/>
          </w:rPr>
          <w:t>http://www.eydner.org/dokumente/darsiwa_comm_e.pdf</w:t>
        </w:r>
      </w:hyperlink>
      <w:r w:rsidRPr="002D3220">
        <w:rPr>
          <w:rFonts w:cs="Calibri"/>
          <w:spacing w:val="-2"/>
          <w:sz w:val="16"/>
          <w:szCs w:val="16"/>
        </w:rPr>
        <w:t>.</w:t>
      </w:r>
      <w:r w:rsidRPr="002D3220">
        <w:rPr>
          <w:rFonts w:cs="Calibri"/>
          <w:sz w:val="16"/>
          <w:szCs w:val="16"/>
        </w:rPr>
        <w:t xml:space="preserve"> </w:t>
      </w:r>
    </w:p>
  </w:endnote>
  <w:endnote w:id="50">
    <w:p w14:paraId="2F0030A8" w14:textId="77777777" w:rsidR="00686690" w:rsidRDefault="00686690" w:rsidP="00686690">
      <w:pPr>
        <w:pStyle w:val="EndnoteText"/>
        <w:ind w:left="227" w:hanging="227"/>
        <w:jc w:val="lowKashida"/>
        <w:rPr>
          <w:sz w:val="16"/>
          <w:szCs w:val="16"/>
        </w:rPr>
      </w:pPr>
      <w:r w:rsidRPr="00DF5CF4">
        <w:rPr>
          <w:rStyle w:val="EndnoteReference"/>
          <w:sz w:val="16"/>
          <w:szCs w:val="16"/>
        </w:rPr>
        <w:endnoteRef/>
      </w:r>
      <w:r w:rsidRPr="00DF5CF4">
        <w:rPr>
          <w:sz w:val="16"/>
          <w:szCs w:val="16"/>
        </w:rPr>
        <w:t xml:space="preserve"> </w:t>
      </w:r>
      <w:r>
        <w:rPr>
          <w:sz w:val="16"/>
          <w:szCs w:val="16"/>
        </w:rPr>
        <w:tab/>
      </w:r>
      <w:r w:rsidRPr="00DF5CF4">
        <w:rPr>
          <w:sz w:val="16"/>
          <w:szCs w:val="16"/>
        </w:rPr>
        <w:t xml:space="preserve">General comment No. 3: The nature of States </w:t>
      </w:r>
      <w:proofErr w:type="gramStart"/>
      <w:r w:rsidRPr="00DF5CF4">
        <w:rPr>
          <w:sz w:val="16"/>
          <w:szCs w:val="16"/>
        </w:rPr>
        <w:t>parties</w:t>
      </w:r>
      <w:proofErr w:type="gramEnd"/>
      <w:r w:rsidRPr="00DF5CF4">
        <w:rPr>
          <w:sz w:val="16"/>
          <w:szCs w:val="16"/>
        </w:rPr>
        <w:t xml:space="preserve"> obligations (Art. 2, par. 1), 14 December 1990, at: </w:t>
      </w:r>
    </w:p>
    <w:p w14:paraId="35575B4C" w14:textId="77777777" w:rsidR="00686690" w:rsidRPr="00DF5CF4" w:rsidRDefault="00686690" w:rsidP="00686690">
      <w:pPr>
        <w:pStyle w:val="EndnoteText"/>
        <w:ind w:left="227" w:firstLine="0"/>
        <w:jc w:val="lowKashida"/>
        <w:rPr>
          <w:sz w:val="16"/>
          <w:szCs w:val="16"/>
        </w:rPr>
      </w:pPr>
      <w:hyperlink r:id="rId44" w:history="1">
        <w:r w:rsidRPr="0033402C">
          <w:rPr>
            <w:rStyle w:val="Hyperlink"/>
            <w:sz w:val="16"/>
            <w:szCs w:val="16"/>
          </w:rPr>
          <w:t>https://tbinternet.ohchr.org/_layouts/15/treatybodyexternal/Download.aspx?symbolno=INT%2fCESCR%2fGEC%2f4758&amp;Lang=en</w:t>
        </w:r>
      </w:hyperlink>
      <w:r w:rsidRPr="00DF5CF4">
        <w:rPr>
          <w:sz w:val="16"/>
          <w:szCs w:val="16"/>
        </w:rPr>
        <w:t xml:space="preserve">. </w:t>
      </w:r>
    </w:p>
  </w:endnote>
  <w:endnote w:id="51">
    <w:p w14:paraId="73564A46"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The Civil Society Mechanism for the Committee on World Food Security has defined landlessness as “the condition of being without equitable access </w:t>
      </w:r>
      <w:proofErr w:type="gramStart"/>
      <w:r w:rsidRPr="002D3220">
        <w:rPr>
          <w:rFonts w:cs="Calibri"/>
          <w:sz w:val="16"/>
          <w:szCs w:val="16"/>
        </w:rPr>
        <w:t>to, and</w:t>
      </w:r>
      <w:proofErr w:type="gramEnd"/>
      <w:r w:rsidRPr="002D3220">
        <w:rPr>
          <w:rFonts w:cs="Calibri"/>
          <w:sz w:val="16"/>
          <w:szCs w:val="16"/>
        </w:rPr>
        <w:t xml:space="preserve"> use of rural or urban land with secure tenure as needed to fulfil one or more human needs and/or human rights. Those who are landless are those persons or groups living in such a condition (i.e., landlessness) due to any single, or combination of means and factors, including but not limited to: Discrimination; Dispossession; Displacement, including forced eviction; Denial (of use, access, etc.); Scarcity of land; Insufficient capability; Damage or destruction of land and/or means of access.” Estimates of the numbers and percentages of landless persons and communities, as well as the phenomenon of landlessness, vary. See, for instance, Radha Sinha, </w:t>
      </w:r>
      <w:r w:rsidRPr="002D3220">
        <w:rPr>
          <w:rFonts w:cs="Calibri"/>
          <w:i/>
          <w:iCs/>
          <w:sz w:val="16"/>
          <w:szCs w:val="16"/>
        </w:rPr>
        <w:t>Landlessness: A Growing Problem</w:t>
      </w:r>
      <w:r w:rsidRPr="002D3220">
        <w:rPr>
          <w:rFonts w:cs="Calibri"/>
          <w:sz w:val="16"/>
          <w:szCs w:val="16"/>
        </w:rPr>
        <w:t xml:space="preserve"> (Rome: Food and Agriculture Organization of the United Nations, 1984); </w:t>
      </w:r>
      <w:proofErr w:type="spellStart"/>
      <w:r w:rsidRPr="002D3220">
        <w:rPr>
          <w:rFonts w:cs="Calibri"/>
          <w:sz w:val="16"/>
          <w:szCs w:val="16"/>
        </w:rPr>
        <w:t>Inderjit</w:t>
      </w:r>
      <w:proofErr w:type="spellEnd"/>
      <w:r w:rsidRPr="002D3220">
        <w:rPr>
          <w:rFonts w:cs="Calibri"/>
          <w:sz w:val="16"/>
          <w:szCs w:val="16"/>
        </w:rPr>
        <w:t xml:space="preserve"> Singh, </w:t>
      </w:r>
      <w:r w:rsidRPr="002D3220">
        <w:rPr>
          <w:rFonts w:cs="Calibri"/>
          <w:i/>
          <w:iCs/>
          <w:sz w:val="16"/>
          <w:szCs w:val="16"/>
        </w:rPr>
        <w:t>Small farmers and the landless in South Asia</w:t>
      </w:r>
      <w:r w:rsidRPr="002D3220">
        <w:rPr>
          <w:rFonts w:cs="Calibri"/>
          <w:sz w:val="16"/>
          <w:szCs w:val="16"/>
        </w:rPr>
        <w:t xml:space="preserve"> (Washington: World Bank, 1979); Mohamad </w:t>
      </w:r>
      <w:proofErr w:type="spellStart"/>
      <w:r w:rsidRPr="002D3220">
        <w:rPr>
          <w:rFonts w:cs="Calibri"/>
          <w:sz w:val="16"/>
          <w:szCs w:val="16"/>
        </w:rPr>
        <w:t>Riad</w:t>
      </w:r>
      <w:proofErr w:type="spellEnd"/>
      <w:r w:rsidRPr="002D3220">
        <w:rPr>
          <w:rFonts w:cs="Calibri"/>
          <w:sz w:val="16"/>
          <w:szCs w:val="16"/>
        </w:rPr>
        <w:t xml:space="preserve"> El </w:t>
      </w:r>
      <w:proofErr w:type="spellStart"/>
      <w:r w:rsidRPr="002D3220">
        <w:rPr>
          <w:rFonts w:cs="Calibri"/>
          <w:sz w:val="16"/>
          <w:szCs w:val="16"/>
        </w:rPr>
        <w:t>Ghonemy</w:t>
      </w:r>
      <w:proofErr w:type="spellEnd"/>
      <w:r w:rsidRPr="002D3220">
        <w:rPr>
          <w:rFonts w:cs="Calibri"/>
          <w:sz w:val="16"/>
          <w:szCs w:val="16"/>
        </w:rPr>
        <w:t xml:space="preserve">, </w:t>
      </w:r>
      <w:r w:rsidRPr="002D3220">
        <w:rPr>
          <w:rFonts w:cs="Calibri"/>
          <w:i/>
          <w:iCs/>
          <w:sz w:val="16"/>
          <w:szCs w:val="16"/>
        </w:rPr>
        <w:t>The Dynamics of Rural Poverty</w:t>
      </w:r>
      <w:r w:rsidRPr="002D3220">
        <w:rPr>
          <w:rFonts w:cs="Calibri"/>
          <w:sz w:val="16"/>
          <w:szCs w:val="16"/>
        </w:rPr>
        <w:t xml:space="preserve"> (Rome: FAO, 1986), pp. 15–17; Talat Anwar, Sarfraz K. Qureshi and Hammad Ali, </w:t>
      </w:r>
      <w:r w:rsidRPr="002D3220">
        <w:rPr>
          <w:rFonts w:cs="Calibri"/>
          <w:i/>
          <w:iCs/>
          <w:sz w:val="16"/>
          <w:szCs w:val="16"/>
        </w:rPr>
        <w:t>“</w:t>
      </w:r>
      <w:r w:rsidRPr="002D3220">
        <w:rPr>
          <w:rFonts w:cs="Calibri"/>
          <w:sz w:val="16"/>
          <w:szCs w:val="16"/>
        </w:rPr>
        <w:t xml:space="preserve">Landlessness and Rural Poverty in Pakistan,” </w:t>
      </w:r>
      <w:r w:rsidRPr="002D3220">
        <w:rPr>
          <w:rFonts w:cs="Calibri"/>
          <w:i/>
          <w:iCs/>
          <w:sz w:val="16"/>
          <w:szCs w:val="16"/>
        </w:rPr>
        <w:t>The Pakistan Development Review</w:t>
      </w:r>
      <w:r w:rsidRPr="002D3220">
        <w:rPr>
          <w:rFonts w:cs="Calibri"/>
          <w:sz w:val="16"/>
          <w:szCs w:val="16"/>
        </w:rPr>
        <w:t xml:space="preserve">, No. 43 (February 2004), 855–74; Barry Naughton, </w:t>
      </w:r>
      <w:r w:rsidRPr="002D3220">
        <w:rPr>
          <w:rFonts w:cs="Calibri"/>
          <w:i/>
          <w:iCs/>
          <w:sz w:val="16"/>
          <w:szCs w:val="16"/>
        </w:rPr>
        <w:t>The Chinese Economy: Transitions and Growth</w:t>
      </w:r>
      <w:r w:rsidRPr="002D3220">
        <w:rPr>
          <w:rFonts w:cs="Calibri"/>
          <w:sz w:val="16"/>
          <w:szCs w:val="16"/>
        </w:rPr>
        <w:t xml:space="preserve"> (Boston MA: MIT Press, 2007), pp. 119–20; Elisabeth </w:t>
      </w:r>
      <w:proofErr w:type="spellStart"/>
      <w:r w:rsidRPr="002D3220">
        <w:rPr>
          <w:rFonts w:cs="Calibri"/>
          <w:sz w:val="16"/>
          <w:szCs w:val="16"/>
        </w:rPr>
        <w:t>Wickeri</w:t>
      </w:r>
      <w:proofErr w:type="spellEnd"/>
      <w:r w:rsidRPr="002D3220">
        <w:rPr>
          <w:rFonts w:cs="Calibri"/>
          <w:sz w:val="16"/>
          <w:szCs w:val="16"/>
        </w:rPr>
        <w:t xml:space="preserve">, “Land Is Life; Land Is Power: Landlessness, Exclusion and Deprivation in Nepal,” </w:t>
      </w:r>
      <w:r w:rsidRPr="002D3220">
        <w:rPr>
          <w:rFonts w:cs="Calibri"/>
          <w:i/>
          <w:iCs/>
          <w:sz w:val="16"/>
          <w:szCs w:val="16"/>
        </w:rPr>
        <w:t>Fordham International Law Journal</w:t>
      </w:r>
      <w:r w:rsidRPr="002D3220">
        <w:rPr>
          <w:rFonts w:cs="Calibri"/>
          <w:sz w:val="16"/>
          <w:szCs w:val="16"/>
        </w:rPr>
        <w:t xml:space="preserve">, Vol. 34, No. 4 (2011), pp. 932–1040; John F. McCarthy, Kathryn Robinson, eds., Land and Development in Indonesia: Searching for the People's Sovereignty (Singapore: ISEAS-Yusof Ishak Institute, 18 May 2016), pp. 278–9. </w:t>
      </w:r>
    </w:p>
  </w:endnote>
  <w:endnote w:id="52">
    <w:p w14:paraId="506C4D33"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w:t>
      </w:r>
      <w:r>
        <w:rPr>
          <w:rFonts w:cs="Calibri"/>
          <w:sz w:val="16"/>
          <w:szCs w:val="16"/>
        </w:rPr>
        <w:tab/>
      </w:r>
      <w:r w:rsidRPr="002D3220">
        <w:rPr>
          <w:rFonts w:cs="Calibri"/>
          <w:sz w:val="16"/>
          <w:szCs w:val="16"/>
        </w:rPr>
        <w:t xml:space="preserve">Minority Rights Group International (MRG) and University of East London, Centre on Human Rights in Conflict, </w:t>
      </w:r>
      <w:r w:rsidRPr="002D3220">
        <w:rPr>
          <w:rFonts w:cs="Calibri"/>
          <w:i/>
          <w:iCs/>
          <w:sz w:val="16"/>
          <w:szCs w:val="16"/>
        </w:rPr>
        <w:t>Moving towards a Right to Land: The Committee on Economic, Social and Cultural Rights’ Treatment of Land Rights as Human Rights</w:t>
      </w:r>
      <w:r w:rsidRPr="002D3220">
        <w:rPr>
          <w:rFonts w:cs="Calibri"/>
          <w:sz w:val="16"/>
          <w:szCs w:val="16"/>
        </w:rPr>
        <w:t xml:space="preserve"> (London: MRG, 2015), at: </w:t>
      </w:r>
    </w:p>
    <w:p w14:paraId="65DA7B69" w14:textId="77777777" w:rsidR="00686690" w:rsidRPr="002D3220" w:rsidRDefault="00686690" w:rsidP="00686690">
      <w:pPr>
        <w:pStyle w:val="EndnoteText"/>
        <w:ind w:left="227" w:hanging="227"/>
        <w:jc w:val="lowKashida"/>
        <w:rPr>
          <w:rFonts w:cs="Calibri"/>
          <w:sz w:val="16"/>
          <w:szCs w:val="16"/>
        </w:rPr>
      </w:pPr>
      <w:r w:rsidRPr="002D3220">
        <w:rPr>
          <w:rFonts w:cs="Calibri"/>
          <w:sz w:val="16"/>
          <w:szCs w:val="16"/>
        </w:rPr>
        <w:tab/>
      </w:r>
      <w:hyperlink r:id="rId45" w:history="1">
        <w:r w:rsidRPr="002D3220">
          <w:rPr>
            <w:rStyle w:val="Hyperlink"/>
            <w:rFonts w:cs="Calibri"/>
            <w:sz w:val="16"/>
            <w:szCs w:val="16"/>
          </w:rPr>
          <w:t>http://minorityrights.org/wp-content/uploads/2015/10/MRG_Rep_LandRights_Oct15.pdf</w:t>
        </w:r>
      </w:hyperlink>
      <w:r w:rsidRPr="002D3220">
        <w:rPr>
          <w:rFonts w:cs="Calibri"/>
          <w:sz w:val="16"/>
          <w:szCs w:val="16"/>
        </w:rPr>
        <w:t xml:space="preserve">.  </w:t>
      </w:r>
    </w:p>
  </w:endnote>
  <w:endnote w:id="53">
    <w:p w14:paraId="09BD5BD7"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OHCHR, </w:t>
      </w:r>
      <w:r w:rsidRPr="002D3220">
        <w:rPr>
          <w:rFonts w:cs="Calibri"/>
          <w:i/>
          <w:iCs/>
          <w:sz w:val="16"/>
          <w:szCs w:val="16"/>
        </w:rPr>
        <w:t>Land and Human Rights: Annotated Compilation of Case Law</w:t>
      </w:r>
      <w:r w:rsidRPr="002D3220">
        <w:rPr>
          <w:rFonts w:cs="Calibri"/>
          <w:sz w:val="16"/>
          <w:szCs w:val="16"/>
        </w:rPr>
        <w:t xml:space="preserve">, HR/PUB/15/5 (Geneva: United Nations, 2015), at: </w:t>
      </w:r>
      <w:hyperlink r:id="rId46" w:history="1">
        <w:r w:rsidRPr="002D3220">
          <w:rPr>
            <w:rStyle w:val="Hyperlink"/>
            <w:rFonts w:cs="Calibri"/>
            <w:sz w:val="16"/>
            <w:szCs w:val="16"/>
          </w:rPr>
          <w:t>http://www.ohchr.org/Documents/Publications/Land_HR-CaseLaw.pdf</w:t>
        </w:r>
      </w:hyperlink>
      <w:r w:rsidRPr="002D3220">
        <w:rPr>
          <w:rFonts w:cs="Calibri"/>
          <w:sz w:val="16"/>
          <w:szCs w:val="16"/>
        </w:rPr>
        <w:t xml:space="preserve">. </w:t>
      </w:r>
    </w:p>
  </w:endnote>
  <w:endnote w:id="54">
    <w:p w14:paraId="407901C6" w14:textId="77777777" w:rsidR="00686690" w:rsidRPr="002D3220" w:rsidRDefault="00686690" w:rsidP="00686690">
      <w:pPr>
        <w:pStyle w:val="EndnoteText"/>
        <w:ind w:left="227" w:hanging="227"/>
        <w:jc w:val="lowKashida"/>
        <w:rPr>
          <w:rFonts w:cs="Calibri"/>
          <w:sz w:val="16"/>
          <w:szCs w:val="16"/>
        </w:rPr>
      </w:pPr>
      <w:r w:rsidRPr="002D3220">
        <w:rPr>
          <w:rStyle w:val="EndnoteReference"/>
          <w:rFonts w:cs="Calibri"/>
          <w:sz w:val="16"/>
          <w:szCs w:val="16"/>
        </w:rPr>
        <w:endnoteRef/>
      </w:r>
      <w:r w:rsidRPr="002D3220">
        <w:rPr>
          <w:rFonts w:cs="Calibri"/>
          <w:sz w:val="16"/>
          <w:szCs w:val="16"/>
        </w:rPr>
        <w:t xml:space="preserve"> OHCHR, </w:t>
      </w:r>
      <w:r w:rsidRPr="002D3220">
        <w:rPr>
          <w:rFonts w:cs="Calibri"/>
          <w:i/>
          <w:iCs/>
          <w:sz w:val="16"/>
          <w:szCs w:val="16"/>
        </w:rPr>
        <w:t>Land and Human Rights: Standards and Applications</w:t>
      </w:r>
      <w:r w:rsidRPr="002D3220">
        <w:rPr>
          <w:rFonts w:cs="Calibri"/>
          <w:sz w:val="16"/>
          <w:szCs w:val="16"/>
        </w:rPr>
        <w:t xml:space="preserve">, HR/PUB/15/5.Add.1 (Geneva: United Nations, 2015), pp. 16–65, at: </w:t>
      </w:r>
      <w:hyperlink r:id="rId47" w:history="1">
        <w:r w:rsidRPr="002D3220">
          <w:rPr>
            <w:rStyle w:val="Hyperlink"/>
            <w:rFonts w:cs="Calibri"/>
            <w:sz w:val="16"/>
            <w:szCs w:val="16"/>
          </w:rPr>
          <w:t>http://www.ohchr.org/Documents/Publications/Land_HR-StandardsApplications.pdf</w:t>
        </w:r>
      </w:hyperlink>
      <w:r w:rsidRPr="002D3220">
        <w:rPr>
          <w:rFonts w:cs="Calibri"/>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EC252" w14:textId="77777777" w:rsidR="004860EC" w:rsidRDefault="00D93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014765"/>
      <w:docPartObj>
        <w:docPartGallery w:val="Page Numbers (Bottom of Page)"/>
        <w:docPartUnique/>
      </w:docPartObj>
    </w:sdtPr>
    <w:sdtEndPr>
      <w:rPr>
        <w:noProof/>
      </w:rPr>
    </w:sdtEndPr>
    <w:sdtContent>
      <w:p w14:paraId="343EE66A" w14:textId="77777777" w:rsidR="00E045A9" w:rsidRDefault="00D930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1A30CB" w14:textId="77777777" w:rsidR="004860EC" w:rsidRDefault="00D93002" w:rsidP="00F2691A">
    <w:pPr>
      <w:pStyle w:val="Footer"/>
      <w:tabs>
        <w:tab w:val="right" w:pos="9000"/>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C596B" w14:textId="77777777" w:rsidR="004860EC" w:rsidRDefault="00D9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5D28C" w14:textId="77777777" w:rsidR="00D93002" w:rsidRDefault="00D93002" w:rsidP="00686690">
      <w:r>
        <w:separator/>
      </w:r>
    </w:p>
  </w:footnote>
  <w:footnote w:type="continuationSeparator" w:id="0">
    <w:p w14:paraId="6D2268C3" w14:textId="77777777" w:rsidR="00D93002" w:rsidRDefault="00D93002" w:rsidP="00686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B9C0D" w14:textId="77777777" w:rsidR="004860EC" w:rsidRDefault="00D93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9BDBA" w14:textId="77777777" w:rsidR="004860EC" w:rsidRDefault="00D93002">
    <w:pPr>
      <w:pStyle w:val="Header"/>
      <w:tabs>
        <w:tab w:val="right" w:pos="9000"/>
      </w:tabs>
    </w:pPr>
    <w:r>
      <w:rPr>
        <w:noProof/>
      </w:rPr>
      <mc:AlternateContent>
        <mc:Choice Requires="wps">
          <w:drawing>
            <wp:anchor distT="152400" distB="152400" distL="152400" distR="152400" simplePos="0" relativeHeight="251659264" behindDoc="1" locked="0" layoutInCell="1" allowOverlap="1" wp14:anchorId="37067DA3" wp14:editId="0F0EA9EA">
              <wp:simplePos x="0" y="0"/>
              <wp:positionH relativeFrom="page">
                <wp:posOffset>346075</wp:posOffset>
              </wp:positionH>
              <wp:positionV relativeFrom="page">
                <wp:posOffset>4740275</wp:posOffset>
              </wp:positionV>
              <wp:extent cx="6868160" cy="1211580"/>
              <wp:effectExtent l="0" t="2266950" r="0" b="2236470"/>
              <wp:wrapNone/>
              <wp:docPr id="107374182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a:off x="0" y="0"/>
                        <a:ext cx="6868160" cy="1211580"/>
                      </a:xfrm>
                      <a:prstGeom prst="rect">
                        <a:avLst/>
                      </a:prstGeom>
                      <a:noFill/>
                      <a:ln w="12700" cap="flat">
                        <a:noFill/>
                        <a:miter lim="400000"/>
                      </a:ln>
                      <a:effectLst/>
                    </wps:spPr>
                    <wps:txbx>
                      <w:txbxContent>
                        <w:p w14:paraId="7D45EB62" w14:textId="77777777" w:rsidR="004860EC" w:rsidRDefault="00D93002" w:rsidP="003F4006">
                          <w:pPr>
                            <w:pStyle w:val="Caption"/>
                            <w:pBdr>
                              <w:top w:val="none" w:sz="0" w:space="0" w:color="auto"/>
                              <w:left w:val="none" w:sz="0" w:space="0" w:color="auto"/>
                              <w:bottom w:val="none" w:sz="0" w:space="0" w:color="auto"/>
                              <w:right w:val="none" w:sz="0" w:space="0" w:color="auto"/>
                            </w:pBdr>
                            <w:tabs>
                              <w:tab w:val="left" w:pos="1440"/>
                              <w:tab w:val="left" w:pos="2880"/>
                              <w:tab w:val="left" w:pos="4320"/>
                              <w:tab w:val="left" w:pos="5760"/>
                              <w:tab w:val="left" w:pos="7200"/>
                              <w:tab w:val="left" w:pos="8640"/>
                              <w:tab w:val="left" w:pos="10080"/>
                            </w:tabs>
                          </w:pPr>
                        </w:p>
                      </w:txbxContent>
                    </wps:txbx>
                    <wps:bodyPr wrap="square" lIns="0" tIns="0" rIns="0" bIns="0" numCol="1" anchor="ctr">
                      <a:normAutofit/>
                    </wps:bodyPr>
                  </wps:wsp>
                </a:graphicData>
              </a:graphic>
              <wp14:sizeRelH relativeFrom="page">
                <wp14:pctWidth>0</wp14:pctWidth>
              </wp14:sizeRelH>
              <wp14:sizeRelV relativeFrom="page">
                <wp14:pctHeight>0</wp14:pctHeight>
              </wp14:sizeRelV>
            </wp:anchor>
          </w:drawing>
        </mc:Choice>
        <mc:Fallback>
          <w:pict>
            <v:rect w14:anchorId="37067DA3" id="officeArt object" o:spid="_x0000_s1026" style="position:absolute;left:0;text-align:left;margin-left:27.25pt;margin-top:373.25pt;width:540.8pt;height:95.4pt;rotation:-45;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" filled="f" stroked="f" strokeweight="1pt">
              <v:stroke miterlimit="4"/>
              <v:textbox inset="0,0,0,0">
                <w:txbxContent>
                  <w:p w14:paraId="7D45EB62" w14:textId="77777777" w:rsidR="004860EC" w:rsidRDefault="00D93002" w:rsidP="003F4006">
                    <w:pPr>
                      <w:pStyle w:val="Caption"/>
                      <w:pBdr>
                        <w:top w:val="none" w:sz="0" w:space="0" w:color="auto"/>
                        <w:left w:val="none" w:sz="0" w:space="0" w:color="auto"/>
                        <w:bottom w:val="none" w:sz="0" w:space="0" w:color="auto"/>
                        <w:right w:val="none" w:sz="0" w:space="0" w:color="auto"/>
                      </w:pBdr>
                      <w:tabs>
                        <w:tab w:val="left" w:pos="1440"/>
                        <w:tab w:val="left" w:pos="2880"/>
                        <w:tab w:val="left" w:pos="4320"/>
                        <w:tab w:val="left" w:pos="5760"/>
                        <w:tab w:val="left" w:pos="7200"/>
                        <w:tab w:val="left" w:pos="8640"/>
                        <w:tab w:val="left" w:pos="10080"/>
                      </w:tabs>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8951C" w14:textId="77777777" w:rsidR="004860EC" w:rsidRDefault="00D93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690"/>
    <w:rsid w:val="00050A37"/>
    <w:rsid w:val="00093538"/>
    <w:rsid w:val="0025335B"/>
    <w:rsid w:val="00372F5F"/>
    <w:rsid w:val="0062121D"/>
    <w:rsid w:val="00686690"/>
    <w:rsid w:val="008511E8"/>
    <w:rsid w:val="00A7089F"/>
    <w:rsid w:val="00C65F30"/>
    <w:rsid w:val="00D930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6F81"/>
  <w15:chartTrackingRefBased/>
  <w15:docId w15:val="{D2C3F06E-7151-46B0-96FE-E24F5540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US" w:eastAsia="en-US" w:bidi="ar-SA"/>
      </w:rPr>
    </w:rPrDefault>
    <w:pPrDefault>
      <w:pPr>
        <w:jc w:val="lowKashida"/>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686690"/>
    <w:pPr>
      <w:pBdr>
        <w:top w:val="none" w:sz="96" w:space="31" w:color="FFFFFF" w:shadow="1" w:frame="1"/>
        <w:left w:val="none" w:sz="96" w:space="31" w:color="FFFFFF" w:shadow="1" w:frame="1"/>
        <w:bottom w:val="none" w:sz="96" w:space="31" w:color="FFFFFF" w:shadow="1" w:frame="1"/>
        <w:right w:val="none" w:sz="96" w:space="31" w:color="FFFFFF" w:shadow="1" w:frame="1"/>
      </w:pBdr>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93538"/>
    <w:pPr>
      <w:keepNext/>
      <w:keepLines/>
      <w:pBdr>
        <w:top w:val="none" w:sz="0" w:space="0" w:color="auto"/>
        <w:left w:val="none" w:sz="0" w:space="0" w:color="auto"/>
        <w:bottom w:val="none" w:sz="0" w:space="0" w:color="auto"/>
        <w:right w:val="none" w:sz="0" w:space="0" w:color="auto"/>
      </w:pBdr>
      <w:spacing w:before="480"/>
      <w:jc w:val="lowKashida"/>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3538"/>
    <w:pPr>
      <w:autoSpaceDE w:val="0"/>
      <w:autoSpaceDN w:val="0"/>
      <w:adjustRightInd w:val="0"/>
    </w:pPr>
    <w:rPr>
      <w:rFonts w:cs="Calibri"/>
      <w:color w:val="000000"/>
      <w:sz w:val="24"/>
      <w:szCs w:val="24"/>
    </w:rPr>
  </w:style>
  <w:style w:type="character" w:customStyle="1" w:styleId="Heading1Char">
    <w:name w:val="Heading 1 Char"/>
    <w:basedOn w:val="DefaultParagraphFont"/>
    <w:link w:val="Heading1"/>
    <w:uiPriority w:val="9"/>
    <w:rsid w:val="00093538"/>
    <w:rPr>
      <w:rFonts w:asciiTheme="majorHAnsi" w:eastAsiaTheme="majorEastAsia" w:hAnsiTheme="majorHAnsi" w:cstheme="majorBidi"/>
      <w:b/>
      <w:bCs/>
      <w:color w:val="2F5496" w:themeColor="accent1" w:themeShade="BF"/>
      <w:sz w:val="28"/>
      <w:szCs w:val="28"/>
    </w:rPr>
  </w:style>
  <w:style w:type="paragraph" w:styleId="FootnoteText">
    <w:name w:val="footnote text"/>
    <w:basedOn w:val="Normal"/>
    <w:link w:val="FootnoteTextChar"/>
    <w:uiPriority w:val="99"/>
    <w:semiHidden/>
    <w:unhideWhenUsed/>
    <w:rsid w:val="00093538"/>
    <w:pPr>
      <w:pBdr>
        <w:top w:val="none" w:sz="0" w:space="0" w:color="auto"/>
        <w:left w:val="none" w:sz="0" w:space="0" w:color="auto"/>
        <w:bottom w:val="none" w:sz="0" w:space="0" w:color="auto"/>
        <w:right w:val="none" w:sz="0" w:space="0" w:color="auto"/>
      </w:pBdr>
      <w:jc w:val="lowKashida"/>
    </w:pPr>
    <w:rPr>
      <w:rFonts w:ascii="Calibri" w:eastAsiaTheme="minorHAnsi" w:hAnsi="Calibri" w:cstheme="minorBidi"/>
      <w:sz w:val="20"/>
      <w:szCs w:val="20"/>
    </w:rPr>
  </w:style>
  <w:style w:type="character" w:customStyle="1" w:styleId="FootnoteTextChar">
    <w:name w:val="Footnote Text Char"/>
    <w:basedOn w:val="DefaultParagraphFont"/>
    <w:link w:val="FootnoteText"/>
    <w:uiPriority w:val="99"/>
    <w:semiHidden/>
    <w:rsid w:val="00093538"/>
    <w:rPr>
      <w:sz w:val="20"/>
      <w:szCs w:val="20"/>
    </w:rPr>
  </w:style>
  <w:style w:type="paragraph" w:styleId="Header">
    <w:name w:val="header"/>
    <w:basedOn w:val="Normal"/>
    <w:link w:val="HeaderChar"/>
    <w:uiPriority w:val="99"/>
    <w:unhideWhenUsed/>
    <w:rsid w:val="00093538"/>
    <w:pPr>
      <w:pBdr>
        <w:top w:val="none" w:sz="0" w:space="0" w:color="auto"/>
        <w:left w:val="none" w:sz="0" w:space="0" w:color="auto"/>
        <w:bottom w:val="none" w:sz="0" w:space="0" w:color="auto"/>
        <w:right w:val="none" w:sz="0" w:space="0" w:color="auto"/>
      </w:pBdr>
      <w:tabs>
        <w:tab w:val="center" w:pos="4680"/>
        <w:tab w:val="right" w:pos="9360"/>
      </w:tabs>
      <w:jc w:val="lowKashida"/>
    </w:pPr>
    <w:rPr>
      <w:rFonts w:ascii="Calibri" w:eastAsiaTheme="minorHAnsi" w:hAnsi="Calibri" w:cstheme="minorBidi"/>
      <w:sz w:val="22"/>
      <w:szCs w:val="22"/>
    </w:rPr>
  </w:style>
  <w:style w:type="character" w:customStyle="1" w:styleId="HeaderChar">
    <w:name w:val="Header Char"/>
    <w:basedOn w:val="DefaultParagraphFont"/>
    <w:link w:val="Header"/>
    <w:uiPriority w:val="99"/>
    <w:rsid w:val="00093538"/>
  </w:style>
  <w:style w:type="paragraph" w:styleId="Footer">
    <w:name w:val="footer"/>
    <w:basedOn w:val="Normal"/>
    <w:link w:val="FooterChar"/>
    <w:uiPriority w:val="99"/>
    <w:unhideWhenUsed/>
    <w:rsid w:val="00093538"/>
    <w:pPr>
      <w:pBdr>
        <w:top w:val="none" w:sz="0" w:space="0" w:color="auto"/>
        <w:left w:val="none" w:sz="0" w:space="0" w:color="auto"/>
        <w:bottom w:val="none" w:sz="0" w:space="0" w:color="auto"/>
        <w:right w:val="none" w:sz="0" w:space="0" w:color="auto"/>
      </w:pBdr>
      <w:tabs>
        <w:tab w:val="center" w:pos="4680"/>
        <w:tab w:val="right" w:pos="9360"/>
      </w:tabs>
      <w:jc w:val="lowKashida"/>
    </w:pPr>
    <w:rPr>
      <w:rFonts w:ascii="Calibri" w:eastAsiaTheme="minorHAnsi" w:hAnsi="Calibri" w:cstheme="minorBidi"/>
      <w:sz w:val="22"/>
      <w:szCs w:val="22"/>
    </w:rPr>
  </w:style>
  <w:style w:type="character" w:customStyle="1" w:styleId="FooterChar">
    <w:name w:val="Footer Char"/>
    <w:basedOn w:val="DefaultParagraphFont"/>
    <w:link w:val="Footer"/>
    <w:uiPriority w:val="99"/>
    <w:rsid w:val="00093538"/>
  </w:style>
  <w:style w:type="character" w:styleId="FootnoteReference">
    <w:name w:val="footnote reference"/>
    <w:basedOn w:val="DefaultParagraphFont"/>
    <w:uiPriority w:val="99"/>
    <w:semiHidden/>
    <w:unhideWhenUsed/>
    <w:rsid w:val="00093538"/>
    <w:rPr>
      <w:vertAlign w:val="superscript"/>
    </w:rPr>
  </w:style>
  <w:style w:type="paragraph" w:styleId="Title">
    <w:name w:val="Title"/>
    <w:basedOn w:val="Normal"/>
    <w:next w:val="Normal"/>
    <w:link w:val="TitleChar"/>
    <w:uiPriority w:val="10"/>
    <w:qFormat/>
    <w:rsid w:val="00093538"/>
    <w:pPr>
      <w:pBdr>
        <w:top w:val="none" w:sz="0" w:space="0" w:color="auto"/>
        <w:left w:val="none" w:sz="0" w:space="0" w:color="auto"/>
        <w:bottom w:val="single" w:sz="8" w:space="4" w:color="4472C4" w:themeColor="accent1"/>
        <w:right w:val="none" w:sz="0" w:space="0" w:color="auto"/>
      </w:pBdr>
      <w:spacing w:after="300"/>
      <w:contextualSpacing/>
      <w:jc w:val="lowKashida"/>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3538"/>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093538"/>
    <w:rPr>
      <w:color w:val="0000FF"/>
      <w:u w:val="single"/>
    </w:rPr>
  </w:style>
  <w:style w:type="paragraph" w:styleId="NormalWeb">
    <w:name w:val="Normal (Web)"/>
    <w:basedOn w:val="Normal"/>
    <w:uiPriority w:val="99"/>
    <w:unhideWhenUsed/>
    <w:rsid w:val="00093538"/>
    <w:pPr>
      <w:pBdr>
        <w:top w:val="none" w:sz="0" w:space="0" w:color="auto"/>
        <w:left w:val="none" w:sz="0" w:space="0" w:color="auto"/>
        <w:bottom w:val="none" w:sz="0" w:space="0" w:color="auto"/>
        <w:right w:val="none" w:sz="0" w:space="0" w:color="auto"/>
      </w:pBdr>
      <w:spacing w:before="100" w:beforeAutospacing="1" w:after="100" w:afterAutospacing="1"/>
      <w:jc w:val="lowKashida"/>
    </w:pPr>
  </w:style>
  <w:style w:type="paragraph" w:styleId="ListParagraph">
    <w:name w:val="List Paragraph"/>
    <w:basedOn w:val="Normal"/>
    <w:uiPriority w:val="34"/>
    <w:qFormat/>
    <w:rsid w:val="00093538"/>
    <w:pPr>
      <w:pBdr>
        <w:top w:val="none" w:sz="0" w:space="0" w:color="auto"/>
        <w:left w:val="none" w:sz="0" w:space="0" w:color="auto"/>
        <w:bottom w:val="none" w:sz="0" w:space="0" w:color="auto"/>
        <w:right w:val="none" w:sz="0" w:space="0" w:color="auto"/>
      </w:pBdr>
      <w:ind w:left="720"/>
      <w:contextualSpacing/>
      <w:jc w:val="lowKashida"/>
    </w:pPr>
    <w:rPr>
      <w:rFonts w:ascii="Calibri" w:eastAsiaTheme="minorHAnsi" w:hAnsi="Calibri" w:cstheme="minorBidi"/>
      <w:sz w:val="22"/>
      <w:szCs w:val="22"/>
    </w:rPr>
  </w:style>
  <w:style w:type="paragraph" w:styleId="Caption">
    <w:name w:val="caption"/>
    <w:basedOn w:val="Normal"/>
    <w:uiPriority w:val="35"/>
    <w:rsid w:val="00686690"/>
    <w:pPr>
      <w:suppressAutoHyphens/>
      <w:outlineLvl w:val="0"/>
    </w:pPr>
    <w:rPr>
      <w:rFonts w:ascii="Calibri" w:hAnsi="Calibri" w:cs="Calibri"/>
      <w:color w:val="000000"/>
      <w:sz w:val="36"/>
      <w:szCs w:val="36"/>
      <w:lang w:eastAsia="en-IN"/>
    </w:rPr>
  </w:style>
  <w:style w:type="paragraph" w:customStyle="1" w:styleId="Body">
    <w:name w:val="Body"/>
    <w:rsid w:val="00686690"/>
    <w:pPr>
      <w:pBdr>
        <w:top w:val="none" w:sz="96" w:space="31" w:color="FFFFFF" w:shadow="1" w:frame="1"/>
        <w:left w:val="none" w:sz="96" w:space="31" w:color="FFFFFF" w:shadow="1" w:frame="1"/>
        <w:bottom w:val="none" w:sz="96" w:space="31" w:color="FFFFFF" w:shadow="1" w:frame="1"/>
        <w:right w:val="none" w:sz="96" w:space="31" w:color="FFFFFF" w:shadow="1" w:frame="1"/>
      </w:pBdr>
      <w:spacing w:after="160" w:line="259" w:lineRule="auto"/>
      <w:jc w:val="left"/>
    </w:pPr>
    <w:rPr>
      <w:rFonts w:eastAsia="Times New Roman" w:cs="Calibri"/>
      <w:color w:val="000000"/>
      <w:u w:color="000000"/>
      <w:lang w:eastAsia="en-IN"/>
    </w:rPr>
  </w:style>
  <w:style w:type="character" w:customStyle="1" w:styleId="None">
    <w:name w:val="None"/>
    <w:rsid w:val="00686690"/>
  </w:style>
  <w:style w:type="paragraph" w:styleId="EndnoteText">
    <w:name w:val="endnote text"/>
    <w:basedOn w:val="Normal"/>
    <w:link w:val="EndnoteTextChar"/>
    <w:uiPriority w:val="99"/>
    <w:rsid w:val="00686690"/>
    <w:pPr>
      <w:pBdr>
        <w:top w:val="none" w:sz="0" w:space="0" w:color="auto"/>
        <w:left w:val="none" w:sz="0" w:space="0" w:color="auto"/>
        <w:bottom w:val="none" w:sz="0" w:space="0" w:color="auto"/>
        <w:right w:val="none" w:sz="0" w:space="0" w:color="auto"/>
      </w:pBdr>
      <w:suppressAutoHyphens/>
      <w:autoSpaceDN w:val="0"/>
      <w:ind w:left="144" w:hanging="144"/>
      <w:textAlignment w:val="baseline"/>
    </w:pPr>
    <w:rPr>
      <w:rFonts w:ascii="Calibri" w:hAnsi="Calibri" w:cs="Arial"/>
      <w:sz w:val="20"/>
      <w:szCs w:val="20"/>
    </w:rPr>
  </w:style>
  <w:style w:type="character" w:customStyle="1" w:styleId="EndnoteTextChar">
    <w:name w:val="Endnote Text Char"/>
    <w:basedOn w:val="DefaultParagraphFont"/>
    <w:link w:val="EndnoteText"/>
    <w:uiPriority w:val="99"/>
    <w:rsid w:val="00686690"/>
    <w:rPr>
      <w:rFonts w:eastAsia="Times New Roman" w:cs="Arial"/>
      <w:sz w:val="20"/>
      <w:szCs w:val="20"/>
    </w:rPr>
  </w:style>
  <w:style w:type="character" w:styleId="EndnoteReference">
    <w:name w:val="endnote reference"/>
    <w:uiPriority w:val="99"/>
    <w:rsid w:val="00686690"/>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endnotes.xml.rels><?xml version="1.0" encoding="UTF-8" standalone="yes"?>
<Relationships xmlns="http://schemas.openxmlformats.org/package/2006/relationships"><Relationship Id="rId8" Type="http://schemas.openxmlformats.org/officeDocument/2006/relationships/hyperlink" Target="https://pdfs.semanticscholar.org/4025/00aed5f49cddcb53705693a7f47b56490c7c.pdf" TargetMode="External"/><Relationship Id="rId13" Type="http://schemas.openxmlformats.org/officeDocument/2006/relationships/hyperlink" Target="http://www.worldbank.org/content/dam/Worldbank/egypt-inequality-book.pdf" TargetMode="External"/><Relationship Id="rId18" Type="http://schemas.openxmlformats.org/officeDocument/2006/relationships/hyperlink" Target="https://undocs.org/A/RES/70/169" TargetMode="External"/><Relationship Id="rId26" Type="http://schemas.openxmlformats.org/officeDocument/2006/relationships/hyperlink" Target="http://www.taimiah.org/Display.Asp?f=bc9051100010.htm" TargetMode="External"/><Relationship Id="rId39" Type="http://schemas.openxmlformats.org/officeDocument/2006/relationships/hyperlink" Target="http://srenvironment.org/sites/default/files/Reports/2018/Boyd%20Knox%20UNGA%20report%202018.pdf" TargetMode="External"/><Relationship Id="rId3" Type="http://schemas.openxmlformats.org/officeDocument/2006/relationships/hyperlink" Target="http://www.ohchr.org/Documents/Publications/Land_HR-CaseLaw.pdf" TargetMode="External"/><Relationship Id="rId21" Type="http://schemas.openxmlformats.org/officeDocument/2006/relationships/hyperlink" Target="https://www.liebertpub.com/doi/pdfplus/10.1089/acm.2011.0820" TargetMode="External"/><Relationship Id="rId34" Type="http://schemas.openxmlformats.org/officeDocument/2006/relationships/hyperlink" Target="http://www.un.org/en/ga/search/view_doc.asp?symbol=A/RES/64/292" TargetMode="External"/><Relationship Id="rId42" Type="http://schemas.openxmlformats.org/officeDocument/2006/relationships/hyperlink" Target="http://www.un.org/documents/ga/docs/56/a5610.pdf" TargetMode="External"/><Relationship Id="rId47" Type="http://schemas.openxmlformats.org/officeDocument/2006/relationships/hyperlink" Target="http://www.ohchr.org/Documents/Publications/Land_HR-StandardsApplications.pdf" TargetMode="External"/><Relationship Id="rId7" Type="http://schemas.openxmlformats.org/officeDocument/2006/relationships/hyperlink" Target="https://pdfs.semanticscholar.org/4b6d/5d9142a42693e17ca28d35e38ff5299d8136.pdf" TargetMode="External"/><Relationship Id="rId12" Type="http://schemas.openxmlformats.org/officeDocument/2006/relationships/hyperlink" Target="https://www.oxfam.org/sites/www.oxfam.org/files/file_attachments/bp-land-power-inequality-latin-america-301116-en.pdf" TargetMode="External"/><Relationship Id="rId17" Type="http://schemas.openxmlformats.org/officeDocument/2006/relationships/hyperlink" Target="https://www.un.org/en/ga/search/view_doc.asp?symbol=A/RES/64/292" TargetMode="External"/><Relationship Id="rId25" Type="http://schemas.openxmlformats.org/officeDocument/2006/relationships/hyperlink" Target="http://mobile.ahadith.co.uk/chapter.php?page=4&amp;cid=175" TargetMode="External"/><Relationship Id="rId33" Type="http://schemas.openxmlformats.org/officeDocument/2006/relationships/hyperlink" Target="http://www2.ohchr.org/english/issues/water/docs/CESCR_GC_15.pdf" TargetMode="External"/><Relationship Id="rId38" Type="http://schemas.openxmlformats.org/officeDocument/2006/relationships/hyperlink" Target="https://tbinternet.ohchr.org/_layouts/15/treatybodyexternal/Download.aspx?symbolno=E%2fC.12%2f2000%2f4&amp;Lang=en" TargetMode="External"/><Relationship Id="rId46" Type="http://schemas.openxmlformats.org/officeDocument/2006/relationships/hyperlink" Target="http://www.ohchr.org/Documents/Publications/Land_HR-CaseLaw.pdf" TargetMode="External"/><Relationship Id="rId2" Type="http://schemas.openxmlformats.org/officeDocument/2006/relationships/hyperlink" Target="http://www.ohchr.org/Documents/Publications/Land_HR-StandardsApplications.pdf" TargetMode="External"/><Relationship Id="rId16" Type="http://schemas.openxmlformats.org/officeDocument/2006/relationships/hyperlink" Target="https://tbinternet.ohchr.org/_layouts/15/treatybodyexternal/Download.aspx?symbolno=E%2fC.12%2f2002%2f11&amp;Lang=en" TargetMode="External"/><Relationship Id="rId20" Type="http://schemas.openxmlformats.org/officeDocument/2006/relationships/hyperlink" Target="https://articles.mercola.com/sites/articles/archive/2015/11/21/grounding-effects.aspx" TargetMode="External"/><Relationship Id="rId29" Type="http://schemas.openxmlformats.org/officeDocument/2006/relationships/hyperlink" Target="http://dx.doi.org/10.1155/2012/291541" TargetMode="External"/><Relationship Id="rId41" Type="http://schemas.openxmlformats.org/officeDocument/2006/relationships/hyperlink" Target="http://www.hlrn.org/spage.php?id=qnE=" TargetMode="External"/><Relationship Id="rId1" Type="http://schemas.openxmlformats.org/officeDocument/2006/relationships/hyperlink" Target="https://www.un.org/en/universal-declaration-human-rights/" TargetMode="External"/><Relationship Id="rId6" Type="http://schemas.openxmlformats.org/officeDocument/2006/relationships/hyperlink" Target="http://www.unrisd.org/80256B3C005BCCF9/(httpAuxPages)/101C4E46DE4EA2B080256B6D005786F0/$file/moyo.pdf" TargetMode="External"/><Relationship Id="rId11" Type="http://schemas.openxmlformats.org/officeDocument/2006/relationships/hyperlink" Target="http://www.worldbank.org/content/dam/Worldbank/egypt-inequality-book.pdf" TargetMode="External"/><Relationship Id="rId24" Type="http://schemas.openxmlformats.org/officeDocument/2006/relationships/hyperlink" Target="https://www.degruyter.com/downloadpdf/j/zna.1952.7.issue-2/zna-1952-0202/zna-1952-0202.pdf" TargetMode="External"/><Relationship Id="rId32" Type="http://schemas.openxmlformats.org/officeDocument/2006/relationships/hyperlink" Target="https://www.hlrn.org/news.php?id=p21nZg==" TargetMode="External"/><Relationship Id="rId37" Type="http://schemas.openxmlformats.org/officeDocument/2006/relationships/hyperlink" Target="https://www.ilo.org/dyn/normlex/en/f?p=NORMLEXPUB:12100:0::NO::P12100_ILO_CODE:C169" TargetMode="External"/><Relationship Id="rId40" Type="http://schemas.openxmlformats.org/officeDocument/2006/relationships/hyperlink" Target="https://tbinternet.ohchr.org/_layouts/15/treatybodyexternal/Download.aspx?symbolno=E%2fC.12%2fGC%2f21&amp;Lang=en" TargetMode="External"/><Relationship Id="rId45" Type="http://schemas.openxmlformats.org/officeDocument/2006/relationships/hyperlink" Target="http://minorityrights.org/wp-content/uploads/2015/10/MRG_Rep_LandRights_Oct15.pdf" TargetMode="External"/><Relationship Id="rId5" Type="http://schemas.openxmlformats.org/officeDocument/2006/relationships/hyperlink" Target="http://www.un.org/Docs/journal/asp/ws.asp?m=E/2014/86" TargetMode="External"/><Relationship Id="rId15" Type="http://schemas.openxmlformats.org/officeDocument/2006/relationships/hyperlink" Target="http://www.consiglio.regione.campania.it/cms/CM_PORTALE_CRC/servlet/Docs?dir=docs_biblio&amp;file=BiblioContenuto_3641.pdf" TargetMode="External"/><Relationship Id="rId23" Type="http://schemas.openxmlformats.org/officeDocument/2006/relationships/hyperlink" Target="https://www.liebertpub.com/doi/abs/10.1089/acm.2010.0687" TargetMode="External"/><Relationship Id="rId28" Type="http://schemas.openxmlformats.org/officeDocument/2006/relationships/hyperlink" Target="https://tbinternet.ohchr.org/_layouts/15/treatybodyexternal/Download.aspx?symbolno=E%2fC.12%2f1999%2f5&amp;Lang=en" TargetMode="External"/><Relationship Id="rId36" Type="http://schemas.openxmlformats.org/officeDocument/2006/relationships/hyperlink" Target="https://www.un.org/development/desa/indigenouspeoples/wp-content/uploads/sites/19/2018/11/UNDRIP_E_web.pdf" TargetMode="External"/><Relationship Id="rId10" Type="http://schemas.openxmlformats.org/officeDocument/2006/relationships/hyperlink" Target="https://www.wider.unu.edu/project/land-inequality-and-decentralized-governance-ldcs" TargetMode="External"/><Relationship Id="rId19" Type="http://schemas.openxmlformats.org/officeDocument/2006/relationships/hyperlink" Target="https://www.dovepress.com/the-effects-of-grounding-earthing-on-inflammation-the-immune-response--peer-reviewed-article-JIR" TargetMode="External"/><Relationship Id="rId31" Type="http://schemas.openxmlformats.org/officeDocument/2006/relationships/hyperlink" Target="https://undocs.org/en/A/RES/73/165" TargetMode="External"/><Relationship Id="rId44" Type="http://schemas.openxmlformats.org/officeDocument/2006/relationships/hyperlink" Target="https://tbinternet.ohchr.org/_layouts/15/treatybodyexternal/Download.aspx?symbolno=INT%2fCESCR%2fGEC%2f4758&amp;Lang=en" TargetMode="External"/><Relationship Id="rId4" Type="http://schemas.openxmlformats.org/officeDocument/2006/relationships/hyperlink" Target="http://www.ohchr.org/Documents/Publications/RealizingWomensRightstoLand.pdf" TargetMode="External"/><Relationship Id="rId9" Type="http://schemas.openxmlformats.org/officeDocument/2006/relationships/hyperlink" Target="http://web.worldbank.org/archive/website01066/WEB/IMAGES/127527-2.PDF" TargetMode="External"/><Relationship Id="rId14" Type="http://schemas.openxmlformats.org/officeDocument/2006/relationships/hyperlink" Target="https://gltn.net/2019/03/15/guidance-note-of-the-secretary-general-the-united-nations-and-land-and-conflict-march-2019/" TargetMode="External"/><Relationship Id="rId22" Type="http://schemas.openxmlformats.org/officeDocument/2006/relationships/hyperlink" Target="http://dx.doi.org/10.1155/2013/382643" TargetMode="External"/><Relationship Id="rId27" Type="http://schemas.openxmlformats.org/officeDocument/2006/relationships/hyperlink" Target="http://www.islamset.com/env/contenv.html" TargetMode="External"/><Relationship Id="rId30" Type="http://schemas.openxmlformats.org/officeDocument/2006/relationships/hyperlink" Target="http://www.un.org/en/ga/search/view_doc.asp?symbol=A/RES/71/256" TargetMode="External"/><Relationship Id="rId35" Type="http://schemas.openxmlformats.org/officeDocument/2006/relationships/hyperlink" Target="https://tbinternet.ohchr.org/_layouts/15/treatybodyexternal/Download.aspx?symbolno=E%2fC.12%2fGC%2f21%2fREV.1&amp;Lang=en" TargetMode="External"/><Relationship Id="rId43" Type="http://schemas.openxmlformats.org/officeDocument/2006/relationships/hyperlink" Target="http://www.eydner.org/dokumente/darsiwa_comm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7B6DDC-FA29-4834-B5BE-6B7AA034B451}"/>
</file>

<file path=customXml/itemProps2.xml><?xml version="1.0" encoding="utf-8"?>
<ds:datastoreItem xmlns:ds="http://schemas.openxmlformats.org/officeDocument/2006/customXml" ds:itemID="{7B9586BC-37BF-45B4-887B-703F706BE7E3}"/>
</file>

<file path=customXml/itemProps3.xml><?xml version="1.0" encoding="utf-8"?>
<ds:datastoreItem xmlns:ds="http://schemas.openxmlformats.org/officeDocument/2006/customXml" ds:itemID="{4D64CA6A-4CFF-4EBE-9C76-12BDC21A83FA}"/>
</file>

<file path=docProps/app.xml><?xml version="1.0" encoding="utf-8"?>
<Properties xmlns="http://schemas.openxmlformats.org/officeDocument/2006/extended-properties" xmlns:vt="http://schemas.openxmlformats.org/officeDocument/2006/docPropsVTypes">
  <Template>Normal</Template>
  <TotalTime>1</TotalTime>
  <Pages>8</Pages>
  <Words>3317</Words>
  <Characters>18913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CESCR_HIC_Contribution_Land</dc:title>
  <dc:subject/>
  <dc:creator>Joseph Schechla</dc:creator>
  <cp:keywords/>
  <dc:description/>
  <cp:lastModifiedBy>Joseph Schechla</cp:lastModifiedBy>
  <cp:revision>2</cp:revision>
  <dcterms:created xsi:type="dcterms:W3CDTF">2019-10-10T21:04:00Z</dcterms:created>
  <dcterms:modified xsi:type="dcterms:W3CDTF">2019-10-10T21:04:00Z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