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97" w:rsidRPr="00420CC7" w:rsidRDefault="00A72997">
      <w:pPr>
        <w:rPr>
          <w:rFonts w:ascii="Times New Roman" w:hAnsi="Times New Roman" w:cs="Times New Roman"/>
          <w:b/>
          <w:lang w:val="es-CO"/>
        </w:rPr>
      </w:pPr>
    </w:p>
    <w:p w:rsidR="008F768F" w:rsidRPr="00420CC7" w:rsidRDefault="00A72997">
      <w:pPr>
        <w:rPr>
          <w:rFonts w:ascii="Times New Roman" w:hAnsi="Times New Roman" w:cs="Times New Roman"/>
          <w:b/>
          <w:lang w:val="es-CO"/>
        </w:rPr>
      </w:pPr>
      <w:r w:rsidRPr="00420CC7">
        <w:rPr>
          <w:rFonts w:ascii="Times New Roman" w:hAnsi="Times New Roman" w:cs="Times New Roman"/>
          <w:b/>
          <w:lang w:val="es-CO"/>
        </w:rPr>
        <w:t>Honorables miembros del Comité de Derechos Económicos, Sociales y Culturales,</w:t>
      </w:r>
    </w:p>
    <w:p w:rsidR="00A72997" w:rsidRPr="00420CC7" w:rsidRDefault="00A72997" w:rsidP="00A72997">
      <w:pPr>
        <w:jc w:val="both"/>
        <w:rPr>
          <w:rFonts w:ascii="Times New Roman" w:hAnsi="Times New Roman" w:cs="Times New Roman"/>
          <w:lang w:val="es-CO"/>
        </w:rPr>
      </w:pPr>
      <w:r w:rsidRPr="00420CC7">
        <w:rPr>
          <w:rFonts w:ascii="Times New Roman" w:hAnsi="Times New Roman" w:cs="Times New Roman"/>
          <w:lang w:val="es-CO"/>
        </w:rPr>
        <w:t>Desde Elementa, Consultoría en Derechos valoramos el esfuerzo del Comité DESC por el esfuerzo de profundizar sobre el contenido del derecho a la ciencia y los retos para la garantía efectivo de este</w:t>
      </w:r>
      <w:r w:rsidR="00F86B28" w:rsidRPr="00420CC7">
        <w:rPr>
          <w:rFonts w:ascii="Times New Roman" w:hAnsi="Times New Roman" w:cs="Times New Roman"/>
          <w:lang w:val="es-CO"/>
        </w:rPr>
        <w:t xml:space="preserve"> a través de una Observación General</w:t>
      </w:r>
      <w:r w:rsidRPr="00420CC7">
        <w:rPr>
          <w:rFonts w:ascii="Times New Roman" w:hAnsi="Times New Roman" w:cs="Times New Roman"/>
          <w:lang w:val="es-CO"/>
        </w:rPr>
        <w:t>. Sin duda, este acercamiento por parte del Comité será fundamental para los debates dent</w:t>
      </w:r>
      <w:bookmarkStart w:id="0" w:name="_GoBack"/>
      <w:bookmarkEnd w:id="0"/>
      <w:r w:rsidRPr="00420CC7">
        <w:rPr>
          <w:rFonts w:ascii="Times New Roman" w:hAnsi="Times New Roman" w:cs="Times New Roman"/>
          <w:lang w:val="es-CO"/>
        </w:rPr>
        <w:t xml:space="preserve">ro de los Estados, la sociedad civil y demás actores relacionados frente a los deberes y prerrogativas que surgen de dicho derecho. </w:t>
      </w:r>
    </w:p>
    <w:p w:rsidR="00F86B28" w:rsidRPr="00420CC7" w:rsidRDefault="00F86B28" w:rsidP="00A72997">
      <w:pPr>
        <w:jc w:val="both"/>
        <w:rPr>
          <w:rFonts w:ascii="Times New Roman" w:hAnsi="Times New Roman" w:cs="Times New Roman"/>
          <w:lang w:val="es-CO"/>
        </w:rPr>
      </w:pPr>
      <w:r w:rsidRPr="00420CC7">
        <w:rPr>
          <w:rFonts w:ascii="Times New Roman" w:hAnsi="Times New Roman" w:cs="Times New Roman"/>
          <w:lang w:val="es-CO"/>
        </w:rPr>
        <w:t>De igual forma, nos congratulamos que se haya incorporado al texto de la Observación General contenido relacionado con el papel de la ciencia en la política de drogas, específicamente respecto al estudio de las sustancias psicoactivas. Frente a dicha temática, exponemos un par de recomendaciones a tener en cuenta en el texto final del documento:</w:t>
      </w:r>
    </w:p>
    <w:p w:rsidR="00F86B28" w:rsidRPr="00420CC7" w:rsidRDefault="00F86B28" w:rsidP="00F86B28">
      <w:pPr>
        <w:pStyle w:val="Prrafodelista"/>
        <w:numPr>
          <w:ilvl w:val="0"/>
          <w:numId w:val="1"/>
        </w:numPr>
        <w:jc w:val="both"/>
        <w:rPr>
          <w:rFonts w:ascii="Times New Roman" w:hAnsi="Times New Roman" w:cs="Times New Roman"/>
          <w:b/>
          <w:lang w:val="es-CO"/>
        </w:rPr>
      </w:pPr>
      <w:r w:rsidRPr="00420CC7">
        <w:rPr>
          <w:rFonts w:ascii="Times New Roman" w:hAnsi="Times New Roman" w:cs="Times New Roman"/>
          <w:b/>
          <w:lang w:val="es-CO"/>
        </w:rPr>
        <w:t>Capítulo V, sección A, temas específicos, párrafo 58.</w:t>
      </w:r>
    </w:p>
    <w:p w:rsidR="00071AAC" w:rsidRPr="00420CC7" w:rsidRDefault="00071AAC" w:rsidP="00071AAC">
      <w:pPr>
        <w:jc w:val="both"/>
        <w:rPr>
          <w:rFonts w:ascii="Times New Roman" w:hAnsi="Times New Roman" w:cs="Times New Roman"/>
          <w:lang w:val="es-CO"/>
        </w:rPr>
      </w:pPr>
      <w:r w:rsidRPr="00420CC7">
        <w:rPr>
          <w:rFonts w:ascii="Times New Roman" w:hAnsi="Times New Roman" w:cs="Times New Roman"/>
          <w:lang w:val="es-CO"/>
        </w:rPr>
        <w:t>El citado párrafo señala que el conocimiento científico para la toma de decisiones en materia de política pública tendrá que basarse en la evidencia. De igual forma</w:t>
      </w:r>
      <w:r w:rsidR="00CE5584" w:rsidRPr="00420CC7">
        <w:rPr>
          <w:rFonts w:ascii="Times New Roman" w:hAnsi="Times New Roman" w:cs="Times New Roman"/>
          <w:lang w:val="es-CO"/>
        </w:rPr>
        <w:t>,</w:t>
      </w:r>
      <w:r w:rsidRPr="00420CC7">
        <w:rPr>
          <w:rFonts w:ascii="Times New Roman" w:hAnsi="Times New Roman" w:cs="Times New Roman"/>
          <w:lang w:val="es-CO"/>
        </w:rPr>
        <w:t xml:space="preserve"> establece que se deberá promover la cultura de la ciencia y fomentar un debate democrático entre la comunidad científica y la sociedad.</w:t>
      </w:r>
    </w:p>
    <w:p w:rsidR="00B32A87" w:rsidRPr="00420CC7" w:rsidRDefault="00071AAC" w:rsidP="00071AAC">
      <w:pPr>
        <w:jc w:val="both"/>
        <w:rPr>
          <w:rFonts w:ascii="Times New Roman" w:hAnsi="Times New Roman" w:cs="Times New Roman"/>
          <w:i/>
        </w:rPr>
      </w:pPr>
      <w:r w:rsidRPr="00420CC7">
        <w:rPr>
          <w:rFonts w:ascii="Times New Roman" w:hAnsi="Times New Roman" w:cs="Times New Roman"/>
          <w:lang w:val="es-CO"/>
        </w:rPr>
        <w:t>Al respecto consid</w:t>
      </w:r>
      <w:r w:rsidR="00CE5584" w:rsidRPr="00420CC7">
        <w:rPr>
          <w:rFonts w:ascii="Times New Roman" w:hAnsi="Times New Roman" w:cs="Times New Roman"/>
          <w:lang w:val="es-CO"/>
        </w:rPr>
        <w:t xml:space="preserve">eramos que es importante </w:t>
      </w:r>
      <w:r w:rsidR="001A628F">
        <w:rPr>
          <w:rFonts w:ascii="Times New Roman" w:hAnsi="Times New Roman" w:cs="Times New Roman"/>
          <w:lang w:val="es-CO"/>
        </w:rPr>
        <w:t>que se incorporé la importancia de que los</w:t>
      </w:r>
      <w:r w:rsidR="00CE5584" w:rsidRPr="00420CC7">
        <w:rPr>
          <w:rFonts w:ascii="Times New Roman" w:hAnsi="Times New Roman" w:cs="Times New Roman"/>
          <w:lang w:val="es-CO"/>
        </w:rPr>
        <w:t xml:space="preserve"> tratamiento</w:t>
      </w:r>
      <w:r w:rsidR="001A628F">
        <w:rPr>
          <w:rFonts w:ascii="Times New Roman" w:hAnsi="Times New Roman" w:cs="Times New Roman"/>
          <w:lang w:val="es-CO"/>
        </w:rPr>
        <w:t>s</w:t>
      </w:r>
      <w:r w:rsidR="00CE5584" w:rsidRPr="00420CC7">
        <w:rPr>
          <w:rFonts w:ascii="Times New Roman" w:hAnsi="Times New Roman" w:cs="Times New Roman"/>
          <w:lang w:val="es-CO"/>
        </w:rPr>
        <w:t xml:space="preserve"> relacionado</w:t>
      </w:r>
      <w:r w:rsidR="001A628F">
        <w:rPr>
          <w:rFonts w:ascii="Times New Roman" w:hAnsi="Times New Roman" w:cs="Times New Roman"/>
          <w:lang w:val="es-CO"/>
        </w:rPr>
        <w:t>s</w:t>
      </w:r>
      <w:r w:rsidR="00CE5584" w:rsidRPr="00420CC7">
        <w:rPr>
          <w:rFonts w:ascii="Times New Roman" w:hAnsi="Times New Roman" w:cs="Times New Roman"/>
          <w:lang w:val="es-CO"/>
        </w:rPr>
        <w:t xml:space="preserve"> con consumo de sustancias psicoactivas</w:t>
      </w:r>
      <w:r w:rsidR="001A628F">
        <w:rPr>
          <w:rFonts w:ascii="Times New Roman" w:hAnsi="Times New Roman" w:cs="Times New Roman"/>
          <w:lang w:val="es-CO"/>
        </w:rPr>
        <w:t xml:space="preserve"> se basen en evidencia científica</w:t>
      </w:r>
      <w:r w:rsidR="00420CC7">
        <w:rPr>
          <w:rFonts w:ascii="Times New Roman" w:hAnsi="Times New Roman" w:cs="Times New Roman"/>
          <w:lang w:val="es-CO"/>
        </w:rPr>
        <w:t>, a fin de evitar vulneraciones a los derechos de las personas usuarias</w:t>
      </w:r>
      <w:r w:rsidR="009C712D">
        <w:rPr>
          <w:rFonts w:ascii="Times New Roman" w:hAnsi="Times New Roman" w:cs="Times New Roman"/>
          <w:lang w:val="es-CO"/>
        </w:rPr>
        <w:t>. Esto</w:t>
      </w:r>
      <w:r w:rsidR="0067279F" w:rsidRPr="00420CC7">
        <w:rPr>
          <w:rFonts w:ascii="Times New Roman" w:hAnsi="Times New Roman" w:cs="Times New Roman"/>
          <w:lang w:val="es-CO"/>
        </w:rPr>
        <w:t xml:space="preserve">, tomando en consideración lo señalado anteriormente por el </w:t>
      </w:r>
      <w:r w:rsidR="0067279F" w:rsidRPr="00420CC7">
        <w:rPr>
          <w:rFonts w:ascii="Times New Roman" w:hAnsi="Times New Roman" w:cs="Times New Roman"/>
          <w:i/>
          <w:lang w:val="es-CO"/>
        </w:rPr>
        <w:t xml:space="preserve">Relator Especial </w:t>
      </w:r>
      <w:r w:rsidR="0067279F" w:rsidRPr="00420CC7">
        <w:rPr>
          <w:rFonts w:ascii="Times New Roman" w:hAnsi="Times New Roman" w:cs="Times New Roman"/>
          <w:i/>
        </w:rPr>
        <w:t>sobre el derecho de toda persona al disfrute del más alto nivel posible de salud física y mental</w:t>
      </w:r>
      <w:r w:rsidR="00B32A87" w:rsidRPr="00420CC7">
        <w:rPr>
          <w:rFonts w:ascii="Times New Roman" w:hAnsi="Times New Roman" w:cs="Times New Roman"/>
          <w:i/>
        </w:rPr>
        <w:t>:</w:t>
      </w:r>
    </w:p>
    <w:p w:rsidR="0067279F" w:rsidRDefault="00B32A87" w:rsidP="00B32A87">
      <w:pPr>
        <w:ind w:left="567" w:right="567"/>
        <w:jc w:val="both"/>
        <w:rPr>
          <w:rFonts w:ascii="Times New Roman" w:hAnsi="Times New Roman" w:cs="Times New Roman"/>
        </w:rPr>
      </w:pPr>
      <w:r w:rsidRPr="00420CC7">
        <w:rPr>
          <w:rFonts w:ascii="Times New Roman" w:hAnsi="Times New Roman" w:cs="Times New Roman"/>
        </w:rPr>
        <w:t>“</w:t>
      </w:r>
      <w:r w:rsidR="0067279F" w:rsidRPr="00420CC7">
        <w:rPr>
          <w:rFonts w:ascii="Times New Roman" w:hAnsi="Times New Roman" w:cs="Times New Roman"/>
        </w:rPr>
        <w:t>La gestión médica correcta de la drogodependencia exige que el tratamiento se base en pruebas. Sin embargo, el catálogo de “tratamientos” de muchos centros de tratamiento obligatorio incluye trabajos forzosos, detención, ejercicios de tipo militar, ejercicios físicos y tratamientos experimentales, entre otras intervenciones, cuya eficacia no ha sido respaldada por pruebas científicas</w:t>
      </w:r>
      <w:r w:rsidRPr="00420CC7">
        <w:rPr>
          <w:rFonts w:ascii="Times New Roman" w:hAnsi="Times New Roman" w:cs="Times New Roman"/>
        </w:rPr>
        <w:t>”.</w:t>
      </w:r>
      <w:r w:rsidRPr="00420CC7">
        <w:rPr>
          <w:rStyle w:val="Refdenotaalpie"/>
          <w:rFonts w:ascii="Times New Roman" w:hAnsi="Times New Roman" w:cs="Times New Roman"/>
        </w:rPr>
        <w:footnoteReference w:id="1"/>
      </w:r>
    </w:p>
    <w:p w:rsidR="00420CC7" w:rsidRDefault="00420CC7" w:rsidP="00420CC7">
      <w:pPr>
        <w:jc w:val="both"/>
        <w:rPr>
          <w:rFonts w:ascii="Times New Roman" w:hAnsi="Times New Roman" w:cs="Times New Roman"/>
        </w:rPr>
      </w:pPr>
      <w:r>
        <w:rPr>
          <w:rFonts w:ascii="Times New Roman" w:hAnsi="Times New Roman" w:cs="Times New Roman"/>
        </w:rPr>
        <w:t xml:space="preserve">En el mismo sentido, las </w:t>
      </w:r>
      <w:r w:rsidRPr="00420CC7">
        <w:rPr>
          <w:rFonts w:ascii="Times New Roman" w:hAnsi="Times New Roman" w:cs="Times New Roman"/>
          <w:i/>
        </w:rPr>
        <w:t>Directrices Internacionales de Derechos Humanos y Política de Drogas</w:t>
      </w:r>
      <w:r>
        <w:rPr>
          <w:rFonts w:ascii="Times New Roman" w:hAnsi="Times New Roman" w:cs="Times New Roman"/>
          <w:i/>
        </w:rPr>
        <w:t xml:space="preserve"> </w:t>
      </w:r>
      <w:r>
        <w:rPr>
          <w:rFonts w:ascii="Times New Roman" w:hAnsi="Times New Roman" w:cs="Times New Roman"/>
        </w:rPr>
        <w:t xml:space="preserve">publicadas recientemente por </w:t>
      </w:r>
      <w:r w:rsidRPr="00420CC7">
        <w:rPr>
          <w:rFonts w:ascii="Times New Roman" w:hAnsi="Times New Roman" w:cs="Times New Roman"/>
        </w:rPr>
        <w:t>el Pr</w:t>
      </w:r>
      <w:r>
        <w:rPr>
          <w:rFonts w:ascii="Times New Roman" w:hAnsi="Times New Roman" w:cs="Times New Roman"/>
        </w:rPr>
        <w:t xml:space="preserve">ograma Conjunto de las Naciones </w:t>
      </w:r>
      <w:r w:rsidRPr="00420CC7">
        <w:rPr>
          <w:rFonts w:ascii="Times New Roman" w:hAnsi="Times New Roman" w:cs="Times New Roman"/>
        </w:rPr>
        <w:t>Unidas sobre el VIH/SIDA (ONUSIDA), el Progr</w:t>
      </w:r>
      <w:r>
        <w:rPr>
          <w:rFonts w:ascii="Times New Roman" w:hAnsi="Times New Roman" w:cs="Times New Roman"/>
        </w:rPr>
        <w:t xml:space="preserve">ama de las Naciones Unidas para </w:t>
      </w:r>
      <w:r w:rsidRPr="00420CC7">
        <w:rPr>
          <w:rFonts w:ascii="Times New Roman" w:hAnsi="Times New Roman" w:cs="Times New Roman"/>
        </w:rPr>
        <w:t>el Desarrollo (PNUD), la Organización Mundial de la Salud (OMS)</w:t>
      </w:r>
      <w:r>
        <w:rPr>
          <w:rFonts w:ascii="Times New Roman" w:hAnsi="Times New Roman" w:cs="Times New Roman"/>
        </w:rPr>
        <w:t xml:space="preserve"> en conjunto con la Universidad de Essex, señalan que: </w:t>
      </w:r>
    </w:p>
    <w:p w:rsidR="001A628F" w:rsidRDefault="001A628F" w:rsidP="001A628F">
      <w:pPr>
        <w:ind w:left="567" w:right="567"/>
        <w:jc w:val="both"/>
        <w:rPr>
          <w:rFonts w:ascii="Times New Roman" w:hAnsi="Times New Roman" w:cs="Times New Roman"/>
        </w:rPr>
      </w:pPr>
      <w:r>
        <w:rPr>
          <w:rFonts w:ascii="Times New Roman" w:hAnsi="Times New Roman" w:cs="Times New Roman"/>
        </w:rPr>
        <w:t>“</w:t>
      </w:r>
      <w:r w:rsidRPr="001A628F">
        <w:rPr>
          <w:rFonts w:ascii="Times New Roman" w:hAnsi="Times New Roman" w:cs="Times New Roman"/>
        </w:rPr>
        <w:t xml:space="preserve">1.2 Tratamiento de la dependencia de drogas </w:t>
      </w:r>
    </w:p>
    <w:p w:rsidR="001A628F" w:rsidRDefault="001A628F" w:rsidP="001A628F">
      <w:pPr>
        <w:ind w:left="567" w:right="567"/>
        <w:jc w:val="both"/>
        <w:rPr>
          <w:rFonts w:ascii="Times New Roman" w:hAnsi="Times New Roman" w:cs="Times New Roman"/>
        </w:rPr>
      </w:pPr>
      <w:r w:rsidRPr="001A628F">
        <w:rPr>
          <w:rFonts w:ascii="Times New Roman" w:hAnsi="Times New Roman" w:cs="Times New Roman"/>
        </w:rPr>
        <w:t>El derecho a la salud aplicado a la política de drogas incluye el acceso voluntario a un tratamiento de la dependencia de drogas basado en evidencia.</w:t>
      </w:r>
    </w:p>
    <w:p w:rsidR="001A628F" w:rsidRDefault="001A628F" w:rsidP="001A628F">
      <w:pPr>
        <w:ind w:left="567" w:right="567"/>
        <w:jc w:val="both"/>
        <w:rPr>
          <w:rFonts w:ascii="Times New Roman" w:hAnsi="Times New Roman" w:cs="Times New Roman"/>
        </w:rPr>
      </w:pPr>
      <w:r w:rsidRPr="001A628F">
        <w:rPr>
          <w:rFonts w:ascii="Times New Roman" w:hAnsi="Times New Roman" w:cs="Times New Roman"/>
        </w:rPr>
        <w:lastRenderedPageBreak/>
        <w:t xml:space="preserve"> De conformidad con sus obligaciones en materia de derecho a </w:t>
      </w:r>
      <w:r>
        <w:rPr>
          <w:rFonts w:ascii="Times New Roman" w:hAnsi="Times New Roman" w:cs="Times New Roman"/>
        </w:rPr>
        <w:t>la salud, los Estados deberían:</w:t>
      </w:r>
    </w:p>
    <w:p w:rsidR="001A628F" w:rsidRPr="00420CC7" w:rsidRDefault="001A628F" w:rsidP="001A628F">
      <w:pPr>
        <w:ind w:left="567" w:right="567"/>
        <w:jc w:val="both"/>
        <w:rPr>
          <w:rFonts w:ascii="Times New Roman" w:hAnsi="Times New Roman" w:cs="Times New Roman"/>
        </w:rPr>
      </w:pPr>
      <w:r w:rsidRPr="001A628F">
        <w:rPr>
          <w:rFonts w:ascii="Times New Roman" w:hAnsi="Times New Roman" w:cs="Times New Roman"/>
        </w:rPr>
        <w:t>i. Asegurar la disponibilidad y accesibilidad de servicios de tratamiento que sean aceptables, que se presten de una manera científicamente sólida y médicamente apropiada, y que sean de buena calidad (es decir, con una fuerte base de evidencia y supervisión independiente). Esto significa que tales servicios también deben estar adecuadamente financiados; apropiados para grupos vulnerables o marginados; conformes con los derechos fundamentales (como la privacidad, la integridad física, el debido proceso y a no ser detenido arbitrariamente y respetuosos de la dignidad humana.</w:t>
      </w:r>
      <w:r>
        <w:rPr>
          <w:rFonts w:ascii="Times New Roman" w:hAnsi="Times New Roman" w:cs="Times New Roman"/>
        </w:rPr>
        <w:t>”</w:t>
      </w:r>
      <w:r>
        <w:rPr>
          <w:rStyle w:val="Refdenotaalpie"/>
          <w:rFonts w:ascii="Times New Roman" w:hAnsi="Times New Roman" w:cs="Times New Roman"/>
        </w:rPr>
        <w:footnoteReference w:id="2"/>
      </w:r>
    </w:p>
    <w:p w:rsidR="00420CC7" w:rsidRDefault="001D72DF" w:rsidP="00471E23">
      <w:pPr>
        <w:pStyle w:val="Prrafodelista"/>
        <w:numPr>
          <w:ilvl w:val="0"/>
          <w:numId w:val="1"/>
        </w:numPr>
        <w:ind w:left="0"/>
        <w:jc w:val="both"/>
        <w:rPr>
          <w:rFonts w:ascii="Times New Roman" w:hAnsi="Times New Roman" w:cs="Times New Roman"/>
          <w:b/>
        </w:rPr>
      </w:pPr>
      <w:r w:rsidRPr="001D72DF">
        <w:rPr>
          <w:rFonts w:ascii="Times New Roman" w:hAnsi="Times New Roman" w:cs="Times New Roman"/>
          <w:b/>
        </w:rPr>
        <w:t>Capítulo V, sección E, sustancias controladas y ciencia, párrafos 69 y 70:</w:t>
      </w:r>
    </w:p>
    <w:p w:rsidR="001D72DF" w:rsidRDefault="001D72DF" w:rsidP="00471E23">
      <w:pPr>
        <w:jc w:val="both"/>
        <w:rPr>
          <w:rFonts w:ascii="Times New Roman" w:hAnsi="Times New Roman" w:cs="Times New Roman"/>
        </w:rPr>
      </w:pPr>
      <w:r>
        <w:rPr>
          <w:rFonts w:ascii="Times New Roman" w:hAnsi="Times New Roman" w:cs="Times New Roman"/>
        </w:rPr>
        <w:t>Los citados párrafos incorporan de forma correcta la importancia que el derecho al beneficio científico tiene frente a las sustancias controladas, no solo respecto a los usos medicinales sino a la relevancia que su estudio tiene para la revisión de la política vigente en materia de política de drogas. No obstante, consideramos que resulta relevante</w:t>
      </w:r>
      <w:r w:rsidR="006E5BC9">
        <w:rPr>
          <w:rFonts w:ascii="Times New Roman" w:hAnsi="Times New Roman" w:cs="Times New Roman"/>
        </w:rPr>
        <w:t xml:space="preserve"> que en dichos párrafos se </w:t>
      </w:r>
      <w:r>
        <w:rPr>
          <w:rFonts w:ascii="Times New Roman" w:hAnsi="Times New Roman" w:cs="Times New Roman"/>
        </w:rPr>
        <w:t>incluya expresamente los estándares de proporcionalidad y necesidad</w:t>
      </w:r>
      <w:r w:rsidR="006E5BC9">
        <w:rPr>
          <w:rFonts w:ascii="Times New Roman" w:hAnsi="Times New Roman" w:cs="Times New Roman"/>
        </w:rPr>
        <w:t xml:space="preserve"> contemplados en los párrafos 29 y 30 de la Observación General a fin de que se evitar limitaciones desproporcionadas para poder realizar investigaciones en la materia. </w:t>
      </w:r>
    </w:p>
    <w:p w:rsidR="00471E23" w:rsidRPr="00471E23" w:rsidRDefault="004E7654" w:rsidP="009C712D">
      <w:pPr>
        <w:jc w:val="both"/>
        <w:rPr>
          <w:rFonts w:ascii="Times New Roman" w:hAnsi="Times New Roman" w:cs="Times New Roman"/>
        </w:rPr>
      </w:pPr>
      <w:r>
        <w:rPr>
          <w:rFonts w:ascii="Times New Roman" w:hAnsi="Times New Roman" w:cs="Times New Roman"/>
        </w:rPr>
        <w:t>Lo anterior</w:t>
      </w:r>
      <w:r w:rsidR="00471E23">
        <w:rPr>
          <w:rFonts w:ascii="Times New Roman" w:hAnsi="Times New Roman" w:cs="Times New Roman"/>
        </w:rPr>
        <w:t>,</w:t>
      </w:r>
      <w:r>
        <w:rPr>
          <w:rFonts w:ascii="Times New Roman" w:hAnsi="Times New Roman" w:cs="Times New Roman"/>
        </w:rPr>
        <w:t xml:space="preserve"> tomando en consideración lo señalado por las antes citadas </w:t>
      </w:r>
      <w:r w:rsidRPr="00420CC7">
        <w:rPr>
          <w:rFonts w:ascii="Times New Roman" w:hAnsi="Times New Roman" w:cs="Times New Roman"/>
          <w:i/>
        </w:rPr>
        <w:t>Directrices Internacionales de Derechos Humanos y Política de Drogas</w:t>
      </w:r>
      <w:r>
        <w:rPr>
          <w:rFonts w:ascii="Times New Roman" w:hAnsi="Times New Roman" w:cs="Times New Roman"/>
        </w:rPr>
        <w:t xml:space="preserve"> las cuales realizan una interpretación del alcance del derecho al beneficio científico contemplado en el artículo 15 del </w:t>
      </w:r>
      <w:r w:rsidRPr="00471E23">
        <w:rPr>
          <w:rFonts w:ascii="Times New Roman" w:hAnsi="Times New Roman" w:cs="Times New Roman"/>
          <w:i/>
        </w:rPr>
        <w:t>Comité de Derechos Eco</w:t>
      </w:r>
      <w:r w:rsidR="00471E23" w:rsidRPr="00471E23">
        <w:rPr>
          <w:rFonts w:ascii="Times New Roman" w:hAnsi="Times New Roman" w:cs="Times New Roman"/>
          <w:i/>
        </w:rPr>
        <w:t>nómicos, Sociales y Culturales</w:t>
      </w:r>
      <w:r w:rsidR="00471E23">
        <w:rPr>
          <w:rFonts w:ascii="Times New Roman" w:hAnsi="Times New Roman" w:cs="Times New Roman"/>
        </w:rPr>
        <w:t xml:space="preserve"> frente a la excepción de “fines científicos” contemplada en los tratados que conforman el sistema internacional de fiscalización de sustancias psicoactivas:</w:t>
      </w:r>
    </w:p>
    <w:p w:rsidR="00471E23" w:rsidRPr="00471E23" w:rsidRDefault="009C712D" w:rsidP="004E7654">
      <w:pPr>
        <w:ind w:left="567" w:right="567"/>
        <w:jc w:val="both"/>
        <w:rPr>
          <w:rFonts w:ascii="Times New Roman" w:hAnsi="Times New Roman" w:cs="Times New Roman"/>
        </w:rPr>
      </w:pPr>
      <w:r>
        <w:rPr>
          <w:rFonts w:ascii="Times New Roman" w:hAnsi="Times New Roman" w:cs="Times New Roman"/>
        </w:rPr>
        <w:t>“</w:t>
      </w:r>
      <w:r w:rsidR="00471E23" w:rsidRPr="00471E23">
        <w:rPr>
          <w:rFonts w:ascii="Times New Roman" w:hAnsi="Times New Roman" w:cs="Times New Roman"/>
        </w:rPr>
        <w:t xml:space="preserve">2. Derecho a beneficiarse del progreso científico y de sus aplicaciones </w:t>
      </w:r>
    </w:p>
    <w:p w:rsidR="00471E23" w:rsidRPr="00471E23" w:rsidRDefault="00471E23" w:rsidP="004E7654">
      <w:pPr>
        <w:ind w:left="567" w:right="567"/>
        <w:jc w:val="both"/>
        <w:rPr>
          <w:rFonts w:ascii="Times New Roman" w:hAnsi="Times New Roman" w:cs="Times New Roman"/>
        </w:rPr>
      </w:pPr>
      <w:r w:rsidRPr="00471E23">
        <w:rPr>
          <w:rFonts w:ascii="Times New Roman" w:hAnsi="Times New Roman" w:cs="Times New Roman"/>
        </w:rPr>
        <w:t xml:space="preserve">Toda persona tiene derecho a disfrutar de los beneficios del progreso científico y de sus aplicaciones. </w:t>
      </w:r>
    </w:p>
    <w:p w:rsidR="00471E23" w:rsidRDefault="00471E23" w:rsidP="004E7654">
      <w:pPr>
        <w:ind w:left="567" w:right="567"/>
        <w:jc w:val="both"/>
        <w:rPr>
          <w:rFonts w:ascii="Times New Roman" w:hAnsi="Times New Roman" w:cs="Times New Roman"/>
        </w:rPr>
      </w:pPr>
      <w:r w:rsidRPr="00471E23">
        <w:rPr>
          <w:rFonts w:ascii="Times New Roman" w:hAnsi="Times New Roman" w:cs="Times New Roman"/>
        </w:rPr>
        <w:t>Este derecho se aplica igualmente en el contexto del uso y de la dependencia de drogas, así como en las respuestas de la justicia penal y de desarrollo al tráfico ilícito de drogas.</w:t>
      </w:r>
    </w:p>
    <w:p w:rsidR="009C712D" w:rsidRDefault="009C712D" w:rsidP="004E7654">
      <w:pPr>
        <w:ind w:left="567" w:right="567"/>
        <w:jc w:val="both"/>
        <w:rPr>
          <w:rFonts w:ascii="Times New Roman" w:hAnsi="Times New Roman" w:cs="Times New Roman"/>
        </w:rPr>
      </w:pPr>
      <w:r w:rsidRPr="009C712D">
        <w:rPr>
          <w:rFonts w:ascii="Times New Roman" w:hAnsi="Times New Roman" w:cs="Times New Roman"/>
        </w:rPr>
        <w:t xml:space="preserve">De conformidad con este derecho, los Estados deberían: i. Adoptar medidas legislativas y otras medidas apropiadas para garantizar que los conocimientos y las tecnologías científicas y sus aplicaciones – incluidas las intervenciones basadas en evidencia y científicamente probadas para tratar la dependencia de drogas, prevenir la sobredosis y prevenir, tratar y controlar el VIH, la hepatitis C y otras enfermedades – estén disponibles físicamente y sean accesibles desde el punto de vista financiero sin discriminación. ii. Asegurar que la investigación científica, incluida la relativa a las </w:t>
      </w:r>
      <w:r w:rsidRPr="009C712D">
        <w:rPr>
          <w:rFonts w:ascii="Times New Roman" w:hAnsi="Times New Roman" w:cs="Times New Roman"/>
        </w:rPr>
        <w:lastRenderedPageBreak/>
        <w:t>drogas controladas, pueda llevarse a cabo y comunicarse sin censura y sin injerencias políticas. iii. Considerar la posibilidad de revisar las listas de sustancias bajo control internacional de las convenciones de fiscalización de drogas de 1961 y 1971 a la luz de pruebas científicas recientes, y priorizar la exploración de los beneficios médicos de las sustancias controladas de acuerdo con las recomendaciones de la Organización Mundial de la Salud sobre la inclusión de sustancias en las listas.</w:t>
      </w:r>
      <w:r w:rsidR="00E5684D">
        <w:rPr>
          <w:rStyle w:val="Refdenotaalpie"/>
          <w:rFonts w:ascii="Times New Roman" w:hAnsi="Times New Roman" w:cs="Times New Roman"/>
        </w:rPr>
        <w:footnoteReference w:id="3"/>
      </w:r>
    </w:p>
    <w:p w:rsidR="006C496C" w:rsidRDefault="006C496C" w:rsidP="004E7654">
      <w:pPr>
        <w:ind w:left="567" w:right="567"/>
        <w:jc w:val="both"/>
        <w:rPr>
          <w:rFonts w:ascii="Times New Roman" w:hAnsi="Times New Roman" w:cs="Times New Roman"/>
        </w:rPr>
      </w:pPr>
      <w:r>
        <w:rPr>
          <w:rFonts w:ascii="Times New Roman" w:hAnsi="Times New Roman" w:cs="Times New Roman"/>
        </w:rPr>
        <w:t>Agradecemos al Comité DESC la oportunidad de poder realizar comentarios y sugerencias para el texto final de la Observación General.</w:t>
      </w:r>
    </w:p>
    <w:p w:rsidR="006C496C" w:rsidRDefault="006C496C" w:rsidP="004E7654">
      <w:pPr>
        <w:ind w:left="567" w:right="567"/>
        <w:jc w:val="both"/>
        <w:rPr>
          <w:rFonts w:ascii="Times New Roman" w:hAnsi="Times New Roman" w:cs="Times New Roman"/>
        </w:rPr>
      </w:pPr>
    </w:p>
    <w:p w:rsidR="006C496C" w:rsidRDefault="006C496C" w:rsidP="004E7654">
      <w:pPr>
        <w:ind w:left="567" w:right="567"/>
        <w:jc w:val="both"/>
        <w:rPr>
          <w:rFonts w:ascii="Times New Roman" w:hAnsi="Times New Roman" w:cs="Times New Roman"/>
        </w:rPr>
      </w:pPr>
      <w:r>
        <w:rPr>
          <w:rFonts w:ascii="Times New Roman" w:hAnsi="Times New Roman" w:cs="Times New Roman"/>
        </w:rPr>
        <w:t>Adriana Muro Polo</w:t>
      </w:r>
    </w:p>
    <w:p w:rsidR="006C496C" w:rsidRDefault="006C496C" w:rsidP="004E7654">
      <w:pPr>
        <w:ind w:left="567" w:right="567"/>
        <w:jc w:val="both"/>
        <w:rPr>
          <w:rFonts w:ascii="Times New Roman" w:hAnsi="Times New Roman" w:cs="Times New Roman"/>
        </w:rPr>
      </w:pPr>
      <w:r>
        <w:rPr>
          <w:rFonts w:ascii="Times New Roman" w:hAnsi="Times New Roman" w:cs="Times New Roman"/>
        </w:rPr>
        <w:t>Paula Aguirre Ospina</w:t>
      </w:r>
    </w:p>
    <w:p w:rsidR="006C496C" w:rsidRPr="00471E23" w:rsidRDefault="006C496C" w:rsidP="004E7654">
      <w:pPr>
        <w:ind w:left="567" w:right="567"/>
        <w:jc w:val="both"/>
        <w:rPr>
          <w:rFonts w:ascii="Times New Roman" w:hAnsi="Times New Roman" w:cs="Times New Roman"/>
        </w:rPr>
      </w:pPr>
      <w:r>
        <w:rPr>
          <w:rFonts w:ascii="Times New Roman" w:hAnsi="Times New Roman" w:cs="Times New Roman"/>
        </w:rPr>
        <w:t xml:space="preserve">Renata Demichelis Ávila </w:t>
      </w:r>
    </w:p>
    <w:p w:rsidR="00471E23" w:rsidRDefault="00471E23" w:rsidP="004E7654">
      <w:pPr>
        <w:ind w:left="567" w:right="567"/>
        <w:jc w:val="both"/>
        <w:rPr>
          <w:rFonts w:ascii="Times New Roman" w:hAnsi="Times New Roman" w:cs="Times New Roman"/>
        </w:rPr>
      </w:pPr>
    </w:p>
    <w:p w:rsidR="00471E23" w:rsidRDefault="00471E23" w:rsidP="004E7654">
      <w:pPr>
        <w:ind w:left="567" w:right="567"/>
        <w:jc w:val="both"/>
        <w:rPr>
          <w:rFonts w:ascii="Times New Roman" w:hAnsi="Times New Roman" w:cs="Times New Roman"/>
        </w:rPr>
      </w:pPr>
    </w:p>
    <w:p w:rsidR="00471E23" w:rsidRDefault="00471E23" w:rsidP="004E7654">
      <w:pPr>
        <w:ind w:left="567" w:right="567"/>
        <w:jc w:val="both"/>
        <w:rPr>
          <w:rFonts w:ascii="Times New Roman" w:hAnsi="Times New Roman" w:cs="Times New Roman"/>
        </w:rPr>
      </w:pPr>
    </w:p>
    <w:p w:rsidR="00471E23" w:rsidRPr="004E7654" w:rsidRDefault="00471E23" w:rsidP="004E7654">
      <w:pPr>
        <w:ind w:left="567" w:right="567"/>
        <w:jc w:val="both"/>
        <w:rPr>
          <w:rFonts w:ascii="Times New Roman" w:hAnsi="Times New Roman" w:cs="Times New Roman"/>
        </w:rPr>
      </w:pPr>
    </w:p>
    <w:p w:rsidR="001D72DF" w:rsidRPr="001D72DF" w:rsidRDefault="001D72DF" w:rsidP="001D72DF">
      <w:pPr>
        <w:ind w:right="567"/>
        <w:jc w:val="both"/>
        <w:rPr>
          <w:rFonts w:ascii="Times New Roman" w:hAnsi="Times New Roman" w:cs="Times New Roman"/>
        </w:rPr>
      </w:pPr>
    </w:p>
    <w:p w:rsidR="00F86B28" w:rsidRPr="00F86B28" w:rsidRDefault="00F86B28" w:rsidP="00F86B28">
      <w:pPr>
        <w:pStyle w:val="Prrafodelista"/>
        <w:jc w:val="both"/>
        <w:rPr>
          <w:lang w:val="es-CO"/>
        </w:rPr>
      </w:pPr>
    </w:p>
    <w:p w:rsidR="00F86B28" w:rsidRDefault="00F86B28" w:rsidP="00A72997">
      <w:pPr>
        <w:jc w:val="both"/>
        <w:rPr>
          <w:lang w:val="es-CO"/>
        </w:rPr>
      </w:pPr>
    </w:p>
    <w:p w:rsidR="00F86B28" w:rsidRDefault="00F86B28" w:rsidP="00A72997">
      <w:pPr>
        <w:jc w:val="both"/>
        <w:rPr>
          <w:lang w:val="es-CO"/>
        </w:rPr>
      </w:pPr>
    </w:p>
    <w:p w:rsidR="00F86B28" w:rsidRDefault="00F86B28" w:rsidP="00A72997">
      <w:pPr>
        <w:jc w:val="both"/>
        <w:rPr>
          <w:lang w:val="es-CO"/>
        </w:rPr>
      </w:pPr>
    </w:p>
    <w:p w:rsidR="00A72997" w:rsidRDefault="00A72997">
      <w:pPr>
        <w:rPr>
          <w:lang w:val="es-CO"/>
        </w:rPr>
      </w:pPr>
    </w:p>
    <w:p w:rsidR="00A72997" w:rsidRDefault="00A72997">
      <w:pPr>
        <w:rPr>
          <w:lang w:val="es-CO"/>
        </w:rPr>
      </w:pPr>
    </w:p>
    <w:p w:rsidR="00CA6B39" w:rsidRDefault="00CA6B39">
      <w:pPr>
        <w:rPr>
          <w:lang w:val="es-CO"/>
        </w:rPr>
      </w:pPr>
    </w:p>
    <w:p w:rsidR="00CA6B39" w:rsidRPr="00CA6B39" w:rsidRDefault="00CA6B39">
      <w:pPr>
        <w:rPr>
          <w:lang w:val="es-CO"/>
        </w:rPr>
      </w:pPr>
    </w:p>
    <w:sectPr w:rsidR="00CA6B39" w:rsidRPr="00CA6B3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D0" w:rsidRDefault="00BC44D0" w:rsidP="00CA6B39">
      <w:pPr>
        <w:spacing w:after="0" w:line="240" w:lineRule="auto"/>
      </w:pPr>
      <w:r>
        <w:separator/>
      </w:r>
    </w:p>
  </w:endnote>
  <w:endnote w:type="continuationSeparator" w:id="0">
    <w:p w:rsidR="00BC44D0" w:rsidRDefault="00BC44D0" w:rsidP="00CA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D0" w:rsidRDefault="00BC44D0" w:rsidP="00CA6B39">
      <w:pPr>
        <w:spacing w:after="0" w:line="240" w:lineRule="auto"/>
      </w:pPr>
      <w:r>
        <w:separator/>
      </w:r>
    </w:p>
  </w:footnote>
  <w:footnote w:type="continuationSeparator" w:id="0">
    <w:p w:rsidR="00BC44D0" w:rsidRDefault="00BC44D0" w:rsidP="00CA6B39">
      <w:pPr>
        <w:spacing w:after="0" w:line="240" w:lineRule="auto"/>
      </w:pPr>
      <w:r>
        <w:continuationSeparator/>
      </w:r>
    </w:p>
  </w:footnote>
  <w:footnote w:id="1">
    <w:p w:rsidR="00B32A87" w:rsidRPr="00420CC7" w:rsidRDefault="00B32A87" w:rsidP="00420CC7">
      <w:pPr>
        <w:pStyle w:val="Textonotapie"/>
        <w:rPr>
          <w:rFonts w:ascii="Times New Roman" w:hAnsi="Times New Roman" w:cs="Times New Roman"/>
          <w:lang w:val="es-CO"/>
        </w:rPr>
      </w:pPr>
      <w:r w:rsidRPr="00420CC7">
        <w:rPr>
          <w:rStyle w:val="Refdenotaalpie"/>
          <w:rFonts w:ascii="Times New Roman" w:hAnsi="Times New Roman" w:cs="Times New Roman"/>
        </w:rPr>
        <w:footnoteRef/>
      </w:r>
      <w:r w:rsidRPr="00420CC7">
        <w:rPr>
          <w:rFonts w:ascii="Times New Roman" w:hAnsi="Times New Roman" w:cs="Times New Roman"/>
        </w:rPr>
        <w:t xml:space="preserve"> </w:t>
      </w:r>
      <w:r w:rsidR="00420CC7" w:rsidRPr="00420CC7">
        <w:rPr>
          <w:rFonts w:ascii="Times New Roman" w:hAnsi="Times New Roman" w:cs="Times New Roman"/>
        </w:rPr>
        <w:t xml:space="preserve">ONU. </w:t>
      </w:r>
      <w:r w:rsidR="00420CC7" w:rsidRPr="00E5684D">
        <w:rPr>
          <w:rFonts w:ascii="Times New Roman" w:hAnsi="Times New Roman" w:cs="Times New Roman"/>
          <w:i/>
        </w:rPr>
        <w:t>Informe del Relator Especial sobre el derecho de toda persona al disfrute del más alto nivel posible de salud física y mental</w:t>
      </w:r>
      <w:r w:rsidR="00420CC7" w:rsidRPr="00420CC7">
        <w:rPr>
          <w:rFonts w:ascii="Times New Roman" w:hAnsi="Times New Roman" w:cs="Times New Roman"/>
        </w:rPr>
        <w:t xml:space="preserve">. </w:t>
      </w:r>
      <w:r w:rsidR="00420CC7" w:rsidRPr="00420CC7">
        <w:rPr>
          <w:rFonts w:ascii="Times New Roman" w:hAnsi="Times New Roman" w:cs="Times New Roman"/>
        </w:rPr>
        <w:t>A/65/255</w:t>
      </w:r>
      <w:r w:rsidR="00420CC7" w:rsidRPr="00420CC7">
        <w:rPr>
          <w:rFonts w:ascii="Times New Roman" w:hAnsi="Times New Roman" w:cs="Times New Roman"/>
        </w:rPr>
        <w:t xml:space="preserve">, 6 de agosto de 2010. Párr. 34. Disponible en: </w:t>
      </w:r>
      <w:hyperlink r:id="rId1" w:history="1">
        <w:r w:rsidR="00420CC7" w:rsidRPr="00420CC7">
          <w:rPr>
            <w:rStyle w:val="Hipervnculo"/>
            <w:rFonts w:ascii="Times New Roman" w:hAnsi="Times New Roman" w:cs="Times New Roman"/>
          </w:rPr>
          <w:t>http://fileserver.idpc.net/library/Anand-Grover-Report-SPA.pdf</w:t>
        </w:r>
      </w:hyperlink>
    </w:p>
  </w:footnote>
  <w:footnote w:id="2">
    <w:p w:rsidR="001A628F" w:rsidRPr="00E5684D" w:rsidRDefault="001A628F" w:rsidP="00E5684D">
      <w:pPr>
        <w:pStyle w:val="Textonotapie"/>
        <w:jc w:val="both"/>
        <w:rPr>
          <w:rFonts w:ascii="Times New Roman" w:hAnsi="Times New Roman" w:cs="Times New Roman"/>
        </w:rPr>
      </w:pPr>
      <w:r w:rsidRPr="00E5684D">
        <w:rPr>
          <w:rStyle w:val="Refdenotaalpie"/>
          <w:rFonts w:ascii="Times New Roman" w:hAnsi="Times New Roman" w:cs="Times New Roman"/>
        </w:rPr>
        <w:footnoteRef/>
      </w:r>
      <w:r w:rsidRPr="00E5684D">
        <w:rPr>
          <w:rFonts w:ascii="Times New Roman" w:hAnsi="Times New Roman" w:cs="Times New Roman"/>
          <w:lang w:val="en-US"/>
        </w:rPr>
        <w:t xml:space="preserve"> </w:t>
      </w:r>
      <w:r w:rsidR="00E5684D" w:rsidRPr="00E5684D">
        <w:rPr>
          <w:rFonts w:ascii="Times New Roman" w:hAnsi="Times New Roman" w:cs="Times New Roman"/>
          <w:i/>
          <w:lang w:val="en-US"/>
        </w:rPr>
        <w:t>International Guidelines on Human Rights and Drug Policy</w:t>
      </w:r>
      <w:r w:rsidR="00E5684D" w:rsidRPr="00E5684D">
        <w:rPr>
          <w:rFonts w:ascii="Times New Roman" w:hAnsi="Times New Roman" w:cs="Times New Roman"/>
          <w:i/>
          <w:lang w:val="en-US"/>
        </w:rPr>
        <w:t>.</w:t>
      </w:r>
      <w:r w:rsidR="00E5684D" w:rsidRPr="00E5684D">
        <w:rPr>
          <w:rFonts w:ascii="Times New Roman" w:hAnsi="Times New Roman" w:cs="Times New Roman"/>
          <w:lang w:val="en-US"/>
        </w:rPr>
        <w:t xml:space="preserve"> </w:t>
      </w:r>
      <w:r w:rsidR="00E5684D" w:rsidRPr="00E5684D">
        <w:rPr>
          <w:rFonts w:ascii="Times New Roman" w:hAnsi="Times New Roman" w:cs="Times New Roman"/>
        </w:rPr>
        <w:t xml:space="preserve">March, 19, 2019. Disponible en: </w:t>
      </w:r>
      <w:hyperlink r:id="rId2" w:history="1">
        <w:r w:rsidR="00E5684D" w:rsidRPr="00E5684D">
          <w:rPr>
            <w:rStyle w:val="Hipervnculo"/>
            <w:rFonts w:ascii="Times New Roman" w:hAnsi="Times New Roman" w:cs="Times New Roman"/>
          </w:rPr>
          <w:t>https://www.undp.org/content/undp/en/home/librarypage/hiv-aids/international-guidelines-on-human-rights-and-drug-policy.html</w:t>
        </w:r>
      </w:hyperlink>
      <w:r w:rsidR="00E5684D" w:rsidRPr="00E5684D">
        <w:rPr>
          <w:rFonts w:ascii="Times New Roman" w:hAnsi="Times New Roman" w:cs="Times New Roman"/>
        </w:rPr>
        <w:t xml:space="preserve"> </w:t>
      </w:r>
    </w:p>
  </w:footnote>
  <w:footnote w:id="3">
    <w:p w:rsidR="00E5684D" w:rsidRPr="00E5684D" w:rsidRDefault="00E5684D">
      <w:pPr>
        <w:pStyle w:val="Textonotapie"/>
        <w:rPr>
          <w:rFonts w:ascii="Times New Roman" w:hAnsi="Times New Roman" w:cs="Times New Roman"/>
          <w:lang w:val="es-CO"/>
        </w:rPr>
      </w:pPr>
      <w:r w:rsidRPr="00E5684D">
        <w:rPr>
          <w:rStyle w:val="Refdenotaalpie"/>
          <w:rFonts w:ascii="Times New Roman" w:hAnsi="Times New Roman" w:cs="Times New Roman"/>
        </w:rPr>
        <w:footnoteRef/>
      </w:r>
      <w:r w:rsidRPr="00E5684D">
        <w:rPr>
          <w:rFonts w:ascii="Times New Roman" w:hAnsi="Times New Roman" w:cs="Times New Roman"/>
        </w:rPr>
        <w:t xml:space="preserve"> </w:t>
      </w:r>
      <w:r w:rsidRPr="00E5684D">
        <w:rPr>
          <w:rFonts w:ascii="Times New Roman" w:hAnsi="Times New Roman" w:cs="Times New Roman"/>
          <w:i/>
        </w:rPr>
        <w:t>Ibídem</w:t>
      </w:r>
      <w:r w:rsidRPr="00E5684D">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39" w:rsidRDefault="00CA6B39" w:rsidP="00CA6B39">
    <w:pPr>
      <w:pStyle w:val="Encabezado"/>
      <w:ind w:firstLine="720"/>
      <w:jc w:val="center"/>
    </w:pPr>
    <w:r>
      <w:rPr>
        <w:noProof/>
        <w:lang w:eastAsia="es-MX"/>
      </w:rPr>
      <w:drawing>
        <wp:inline distT="0" distB="0" distL="0" distR="0">
          <wp:extent cx="1530350" cy="11476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guamarin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140" cy="1149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A5C74"/>
    <w:multiLevelType w:val="hybridMultilevel"/>
    <w:tmpl w:val="57A26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39"/>
    <w:rsid w:val="00071AAC"/>
    <w:rsid w:val="001A628F"/>
    <w:rsid w:val="001D72DF"/>
    <w:rsid w:val="004033B1"/>
    <w:rsid w:val="00420CC7"/>
    <w:rsid w:val="00456879"/>
    <w:rsid w:val="00471E23"/>
    <w:rsid w:val="004E7654"/>
    <w:rsid w:val="00592B3A"/>
    <w:rsid w:val="0061518C"/>
    <w:rsid w:val="00637A13"/>
    <w:rsid w:val="0067279F"/>
    <w:rsid w:val="006C496C"/>
    <w:rsid w:val="006E5BC9"/>
    <w:rsid w:val="007522BD"/>
    <w:rsid w:val="008F768F"/>
    <w:rsid w:val="009C712D"/>
    <w:rsid w:val="00A72997"/>
    <w:rsid w:val="00B32A87"/>
    <w:rsid w:val="00BC44D0"/>
    <w:rsid w:val="00CA6B39"/>
    <w:rsid w:val="00CE5584"/>
    <w:rsid w:val="00E5684D"/>
    <w:rsid w:val="00F8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6F37"/>
  <w15:chartTrackingRefBased/>
  <w15:docId w15:val="{E185D526-C734-4D0B-A2F9-4F65F60A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6B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B39"/>
    <w:rPr>
      <w:lang w:val="es-MX"/>
    </w:rPr>
  </w:style>
  <w:style w:type="paragraph" w:styleId="Piedepgina">
    <w:name w:val="footer"/>
    <w:basedOn w:val="Normal"/>
    <w:link w:val="PiedepginaCar"/>
    <w:uiPriority w:val="99"/>
    <w:unhideWhenUsed/>
    <w:rsid w:val="00CA6B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B39"/>
    <w:rPr>
      <w:lang w:val="es-MX"/>
    </w:rPr>
  </w:style>
  <w:style w:type="paragraph" w:styleId="Prrafodelista">
    <w:name w:val="List Paragraph"/>
    <w:basedOn w:val="Normal"/>
    <w:uiPriority w:val="34"/>
    <w:qFormat/>
    <w:rsid w:val="00F86B28"/>
    <w:pPr>
      <w:ind w:left="720"/>
      <w:contextualSpacing/>
    </w:pPr>
  </w:style>
  <w:style w:type="paragraph" w:styleId="Textonotapie">
    <w:name w:val="footnote text"/>
    <w:basedOn w:val="Normal"/>
    <w:link w:val="TextonotapieCar"/>
    <w:uiPriority w:val="99"/>
    <w:semiHidden/>
    <w:unhideWhenUsed/>
    <w:rsid w:val="00B32A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2A87"/>
    <w:rPr>
      <w:sz w:val="20"/>
      <w:szCs w:val="20"/>
      <w:lang w:val="es-MX"/>
    </w:rPr>
  </w:style>
  <w:style w:type="character" w:styleId="Refdenotaalpie">
    <w:name w:val="footnote reference"/>
    <w:basedOn w:val="Fuentedeprrafopredeter"/>
    <w:uiPriority w:val="99"/>
    <w:semiHidden/>
    <w:unhideWhenUsed/>
    <w:rsid w:val="00B32A87"/>
    <w:rPr>
      <w:vertAlign w:val="superscript"/>
    </w:rPr>
  </w:style>
  <w:style w:type="character" w:styleId="Hipervnculo">
    <w:name w:val="Hyperlink"/>
    <w:basedOn w:val="Fuentedeprrafopredeter"/>
    <w:uiPriority w:val="99"/>
    <w:semiHidden/>
    <w:unhideWhenUsed/>
    <w:rsid w:val="00420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80787">
      <w:bodyDiv w:val="1"/>
      <w:marLeft w:val="0"/>
      <w:marRight w:val="0"/>
      <w:marTop w:val="0"/>
      <w:marBottom w:val="0"/>
      <w:divBdr>
        <w:top w:val="none" w:sz="0" w:space="0" w:color="auto"/>
        <w:left w:val="none" w:sz="0" w:space="0" w:color="auto"/>
        <w:bottom w:val="none" w:sz="0" w:space="0" w:color="auto"/>
        <w:right w:val="none" w:sz="0" w:space="0" w:color="auto"/>
      </w:divBdr>
      <w:divsChild>
        <w:div w:id="978876716">
          <w:marLeft w:val="0"/>
          <w:marRight w:val="0"/>
          <w:marTop w:val="0"/>
          <w:marBottom w:val="0"/>
          <w:divBdr>
            <w:top w:val="none" w:sz="0" w:space="0" w:color="auto"/>
            <w:left w:val="none" w:sz="0" w:space="0" w:color="auto"/>
            <w:bottom w:val="none" w:sz="0" w:space="0" w:color="auto"/>
            <w:right w:val="none" w:sz="0" w:space="0" w:color="auto"/>
          </w:divBdr>
          <w:divsChild>
            <w:div w:id="415326139">
              <w:marLeft w:val="0"/>
              <w:marRight w:val="0"/>
              <w:marTop w:val="0"/>
              <w:marBottom w:val="0"/>
              <w:divBdr>
                <w:top w:val="none" w:sz="0" w:space="0" w:color="auto"/>
                <w:left w:val="none" w:sz="0" w:space="0" w:color="auto"/>
                <w:bottom w:val="none" w:sz="0" w:space="0" w:color="auto"/>
                <w:right w:val="none" w:sz="0" w:space="0" w:color="auto"/>
              </w:divBdr>
              <w:divsChild>
                <w:div w:id="6583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0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dp.org/content/undp/en/home/librarypage/hiv-aids/international-guidelines-on-human-rights-and-drug-policy.html" TargetMode="External"/><Relationship Id="rId1" Type="http://schemas.openxmlformats.org/officeDocument/2006/relationships/hyperlink" Target="http://fileserver.idpc.net/library/Anand-Grover-Report-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8C76AA-F840-4C07-98D0-CFACAE3F3616}">
  <ds:schemaRefs>
    <ds:schemaRef ds:uri="http://schemas.openxmlformats.org/officeDocument/2006/bibliography"/>
  </ds:schemaRefs>
</ds:datastoreItem>
</file>

<file path=customXml/itemProps2.xml><?xml version="1.0" encoding="utf-8"?>
<ds:datastoreItem xmlns:ds="http://schemas.openxmlformats.org/officeDocument/2006/customXml" ds:itemID="{E129BADC-79E8-4B17-A327-296EE737AB78}"/>
</file>

<file path=customXml/itemProps3.xml><?xml version="1.0" encoding="utf-8"?>
<ds:datastoreItem xmlns:ds="http://schemas.openxmlformats.org/officeDocument/2006/customXml" ds:itemID="{8411F2A8-135F-4C60-8411-D1CF4A0C52B4}"/>
</file>

<file path=customXml/itemProps4.xml><?xml version="1.0" encoding="utf-8"?>
<ds:datastoreItem xmlns:ds="http://schemas.openxmlformats.org/officeDocument/2006/customXml" ds:itemID="{A05AD75D-B975-44F6-93BB-8359A76B3D98}"/>
</file>

<file path=docProps/app.xml><?xml version="1.0" encoding="utf-8"?>
<Properties xmlns="http://schemas.openxmlformats.org/officeDocument/2006/extended-properties" xmlns:vt="http://schemas.openxmlformats.org/officeDocument/2006/docPropsVTypes">
  <Template>Normal</Template>
  <TotalTime>114</TotalTime>
  <Pages>3</Pages>
  <Words>941</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Muro</dc:creator>
  <cp:keywords/>
  <dc:description/>
  <cp:lastModifiedBy>Adriana Muro </cp:lastModifiedBy>
  <cp:revision>16</cp:revision>
  <cp:lastPrinted>2020-02-14T20:29:00Z</cp:lastPrinted>
  <dcterms:created xsi:type="dcterms:W3CDTF">2020-02-13T23:47:00Z</dcterms:created>
  <dcterms:modified xsi:type="dcterms:W3CDTF">2020-02-14T20:35:00Z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