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4F" w:rsidRDefault="00004264" w:rsidP="00426098">
      <w:pPr>
        <w:autoSpaceDE w:val="0"/>
        <w:autoSpaceDN w:val="0"/>
        <w:adjustRightInd w:val="0"/>
        <w:spacing w:line="276" w:lineRule="auto"/>
        <w:rPr>
          <w:rFonts w:ascii="Arial" w:hAnsi="Arial" w:cs="Arial"/>
          <w:lang w:val="en-US"/>
        </w:rPr>
      </w:pPr>
      <w:r>
        <w:rPr>
          <w:noProof/>
          <w:lang w:eastAsia="de-DE"/>
        </w:rPr>
        <w:drawing>
          <wp:anchor distT="0" distB="0" distL="114300" distR="114300" simplePos="0" relativeHeight="251659264" behindDoc="0" locked="0" layoutInCell="1" allowOverlap="1">
            <wp:simplePos x="0" y="0"/>
            <wp:positionH relativeFrom="margin">
              <wp:align>left</wp:align>
            </wp:positionH>
            <wp:positionV relativeFrom="margin">
              <wp:posOffset>-70495</wp:posOffset>
            </wp:positionV>
            <wp:extent cx="3096260" cy="952500"/>
            <wp:effectExtent l="0" t="0" r="8890" b="0"/>
            <wp:wrapThrough wrapText="bothSides">
              <wp:wrapPolygon edited="0">
                <wp:start x="0" y="0"/>
                <wp:lineTo x="0" y="21168"/>
                <wp:lineTo x="21529" y="21168"/>
                <wp:lineTo x="21529" y="0"/>
                <wp:lineTo x="0" y="0"/>
              </wp:wrapPolygon>
            </wp:wrapThrough>
            <wp:docPr id="1" name="Grafik 1" descr="FIAN_Logo-A_EN_3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FIAN_Logo-A_EN_3C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260" cy="952500"/>
                    </a:xfrm>
                    <a:prstGeom prst="rect">
                      <a:avLst/>
                    </a:prstGeom>
                    <a:noFill/>
                  </pic:spPr>
                </pic:pic>
              </a:graphicData>
            </a:graphic>
            <wp14:sizeRelH relativeFrom="margin">
              <wp14:pctWidth>0</wp14:pctWidth>
            </wp14:sizeRelH>
            <wp14:sizeRelV relativeFrom="margin">
              <wp14:pctHeight>0</wp14:pctHeight>
            </wp14:sizeRelV>
          </wp:anchor>
        </w:drawing>
      </w:r>
    </w:p>
    <w:p w:rsidR="009A0398" w:rsidRDefault="009A0398" w:rsidP="00426098">
      <w:pPr>
        <w:spacing w:after="120" w:line="276" w:lineRule="auto"/>
        <w:rPr>
          <w:rFonts w:ascii="Arial" w:hAnsi="Arial" w:cs="Arial"/>
          <w:b/>
          <w:lang w:val="en-US"/>
        </w:rPr>
      </w:pPr>
    </w:p>
    <w:p w:rsidR="009A0398" w:rsidRDefault="009A0398" w:rsidP="00426098">
      <w:pPr>
        <w:spacing w:after="120" w:line="276" w:lineRule="auto"/>
        <w:rPr>
          <w:rFonts w:ascii="Arial" w:hAnsi="Arial" w:cs="Arial"/>
          <w:b/>
          <w:lang w:val="en-US"/>
        </w:rPr>
      </w:pPr>
    </w:p>
    <w:p w:rsidR="009A0398" w:rsidRDefault="009A0398" w:rsidP="00426098">
      <w:pPr>
        <w:spacing w:after="120" w:line="276" w:lineRule="auto"/>
        <w:rPr>
          <w:rFonts w:ascii="Arial" w:hAnsi="Arial" w:cs="Arial"/>
          <w:b/>
          <w:lang w:val="en-US"/>
        </w:rPr>
      </w:pPr>
    </w:p>
    <w:p w:rsidR="00004264" w:rsidRDefault="00004264" w:rsidP="00426098">
      <w:pPr>
        <w:spacing w:after="120" w:line="276" w:lineRule="auto"/>
        <w:rPr>
          <w:rFonts w:ascii="Arial" w:hAnsi="Arial" w:cs="Arial"/>
          <w:b/>
          <w:lang w:val="en-US"/>
        </w:rPr>
      </w:pPr>
    </w:p>
    <w:p w:rsidR="009A0398" w:rsidRPr="009A0398" w:rsidRDefault="009A0398" w:rsidP="00426098">
      <w:pPr>
        <w:spacing w:after="120" w:line="276" w:lineRule="auto"/>
        <w:rPr>
          <w:rFonts w:ascii="Arial" w:hAnsi="Arial" w:cs="Arial"/>
          <w:b/>
          <w:lang w:val="en-US"/>
        </w:rPr>
      </w:pPr>
      <w:r w:rsidRPr="009A0398">
        <w:rPr>
          <w:rFonts w:ascii="Arial" w:hAnsi="Arial" w:cs="Arial"/>
          <w:b/>
          <w:lang w:val="en-US"/>
        </w:rPr>
        <w:t>Committee on Economic, Social and Cultural Rights</w:t>
      </w:r>
      <w:r w:rsidR="00004264">
        <w:rPr>
          <w:rFonts w:ascii="Arial" w:hAnsi="Arial" w:cs="Arial"/>
          <w:b/>
          <w:lang w:val="en-US"/>
        </w:rPr>
        <w:t xml:space="preserve"> (CESCR)</w:t>
      </w:r>
      <w:r w:rsidRPr="009A0398">
        <w:rPr>
          <w:rFonts w:ascii="Arial" w:hAnsi="Arial" w:cs="Arial"/>
          <w:b/>
          <w:lang w:val="en-US"/>
        </w:rPr>
        <w:t xml:space="preserve"> Draft General Comment on Science</w:t>
      </w:r>
    </w:p>
    <w:p w:rsidR="009A0398" w:rsidRDefault="009A0398" w:rsidP="00426098">
      <w:pPr>
        <w:spacing w:after="120" w:line="276" w:lineRule="auto"/>
        <w:rPr>
          <w:rFonts w:ascii="Arial" w:hAnsi="Arial" w:cs="Arial"/>
          <w:lang w:val="en-US"/>
        </w:rPr>
      </w:pPr>
    </w:p>
    <w:p w:rsidR="009A0398" w:rsidRDefault="009A0398" w:rsidP="00426098">
      <w:pPr>
        <w:spacing w:after="120" w:line="276" w:lineRule="auto"/>
        <w:rPr>
          <w:rFonts w:ascii="Arial" w:hAnsi="Arial" w:cs="Arial"/>
          <w:lang w:val="en-US"/>
        </w:rPr>
      </w:pPr>
      <w:r>
        <w:rPr>
          <w:rFonts w:ascii="Arial" w:hAnsi="Arial" w:cs="Arial"/>
          <w:lang w:val="en-US"/>
        </w:rPr>
        <w:t xml:space="preserve">Submission by FIAN International, </w:t>
      </w:r>
      <w:r>
        <w:rPr>
          <w:rFonts w:ascii="Arial" w:hAnsi="Arial" w:cs="Arial"/>
          <w:lang w:val="en-US"/>
        </w:rPr>
        <w:t>February 14</w:t>
      </w:r>
      <w:r>
        <w:rPr>
          <w:rFonts w:ascii="Arial" w:hAnsi="Arial" w:cs="Arial"/>
          <w:lang w:val="en-US"/>
        </w:rPr>
        <w:t>, 20</w:t>
      </w:r>
      <w:r>
        <w:rPr>
          <w:rFonts w:ascii="Arial" w:hAnsi="Arial" w:cs="Arial"/>
          <w:lang w:val="en-US"/>
        </w:rPr>
        <w:t>20</w:t>
      </w:r>
    </w:p>
    <w:p w:rsidR="009A0398" w:rsidRDefault="009A0398" w:rsidP="00426098">
      <w:pPr>
        <w:spacing w:after="120" w:line="276" w:lineRule="auto"/>
        <w:rPr>
          <w:rFonts w:ascii="Arial" w:hAnsi="Arial" w:cs="Arial"/>
          <w:lang w:val="en-US"/>
        </w:rPr>
      </w:pPr>
    </w:p>
    <w:p w:rsidR="009A0398" w:rsidRDefault="009A0398" w:rsidP="00426098">
      <w:pPr>
        <w:spacing w:after="120" w:line="276" w:lineRule="auto"/>
        <w:rPr>
          <w:rFonts w:ascii="Arial" w:hAnsi="Arial" w:cs="Arial"/>
          <w:lang w:val="en-US"/>
        </w:rPr>
      </w:pPr>
      <w:r>
        <w:rPr>
          <w:rFonts w:ascii="Arial" w:hAnsi="Arial" w:cs="Arial"/>
          <w:lang w:val="en-US"/>
        </w:rPr>
        <w:t xml:space="preserve">Contact: </w:t>
      </w:r>
      <w:hyperlink r:id="rId9" w:history="1">
        <w:r w:rsidRPr="00980AB6">
          <w:rPr>
            <w:rStyle w:val="Hyperlink"/>
            <w:rFonts w:ascii="Arial" w:hAnsi="Arial" w:cs="Arial"/>
            <w:lang w:val="en-US"/>
          </w:rPr>
          <w:t>seufert@fian.org</w:t>
        </w:r>
      </w:hyperlink>
      <w:r>
        <w:rPr>
          <w:rFonts w:ascii="Arial" w:hAnsi="Arial" w:cs="Arial"/>
          <w:lang w:val="en-US"/>
        </w:rPr>
        <w:t xml:space="preserve">. </w:t>
      </w:r>
    </w:p>
    <w:p w:rsidR="00537F9F" w:rsidRDefault="00537F9F" w:rsidP="00426098">
      <w:pPr>
        <w:spacing w:after="120" w:line="276" w:lineRule="auto"/>
        <w:rPr>
          <w:rFonts w:ascii="Arial" w:hAnsi="Arial" w:cs="Arial"/>
          <w:lang w:val="en-US"/>
        </w:rPr>
      </w:pPr>
      <w:r>
        <w:rPr>
          <w:rFonts w:ascii="Arial" w:hAnsi="Arial" w:cs="Arial"/>
          <w:lang w:val="en-US"/>
        </w:rPr>
        <w:t xml:space="preserve">For more information: </w:t>
      </w:r>
      <w:hyperlink r:id="rId10" w:history="1">
        <w:r w:rsidRPr="00980AB6">
          <w:rPr>
            <w:rStyle w:val="Hyperlink"/>
            <w:rFonts w:ascii="Arial" w:hAnsi="Arial" w:cs="Arial"/>
            <w:lang w:val="en-US"/>
          </w:rPr>
          <w:t>www.fian.org</w:t>
        </w:r>
      </w:hyperlink>
      <w:r>
        <w:rPr>
          <w:rFonts w:ascii="Arial" w:hAnsi="Arial" w:cs="Arial"/>
          <w:lang w:val="en-US"/>
        </w:rPr>
        <w:t>.</w:t>
      </w:r>
    </w:p>
    <w:p w:rsidR="00537F9F" w:rsidRDefault="00537F9F" w:rsidP="00426098">
      <w:pPr>
        <w:spacing w:after="120" w:line="276" w:lineRule="auto"/>
        <w:rPr>
          <w:rFonts w:ascii="Arial" w:hAnsi="Arial" w:cs="Arial"/>
          <w:lang w:val="en-US"/>
        </w:rPr>
      </w:pPr>
    </w:p>
    <w:p w:rsidR="00E84C4F" w:rsidRPr="00E84C4F" w:rsidRDefault="00E84C4F" w:rsidP="00426098">
      <w:pPr>
        <w:autoSpaceDE w:val="0"/>
        <w:autoSpaceDN w:val="0"/>
        <w:adjustRightInd w:val="0"/>
        <w:spacing w:line="276" w:lineRule="auto"/>
        <w:rPr>
          <w:rFonts w:ascii="Arial" w:hAnsi="Arial" w:cs="Arial"/>
          <w:lang w:val="en-US"/>
        </w:rPr>
      </w:pPr>
    </w:p>
    <w:p w:rsidR="00E84C4F" w:rsidRPr="00E84C4F" w:rsidRDefault="00E84C4F" w:rsidP="00004264">
      <w:pPr>
        <w:autoSpaceDE w:val="0"/>
        <w:autoSpaceDN w:val="0"/>
        <w:adjustRightInd w:val="0"/>
        <w:spacing w:line="276" w:lineRule="auto"/>
        <w:rPr>
          <w:rFonts w:ascii="Arial" w:hAnsi="Arial" w:cs="Arial"/>
          <w:lang w:val="en-US"/>
        </w:rPr>
      </w:pPr>
      <w:r w:rsidRPr="00E84C4F">
        <w:rPr>
          <w:rFonts w:ascii="Arial" w:hAnsi="Arial" w:cs="Arial"/>
          <w:lang w:val="en-US"/>
        </w:rPr>
        <w:t>FIAN International welcomes the Committee’s work on a General Comment (GC) that clarifies states’ obligations under the ICESCR related to science. Regarding the draft GC, we would like to bring the following points to the attention of the Committee:</w:t>
      </w:r>
    </w:p>
    <w:p w:rsidR="00E84C4F" w:rsidRPr="00E84C4F" w:rsidRDefault="00E84C4F" w:rsidP="00004264">
      <w:pPr>
        <w:autoSpaceDE w:val="0"/>
        <w:autoSpaceDN w:val="0"/>
        <w:adjustRightInd w:val="0"/>
        <w:spacing w:line="276" w:lineRule="auto"/>
        <w:rPr>
          <w:rFonts w:ascii="Arial" w:hAnsi="Arial" w:cs="Arial"/>
          <w:lang w:val="en-US"/>
        </w:rPr>
      </w:pPr>
    </w:p>
    <w:p w:rsidR="00E84C4F" w:rsidRPr="00E84C4F" w:rsidRDefault="00E84C4F" w:rsidP="00004264">
      <w:pPr>
        <w:autoSpaceDE w:val="0"/>
        <w:autoSpaceDN w:val="0"/>
        <w:adjustRightInd w:val="0"/>
        <w:spacing w:line="276" w:lineRule="auto"/>
        <w:rPr>
          <w:rFonts w:ascii="Arial" w:hAnsi="Arial" w:cs="Arial"/>
          <w:lang w:val="en-US"/>
        </w:rPr>
      </w:pPr>
    </w:p>
    <w:p w:rsidR="00C62030" w:rsidRDefault="00C62030" w:rsidP="00004264">
      <w:pPr>
        <w:pStyle w:val="Listenabsatz"/>
        <w:numPr>
          <w:ilvl w:val="0"/>
          <w:numId w:val="3"/>
        </w:numPr>
        <w:spacing w:line="276" w:lineRule="auto"/>
        <w:ind w:left="426"/>
        <w:rPr>
          <w:rFonts w:ascii="Arial" w:hAnsi="Arial" w:cs="Arial"/>
          <w:lang w:val="en-US"/>
        </w:rPr>
      </w:pPr>
      <w:r w:rsidRPr="00537F9F">
        <w:rPr>
          <w:rFonts w:ascii="Arial" w:hAnsi="Arial" w:cs="Arial"/>
          <w:lang w:val="en-US"/>
        </w:rPr>
        <w:t xml:space="preserve">FIAN considers that the GC should put the fundamental human rights-principle of </w:t>
      </w:r>
      <w:r w:rsidRPr="00004264">
        <w:rPr>
          <w:rFonts w:ascii="Arial" w:hAnsi="Arial" w:cs="Arial"/>
          <w:b/>
          <w:lang w:val="en-US"/>
        </w:rPr>
        <w:t>self-determination</w:t>
      </w:r>
      <w:r w:rsidRPr="00537F9F">
        <w:rPr>
          <w:rFonts w:ascii="Arial" w:hAnsi="Arial" w:cs="Arial"/>
          <w:lang w:val="en-US"/>
        </w:rPr>
        <w:t xml:space="preserve"> at the heart of a human right to science. As described in the draft GC, human rights related to science have, until now, been conceived of mainly as a right to enjoy the benefits of science and its applications. In addition, a strong accent has been put on the freedoms that are indispensable for scientific research. While these remain important aspects of human rights related to science, we consider that the unprecedented use of the applications of scientific research in many aspects of life (concerning both the intensity with which technological advances are reshaping societies, as well as the geographical extent of their reach), requires placing the ability of people to define in a self-determined way what kind of science, knowledge and technology they need and want center stage. </w:t>
      </w:r>
      <w:r w:rsidRPr="00537F9F">
        <w:rPr>
          <w:rFonts w:ascii="Arial" w:hAnsi="Arial" w:cs="Arial"/>
          <w:lang w:val="en-US"/>
        </w:rPr>
        <w:t>We recommend that the GC is built around such an approach, which goes beyond putting in place safeguards, and which</w:t>
      </w:r>
      <w:r w:rsidR="00537F9F" w:rsidRPr="00537F9F">
        <w:rPr>
          <w:rFonts w:ascii="Arial" w:hAnsi="Arial" w:cs="Arial"/>
          <w:lang w:val="en-US"/>
        </w:rPr>
        <w:t xml:space="preserve"> provides guidance to states on how to design public policies related to science that are emancipatory and serve the purpose of advancing economic, social and cultural rights in a world </w:t>
      </w:r>
      <w:r w:rsidR="00537F9F">
        <w:rPr>
          <w:rFonts w:ascii="Arial" w:hAnsi="Arial" w:cs="Arial"/>
          <w:lang w:val="en-US"/>
        </w:rPr>
        <w:t>that is increasingly based on</w:t>
      </w:r>
      <w:r w:rsidR="00004264">
        <w:rPr>
          <w:rFonts w:ascii="Arial" w:hAnsi="Arial" w:cs="Arial"/>
          <w:lang w:val="en-US"/>
        </w:rPr>
        <w:t xml:space="preserve"> knowledge.</w:t>
      </w:r>
    </w:p>
    <w:p w:rsidR="00004264" w:rsidRDefault="00004264" w:rsidP="00004264">
      <w:pPr>
        <w:spacing w:line="276" w:lineRule="auto"/>
        <w:ind w:left="426"/>
        <w:rPr>
          <w:rFonts w:ascii="Arial" w:hAnsi="Arial" w:cs="Arial"/>
          <w:lang w:val="en-US"/>
        </w:rPr>
      </w:pPr>
    </w:p>
    <w:p w:rsidR="00004264" w:rsidRDefault="00004264" w:rsidP="00004264">
      <w:pPr>
        <w:autoSpaceDE w:val="0"/>
        <w:autoSpaceDN w:val="0"/>
        <w:adjustRightInd w:val="0"/>
        <w:spacing w:line="276" w:lineRule="auto"/>
        <w:ind w:left="426"/>
        <w:rPr>
          <w:rFonts w:ascii="Arial" w:hAnsi="Arial" w:cs="Arial"/>
          <w:lang w:val="en-US"/>
        </w:rPr>
      </w:pPr>
      <w:r>
        <w:rPr>
          <w:rFonts w:ascii="Arial" w:hAnsi="Arial" w:cs="Arial"/>
          <w:lang w:val="en-US"/>
        </w:rPr>
        <w:t>We consider</w:t>
      </w:r>
      <w:r w:rsidRPr="004229DB">
        <w:rPr>
          <w:rFonts w:ascii="Arial" w:hAnsi="Arial" w:cs="Arial"/>
          <w:lang w:val="en-US"/>
        </w:rPr>
        <w:t xml:space="preserve"> that th</w:t>
      </w:r>
      <w:r>
        <w:rPr>
          <w:rFonts w:ascii="Arial" w:hAnsi="Arial" w:cs="Arial"/>
          <w:lang w:val="en-US"/>
        </w:rPr>
        <w:t>e</w:t>
      </w:r>
      <w:r w:rsidRPr="004229DB">
        <w:rPr>
          <w:rFonts w:ascii="Arial" w:hAnsi="Arial" w:cs="Arial"/>
          <w:lang w:val="en-US"/>
        </w:rPr>
        <w:t>s</w:t>
      </w:r>
      <w:r>
        <w:rPr>
          <w:rFonts w:ascii="Arial" w:hAnsi="Arial" w:cs="Arial"/>
          <w:lang w:val="en-US"/>
        </w:rPr>
        <w:t>e</w:t>
      </w:r>
      <w:r w:rsidRPr="004229DB">
        <w:rPr>
          <w:rFonts w:ascii="Arial" w:hAnsi="Arial" w:cs="Arial"/>
          <w:lang w:val="en-US"/>
        </w:rPr>
        <w:t xml:space="preserve"> aspect</w:t>
      </w:r>
      <w:r>
        <w:rPr>
          <w:rFonts w:ascii="Arial" w:hAnsi="Arial" w:cs="Arial"/>
          <w:lang w:val="en-US"/>
        </w:rPr>
        <w:t>s</w:t>
      </w:r>
      <w:r w:rsidRPr="004229DB">
        <w:rPr>
          <w:rFonts w:ascii="Arial" w:hAnsi="Arial" w:cs="Arial"/>
          <w:lang w:val="en-US"/>
        </w:rPr>
        <w:t xml:space="preserve"> could strengthen</w:t>
      </w:r>
      <w:r>
        <w:rPr>
          <w:rFonts w:ascii="Arial" w:hAnsi="Arial" w:cs="Arial"/>
          <w:lang w:val="en-US"/>
        </w:rPr>
        <w:t xml:space="preserve"> all sections of the draft GC, in </w:t>
      </w:r>
      <w:r w:rsidRPr="004229DB">
        <w:rPr>
          <w:rFonts w:ascii="Arial" w:hAnsi="Arial" w:cs="Arial"/>
          <w:lang w:val="en-US"/>
        </w:rPr>
        <w:t xml:space="preserve">particular sections </w:t>
      </w:r>
      <w:r>
        <w:rPr>
          <w:rFonts w:ascii="Arial" w:hAnsi="Arial" w:cs="Arial"/>
          <w:lang w:val="en-US"/>
        </w:rPr>
        <w:t xml:space="preserve">II, III.A, IV.C, IV.D., IV.E, </w:t>
      </w:r>
      <w:r w:rsidR="002503EC">
        <w:rPr>
          <w:rFonts w:ascii="Arial" w:hAnsi="Arial" w:cs="Arial"/>
          <w:lang w:val="en-US"/>
        </w:rPr>
        <w:t xml:space="preserve">V.A, </w:t>
      </w:r>
      <w:r>
        <w:rPr>
          <w:rFonts w:ascii="Arial" w:hAnsi="Arial" w:cs="Arial"/>
          <w:lang w:val="en-US"/>
        </w:rPr>
        <w:t>V.G, VI, and VII.</w:t>
      </w:r>
    </w:p>
    <w:p w:rsidR="00C62030" w:rsidRPr="00C62030" w:rsidRDefault="00C62030" w:rsidP="00004264">
      <w:pPr>
        <w:spacing w:line="276" w:lineRule="auto"/>
        <w:ind w:left="426"/>
        <w:rPr>
          <w:rFonts w:ascii="Arial" w:hAnsi="Arial" w:cs="Arial"/>
          <w:lang w:val="en-US"/>
        </w:rPr>
      </w:pPr>
    </w:p>
    <w:p w:rsidR="00C62030" w:rsidRDefault="00C62030" w:rsidP="00004264">
      <w:pPr>
        <w:pStyle w:val="Listenabsatz"/>
        <w:autoSpaceDE w:val="0"/>
        <w:autoSpaceDN w:val="0"/>
        <w:adjustRightInd w:val="0"/>
        <w:spacing w:line="276" w:lineRule="auto"/>
        <w:ind w:left="426"/>
        <w:rPr>
          <w:rFonts w:ascii="Arial" w:hAnsi="Arial" w:cs="Arial"/>
          <w:lang w:val="en-US"/>
        </w:rPr>
      </w:pPr>
    </w:p>
    <w:p w:rsidR="00C16808" w:rsidRPr="002503EC" w:rsidRDefault="009F5460" w:rsidP="00004264">
      <w:pPr>
        <w:pStyle w:val="Listenabsatz"/>
        <w:numPr>
          <w:ilvl w:val="0"/>
          <w:numId w:val="3"/>
        </w:numPr>
        <w:autoSpaceDE w:val="0"/>
        <w:autoSpaceDN w:val="0"/>
        <w:adjustRightInd w:val="0"/>
        <w:spacing w:line="276" w:lineRule="auto"/>
        <w:ind w:left="426"/>
        <w:rPr>
          <w:rFonts w:ascii="Arial" w:hAnsi="Arial" w:cs="Arial"/>
          <w:lang w:val="en-US"/>
        </w:rPr>
      </w:pPr>
      <w:r>
        <w:rPr>
          <w:rFonts w:ascii="Arial" w:hAnsi="Arial" w:cs="Arial"/>
          <w:lang w:val="en-US"/>
        </w:rPr>
        <w:t>FIAN considers that t</w:t>
      </w:r>
      <w:r w:rsidR="00E84C4F" w:rsidRPr="00F71F4B">
        <w:rPr>
          <w:rFonts w:ascii="Arial" w:hAnsi="Arial" w:cs="Arial"/>
          <w:lang w:val="en-US"/>
        </w:rPr>
        <w:t xml:space="preserve">he GC should put </w:t>
      </w:r>
      <w:r>
        <w:rPr>
          <w:rFonts w:ascii="Arial" w:hAnsi="Arial" w:cs="Arial"/>
          <w:lang w:val="en-US"/>
        </w:rPr>
        <w:t xml:space="preserve">a </w:t>
      </w:r>
      <w:r w:rsidR="00E84C4F" w:rsidRPr="00F71F4B">
        <w:rPr>
          <w:rFonts w:ascii="Arial" w:hAnsi="Arial" w:cs="Arial"/>
          <w:lang w:val="en-US"/>
        </w:rPr>
        <w:t xml:space="preserve">stronger emphasis on the </w:t>
      </w:r>
      <w:r>
        <w:rPr>
          <w:rFonts w:ascii="Arial" w:hAnsi="Arial" w:cs="Arial"/>
          <w:lang w:val="en-US"/>
        </w:rPr>
        <w:t xml:space="preserve">recognition </w:t>
      </w:r>
      <w:r w:rsidR="00F90FEE" w:rsidRPr="00F71F4B">
        <w:rPr>
          <w:rFonts w:ascii="Arial" w:hAnsi="Arial" w:cs="Arial"/>
          <w:lang w:val="en-US"/>
        </w:rPr>
        <w:t>of</w:t>
      </w:r>
      <w:r w:rsidR="00E84C4F" w:rsidRPr="00F71F4B">
        <w:rPr>
          <w:rFonts w:ascii="Arial" w:hAnsi="Arial" w:cs="Arial"/>
          <w:lang w:val="en-US"/>
        </w:rPr>
        <w:t xml:space="preserve"> </w:t>
      </w:r>
      <w:r w:rsidR="00E84C4F" w:rsidRPr="00F71F4B">
        <w:rPr>
          <w:rFonts w:ascii="Arial" w:hAnsi="Arial" w:cs="Arial"/>
          <w:b/>
          <w:lang w:val="en-US"/>
        </w:rPr>
        <w:t>diverse sources of knowledge</w:t>
      </w:r>
      <w:r w:rsidR="00E84C4F" w:rsidRPr="00F71F4B">
        <w:rPr>
          <w:rFonts w:ascii="Arial" w:hAnsi="Arial" w:cs="Arial"/>
          <w:b/>
          <w:lang w:val="en-US"/>
        </w:rPr>
        <w:t xml:space="preserve"> and science</w:t>
      </w:r>
      <w:r w:rsidR="00E84C4F" w:rsidRPr="00F71F4B">
        <w:rPr>
          <w:rFonts w:ascii="Arial" w:hAnsi="Arial" w:cs="Arial"/>
          <w:lang w:val="en-US"/>
        </w:rPr>
        <w:t>, ranging from institutional</w:t>
      </w:r>
      <w:r w:rsidR="00E84C4F" w:rsidRPr="00F71F4B">
        <w:rPr>
          <w:rFonts w:ascii="Arial" w:hAnsi="Arial" w:cs="Arial"/>
          <w:lang w:val="en-US"/>
        </w:rPr>
        <w:t xml:space="preserve"> </w:t>
      </w:r>
      <w:r w:rsidR="00E84C4F" w:rsidRPr="00F71F4B">
        <w:rPr>
          <w:rFonts w:ascii="Arial" w:hAnsi="Arial" w:cs="Arial"/>
          <w:lang w:val="en-US"/>
        </w:rPr>
        <w:t>knowledge generated by academia and the formal systems to local, traditional and indigenous</w:t>
      </w:r>
      <w:r w:rsidR="00E84C4F" w:rsidRPr="00F71F4B">
        <w:rPr>
          <w:rFonts w:ascii="Arial" w:hAnsi="Arial" w:cs="Arial"/>
          <w:lang w:val="en-US"/>
        </w:rPr>
        <w:t xml:space="preserve"> </w:t>
      </w:r>
      <w:r w:rsidR="00E84C4F" w:rsidRPr="00F71F4B">
        <w:rPr>
          <w:rFonts w:ascii="Arial" w:hAnsi="Arial" w:cs="Arial"/>
          <w:lang w:val="en-US"/>
        </w:rPr>
        <w:t xml:space="preserve">knowledge systems that </w:t>
      </w:r>
      <w:r w:rsidR="00E84C4F" w:rsidRPr="00F71F4B">
        <w:rPr>
          <w:rFonts w:ascii="Arial" w:hAnsi="Arial" w:cs="Arial"/>
          <w:lang w:val="en-US"/>
        </w:rPr>
        <w:t xml:space="preserve">have </w:t>
      </w:r>
      <w:r w:rsidR="00E84C4F" w:rsidRPr="00F71F4B">
        <w:rPr>
          <w:rFonts w:ascii="Arial" w:hAnsi="Arial" w:cs="Arial"/>
          <w:lang w:val="en-US"/>
        </w:rPr>
        <w:t>evolved from collective experiences</w:t>
      </w:r>
      <w:r w:rsidR="00F90FEE" w:rsidRPr="00F71F4B">
        <w:rPr>
          <w:rFonts w:ascii="Arial" w:hAnsi="Arial" w:cs="Arial"/>
          <w:lang w:val="en-US"/>
        </w:rPr>
        <w:t>,</w:t>
      </w:r>
      <w:r w:rsidR="00E84C4F" w:rsidRPr="00F71F4B">
        <w:rPr>
          <w:rFonts w:ascii="Arial" w:hAnsi="Arial" w:cs="Arial"/>
          <w:lang w:val="en-US"/>
        </w:rPr>
        <w:t xml:space="preserve"> practices</w:t>
      </w:r>
      <w:r w:rsidR="00F90FEE" w:rsidRPr="00F71F4B">
        <w:rPr>
          <w:rFonts w:ascii="Arial" w:hAnsi="Arial" w:cs="Arial"/>
          <w:lang w:val="en-US"/>
        </w:rPr>
        <w:t xml:space="preserve"> and innovations</w:t>
      </w:r>
      <w:r w:rsidR="00E84C4F" w:rsidRPr="00F71F4B">
        <w:rPr>
          <w:rFonts w:ascii="Arial" w:hAnsi="Arial" w:cs="Arial"/>
          <w:lang w:val="en-US"/>
        </w:rPr>
        <w:t xml:space="preserve"> of communities across</w:t>
      </w:r>
      <w:r w:rsidR="00E84C4F" w:rsidRPr="00F71F4B">
        <w:rPr>
          <w:rFonts w:ascii="Arial" w:hAnsi="Arial" w:cs="Arial"/>
          <w:lang w:val="en-US"/>
        </w:rPr>
        <w:t xml:space="preserve"> </w:t>
      </w:r>
      <w:r w:rsidR="00E84C4F" w:rsidRPr="00F71F4B">
        <w:rPr>
          <w:rFonts w:ascii="Arial" w:hAnsi="Arial" w:cs="Arial"/>
          <w:lang w:val="en-US"/>
        </w:rPr>
        <w:t>the world over millennia.</w:t>
      </w:r>
      <w:r w:rsidR="00E84C4F" w:rsidRPr="00F71F4B">
        <w:rPr>
          <w:rFonts w:ascii="Arial" w:hAnsi="Arial" w:cs="Arial"/>
          <w:lang w:val="en-US"/>
        </w:rPr>
        <w:t xml:space="preserve"> The GC should </w:t>
      </w:r>
      <w:r w:rsidR="00C16808">
        <w:rPr>
          <w:rFonts w:ascii="Arial" w:hAnsi="Arial" w:cs="Arial"/>
          <w:lang w:val="en-US"/>
        </w:rPr>
        <w:t xml:space="preserve">carefully </w:t>
      </w:r>
      <w:r w:rsidR="00E84C4F" w:rsidRPr="00F71F4B">
        <w:rPr>
          <w:rFonts w:ascii="Arial" w:hAnsi="Arial" w:cs="Arial"/>
          <w:lang w:val="en-US"/>
        </w:rPr>
        <w:t>avoid giving the impression that certain types of science and knowledge production</w:t>
      </w:r>
      <w:r>
        <w:rPr>
          <w:rFonts w:ascii="Arial" w:hAnsi="Arial" w:cs="Arial"/>
          <w:lang w:val="en-US"/>
        </w:rPr>
        <w:t xml:space="preserve"> (in particular academic, </w:t>
      </w:r>
      <w:r w:rsidR="00C16808">
        <w:rPr>
          <w:rFonts w:ascii="Arial" w:hAnsi="Arial" w:cs="Arial"/>
          <w:lang w:val="en-US"/>
        </w:rPr>
        <w:t>“</w:t>
      </w:r>
      <w:r>
        <w:rPr>
          <w:rFonts w:ascii="Arial" w:hAnsi="Arial" w:cs="Arial"/>
          <w:lang w:val="en-US"/>
        </w:rPr>
        <w:t>Western</w:t>
      </w:r>
      <w:r w:rsidR="00C16808">
        <w:rPr>
          <w:rFonts w:ascii="Arial" w:hAnsi="Arial" w:cs="Arial"/>
          <w:lang w:val="en-US"/>
        </w:rPr>
        <w:t>”</w:t>
      </w:r>
      <w:r>
        <w:rPr>
          <w:rFonts w:ascii="Arial" w:hAnsi="Arial" w:cs="Arial"/>
          <w:lang w:val="en-US"/>
        </w:rPr>
        <w:t xml:space="preserve"> science)</w:t>
      </w:r>
      <w:r w:rsidR="00E84C4F" w:rsidRPr="00F71F4B">
        <w:rPr>
          <w:rFonts w:ascii="Arial" w:hAnsi="Arial" w:cs="Arial"/>
          <w:lang w:val="en-US"/>
        </w:rPr>
        <w:t xml:space="preserve"> are </w:t>
      </w:r>
      <w:r w:rsidR="00E84C4F" w:rsidRPr="002503EC">
        <w:rPr>
          <w:rFonts w:ascii="Arial" w:hAnsi="Arial" w:cs="Arial"/>
          <w:lang w:val="en-US"/>
        </w:rPr>
        <w:t xml:space="preserve">superior to others, but rather </w:t>
      </w:r>
      <w:r w:rsidRPr="002503EC">
        <w:rPr>
          <w:rFonts w:ascii="Arial" w:hAnsi="Arial" w:cs="Arial"/>
          <w:lang w:val="en-US"/>
        </w:rPr>
        <w:t>recommend</w:t>
      </w:r>
      <w:r w:rsidR="00F90FEE" w:rsidRPr="002503EC">
        <w:rPr>
          <w:rFonts w:ascii="Arial" w:hAnsi="Arial" w:cs="Arial"/>
          <w:lang w:val="en-US"/>
        </w:rPr>
        <w:t xml:space="preserve"> states to recognize and promote a diversity of </w:t>
      </w:r>
      <w:r w:rsidR="00F90FEE" w:rsidRPr="002503EC">
        <w:rPr>
          <w:rFonts w:ascii="Arial" w:hAnsi="Arial" w:cs="Arial"/>
          <w:lang w:val="en-US"/>
        </w:rPr>
        <w:lastRenderedPageBreak/>
        <w:t xml:space="preserve">knowledge systems. </w:t>
      </w:r>
      <w:r w:rsidR="00C16808" w:rsidRPr="00F61EAC">
        <w:rPr>
          <w:rFonts w:ascii="Arial" w:hAnsi="Arial" w:cs="Arial"/>
          <w:lang w:val="en-US"/>
        </w:rPr>
        <w:t>This is vital considering that most non-</w:t>
      </w:r>
      <w:r w:rsidR="00C16808" w:rsidRPr="00F61EAC">
        <w:rPr>
          <w:rFonts w:ascii="Arial" w:hAnsi="Arial" w:cs="Arial"/>
          <w:lang w:val="en-US"/>
        </w:rPr>
        <w:t>“</w:t>
      </w:r>
      <w:r w:rsidR="00C16808" w:rsidRPr="00F61EAC">
        <w:rPr>
          <w:rFonts w:ascii="Arial" w:hAnsi="Arial" w:cs="Arial"/>
          <w:lang w:val="en-US"/>
        </w:rPr>
        <w:t>Western</w:t>
      </w:r>
      <w:r w:rsidR="00C16808" w:rsidRPr="00F61EAC">
        <w:rPr>
          <w:rFonts w:ascii="Arial" w:hAnsi="Arial" w:cs="Arial"/>
          <w:lang w:val="en-US"/>
        </w:rPr>
        <w:t>”</w:t>
      </w:r>
      <w:r w:rsidR="00C16808" w:rsidRPr="00F61EAC">
        <w:rPr>
          <w:rFonts w:ascii="Arial" w:hAnsi="Arial" w:cs="Arial"/>
          <w:lang w:val="en-US"/>
        </w:rPr>
        <w:t xml:space="preserve"> traditional sciences</w:t>
      </w:r>
      <w:r w:rsidR="00C16808" w:rsidRPr="00F61EAC">
        <w:rPr>
          <w:rFonts w:ascii="Arial" w:hAnsi="Arial" w:cs="Arial"/>
          <w:lang w:val="en-US"/>
        </w:rPr>
        <w:t xml:space="preserve"> have been historically</w:t>
      </w:r>
      <w:r w:rsidR="0024701A">
        <w:rPr>
          <w:rFonts w:ascii="Arial" w:hAnsi="Arial" w:cs="Arial"/>
          <w:lang w:val="en-US"/>
        </w:rPr>
        <w:t>, albeit</w:t>
      </w:r>
      <w:r w:rsidR="00C16808" w:rsidRPr="00F61EAC">
        <w:rPr>
          <w:rFonts w:ascii="Arial" w:hAnsi="Arial" w:cs="Arial"/>
          <w:lang w:val="en-US"/>
        </w:rPr>
        <w:t xml:space="preserve"> falsely</w:t>
      </w:r>
      <w:r w:rsidR="0024701A">
        <w:rPr>
          <w:rFonts w:ascii="Arial" w:hAnsi="Arial" w:cs="Arial"/>
          <w:lang w:val="en-US"/>
        </w:rPr>
        <w:t>,</w:t>
      </w:r>
      <w:r w:rsidR="00C16808" w:rsidRPr="00F61EAC">
        <w:rPr>
          <w:rFonts w:ascii="Arial" w:hAnsi="Arial" w:cs="Arial"/>
          <w:lang w:val="en-US"/>
        </w:rPr>
        <w:t xml:space="preserve"> relegated</w:t>
      </w:r>
      <w:r w:rsidR="00C16808" w:rsidRPr="00F61EAC">
        <w:rPr>
          <w:rFonts w:ascii="Arial" w:hAnsi="Arial" w:cs="Arial"/>
          <w:lang w:val="en-US"/>
        </w:rPr>
        <w:t xml:space="preserve"> to the realm of irrational, mystical and the unthinking, lacking in empirical knowledge acquisition. This has simultaneously been inextricably linked with the biopiracy and appropriation of scientific knowledge that has propelled many </w:t>
      </w:r>
      <w:r w:rsidR="00C16808" w:rsidRPr="00F61EAC">
        <w:rPr>
          <w:rFonts w:ascii="Arial" w:hAnsi="Arial" w:cs="Arial"/>
          <w:lang w:val="en-US"/>
        </w:rPr>
        <w:t>of the advances of “</w:t>
      </w:r>
      <w:r w:rsidR="00C16808" w:rsidRPr="00F61EAC">
        <w:rPr>
          <w:rFonts w:ascii="Arial" w:hAnsi="Arial" w:cs="Arial"/>
          <w:lang w:val="en-US"/>
        </w:rPr>
        <w:t>Western</w:t>
      </w:r>
      <w:r w:rsidR="00C16808" w:rsidRPr="00F61EAC">
        <w:rPr>
          <w:rFonts w:ascii="Arial" w:hAnsi="Arial" w:cs="Arial"/>
          <w:lang w:val="en-US"/>
        </w:rPr>
        <w:t>”</w:t>
      </w:r>
      <w:r w:rsidR="00C16808" w:rsidRPr="00F61EAC">
        <w:rPr>
          <w:rFonts w:ascii="Arial" w:hAnsi="Arial" w:cs="Arial"/>
          <w:lang w:val="en-US"/>
        </w:rPr>
        <w:t xml:space="preserve"> sciences, (e.g. aspirins, malaria drugs, contraceptives, anti-venoms), as well as many agricultural and nutritional advances</w:t>
      </w:r>
      <w:bookmarkStart w:id="0" w:name="_GoBack"/>
      <w:bookmarkEnd w:id="0"/>
      <w:r w:rsidR="00C16808" w:rsidRPr="00F61EAC">
        <w:rPr>
          <w:rFonts w:ascii="Arial" w:hAnsi="Arial" w:cs="Arial"/>
          <w:lang w:val="en-US"/>
        </w:rPr>
        <w:t xml:space="preserve"> to name a few.</w:t>
      </w:r>
      <w:r w:rsidR="00C16808" w:rsidRPr="00F61EAC">
        <w:rPr>
          <w:rFonts w:ascii="Arial" w:hAnsi="Arial" w:cs="Arial"/>
          <w:lang w:val="en-US"/>
        </w:rPr>
        <w:t xml:space="preserve"> As such, FIAN strongly feels that the GC should contribute to a de-colonialization of science.</w:t>
      </w:r>
    </w:p>
    <w:p w:rsidR="00F90FEE" w:rsidRPr="00F71F4B" w:rsidRDefault="00F90FEE" w:rsidP="00F61EAC">
      <w:pPr>
        <w:pStyle w:val="Listenabsatz"/>
        <w:autoSpaceDE w:val="0"/>
        <w:autoSpaceDN w:val="0"/>
        <w:adjustRightInd w:val="0"/>
        <w:spacing w:line="276" w:lineRule="auto"/>
        <w:ind w:left="426"/>
        <w:rPr>
          <w:rFonts w:ascii="Arial" w:hAnsi="Arial" w:cs="Arial"/>
          <w:lang w:val="en-US"/>
        </w:rPr>
      </w:pPr>
      <w:r w:rsidRPr="002503EC">
        <w:rPr>
          <w:rFonts w:ascii="Arial" w:hAnsi="Arial" w:cs="Arial"/>
          <w:lang w:val="en-US"/>
        </w:rPr>
        <w:t xml:space="preserve">Given that public research policies in most countries focus strongly (if not exclusively) on institutional, academic </w:t>
      </w:r>
      <w:r w:rsidRPr="00F61EAC">
        <w:rPr>
          <w:rFonts w:ascii="Arial" w:hAnsi="Arial" w:cs="Arial"/>
          <w:lang w:val="en-US"/>
        </w:rPr>
        <w:t>knowledge production, the GC should recommend states to</w:t>
      </w:r>
      <w:r w:rsidR="004229DB" w:rsidRPr="00F61EAC">
        <w:rPr>
          <w:rFonts w:ascii="Arial" w:hAnsi="Arial" w:cs="Arial"/>
          <w:lang w:val="en-US"/>
        </w:rPr>
        <w:t xml:space="preserve"> take </w:t>
      </w:r>
      <w:r w:rsidR="00F71F4B" w:rsidRPr="00F61EAC">
        <w:rPr>
          <w:rFonts w:ascii="Arial" w:hAnsi="Arial" w:cs="Arial"/>
          <w:lang w:val="en-US"/>
        </w:rPr>
        <w:t xml:space="preserve">specific </w:t>
      </w:r>
      <w:r w:rsidR="004229DB" w:rsidRPr="00F61EAC">
        <w:rPr>
          <w:rFonts w:ascii="Arial" w:hAnsi="Arial" w:cs="Arial"/>
          <w:lang w:val="en-US"/>
        </w:rPr>
        <w:t>measures to</w:t>
      </w:r>
      <w:r w:rsidRPr="00F61EAC">
        <w:rPr>
          <w:rFonts w:ascii="Arial" w:hAnsi="Arial" w:cs="Arial"/>
          <w:lang w:val="en-US"/>
        </w:rPr>
        <w:t xml:space="preserve"> acknowledge, value and promote </w:t>
      </w:r>
      <w:r w:rsidR="00E84C4F" w:rsidRPr="00F61EAC">
        <w:rPr>
          <w:rFonts w:ascii="Arial" w:hAnsi="Arial" w:cs="Arial"/>
          <w:lang w:val="en-US"/>
        </w:rPr>
        <w:t xml:space="preserve">other </w:t>
      </w:r>
      <w:r w:rsidR="00E84C4F" w:rsidRPr="00F71F4B">
        <w:rPr>
          <w:rFonts w:ascii="Arial" w:hAnsi="Arial" w:cs="Arial"/>
          <w:lang w:val="en-US"/>
        </w:rPr>
        <w:t>forms of knowledge a</w:t>
      </w:r>
      <w:r w:rsidRPr="00F71F4B">
        <w:rPr>
          <w:rFonts w:ascii="Arial" w:hAnsi="Arial" w:cs="Arial"/>
          <w:lang w:val="en-US"/>
        </w:rPr>
        <w:t>s well as</w:t>
      </w:r>
      <w:r w:rsidR="00E84C4F" w:rsidRPr="00F71F4B">
        <w:rPr>
          <w:rFonts w:ascii="Arial" w:hAnsi="Arial" w:cs="Arial"/>
          <w:lang w:val="en-US"/>
        </w:rPr>
        <w:t xml:space="preserve"> </w:t>
      </w:r>
      <w:r w:rsidRPr="00F71F4B">
        <w:rPr>
          <w:rFonts w:ascii="Arial" w:hAnsi="Arial" w:cs="Arial"/>
          <w:lang w:val="en-US"/>
        </w:rPr>
        <w:t>c</w:t>
      </w:r>
      <w:r w:rsidR="00E84C4F" w:rsidRPr="00F71F4B">
        <w:rPr>
          <w:rFonts w:ascii="Arial" w:hAnsi="Arial" w:cs="Arial"/>
          <w:lang w:val="en-US"/>
        </w:rPr>
        <w:t>osmovisions</w:t>
      </w:r>
      <w:r w:rsidRPr="00F71F4B">
        <w:rPr>
          <w:rFonts w:ascii="Arial" w:hAnsi="Arial" w:cs="Arial"/>
          <w:lang w:val="en-US"/>
        </w:rPr>
        <w:t>/worldviews</w:t>
      </w:r>
      <w:r w:rsidR="00E84C4F" w:rsidRPr="00F71F4B">
        <w:rPr>
          <w:rFonts w:ascii="Arial" w:hAnsi="Arial" w:cs="Arial"/>
          <w:lang w:val="en-US"/>
        </w:rPr>
        <w:t xml:space="preserve"> </w:t>
      </w:r>
      <w:r w:rsidRPr="00F71F4B">
        <w:rPr>
          <w:rFonts w:ascii="Arial" w:hAnsi="Arial" w:cs="Arial"/>
          <w:lang w:val="en-US"/>
        </w:rPr>
        <w:t xml:space="preserve">that are </w:t>
      </w:r>
      <w:r w:rsidR="00E84C4F" w:rsidRPr="00F71F4B">
        <w:rPr>
          <w:rFonts w:ascii="Arial" w:hAnsi="Arial" w:cs="Arial"/>
          <w:lang w:val="en-US"/>
        </w:rPr>
        <w:t>based on different paradigms</w:t>
      </w:r>
      <w:r w:rsidRPr="00F71F4B">
        <w:rPr>
          <w:rFonts w:ascii="Arial" w:hAnsi="Arial" w:cs="Arial"/>
          <w:lang w:val="en-US"/>
        </w:rPr>
        <w:t>, recognizing that these</w:t>
      </w:r>
      <w:r w:rsidR="00E84C4F" w:rsidRPr="00F71F4B">
        <w:rPr>
          <w:rFonts w:ascii="Arial" w:hAnsi="Arial" w:cs="Arial"/>
          <w:lang w:val="en-US"/>
        </w:rPr>
        <w:t xml:space="preserve"> are equally legitimate and “scientific”.</w:t>
      </w:r>
      <w:r w:rsidR="002503EC">
        <w:rPr>
          <w:rStyle w:val="Funotenzeichen"/>
          <w:rFonts w:ascii="Arial" w:hAnsi="Arial" w:cs="Arial"/>
          <w:lang w:val="en-US"/>
        </w:rPr>
        <w:footnoteReference w:id="1"/>
      </w:r>
      <w:r w:rsidR="00E84C4F" w:rsidRPr="00F71F4B">
        <w:rPr>
          <w:rFonts w:ascii="Arial" w:hAnsi="Arial" w:cs="Arial"/>
          <w:lang w:val="en-US"/>
        </w:rPr>
        <w:t xml:space="preserve"> </w:t>
      </w:r>
      <w:r w:rsidRPr="00F71F4B">
        <w:rPr>
          <w:rFonts w:ascii="Arial" w:hAnsi="Arial" w:cs="Arial"/>
          <w:lang w:val="en-US"/>
        </w:rPr>
        <w:t xml:space="preserve">Such recognition and support </w:t>
      </w:r>
      <w:r w:rsidR="00E84C4F" w:rsidRPr="00F71F4B">
        <w:rPr>
          <w:rFonts w:ascii="Arial" w:hAnsi="Arial" w:cs="Arial"/>
          <w:lang w:val="en-US"/>
        </w:rPr>
        <w:t xml:space="preserve">is required </w:t>
      </w:r>
      <w:r w:rsidRPr="00F71F4B">
        <w:rPr>
          <w:rFonts w:ascii="Arial" w:hAnsi="Arial" w:cs="Arial"/>
          <w:lang w:val="en-US"/>
        </w:rPr>
        <w:t xml:space="preserve">in order </w:t>
      </w:r>
      <w:r w:rsidR="00E84C4F" w:rsidRPr="00F71F4B">
        <w:rPr>
          <w:rFonts w:ascii="Arial" w:hAnsi="Arial" w:cs="Arial"/>
          <w:lang w:val="en-US"/>
        </w:rPr>
        <w:t>to respect and protect existing cultural diversity</w:t>
      </w:r>
      <w:r w:rsidRPr="00F71F4B">
        <w:rPr>
          <w:rFonts w:ascii="Arial" w:hAnsi="Arial" w:cs="Arial"/>
          <w:lang w:val="en-US"/>
        </w:rPr>
        <w:t xml:space="preserve">, as well as the rights of people and communities to </w:t>
      </w:r>
      <w:r w:rsidRPr="00F71F4B">
        <w:rPr>
          <w:rFonts w:ascii="Arial" w:hAnsi="Arial" w:cs="Arial"/>
          <w:lang w:val="en-US"/>
        </w:rPr>
        <w:t xml:space="preserve">respect, preserve and maintain </w:t>
      </w:r>
      <w:r w:rsidRPr="00F71F4B">
        <w:rPr>
          <w:rFonts w:ascii="Arial" w:hAnsi="Arial" w:cs="Arial"/>
          <w:lang w:val="en-US"/>
        </w:rPr>
        <w:t xml:space="preserve">their </w:t>
      </w:r>
      <w:r w:rsidRPr="00F71F4B">
        <w:rPr>
          <w:rFonts w:ascii="Arial" w:hAnsi="Arial" w:cs="Arial"/>
          <w:lang w:val="en-US"/>
        </w:rPr>
        <w:t>knowledge, innovations and practices</w:t>
      </w:r>
      <w:r w:rsidR="00E84C4F" w:rsidRPr="00F71F4B">
        <w:rPr>
          <w:rFonts w:ascii="Arial" w:hAnsi="Arial" w:cs="Arial"/>
          <w:lang w:val="en-US"/>
        </w:rPr>
        <w:t>.</w:t>
      </w:r>
      <w:r w:rsidR="00004264" w:rsidRPr="00F90FEE">
        <w:rPr>
          <w:rStyle w:val="Funotenzeichen"/>
          <w:rFonts w:ascii="Arial" w:hAnsi="Arial" w:cs="Arial"/>
          <w:lang w:val="en-US"/>
        </w:rPr>
        <w:footnoteReference w:id="2"/>
      </w:r>
      <w:r w:rsidR="00004264" w:rsidRPr="00F71F4B">
        <w:rPr>
          <w:rFonts w:ascii="Arial" w:hAnsi="Arial" w:cs="Arial"/>
          <w:lang w:val="en-US"/>
        </w:rPr>
        <w:t xml:space="preserve"> </w:t>
      </w:r>
      <w:r w:rsidR="004229DB" w:rsidRPr="00F71F4B">
        <w:rPr>
          <w:rFonts w:ascii="Arial" w:hAnsi="Arial" w:cs="Arial"/>
          <w:lang w:val="en-US"/>
        </w:rPr>
        <w:t>As such, the GC would clarify that communities are not passive receivers</w:t>
      </w:r>
      <w:r w:rsidR="00D01183">
        <w:rPr>
          <w:rFonts w:ascii="Arial" w:hAnsi="Arial" w:cs="Arial"/>
          <w:lang w:val="en-US"/>
        </w:rPr>
        <w:t xml:space="preserve"> or beneficiaries</w:t>
      </w:r>
      <w:r w:rsidR="004229DB" w:rsidRPr="00F71F4B">
        <w:rPr>
          <w:rFonts w:ascii="Arial" w:hAnsi="Arial" w:cs="Arial"/>
          <w:lang w:val="en-US"/>
        </w:rPr>
        <w:t xml:space="preserve"> of knowledge and science, but are actively taking part in the creation, preservation, and application of different forms of knowledge. </w:t>
      </w:r>
      <w:r w:rsidRPr="00F71F4B">
        <w:rPr>
          <w:rFonts w:ascii="Arial" w:hAnsi="Arial" w:cs="Arial"/>
          <w:lang w:val="en-US"/>
        </w:rPr>
        <w:t>The GC should further</w:t>
      </w:r>
      <w:r w:rsidR="004229DB" w:rsidRPr="00F71F4B">
        <w:rPr>
          <w:rFonts w:ascii="Arial" w:hAnsi="Arial" w:cs="Arial"/>
          <w:lang w:val="en-US"/>
        </w:rPr>
        <w:t xml:space="preserve"> recommend states to</w:t>
      </w:r>
      <w:r w:rsidRPr="00F71F4B">
        <w:rPr>
          <w:rFonts w:ascii="Arial" w:hAnsi="Arial" w:cs="Arial"/>
          <w:lang w:val="en-US"/>
        </w:rPr>
        <w:t xml:space="preserve"> promote the </w:t>
      </w:r>
      <w:r w:rsidRPr="00F71F4B">
        <w:rPr>
          <w:rFonts w:ascii="Arial" w:hAnsi="Arial" w:cs="Arial"/>
          <w:lang w:val="en-US"/>
        </w:rPr>
        <w:t xml:space="preserve">dialogue </w:t>
      </w:r>
      <w:r w:rsidRPr="00F71F4B">
        <w:rPr>
          <w:rFonts w:ascii="Arial" w:hAnsi="Arial" w:cs="Arial"/>
          <w:lang w:val="en-US"/>
        </w:rPr>
        <w:t>between</w:t>
      </w:r>
      <w:r w:rsidRPr="00F71F4B">
        <w:rPr>
          <w:rFonts w:ascii="Arial" w:hAnsi="Arial" w:cs="Arial"/>
          <w:lang w:val="en-US"/>
        </w:rPr>
        <w:t xml:space="preserve"> different forms of knowledge</w:t>
      </w:r>
      <w:r w:rsidR="00F71F4B" w:rsidRPr="00F71F4B">
        <w:rPr>
          <w:lang w:val="en-US"/>
        </w:rPr>
        <w:t xml:space="preserve"> </w:t>
      </w:r>
      <w:r w:rsidR="00F71F4B" w:rsidRPr="00F71F4B">
        <w:rPr>
          <w:rFonts w:ascii="Arial" w:hAnsi="Arial" w:cs="Arial"/>
          <w:lang w:val="en-US"/>
        </w:rPr>
        <w:t>based on</w:t>
      </w:r>
      <w:r w:rsidR="00F71F4B" w:rsidRPr="00F71F4B">
        <w:rPr>
          <w:rFonts w:ascii="Arial" w:hAnsi="Arial" w:cs="Arial"/>
          <w:lang w:val="en-US"/>
        </w:rPr>
        <w:t xml:space="preserve"> the</w:t>
      </w:r>
      <w:r w:rsidR="00F71F4B" w:rsidRPr="00F71F4B">
        <w:rPr>
          <w:rFonts w:ascii="Arial" w:hAnsi="Arial" w:cs="Arial"/>
          <w:lang w:val="en-US"/>
        </w:rPr>
        <w:t xml:space="preserve"> recognition of rights, mutual respect,</w:t>
      </w:r>
      <w:r w:rsidR="00F71F4B" w:rsidRPr="00F71F4B">
        <w:rPr>
          <w:rFonts w:ascii="Arial" w:hAnsi="Arial" w:cs="Arial"/>
          <w:lang w:val="en-US"/>
        </w:rPr>
        <w:t xml:space="preserve"> as well as the principle of</w:t>
      </w:r>
      <w:r w:rsidR="00F71F4B" w:rsidRPr="00F71F4B">
        <w:rPr>
          <w:rFonts w:ascii="Arial" w:hAnsi="Arial" w:cs="Arial"/>
          <w:lang w:val="en-US"/>
        </w:rPr>
        <w:t xml:space="preserve"> free</w:t>
      </w:r>
      <w:r w:rsidR="00F71F4B" w:rsidRPr="00F71F4B">
        <w:rPr>
          <w:rFonts w:ascii="Arial" w:hAnsi="Arial" w:cs="Arial"/>
          <w:lang w:val="en-US"/>
        </w:rPr>
        <w:t xml:space="preserve">, </w:t>
      </w:r>
      <w:r w:rsidR="00F71F4B" w:rsidRPr="00F71F4B">
        <w:rPr>
          <w:rFonts w:ascii="Arial" w:hAnsi="Arial" w:cs="Arial"/>
          <w:lang w:val="en-US"/>
        </w:rPr>
        <w:t>prior</w:t>
      </w:r>
      <w:r w:rsidR="00F71F4B" w:rsidRPr="00F71F4B">
        <w:rPr>
          <w:rFonts w:ascii="Arial" w:hAnsi="Arial" w:cs="Arial"/>
          <w:lang w:val="en-US"/>
        </w:rPr>
        <w:t xml:space="preserve"> and</w:t>
      </w:r>
      <w:r w:rsidR="00F71F4B" w:rsidRPr="00F71F4B">
        <w:rPr>
          <w:rFonts w:ascii="Arial" w:hAnsi="Arial" w:cs="Arial"/>
          <w:lang w:val="en-US"/>
        </w:rPr>
        <w:t xml:space="preserve"> informed consent.</w:t>
      </w:r>
    </w:p>
    <w:p w:rsidR="00F90FEE" w:rsidRPr="004229DB" w:rsidRDefault="00F90FEE" w:rsidP="00004264">
      <w:pPr>
        <w:autoSpaceDE w:val="0"/>
        <w:autoSpaceDN w:val="0"/>
        <w:adjustRightInd w:val="0"/>
        <w:spacing w:line="276" w:lineRule="auto"/>
        <w:ind w:left="426"/>
        <w:rPr>
          <w:rFonts w:ascii="Arial" w:hAnsi="Arial" w:cs="Arial"/>
          <w:lang w:val="en-US"/>
        </w:rPr>
      </w:pPr>
    </w:p>
    <w:p w:rsidR="004229DB" w:rsidRPr="004229DB" w:rsidRDefault="009F5460" w:rsidP="00004264">
      <w:pPr>
        <w:autoSpaceDE w:val="0"/>
        <w:autoSpaceDN w:val="0"/>
        <w:adjustRightInd w:val="0"/>
        <w:spacing w:line="276" w:lineRule="auto"/>
        <w:ind w:left="426"/>
        <w:rPr>
          <w:rFonts w:ascii="Arial" w:hAnsi="Arial" w:cs="Arial"/>
          <w:lang w:val="en-US"/>
        </w:rPr>
      </w:pPr>
      <w:r>
        <w:rPr>
          <w:rFonts w:ascii="Arial" w:hAnsi="Arial" w:cs="Arial"/>
          <w:lang w:val="en-US"/>
        </w:rPr>
        <w:t>We consider</w:t>
      </w:r>
      <w:r w:rsidR="004229DB" w:rsidRPr="004229DB">
        <w:rPr>
          <w:rFonts w:ascii="Arial" w:hAnsi="Arial" w:cs="Arial"/>
          <w:lang w:val="en-US"/>
        </w:rPr>
        <w:t xml:space="preserve"> that th</w:t>
      </w:r>
      <w:r w:rsidR="00F71F4B">
        <w:rPr>
          <w:rFonts w:ascii="Arial" w:hAnsi="Arial" w:cs="Arial"/>
          <w:lang w:val="en-US"/>
        </w:rPr>
        <w:t>e</w:t>
      </w:r>
      <w:r w:rsidR="004229DB" w:rsidRPr="004229DB">
        <w:rPr>
          <w:rFonts w:ascii="Arial" w:hAnsi="Arial" w:cs="Arial"/>
          <w:lang w:val="en-US"/>
        </w:rPr>
        <w:t>s</w:t>
      </w:r>
      <w:r w:rsidR="00F71F4B">
        <w:rPr>
          <w:rFonts w:ascii="Arial" w:hAnsi="Arial" w:cs="Arial"/>
          <w:lang w:val="en-US"/>
        </w:rPr>
        <w:t>e</w:t>
      </w:r>
      <w:r w:rsidR="004229DB" w:rsidRPr="004229DB">
        <w:rPr>
          <w:rFonts w:ascii="Arial" w:hAnsi="Arial" w:cs="Arial"/>
          <w:lang w:val="en-US"/>
        </w:rPr>
        <w:t xml:space="preserve"> aspect</w:t>
      </w:r>
      <w:r w:rsidR="00F71F4B">
        <w:rPr>
          <w:rFonts w:ascii="Arial" w:hAnsi="Arial" w:cs="Arial"/>
          <w:lang w:val="en-US"/>
        </w:rPr>
        <w:t>s</w:t>
      </w:r>
      <w:r w:rsidR="004229DB" w:rsidRPr="004229DB">
        <w:rPr>
          <w:rFonts w:ascii="Arial" w:hAnsi="Arial" w:cs="Arial"/>
          <w:lang w:val="en-US"/>
        </w:rPr>
        <w:t xml:space="preserve"> could strengthen particularly sections III.A, IV.B, IV.C, IV.D, and V.A of the draft GC.</w:t>
      </w:r>
    </w:p>
    <w:p w:rsidR="004229DB" w:rsidRDefault="004229DB" w:rsidP="00004264">
      <w:pPr>
        <w:pStyle w:val="Listenabsatz"/>
        <w:autoSpaceDE w:val="0"/>
        <w:autoSpaceDN w:val="0"/>
        <w:adjustRightInd w:val="0"/>
        <w:spacing w:line="276" w:lineRule="auto"/>
        <w:ind w:left="426"/>
        <w:rPr>
          <w:rFonts w:ascii="Times New Roman" w:hAnsi="Times New Roman" w:cs="Times New Roman"/>
          <w:sz w:val="24"/>
          <w:szCs w:val="24"/>
          <w:lang w:val="en-US" w:eastAsia="de-DE"/>
        </w:rPr>
      </w:pPr>
    </w:p>
    <w:p w:rsidR="004229DB" w:rsidRDefault="004229DB" w:rsidP="00004264">
      <w:pPr>
        <w:pStyle w:val="Listenabsatz"/>
        <w:autoSpaceDE w:val="0"/>
        <w:autoSpaceDN w:val="0"/>
        <w:adjustRightInd w:val="0"/>
        <w:spacing w:line="276" w:lineRule="auto"/>
        <w:ind w:left="426"/>
        <w:rPr>
          <w:rFonts w:ascii="Times New Roman" w:hAnsi="Times New Roman" w:cs="Times New Roman"/>
          <w:sz w:val="24"/>
          <w:szCs w:val="24"/>
          <w:lang w:val="en-US" w:eastAsia="de-DE"/>
        </w:rPr>
      </w:pPr>
    </w:p>
    <w:p w:rsidR="008368DD" w:rsidRDefault="00E145F3" w:rsidP="00004264">
      <w:pPr>
        <w:pStyle w:val="Listenabsatz"/>
        <w:numPr>
          <w:ilvl w:val="0"/>
          <w:numId w:val="3"/>
        </w:numPr>
        <w:autoSpaceDE w:val="0"/>
        <w:autoSpaceDN w:val="0"/>
        <w:adjustRightInd w:val="0"/>
        <w:spacing w:line="276" w:lineRule="auto"/>
        <w:ind w:left="426"/>
        <w:rPr>
          <w:rFonts w:ascii="Arial" w:hAnsi="Arial" w:cs="Arial"/>
          <w:lang w:val="en-US"/>
        </w:rPr>
      </w:pPr>
      <w:r w:rsidRPr="009A0398">
        <w:rPr>
          <w:rFonts w:ascii="Arial" w:hAnsi="Arial" w:cs="Arial"/>
          <w:lang w:val="en-US"/>
        </w:rPr>
        <w:t xml:space="preserve">FIAN welcomes that the draft GC gives special attention to the increasing role of private and corporate-funded research. However, we recommend that the GC be more explicit about the human rights risks related to the </w:t>
      </w:r>
      <w:r w:rsidRPr="009A0398">
        <w:rPr>
          <w:rFonts w:ascii="Arial" w:hAnsi="Arial" w:cs="Arial"/>
          <w:b/>
          <w:lang w:val="en-US"/>
        </w:rPr>
        <w:t>increasing control of science and knowledge production by corporate interests</w:t>
      </w:r>
      <w:r w:rsidRPr="009A0398">
        <w:rPr>
          <w:rFonts w:ascii="Arial" w:hAnsi="Arial" w:cs="Arial"/>
          <w:lang w:val="en-US"/>
        </w:rPr>
        <w:t xml:space="preserve">. This refers specifically to the fact that corporations and </w:t>
      </w:r>
      <w:r w:rsidRPr="008368DD">
        <w:rPr>
          <w:rFonts w:ascii="Arial" w:hAnsi="Arial" w:cs="Arial"/>
          <w:lang w:val="en-US"/>
        </w:rPr>
        <w:t>philanthro-capitalist foundations</w:t>
      </w:r>
      <w:r w:rsidRPr="008368DD">
        <w:rPr>
          <w:rFonts w:ascii="Arial" w:hAnsi="Arial" w:cs="Arial"/>
          <w:lang w:val="en-US"/>
        </w:rPr>
        <w:t xml:space="preserve"> increasingly define research priorities, which are biased towards outcomes that serve private interests.</w:t>
      </w:r>
      <w:r w:rsidR="008368DD" w:rsidRPr="009A0398">
        <w:rPr>
          <w:vertAlign w:val="superscript"/>
        </w:rPr>
        <w:footnoteReference w:id="3"/>
      </w:r>
      <w:r w:rsidRPr="008368DD">
        <w:rPr>
          <w:rFonts w:ascii="Arial" w:hAnsi="Arial" w:cs="Arial"/>
          <w:lang w:val="en-US"/>
        </w:rPr>
        <w:t xml:space="preserve"> </w:t>
      </w:r>
      <w:r w:rsidRPr="008368DD">
        <w:rPr>
          <w:rFonts w:ascii="Arial" w:hAnsi="Arial" w:cs="Arial"/>
          <w:lang w:val="en-US"/>
        </w:rPr>
        <w:t xml:space="preserve">This also compromises the role of scientists and researchers, who are increasingly oriented towards responding to the demands of the private interests that pay for the research, rather than producing knowledge to advance the public interest. </w:t>
      </w:r>
      <w:r w:rsidRPr="008368DD">
        <w:rPr>
          <w:rFonts w:ascii="Arial" w:hAnsi="Arial" w:cs="Arial"/>
          <w:lang w:val="en-US"/>
        </w:rPr>
        <w:t xml:space="preserve">The GC should </w:t>
      </w:r>
      <w:r w:rsidR="008368DD" w:rsidRPr="008368DD">
        <w:rPr>
          <w:rFonts w:ascii="Arial" w:hAnsi="Arial" w:cs="Arial"/>
          <w:lang w:val="en-US"/>
        </w:rPr>
        <w:t xml:space="preserve">therefore </w:t>
      </w:r>
      <w:r w:rsidRPr="008368DD">
        <w:rPr>
          <w:rFonts w:ascii="Arial" w:hAnsi="Arial" w:cs="Arial"/>
          <w:lang w:val="en-US"/>
        </w:rPr>
        <w:t xml:space="preserve">clarify that </w:t>
      </w:r>
      <w:r w:rsidR="008368DD" w:rsidRPr="008368DD">
        <w:rPr>
          <w:rFonts w:ascii="Arial" w:hAnsi="Arial" w:cs="Arial"/>
          <w:lang w:val="en-US"/>
        </w:rPr>
        <w:t>s</w:t>
      </w:r>
      <w:r w:rsidR="008368DD" w:rsidRPr="008368DD">
        <w:rPr>
          <w:rFonts w:ascii="Arial" w:hAnsi="Arial" w:cs="Arial"/>
          <w:lang w:val="en-US"/>
        </w:rPr>
        <w:t>cience and knowledge production need to serve the public interest and well-being, instead of particular interests that are geared towards financial gains.</w:t>
      </w:r>
      <w:r w:rsidR="008368DD" w:rsidRPr="008368DD">
        <w:rPr>
          <w:rFonts w:ascii="Arial" w:hAnsi="Arial" w:cs="Arial"/>
          <w:lang w:val="en-US"/>
        </w:rPr>
        <w:t xml:space="preserve"> The GC should clarify states’ obligations to</w:t>
      </w:r>
      <w:r w:rsidR="009A0398">
        <w:rPr>
          <w:rFonts w:ascii="Arial" w:hAnsi="Arial" w:cs="Arial"/>
          <w:lang w:val="en-US"/>
        </w:rPr>
        <w:t xml:space="preserve"> take proactive measures ensuring</w:t>
      </w:r>
      <w:r w:rsidR="008368DD" w:rsidRPr="008368DD">
        <w:rPr>
          <w:rFonts w:ascii="Arial" w:hAnsi="Arial" w:cs="Arial"/>
          <w:lang w:val="en-US"/>
        </w:rPr>
        <w:t xml:space="preserve"> </w:t>
      </w:r>
      <w:r w:rsidR="008368DD" w:rsidRPr="008368DD">
        <w:rPr>
          <w:rFonts w:ascii="Arial" w:hAnsi="Arial" w:cs="Arial"/>
          <w:lang w:val="en-US"/>
        </w:rPr>
        <w:t xml:space="preserve">the independence of science from undue influence </w:t>
      </w:r>
      <w:r w:rsidR="009A0398">
        <w:rPr>
          <w:rFonts w:ascii="Arial" w:hAnsi="Arial" w:cs="Arial"/>
          <w:lang w:val="en-US"/>
        </w:rPr>
        <w:t>by</w:t>
      </w:r>
      <w:r w:rsidR="008368DD" w:rsidRPr="008368DD">
        <w:rPr>
          <w:rFonts w:ascii="Arial" w:hAnsi="Arial" w:cs="Arial"/>
          <w:lang w:val="en-US"/>
        </w:rPr>
        <w:t xml:space="preserve"> corporate and private interests</w:t>
      </w:r>
      <w:r w:rsidR="008368DD" w:rsidRPr="008368DD">
        <w:rPr>
          <w:rFonts w:ascii="Arial" w:hAnsi="Arial" w:cs="Arial"/>
          <w:lang w:val="en-US"/>
        </w:rPr>
        <w:t>. This requires put</w:t>
      </w:r>
      <w:r w:rsidR="009A0398">
        <w:rPr>
          <w:rFonts w:ascii="Arial" w:hAnsi="Arial" w:cs="Arial"/>
          <w:lang w:val="en-US"/>
        </w:rPr>
        <w:t>ting</w:t>
      </w:r>
      <w:r w:rsidR="008368DD" w:rsidRPr="008368DD">
        <w:rPr>
          <w:rFonts w:ascii="Arial" w:hAnsi="Arial" w:cs="Arial"/>
          <w:lang w:val="en-US"/>
        </w:rPr>
        <w:t xml:space="preserve"> in place measures that ensure </w:t>
      </w:r>
      <w:r w:rsidR="008368DD" w:rsidRPr="008368DD">
        <w:rPr>
          <w:rFonts w:ascii="Arial" w:hAnsi="Arial" w:cs="Arial"/>
          <w:lang w:val="en-US"/>
        </w:rPr>
        <w:t xml:space="preserve">social control over science and research, </w:t>
      </w:r>
      <w:r w:rsidR="008368DD" w:rsidRPr="008368DD">
        <w:rPr>
          <w:rFonts w:ascii="Arial" w:hAnsi="Arial" w:cs="Arial"/>
          <w:lang w:val="en-US"/>
        </w:rPr>
        <w:t xml:space="preserve">in particular </w:t>
      </w:r>
      <w:r w:rsidR="008368DD" w:rsidRPr="008368DD">
        <w:rPr>
          <w:rFonts w:ascii="Arial" w:hAnsi="Arial" w:cs="Arial"/>
          <w:lang w:val="en-US"/>
        </w:rPr>
        <w:t xml:space="preserve">through public governance institutions that </w:t>
      </w:r>
      <w:r w:rsidR="009A0398">
        <w:rPr>
          <w:rFonts w:ascii="Arial" w:hAnsi="Arial" w:cs="Arial"/>
          <w:lang w:val="en-US"/>
        </w:rPr>
        <w:t>(</w:t>
      </w:r>
      <w:r w:rsidR="008368DD" w:rsidRPr="008368DD">
        <w:rPr>
          <w:rFonts w:ascii="Arial" w:hAnsi="Arial" w:cs="Arial"/>
          <w:lang w:val="en-US"/>
        </w:rPr>
        <w:t>a</w:t>
      </w:r>
      <w:r w:rsidR="009A0398">
        <w:rPr>
          <w:rFonts w:ascii="Arial" w:hAnsi="Arial" w:cs="Arial"/>
          <w:lang w:val="en-US"/>
        </w:rPr>
        <w:t>)</w:t>
      </w:r>
      <w:r w:rsidR="008368DD" w:rsidRPr="008368DD">
        <w:rPr>
          <w:rFonts w:ascii="Arial" w:hAnsi="Arial" w:cs="Arial"/>
          <w:lang w:val="en-US"/>
        </w:rPr>
        <w:t xml:space="preserve"> oversee, regulate and orient the research agenda towards the public interest and well-being</w:t>
      </w:r>
      <w:r w:rsidR="008368DD" w:rsidRPr="008368DD">
        <w:rPr>
          <w:rFonts w:ascii="Arial" w:hAnsi="Arial" w:cs="Arial"/>
          <w:lang w:val="en-US"/>
        </w:rPr>
        <w:t xml:space="preserve">; </w:t>
      </w:r>
      <w:r w:rsidR="009A0398">
        <w:rPr>
          <w:rFonts w:ascii="Arial" w:hAnsi="Arial" w:cs="Arial"/>
          <w:lang w:val="en-US"/>
        </w:rPr>
        <w:t>(b)</w:t>
      </w:r>
      <w:r w:rsidR="008368DD" w:rsidRPr="008368DD">
        <w:rPr>
          <w:rFonts w:ascii="Arial" w:hAnsi="Arial" w:cs="Arial"/>
          <w:lang w:val="en-US"/>
        </w:rPr>
        <w:t xml:space="preserve"> </w:t>
      </w:r>
      <w:r w:rsidR="008368DD" w:rsidRPr="008368DD">
        <w:rPr>
          <w:rFonts w:ascii="Arial" w:hAnsi="Arial" w:cs="Arial"/>
          <w:lang w:val="en-US"/>
        </w:rPr>
        <w:t xml:space="preserve">ensure that knowledge is, first and foremost, a public good; </w:t>
      </w:r>
      <w:r w:rsidR="009A0398">
        <w:rPr>
          <w:rFonts w:ascii="Arial" w:hAnsi="Arial" w:cs="Arial"/>
          <w:lang w:val="en-US"/>
        </w:rPr>
        <w:t>(c)</w:t>
      </w:r>
      <w:r w:rsidR="008368DD">
        <w:rPr>
          <w:rFonts w:ascii="Arial" w:hAnsi="Arial" w:cs="Arial"/>
          <w:lang w:val="en-US"/>
        </w:rPr>
        <w:t xml:space="preserve"> </w:t>
      </w:r>
      <w:r w:rsidR="008368DD" w:rsidRPr="008368DD">
        <w:rPr>
          <w:rFonts w:ascii="Arial" w:hAnsi="Arial" w:cs="Arial"/>
          <w:lang w:val="en-US"/>
        </w:rPr>
        <w:t xml:space="preserve">ensure accountability of science to peoples; and </w:t>
      </w:r>
      <w:r w:rsidR="009A0398">
        <w:rPr>
          <w:rFonts w:ascii="Arial" w:hAnsi="Arial" w:cs="Arial"/>
          <w:lang w:val="en-US"/>
        </w:rPr>
        <w:t>(c)</w:t>
      </w:r>
      <w:r w:rsidR="008368DD">
        <w:rPr>
          <w:rFonts w:ascii="Arial" w:hAnsi="Arial" w:cs="Arial"/>
          <w:lang w:val="en-US"/>
        </w:rPr>
        <w:t xml:space="preserve"> </w:t>
      </w:r>
      <w:r w:rsidR="008368DD" w:rsidRPr="008368DD">
        <w:rPr>
          <w:rFonts w:ascii="Arial" w:hAnsi="Arial" w:cs="Arial"/>
          <w:lang w:val="en-US"/>
        </w:rPr>
        <w:t xml:space="preserve">address </w:t>
      </w:r>
      <w:r w:rsidR="008368DD" w:rsidRPr="008368DD">
        <w:rPr>
          <w:rFonts w:ascii="Arial" w:hAnsi="Arial" w:cs="Arial"/>
          <w:lang w:val="en-US"/>
        </w:rPr>
        <w:lastRenderedPageBreak/>
        <w:t>conflicts of interest.</w:t>
      </w:r>
      <w:r w:rsidR="009A0398">
        <w:rPr>
          <w:rFonts w:ascii="Arial" w:hAnsi="Arial" w:cs="Arial"/>
          <w:lang w:val="en-US"/>
        </w:rPr>
        <w:t xml:space="preserve"> The GC should further clarify states’ obligations to ensure corporate accountability in cases of abuses.</w:t>
      </w:r>
    </w:p>
    <w:p w:rsidR="009A0398" w:rsidRDefault="009A0398" w:rsidP="00004264">
      <w:pPr>
        <w:autoSpaceDE w:val="0"/>
        <w:autoSpaceDN w:val="0"/>
        <w:adjustRightInd w:val="0"/>
        <w:spacing w:line="276" w:lineRule="auto"/>
        <w:ind w:left="426"/>
        <w:rPr>
          <w:rFonts w:ascii="Arial" w:hAnsi="Arial" w:cs="Arial"/>
          <w:lang w:val="en-US"/>
        </w:rPr>
      </w:pPr>
    </w:p>
    <w:p w:rsidR="009A0398" w:rsidRDefault="009A0398" w:rsidP="00004264">
      <w:pPr>
        <w:autoSpaceDE w:val="0"/>
        <w:autoSpaceDN w:val="0"/>
        <w:adjustRightInd w:val="0"/>
        <w:spacing w:line="276" w:lineRule="auto"/>
        <w:ind w:left="426"/>
        <w:rPr>
          <w:rFonts w:ascii="Arial" w:hAnsi="Arial" w:cs="Arial"/>
          <w:lang w:val="en-US"/>
        </w:rPr>
      </w:pPr>
      <w:r>
        <w:rPr>
          <w:rFonts w:ascii="Arial" w:hAnsi="Arial" w:cs="Arial"/>
          <w:lang w:val="en-US"/>
        </w:rPr>
        <w:t>We consider</w:t>
      </w:r>
      <w:r w:rsidRPr="004229DB">
        <w:rPr>
          <w:rFonts w:ascii="Arial" w:hAnsi="Arial" w:cs="Arial"/>
          <w:lang w:val="en-US"/>
        </w:rPr>
        <w:t xml:space="preserve"> that th</w:t>
      </w:r>
      <w:r>
        <w:rPr>
          <w:rFonts w:ascii="Arial" w:hAnsi="Arial" w:cs="Arial"/>
          <w:lang w:val="en-US"/>
        </w:rPr>
        <w:t>e</w:t>
      </w:r>
      <w:r w:rsidRPr="004229DB">
        <w:rPr>
          <w:rFonts w:ascii="Arial" w:hAnsi="Arial" w:cs="Arial"/>
          <w:lang w:val="en-US"/>
        </w:rPr>
        <w:t>s</w:t>
      </w:r>
      <w:r>
        <w:rPr>
          <w:rFonts w:ascii="Arial" w:hAnsi="Arial" w:cs="Arial"/>
          <w:lang w:val="en-US"/>
        </w:rPr>
        <w:t>e</w:t>
      </w:r>
      <w:r w:rsidRPr="004229DB">
        <w:rPr>
          <w:rFonts w:ascii="Arial" w:hAnsi="Arial" w:cs="Arial"/>
          <w:lang w:val="en-US"/>
        </w:rPr>
        <w:t xml:space="preserve"> aspect</w:t>
      </w:r>
      <w:r>
        <w:rPr>
          <w:rFonts w:ascii="Arial" w:hAnsi="Arial" w:cs="Arial"/>
          <w:lang w:val="en-US"/>
        </w:rPr>
        <w:t>s</w:t>
      </w:r>
      <w:r w:rsidRPr="004229DB">
        <w:rPr>
          <w:rFonts w:ascii="Arial" w:hAnsi="Arial" w:cs="Arial"/>
          <w:lang w:val="en-US"/>
        </w:rPr>
        <w:t xml:space="preserve"> could strengthen particularly sections IV.D, and V.</w:t>
      </w:r>
      <w:r>
        <w:rPr>
          <w:rFonts w:ascii="Arial" w:hAnsi="Arial" w:cs="Arial"/>
          <w:lang w:val="en-US"/>
        </w:rPr>
        <w:t>C</w:t>
      </w:r>
      <w:r w:rsidRPr="004229DB">
        <w:rPr>
          <w:rFonts w:ascii="Arial" w:hAnsi="Arial" w:cs="Arial"/>
          <w:lang w:val="en-US"/>
        </w:rPr>
        <w:t xml:space="preserve"> of the draft GC.</w:t>
      </w:r>
    </w:p>
    <w:p w:rsidR="009A0398" w:rsidRDefault="009A0398" w:rsidP="00004264">
      <w:pPr>
        <w:autoSpaceDE w:val="0"/>
        <w:autoSpaceDN w:val="0"/>
        <w:adjustRightInd w:val="0"/>
        <w:spacing w:line="276" w:lineRule="auto"/>
        <w:ind w:left="426"/>
        <w:rPr>
          <w:rFonts w:ascii="Arial" w:hAnsi="Arial" w:cs="Arial"/>
          <w:lang w:val="en-US"/>
        </w:rPr>
      </w:pPr>
    </w:p>
    <w:p w:rsidR="009A0398" w:rsidRDefault="009A0398" w:rsidP="00004264">
      <w:pPr>
        <w:autoSpaceDE w:val="0"/>
        <w:autoSpaceDN w:val="0"/>
        <w:adjustRightInd w:val="0"/>
        <w:spacing w:line="276" w:lineRule="auto"/>
        <w:ind w:left="426"/>
        <w:rPr>
          <w:rFonts w:ascii="Arial" w:hAnsi="Arial" w:cs="Arial"/>
          <w:lang w:val="en-US"/>
        </w:rPr>
      </w:pPr>
    </w:p>
    <w:p w:rsidR="00C03988" w:rsidRDefault="009A0398" w:rsidP="00004264">
      <w:pPr>
        <w:pStyle w:val="Listenabsatz"/>
        <w:numPr>
          <w:ilvl w:val="0"/>
          <w:numId w:val="3"/>
        </w:numPr>
        <w:autoSpaceDE w:val="0"/>
        <w:autoSpaceDN w:val="0"/>
        <w:adjustRightInd w:val="0"/>
        <w:spacing w:line="276" w:lineRule="auto"/>
        <w:ind w:left="426"/>
        <w:rPr>
          <w:rFonts w:ascii="Arial" w:hAnsi="Arial" w:cs="Arial"/>
          <w:lang w:val="en-US"/>
        </w:rPr>
      </w:pPr>
      <w:r w:rsidRPr="00701758">
        <w:rPr>
          <w:rFonts w:ascii="Arial" w:hAnsi="Arial" w:cs="Arial"/>
          <w:lang w:val="en-US"/>
        </w:rPr>
        <w:t>FIAN recommends that the GC put more emphasis on the fact that</w:t>
      </w:r>
      <w:r w:rsidR="00426098" w:rsidRPr="00701758">
        <w:rPr>
          <w:rFonts w:ascii="Arial" w:hAnsi="Arial" w:cs="Arial"/>
          <w:lang w:val="en-US"/>
        </w:rPr>
        <w:t>, without adequate public policies,</w:t>
      </w:r>
      <w:r w:rsidRPr="00701758">
        <w:rPr>
          <w:rFonts w:ascii="Arial" w:hAnsi="Arial" w:cs="Arial"/>
          <w:lang w:val="en-US"/>
        </w:rPr>
        <w:t xml:space="preserve"> science and its applications </w:t>
      </w:r>
      <w:r w:rsidR="00426098" w:rsidRPr="00701758">
        <w:rPr>
          <w:rFonts w:ascii="Arial" w:hAnsi="Arial" w:cs="Arial"/>
          <w:lang w:val="en-US"/>
        </w:rPr>
        <w:t>may entail the risk of</w:t>
      </w:r>
      <w:r w:rsidRPr="00701758">
        <w:rPr>
          <w:rFonts w:ascii="Arial" w:hAnsi="Arial" w:cs="Arial"/>
          <w:lang w:val="en-US"/>
        </w:rPr>
        <w:t xml:space="preserve"> consolidating and increasing social </w:t>
      </w:r>
      <w:r w:rsidR="002503EC">
        <w:rPr>
          <w:rFonts w:ascii="Arial" w:hAnsi="Arial" w:cs="Arial"/>
          <w:lang w:val="en-US"/>
        </w:rPr>
        <w:t xml:space="preserve">and environmental </w:t>
      </w:r>
      <w:r w:rsidRPr="00701758">
        <w:rPr>
          <w:rFonts w:ascii="Arial" w:hAnsi="Arial" w:cs="Arial"/>
          <w:lang w:val="en-US"/>
        </w:rPr>
        <w:t xml:space="preserve">injustice. </w:t>
      </w:r>
      <w:r w:rsidR="00426098" w:rsidRPr="005F7CB7">
        <w:rPr>
          <w:rFonts w:ascii="Arial" w:hAnsi="Arial" w:cs="Arial"/>
          <w:b/>
          <w:lang w:val="en-US"/>
        </w:rPr>
        <w:t>Structural inequalities and discrimination</w:t>
      </w:r>
      <w:r w:rsidR="00426098" w:rsidRPr="00701758">
        <w:rPr>
          <w:rFonts w:ascii="Arial" w:hAnsi="Arial" w:cs="Arial"/>
          <w:lang w:val="en-US"/>
        </w:rPr>
        <w:t xml:space="preserve"> are the main causes of </w:t>
      </w:r>
      <w:r w:rsidR="00426098" w:rsidRPr="00701758">
        <w:rPr>
          <w:rFonts w:ascii="Arial" w:hAnsi="Arial" w:cs="Arial"/>
          <w:lang w:val="en-US"/>
        </w:rPr>
        <w:t>human rights</w:t>
      </w:r>
      <w:r w:rsidR="00426098" w:rsidRPr="00701758">
        <w:rPr>
          <w:rFonts w:ascii="Arial" w:hAnsi="Arial" w:cs="Arial"/>
          <w:lang w:val="en-US"/>
        </w:rPr>
        <w:t xml:space="preserve"> violations of the worldwide</w:t>
      </w:r>
      <w:r w:rsidR="00426098" w:rsidRPr="00701758">
        <w:rPr>
          <w:rFonts w:ascii="Arial" w:hAnsi="Arial" w:cs="Arial"/>
          <w:lang w:val="en-US"/>
        </w:rPr>
        <w:t xml:space="preserve">, including regarding the </w:t>
      </w:r>
      <w:r w:rsidR="00426098" w:rsidRPr="00701758">
        <w:rPr>
          <w:rFonts w:ascii="Arial" w:hAnsi="Arial" w:cs="Arial"/>
          <w:lang w:val="en-US"/>
        </w:rPr>
        <w:t>human right to food and nutrition (RtFN). These are determined and reflected by power imbalances between different actors in society.</w:t>
      </w:r>
      <w:r w:rsidR="002503EC">
        <w:rPr>
          <w:rFonts w:ascii="Arial" w:hAnsi="Arial" w:cs="Arial"/>
          <w:lang w:val="en-US"/>
        </w:rPr>
        <w:t xml:space="preserve"> These, in turn, also manifest </w:t>
      </w:r>
      <w:r w:rsidR="00C03988">
        <w:rPr>
          <w:rFonts w:ascii="Arial" w:hAnsi="Arial" w:cs="Arial"/>
          <w:lang w:val="en-US"/>
        </w:rPr>
        <w:t>as injustice regarding the impacts of environmental harm caused by human activity (often as a result of the anthropocentrism of the dominant “Western” approach to science), which disproportionally affect marginalized communities and groups.</w:t>
      </w:r>
      <w:r w:rsidR="00426098" w:rsidRPr="00701758">
        <w:rPr>
          <w:rFonts w:ascii="Arial" w:hAnsi="Arial" w:cs="Arial"/>
          <w:lang w:val="en-US"/>
        </w:rPr>
        <w:t xml:space="preserve"> </w:t>
      </w:r>
    </w:p>
    <w:p w:rsidR="00426098" w:rsidRPr="00701758" w:rsidRDefault="00426098" w:rsidP="00F61EAC">
      <w:pPr>
        <w:pStyle w:val="Listenabsatz"/>
        <w:autoSpaceDE w:val="0"/>
        <w:autoSpaceDN w:val="0"/>
        <w:adjustRightInd w:val="0"/>
        <w:spacing w:line="276" w:lineRule="auto"/>
        <w:ind w:left="426"/>
        <w:rPr>
          <w:rFonts w:ascii="Arial" w:hAnsi="Arial" w:cs="Arial"/>
          <w:lang w:val="en-US"/>
        </w:rPr>
      </w:pPr>
      <w:r w:rsidRPr="00701758">
        <w:rPr>
          <w:rFonts w:ascii="Arial" w:hAnsi="Arial" w:cs="Arial"/>
          <w:lang w:val="en-US"/>
        </w:rPr>
        <w:t xml:space="preserve">In the context of the so-called Fourth Industrial Revolution, for instance, </w:t>
      </w:r>
      <w:r w:rsidRPr="00701758">
        <w:rPr>
          <w:rFonts w:ascii="Arial" w:hAnsi="Arial" w:cs="Arial"/>
          <w:lang w:val="en-US"/>
        </w:rPr>
        <w:t xml:space="preserve">technologies and their application entail the risk of deepening existing inequalities and creating new forms of dispossession. For instance, digitalization of land and land administration data, as well as automatized land transactions using blockchain technology and smart contracts risks facilitating land grabbing. In addition, digital technologies are used to increase surveillance of farm workers as well as food processing and retail facilities, reducing their space to freely associate in trade unions and struggle for their labor and human rights. Another example is the sequencing of genetic information, which is happening at a fast pace, and which, in combination with patents on genetic sequences/native traits, undermines peasants’ and indigenous peoples’ rights over their seeds, and poses additional threats to the protection of their knowledge, innovations and practices. </w:t>
      </w:r>
    </w:p>
    <w:p w:rsidR="00426098" w:rsidRDefault="00426098" w:rsidP="00004264">
      <w:pPr>
        <w:pStyle w:val="Listenabsatz"/>
        <w:autoSpaceDE w:val="0"/>
        <w:autoSpaceDN w:val="0"/>
        <w:adjustRightInd w:val="0"/>
        <w:spacing w:line="276" w:lineRule="auto"/>
        <w:ind w:left="426"/>
        <w:rPr>
          <w:rFonts w:ascii="Arial" w:hAnsi="Arial" w:cs="Arial"/>
          <w:lang w:val="en-US"/>
        </w:rPr>
      </w:pPr>
      <w:r>
        <w:rPr>
          <w:rFonts w:ascii="Arial" w:hAnsi="Arial" w:cs="Arial"/>
          <w:lang w:val="en-US"/>
        </w:rPr>
        <w:t xml:space="preserve">The GC should therefore guide states in the designing of </w:t>
      </w:r>
      <w:r>
        <w:rPr>
          <w:rFonts w:ascii="Arial" w:hAnsi="Arial" w:cs="Arial"/>
          <w:lang w:val="en-US"/>
        </w:rPr>
        <w:t xml:space="preserve">adequate and effective regulatory frameworks, </w:t>
      </w:r>
      <w:r>
        <w:rPr>
          <w:rFonts w:ascii="Arial" w:hAnsi="Arial" w:cs="Arial"/>
          <w:lang w:val="en-US"/>
        </w:rPr>
        <w:t>that ensure that science and technology does not</w:t>
      </w:r>
      <w:r>
        <w:rPr>
          <w:rFonts w:ascii="Arial" w:hAnsi="Arial" w:cs="Arial"/>
          <w:lang w:val="en-US"/>
        </w:rPr>
        <w:t xml:space="preserve"> consolidate, or even deepen, existing inequalities and injustices.</w:t>
      </w:r>
      <w:r>
        <w:rPr>
          <w:rFonts w:ascii="Arial" w:hAnsi="Arial" w:cs="Arial"/>
          <w:lang w:val="en-US"/>
        </w:rPr>
        <w:t xml:space="preserve"> This may include measures that (a) address existing discrimination and marginalization (e.g. address the </w:t>
      </w:r>
      <w:r w:rsidRPr="00426098">
        <w:rPr>
          <w:rFonts w:ascii="Arial" w:hAnsi="Arial" w:cs="Arial"/>
          <w:lang w:val="en-US"/>
        </w:rPr>
        <w:t>digital divide</w:t>
      </w:r>
      <w:r>
        <w:rPr>
          <w:rFonts w:ascii="Arial" w:hAnsi="Arial" w:cs="Arial"/>
          <w:lang w:val="en-US"/>
        </w:rPr>
        <w:t xml:space="preserve">, </w:t>
      </w:r>
      <w:r w:rsidRPr="00426098">
        <w:rPr>
          <w:rFonts w:ascii="Arial" w:hAnsi="Arial" w:cs="Arial"/>
          <w:lang w:val="en-US"/>
        </w:rPr>
        <w:t>which has, among others, rural and gender dimensions</w:t>
      </w:r>
      <w:r>
        <w:rPr>
          <w:rFonts w:ascii="Arial" w:hAnsi="Arial" w:cs="Arial"/>
          <w:lang w:val="en-US"/>
        </w:rPr>
        <w:t xml:space="preserve">); </w:t>
      </w:r>
      <w:r w:rsidR="00770119">
        <w:rPr>
          <w:rFonts w:ascii="Arial" w:hAnsi="Arial" w:cs="Arial"/>
          <w:lang w:val="en-US"/>
        </w:rPr>
        <w:t>(</w:t>
      </w:r>
      <w:r>
        <w:rPr>
          <w:rFonts w:ascii="Arial" w:hAnsi="Arial" w:cs="Arial"/>
          <w:lang w:val="en-US"/>
        </w:rPr>
        <w:t xml:space="preserve">b) </w:t>
      </w:r>
      <w:r w:rsidR="00770119">
        <w:rPr>
          <w:rFonts w:ascii="Arial" w:hAnsi="Arial" w:cs="Arial"/>
          <w:lang w:val="en-US"/>
        </w:rPr>
        <w:t xml:space="preserve">put science-related policies in the context of a </w:t>
      </w:r>
      <w:r w:rsidR="00770119" w:rsidRPr="00426098">
        <w:rPr>
          <w:rFonts w:ascii="Arial" w:hAnsi="Arial" w:cs="Arial"/>
          <w:lang w:val="en-US"/>
        </w:rPr>
        <w:t xml:space="preserve">coherent set of policies aimed at overcoming the structural causes for </w:t>
      </w:r>
      <w:r w:rsidR="00770119">
        <w:rPr>
          <w:rFonts w:ascii="Arial" w:hAnsi="Arial" w:cs="Arial"/>
          <w:lang w:val="en-US"/>
        </w:rPr>
        <w:t>discrimination and injustice</w:t>
      </w:r>
      <w:r w:rsidR="00111B93">
        <w:rPr>
          <w:rFonts w:ascii="Arial" w:hAnsi="Arial" w:cs="Arial"/>
          <w:lang w:val="en-US"/>
        </w:rPr>
        <w:t>, including redistributive policies</w:t>
      </w:r>
      <w:r w:rsidR="00770119">
        <w:rPr>
          <w:rFonts w:ascii="Arial" w:hAnsi="Arial" w:cs="Arial"/>
          <w:lang w:val="en-US"/>
        </w:rPr>
        <w:t>; (c) ensure full respect, protection and guarantee of communities’ and people’s rights, traditional knowledge (systems), practices and innovations; and (d) put in place effective measures to regulate corporate actors and hold them accountable in cases of abuses.</w:t>
      </w:r>
    </w:p>
    <w:p w:rsidR="00426098" w:rsidRDefault="00426098" w:rsidP="00004264">
      <w:pPr>
        <w:pStyle w:val="Listenabsatz"/>
        <w:autoSpaceDE w:val="0"/>
        <w:autoSpaceDN w:val="0"/>
        <w:adjustRightInd w:val="0"/>
        <w:spacing w:line="276" w:lineRule="auto"/>
        <w:ind w:left="426"/>
        <w:rPr>
          <w:rFonts w:ascii="Arial" w:hAnsi="Arial" w:cs="Arial"/>
          <w:lang w:val="en-US"/>
        </w:rPr>
      </w:pPr>
    </w:p>
    <w:p w:rsidR="00770119" w:rsidRDefault="00770119" w:rsidP="00004264">
      <w:pPr>
        <w:pStyle w:val="Listenabsatz"/>
        <w:autoSpaceDE w:val="0"/>
        <w:autoSpaceDN w:val="0"/>
        <w:adjustRightInd w:val="0"/>
        <w:spacing w:line="276" w:lineRule="auto"/>
        <w:ind w:left="426"/>
        <w:rPr>
          <w:rFonts w:ascii="Arial" w:hAnsi="Arial" w:cs="Arial"/>
          <w:lang w:val="en-US"/>
        </w:rPr>
      </w:pPr>
      <w:r>
        <w:rPr>
          <w:rFonts w:ascii="Arial" w:hAnsi="Arial" w:cs="Arial"/>
          <w:lang w:val="en-US"/>
        </w:rPr>
        <w:t>We consider</w:t>
      </w:r>
      <w:r w:rsidRPr="004229DB">
        <w:rPr>
          <w:rFonts w:ascii="Arial" w:hAnsi="Arial" w:cs="Arial"/>
          <w:lang w:val="en-US"/>
        </w:rPr>
        <w:t xml:space="preserve"> that th</w:t>
      </w:r>
      <w:r>
        <w:rPr>
          <w:rFonts w:ascii="Arial" w:hAnsi="Arial" w:cs="Arial"/>
          <w:lang w:val="en-US"/>
        </w:rPr>
        <w:t>e</w:t>
      </w:r>
      <w:r w:rsidRPr="004229DB">
        <w:rPr>
          <w:rFonts w:ascii="Arial" w:hAnsi="Arial" w:cs="Arial"/>
          <w:lang w:val="en-US"/>
        </w:rPr>
        <w:t>s</w:t>
      </w:r>
      <w:r>
        <w:rPr>
          <w:rFonts w:ascii="Arial" w:hAnsi="Arial" w:cs="Arial"/>
          <w:lang w:val="en-US"/>
        </w:rPr>
        <w:t>e</w:t>
      </w:r>
      <w:r w:rsidRPr="004229DB">
        <w:rPr>
          <w:rFonts w:ascii="Arial" w:hAnsi="Arial" w:cs="Arial"/>
          <w:lang w:val="en-US"/>
        </w:rPr>
        <w:t xml:space="preserve"> aspect</w:t>
      </w:r>
      <w:r>
        <w:rPr>
          <w:rFonts w:ascii="Arial" w:hAnsi="Arial" w:cs="Arial"/>
          <w:lang w:val="en-US"/>
        </w:rPr>
        <w:t>s</w:t>
      </w:r>
      <w:r w:rsidRPr="004229DB">
        <w:rPr>
          <w:rFonts w:ascii="Arial" w:hAnsi="Arial" w:cs="Arial"/>
          <w:lang w:val="en-US"/>
        </w:rPr>
        <w:t xml:space="preserve"> could strengthen particularly sections </w:t>
      </w:r>
      <w:r>
        <w:rPr>
          <w:rFonts w:ascii="Arial" w:hAnsi="Arial" w:cs="Arial"/>
          <w:lang w:val="en-US"/>
        </w:rPr>
        <w:t xml:space="preserve">IV.B, IV.C, </w:t>
      </w:r>
      <w:r w:rsidR="00111B93">
        <w:rPr>
          <w:rFonts w:ascii="Arial" w:hAnsi="Arial" w:cs="Arial"/>
          <w:lang w:val="en-US"/>
        </w:rPr>
        <w:t>IV.D,</w:t>
      </w:r>
      <w:r w:rsidRPr="004229DB">
        <w:rPr>
          <w:rFonts w:ascii="Arial" w:hAnsi="Arial" w:cs="Arial"/>
          <w:lang w:val="en-US"/>
        </w:rPr>
        <w:t xml:space="preserve"> V.</w:t>
      </w:r>
      <w:r w:rsidR="00111B93">
        <w:rPr>
          <w:rFonts w:ascii="Arial" w:hAnsi="Arial" w:cs="Arial"/>
          <w:lang w:val="en-US"/>
        </w:rPr>
        <w:t>A, V.C., V.D, V.G, and VI</w:t>
      </w:r>
      <w:r w:rsidRPr="004229DB">
        <w:rPr>
          <w:rFonts w:ascii="Arial" w:hAnsi="Arial" w:cs="Arial"/>
          <w:lang w:val="en-US"/>
        </w:rPr>
        <w:t xml:space="preserve"> of the draft GC.</w:t>
      </w:r>
    </w:p>
    <w:p w:rsidR="00770119" w:rsidRDefault="00770119" w:rsidP="00004264">
      <w:pPr>
        <w:pStyle w:val="Listenabsatz"/>
        <w:autoSpaceDE w:val="0"/>
        <w:autoSpaceDN w:val="0"/>
        <w:adjustRightInd w:val="0"/>
        <w:spacing w:after="120" w:line="276" w:lineRule="auto"/>
        <w:ind w:left="426"/>
        <w:rPr>
          <w:rFonts w:ascii="Arial" w:hAnsi="Arial" w:cs="Arial"/>
          <w:lang w:val="en-US"/>
        </w:rPr>
      </w:pPr>
    </w:p>
    <w:p w:rsidR="00701758" w:rsidRDefault="00701758" w:rsidP="00004264">
      <w:pPr>
        <w:pStyle w:val="Listenabsatz"/>
        <w:autoSpaceDE w:val="0"/>
        <w:autoSpaceDN w:val="0"/>
        <w:adjustRightInd w:val="0"/>
        <w:spacing w:after="120" w:line="276" w:lineRule="auto"/>
        <w:ind w:left="426"/>
        <w:rPr>
          <w:rFonts w:ascii="Arial" w:hAnsi="Arial" w:cs="Arial"/>
          <w:lang w:val="en-US"/>
        </w:rPr>
      </w:pPr>
    </w:p>
    <w:p w:rsidR="00701758" w:rsidRPr="002F0084" w:rsidRDefault="00701758" w:rsidP="00004264">
      <w:pPr>
        <w:pStyle w:val="Listenabsatz"/>
        <w:numPr>
          <w:ilvl w:val="0"/>
          <w:numId w:val="3"/>
        </w:numPr>
        <w:autoSpaceDE w:val="0"/>
        <w:autoSpaceDN w:val="0"/>
        <w:adjustRightInd w:val="0"/>
        <w:spacing w:line="276" w:lineRule="auto"/>
        <w:ind w:left="426"/>
        <w:rPr>
          <w:rFonts w:ascii="Arial" w:hAnsi="Arial" w:cs="Arial"/>
          <w:lang w:val="en-US"/>
        </w:rPr>
      </w:pPr>
      <w:r w:rsidRPr="002F0084">
        <w:rPr>
          <w:rFonts w:ascii="Arial" w:hAnsi="Arial" w:cs="Arial"/>
          <w:lang w:val="en-US"/>
        </w:rPr>
        <w:t>FIAN welcomes that the draft GC acknowledges the centrality of the precautionary principle. We consider, however, that</w:t>
      </w:r>
      <w:r w:rsidR="004D5872" w:rsidRPr="002F0084">
        <w:rPr>
          <w:rFonts w:ascii="Arial" w:hAnsi="Arial" w:cs="Arial"/>
          <w:lang w:val="en-US"/>
        </w:rPr>
        <w:t xml:space="preserve"> </w:t>
      </w:r>
      <w:r w:rsidRPr="002F0084">
        <w:rPr>
          <w:rFonts w:ascii="Arial" w:hAnsi="Arial" w:cs="Arial"/>
          <w:lang w:val="en-US"/>
        </w:rPr>
        <w:t>the GC should</w:t>
      </w:r>
      <w:r w:rsidR="004D5872" w:rsidRPr="002F0084">
        <w:rPr>
          <w:rFonts w:ascii="Arial" w:hAnsi="Arial" w:cs="Arial"/>
          <w:lang w:val="en-US"/>
        </w:rPr>
        <w:t xml:space="preserve"> be stronger in</w:t>
      </w:r>
      <w:r w:rsidRPr="002F0084">
        <w:rPr>
          <w:rFonts w:ascii="Arial" w:hAnsi="Arial" w:cs="Arial"/>
          <w:lang w:val="en-US"/>
        </w:rPr>
        <w:t xml:space="preserve"> </w:t>
      </w:r>
      <w:r w:rsidR="004D5872" w:rsidRPr="002F0084">
        <w:rPr>
          <w:rFonts w:ascii="Arial" w:hAnsi="Arial" w:cs="Arial"/>
          <w:b/>
          <w:lang w:val="en-US"/>
        </w:rPr>
        <w:t>reinforcing</w:t>
      </w:r>
      <w:r w:rsidRPr="002F0084">
        <w:rPr>
          <w:rFonts w:ascii="Arial" w:hAnsi="Arial" w:cs="Arial"/>
          <w:b/>
          <w:lang w:val="en-US"/>
        </w:rPr>
        <w:t xml:space="preserve"> t</w:t>
      </w:r>
      <w:r w:rsidRPr="002F0084">
        <w:rPr>
          <w:rFonts w:ascii="Arial" w:hAnsi="Arial" w:cs="Arial"/>
          <w:b/>
          <w:lang w:val="en-US"/>
        </w:rPr>
        <w:t>he precautionary principle</w:t>
      </w:r>
      <w:r w:rsidRPr="002F0084">
        <w:rPr>
          <w:rFonts w:ascii="Arial" w:hAnsi="Arial" w:cs="Arial"/>
          <w:lang w:val="en-US"/>
        </w:rPr>
        <w:t xml:space="preserve"> </w:t>
      </w:r>
      <w:r w:rsidRPr="002F0084">
        <w:rPr>
          <w:rFonts w:ascii="Arial" w:hAnsi="Arial" w:cs="Arial"/>
          <w:lang w:val="en-US"/>
        </w:rPr>
        <w:t>a</w:t>
      </w:r>
      <w:r w:rsidRPr="002F0084">
        <w:rPr>
          <w:rFonts w:ascii="Arial" w:hAnsi="Arial" w:cs="Arial"/>
          <w:lang w:val="en-US"/>
        </w:rPr>
        <w:t xml:space="preserve">s a well-established principle of international law, which requires states to take precautionary measures to protect </w:t>
      </w:r>
      <w:r w:rsidRPr="002F0084">
        <w:rPr>
          <w:rFonts w:ascii="Arial" w:hAnsi="Arial" w:cs="Arial"/>
          <w:lang w:val="en-US"/>
        </w:rPr>
        <w:t>humans and the</w:t>
      </w:r>
      <w:r w:rsidRPr="002F0084">
        <w:rPr>
          <w:rFonts w:ascii="Arial" w:hAnsi="Arial" w:cs="Arial"/>
          <w:lang w:val="en-US"/>
        </w:rPr>
        <w:t xml:space="preserve"> environment.</w:t>
      </w:r>
      <w:r w:rsidRPr="002F0084">
        <w:rPr>
          <w:rFonts w:ascii="Arial" w:hAnsi="Arial" w:cs="Arial"/>
          <w:lang w:val="en-US"/>
        </w:rPr>
        <w:t xml:space="preserve"> </w:t>
      </w:r>
      <w:r w:rsidR="003D55BC" w:rsidRPr="002F0084">
        <w:rPr>
          <w:rFonts w:ascii="Arial" w:hAnsi="Arial" w:cs="Arial"/>
          <w:lang w:val="en-US"/>
        </w:rPr>
        <w:t xml:space="preserve">In the context of biotechnologies, this includes to </w:t>
      </w:r>
      <w:r w:rsidRPr="002F0084">
        <w:rPr>
          <w:rFonts w:ascii="Arial" w:hAnsi="Arial" w:cs="Arial"/>
          <w:lang w:val="en-US"/>
        </w:rPr>
        <w:t>regulat</w:t>
      </w:r>
      <w:r w:rsidR="003D55BC" w:rsidRPr="002F0084">
        <w:rPr>
          <w:rFonts w:ascii="Arial" w:hAnsi="Arial" w:cs="Arial"/>
          <w:lang w:val="en-US"/>
        </w:rPr>
        <w:t>e</w:t>
      </w:r>
      <w:r w:rsidRPr="002F0084">
        <w:rPr>
          <w:rFonts w:ascii="Arial" w:hAnsi="Arial" w:cs="Arial"/>
          <w:lang w:val="en-US"/>
        </w:rPr>
        <w:t>, manag</w:t>
      </w:r>
      <w:r w:rsidR="003D55BC" w:rsidRPr="002F0084">
        <w:rPr>
          <w:rFonts w:ascii="Arial" w:hAnsi="Arial" w:cs="Arial"/>
          <w:lang w:val="en-US"/>
        </w:rPr>
        <w:t>e</w:t>
      </w:r>
      <w:r w:rsidRPr="002F0084">
        <w:rPr>
          <w:rFonts w:ascii="Arial" w:hAnsi="Arial" w:cs="Arial"/>
          <w:lang w:val="en-US"/>
        </w:rPr>
        <w:t xml:space="preserve"> and control the risks posed by modified living organisms, which are likely to have adverse environmental effects.</w:t>
      </w:r>
      <w:r w:rsidR="00004264" w:rsidRPr="00F61EAC">
        <w:rPr>
          <w:vertAlign w:val="superscript"/>
        </w:rPr>
        <w:footnoteReference w:id="4"/>
      </w:r>
      <w:r w:rsidR="00004264" w:rsidRPr="002F0084">
        <w:rPr>
          <w:rFonts w:ascii="Arial" w:hAnsi="Arial" w:cs="Arial"/>
          <w:lang w:val="en-US"/>
        </w:rPr>
        <w:t xml:space="preserve"> </w:t>
      </w:r>
      <w:r w:rsidRPr="002F0084">
        <w:rPr>
          <w:rFonts w:ascii="Arial" w:hAnsi="Arial" w:cs="Arial"/>
          <w:lang w:val="en-US"/>
        </w:rPr>
        <w:t xml:space="preserve">In addition, in </w:t>
      </w:r>
      <w:r w:rsidRPr="002F0084">
        <w:rPr>
          <w:rFonts w:ascii="Arial" w:hAnsi="Arial" w:cs="Arial"/>
          <w:lang w:val="en-US"/>
        </w:rPr>
        <w:lastRenderedPageBreak/>
        <w:t>accordance with the Cartagena Protocol, states are required to take measures to protect biological diversity as well as indigenous and local communities against the potential risks posed by genetically modified organisms.</w:t>
      </w:r>
      <w:r w:rsidR="00004264" w:rsidRPr="00F61EAC">
        <w:rPr>
          <w:vertAlign w:val="superscript"/>
        </w:rPr>
        <w:footnoteReference w:id="5"/>
      </w:r>
      <w:r w:rsidR="00004264" w:rsidRPr="002F0084">
        <w:rPr>
          <w:rFonts w:ascii="Arial" w:hAnsi="Arial" w:cs="Arial"/>
          <w:lang w:val="en-US"/>
        </w:rPr>
        <w:t xml:space="preserve"> </w:t>
      </w:r>
      <w:r w:rsidRPr="002F0084">
        <w:rPr>
          <w:rFonts w:ascii="Arial" w:hAnsi="Arial" w:cs="Arial"/>
          <w:lang w:val="en-US"/>
        </w:rPr>
        <w:t xml:space="preserve">Upholding these obligations and </w:t>
      </w:r>
      <w:r w:rsidR="003D55BC" w:rsidRPr="002F0084">
        <w:rPr>
          <w:rFonts w:ascii="Arial" w:hAnsi="Arial" w:cs="Arial"/>
          <w:lang w:val="en-US"/>
        </w:rPr>
        <w:t>recalling</w:t>
      </w:r>
      <w:r w:rsidRPr="002F0084">
        <w:rPr>
          <w:rFonts w:ascii="Arial" w:hAnsi="Arial" w:cs="Arial"/>
          <w:lang w:val="en-US"/>
        </w:rPr>
        <w:t xml:space="preserve"> them</w:t>
      </w:r>
      <w:r w:rsidR="003D55BC" w:rsidRPr="002F0084">
        <w:rPr>
          <w:rFonts w:ascii="Arial" w:hAnsi="Arial" w:cs="Arial"/>
          <w:lang w:val="en-US"/>
        </w:rPr>
        <w:t xml:space="preserve"> to states</w:t>
      </w:r>
      <w:r w:rsidRPr="002F0084">
        <w:rPr>
          <w:rFonts w:ascii="Arial" w:hAnsi="Arial" w:cs="Arial"/>
          <w:lang w:val="en-US"/>
        </w:rPr>
        <w:t xml:space="preserve"> is all the more important </w:t>
      </w:r>
      <w:r w:rsidR="003D55BC" w:rsidRPr="002F0084">
        <w:rPr>
          <w:rFonts w:ascii="Arial" w:hAnsi="Arial" w:cs="Arial"/>
          <w:lang w:val="en-US"/>
        </w:rPr>
        <w:t xml:space="preserve">in the current context, in which </w:t>
      </w:r>
      <w:r w:rsidRPr="002F0084">
        <w:rPr>
          <w:rFonts w:ascii="Arial" w:hAnsi="Arial" w:cs="Arial"/>
          <w:lang w:val="en-US"/>
        </w:rPr>
        <w:t>the biotech</w:t>
      </w:r>
      <w:r w:rsidR="003D55BC" w:rsidRPr="002F0084">
        <w:rPr>
          <w:rFonts w:ascii="Arial" w:hAnsi="Arial" w:cs="Arial"/>
          <w:lang w:val="en-US"/>
        </w:rPr>
        <w:t>nology</w:t>
      </w:r>
      <w:r w:rsidRPr="002F0084">
        <w:rPr>
          <w:rFonts w:ascii="Arial" w:hAnsi="Arial" w:cs="Arial"/>
          <w:lang w:val="en-US"/>
        </w:rPr>
        <w:t xml:space="preserve"> industry and agribusiness are trying to circumvent biosafety regulations by claiming that organisms developed through CRISPR and other gene editing techniques should not be  considered as genetically engineered.</w:t>
      </w:r>
      <w:r w:rsidR="00004264" w:rsidRPr="00F61EAC">
        <w:rPr>
          <w:vertAlign w:val="superscript"/>
        </w:rPr>
        <w:footnoteReference w:id="6"/>
      </w:r>
      <w:r w:rsidR="00004264" w:rsidRPr="002F0084">
        <w:rPr>
          <w:rFonts w:ascii="Arial" w:hAnsi="Arial" w:cs="Arial"/>
          <w:lang w:val="en-US"/>
        </w:rPr>
        <w:t xml:space="preserve"> </w:t>
      </w:r>
      <w:r w:rsidR="009D194F" w:rsidRPr="002F0084">
        <w:rPr>
          <w:rFonts w:ascii="Arial" w:hAnsi="Arial" w:cs="Arial"/>
          <w:lang w:val="en-US"/>
        </w:rPr>
        <w:t>The GC should clarify that states’ obligation to implement the precautionary principle</w:t>
      </w:r>
      <w:r w:rsidR="009D194F" w:rsidRPr="002F0084">
        <w:rPr>
          <w:rFonts w:ascii="Arial" w:hAnsi="Arial" w:cs="Arial"/>
          <w:lang w:val="en-US"/>
        </w:rPr>
        <w:t xml:space="preserve"> require them to put in place</w:t>
      </w:r>
      <w:r w:rsidR="009D194F" w:rsidRPr="002F0084">
        <w:rPr>
          <w:rFonts w:ascii="Arial" w:hAnsi="Arial" w:cs="Arial"/>
          <w:lang w:val="en-US"/>
        </w:rPr>
        <w:t xml:space="preserve"> regulatory frameworks on prior risk and impact assessments, which</w:t>
      </w:r>
      <w:r w:rsidR="009D194F" w:rsidRPr="002F0084">
        <w:rPr>
          <w:rFonts w:ascii="Arial" w:hAnsi="Arial" w:cs="Arial"/>
          <w:lang w:val="en-US"/>
        </w:rPr>
        <w:t xml:space="preserve"> ensure that such assessments are</w:t>
      </w:r>
      <w:r w:rsidR="009D194F" w:rsidRPr="002F0084">
        <w:rPr>
          <w:rFonts w:ascii="Arial" w:hAnsi="Arial" w:cs="Arial"/>
          <w:lang w:val="en-US"/>
        </w:rPr>
        <w:t xml:space="preserve"> conducted by an independent body and with public participation, and their results be made public and inform measures to prevent, cease, and remedy harm.</w:t>
      </w:r>
      <w:r w:rsidR="009D194F" w:rsidRPr="002F0084">
        <w:rPr>
          <w:rFonts w:ascii="Arial" w:hAnsi="Arial" w:cs="Arial"/>
          <w:lang w:val="en-US"/>
        </w:rPr>
        <w:t xml:space="preserve"> The GC should further underline the importance of effective monitoring mechanisms that allow </w:t>
      </w:r>
      <w:r w:rsidR="00C03988">
        <w:rPr>
          <w:rFonts w:ascii="Arial" w:hAnsi="Arial" w:cs="Arial"/>
          <w:lang w:val="en-US"/>
        </w:rPr>
        <w:t>a</w:t>
      </w:r>
      <w:r w:rsidR="00C03988" w:rsidRPr="002F0084">
        <w:rPr>
          <w:rFonts w:ascii="Arial" w:hAnsi="Arial" w:cs="Arial"/>
          <w:lang w:val="en-US"/>
        </w:rPr>
        <w:t>ssessing</w:t>
      </w:r>
      <w:r w:rsidR="009D194F" w:rsidRPr="002F0084">
        <w:rPr>
          <w:rFonts w:ascii="Arial" w:hAnsi="Arial" w:cs="Arial"/>
          <w:lang w:val="en-US"/>
        </w:rPr>
        <w:t xml:space="preserve"> the impacts of risky technologies, as well as the provision of</w:t>
      </w:r>
      <w:r w:rsidR="009D194F" w:rsidRPr="002F0084">
        <w:rPr>
          <w:rFonts w:ascii="MyriadPro-Regular" w:hAnsi="MyriadPro-Regular" w:cs="MyriadPro-Regular"/>
          <w:lang w:val="en-US"/>
        </w:rPr>
        <w:t xml:space="preserve"> adequate and</w:t>
      </w:r>
      <w:r w:rsidR="009D194F" w:rsidRPr="002F0084">
        <w:rPr>
          <w:rFonts w:ascii="MyriadPro-Regular" w:hAnsi="MyriadPro-Regular" w:cs="MyriadPro-Regular"/>
          <w:lang w:val="en-US"/>
        </w:rPr>
        <w:t xml:space="preserve"> </w:t>
      </w:r>
      <w:r w:rsidR="009D194F" w:rsidRPr="002F0084">
        <w:rPr>
          <w:rFonts w:ascii="MyriadPro-Regular" w:hAnsi="MyriadPro-Regular" w:cs="MyriadPro-Regular"/>
          <w:lang w:val="en-US"/>
        </w:rPr>
        <w:t>effective complaint and remedy mechanisms for individuals and groups</w:t>
      </w:r>
      <w:r w:rsidR="009D194F" w:rsidRPr="002F0084">
        <w:rPr>
          <w:rFonts w:ascii="MyriadPro-Regular" w:hAnsi="MyriadPro-Regular" w:cs="MyriadPro-Regular"/>
          <w:lang w:val="en-US"/>
        </w:rPr>
        <w:t xml:space="preserve"> </w:t>
      </w:r>
      <w:r w:rsidR="009D194F" w:rsidRPr="002F0084">
        <w:rPr>
          <w:rFonts w:ascii="MyriadPro-Regular" w:hAnsi="MyriadPro-Regular" w:cs="MyriadPro-Regular"/>
          <w:lang w:val="en-US"/>
        </w:rPr>
        <w:t>whose human rights have been negatively affected.</w:t>
      </w:r>
      <w:r w:rsidR="009D194F" w:rsidRPr="002F0084">
        <w:rPr>
          <w:rFonts w:ascii="Arial" w:hAnsi="Arial" w:cs="Arial"/>
          <w:lang w:val="en-US"/>
        </w:rPr>
        <w:t xml:space="preserve"> </w:t>
      </w:r>
      <w:r w:rsidR="003D55BC" w:rsidRPr="002F0084">
        <w:rPr>
          <w:rFonts w:ascii="Arial" w:hAnsi="Arial" w:cs="Arial"/>
          <w:lang w:val="en-US"/>
        </w:rPr>
        <w:t xml:space="preserve">FIAN considers that the GC should encourage states to </w:t>
      </w:r>
      <w:r w:rsidR="002F0084" w:rsidRPr="002F0084">
        <w:rPr>
          <w:rFonts w:ascii="Arial" w:hAnsi="Arial" w:cs="Arial"/>
          <w:lang w:val="en-US"/>
        </w:rPr>
        <w:t xml:space="preserve">consider putting </w:t>
      </w:r>
      <w:r w:rsidR="003D55BC" w:rsidRPr="002F0084">
        <w:rPr>
          <w:rFonts w:ascii="Arial" w:hAnsi="Arial" w:cs="Arial"/>
          <w:lang w:val="en-US"/>
        </w:rPr>
        <w:t>in place restrictive measures, such as moratoria, in the context of technologies whose risks are particularly severe</w:t>
      </w:r>
      <w:r w:rsidR="00C03988">
        <w:rPr>
          <w:rFonts w:ascii="Arial" w:hAnsi="Arial" w:cs="Arial"/>
          <w:lang w:val="en-US"/>
        </w:rPr>
        <w:t xml:space="preserve"> and far-reaching</w:t>
      </w:r>
      <w:r w:rsidR="003D55BC" w:rsidRPr="002F0084">
        <w:rPr>
          <w:rFonts w:ascii="Arial" w:hAnsi="Arial" w:cs="Arial"/>
          <w:lang w:val="en-US"/>
        </w:rPr>
        <w:t>, such as gene drives, among others.</w:t>
      </w:r>
      <w:r w:rsidR="003D55BC" w:rsidRPr="002F0084">
        <w:rPr>
          <w:vertAlign w:val="superscript"/>
        </w:rPr>
        <w:footnoteReference w:id="7"/>
      </w:r>
    </w:p>
    <w:p w:rsidR="003D55BC" w:rsidRDefault="003D55BC" w:rsidP="00004264">
      <w:pPr>
        <w:pStyle w:val="Listenabsatz"/>
        <w:autoSpaceDE w:val="0"/>
        <w:autoSpaceDN w:val="0"/>
        <w:adjustRightInd w:val="0"/>
        <w:spacing w:line="276" w:lineRule="auto"/>
        <w:ind w:left="426"/>
        <w:rPr>
          <w:rFonts w:ascii="Arial" w:hAnsi="Arial" w:cs="Arial"/>
          <w:lang w:val="en-US"/>
        </w:rPr>
      </w:pPr>
    </w:p>
    <w:p w:rsidR="003D55BC" w:rsidRDefault="003D55BC" w:rsidP="00004264">
      <w:pPr>
        <w:pStyle w:val="Listenabsatz"/>
        <w:autoSpaceDE w:val="0"/>
        <w:autoSpaceDN w:val="0"/>
        <w:adjustRightInd w:val="0"/>
        <w:spacing w:line="276" w:lineRule="auto"/>
        <w:ind w:left="426"/>
        <w:rPr>
          <w:rFonts w:ascii="Arial" w:hAnsi="Arial" w:cs="Arial"/>
          <w:lang w:val="en-US"/>
        </w:rPr>
      </w:pPr>
      <w:r>
        <w:rPr>
          <w:rFonts w:ascii="Arial" w:hAnsi="Arial" w:cs="Arial"/>
          <w:lang w:val="en-US"/>
        </w:rPr>
        <w:t>We consider</w:t>
      </w:r>
      <w:r w:rsidRPr="004229DB">
        <w:rPr>
          <w:rFonts w:ascii="Arial" w:hAnsi="Arial" w:cs="Arial"/>
          <w:lang w:val="en-US"/>
        </w:rPr>
        <w:t xml:space="preserve"> that th</w:t>
      </w:r>
      <w:r>
        <w:rPr>
          <w:rFonts w:ascii="Arial" w:hAnsi="Arial" w:cs="Arial"/>
          <w:lang w:val="en-US"/>
        </w:rPr>
        <w:t>e</w:t>
      </w:r>
      <w:r w:rsidRPr="004229DB">
        <w:rPr>
          <w:rFonts w:ascii="Arial" w:hAnsi="Arial" w:cs="Arial"/>
          <w:lang w:val="en-US"/>
        </w:rPr>
        <w:t>s</w:t>
      </w:r>
      <w:r>
        <w:rPr>
          <w:rFonts w:ascii="Arial" w:hAnsi="Arial" w:cs="Arial"/>
          <w:lang w:val="en-US"/>
        </w:rPr>
        <w:t>e</w:t>
      </w:r>
      <w:r w:rsidRPr="004229DB">
        <w:rPr>
          <w:rFonts w:ascii="Arial" w:hAnsi="Arial" w:cs="Arial"/>
          <w:lang w:val="en-US"/>
        </w:rPr>
        <w:t xml:space="preserve"> aspect</w:t>
      </w:r>
      <w:r>
        <w:rPr>
          <w:rFonts w:ascii="Arial" w:hAnsi="Arial" w:cs="Arial"/>
          <w:lang w:val="en-US"/>
        </w:rPr>
        <w:t>s</w:t>
      </w:r>
      <w:r w:rsidRPr="004229DB">
        <w:rPr>
          <w:rFonts w:ascii="Arial" w:hAnsi="Arial" w:cs="Arial"/>
          <w:lang w:val="en-US"/>
        </w:rPr>
        <w:t xml:space="preserve"> could strengthen particularly sections </w:t>
      </w:r>
      <w:r>
        <w:rPr>
          <w:rFonts w:ascii="Arial" w:hAnsi="Arial" w:cs="Arial"/>
          <w:lang w:val="en-US"/>
        </w:rPr>
        <w:t>III</w:t>
      </w:r>
      <w:r>
        <w:rPr>
          <w:rFonts w:ascii="Arial" w:hAnsi="Arial" w:cs="Arial"/>
          <w:lang w:val="en-US"/>
        </w:rPr>
        <w:t>.B, IV.C, IV.D,</w:t>
      </w:r>
      <w:r w:rsidRPr="004229DB">
        <w:rPr>
          <w:rFonts w:ascii="Arial" w:hAnsi="Arial" w:cs="Arial"/>
          <w:lang w:val="en-US"/>
        </w:rPr>
        <w:t xml:space="preserve"> V.</w:t>
      </w:r>
      <w:r>
        <w:rPr>
          <w:rFonts w:ascii="Arial" w:hAnsi="Arial" w:cs="Arial"/>
          <w:lang w:val="en-US"/>
        </w:rPr>
        <w:t>B</w:t>
      </w:r>
      <w:r>
        <w:rPr>
          <w:rFonts w:ascii="Arial" w:hAnsi="Arial" w:cs="Arial"/>
          <w:lang w:val="en-US"/>
        </w:rPr>
        <w:t>, V.</w:t>
      </w:r>
      <w:r>
        <w:rPr>
          <w:rFonts w:ascii="Arial" w:hAnsi="Arial" w:cs="Arial"/>
          <w:lang w:val="en-US"/>
        </w:rPr>
        <w:t>F</w:t>
      </w:r>
      <w:r>
        <w:rPr>
          <w:rFonts w:ascii="Arial" w:hAnsi="Arial" w:cs="Arial"/>
          <w:lang w:val="en-US"/>
        </w:rPr>
        <w:t>., V.G, and VI</w:t>
      </w:r>
      <w:r w:rsidRPr="004229DB">
        <w:rPr>
          <w:rFonts w:ascii="Arial" w:hAnsi="Arial" w:cs="Arial"/>
          <w:lang w:val="en-US"/>
        </w:rPr>
        <w:t xml:space="preserve"> of the draft GC.</w:t>
      </w:r>
    </w:p>
    <w:p w:rsidR="003D55BC" w:rsidRDefault="003D55BC" w:rsidP="00004264">
      <w:pPr>
        <w:autoSpaceDE w:val="0"/>
        <w:autoSpaceDN w:val="0"/>
        <w:adjustRightInd w:val="0"/>
        <w:spacing w:after="120" w:line="276" w:lineRule="auto"/>
        <w:ind w:left="426"/>
        <w:rPr>
          <w:rFonts w:ascii="Arial" w:hAnsi="Arial" w:cs="Arial"/>
          <w:lang w:val="en-US"/>
        </w:rPr>
      </w:pPr>
    </w:p>
    <w:p w:rsidR="009D194F" w:rsidRPr="003D55BC" w:rsidRDefault="009D194F" w:rsidP="003D55BC">
      <w:pPr>
        <w:autoSpaceDE w:val="0"/>
        <w:autoSpaceDN w:val="0"/>
        <w:adjustRightInd w:val="0"/>
        <w:spacing w:after="120" w:line="276" w:lineRule="auto"/>
        <w:ind w:left="708"/>
        <w:rPr>
          <w:rFonts w:ascii="Arial" w:hAnsi="Arial" w:cs="Arial"/>
          <w:lang w:val="en-US"/>
        </w:rPr>
      </w:pPr>
    </w:p>
    <w:p w:rsidR="00C62030" w:rsidRDefault="00C62030" w:rsidP="00C62030">
      <w:pPr>
        <w:spacing w:line="276" w:lineRule="auto"/>
        <w:rPr>
          <w:rFonts w:ascii="Arial" w:hAnsi="Arial" w:cs="Arial"/>
          <w:lang w:val="en-US"/>
        </w:rPr>
      </w:pPr>
    </w:p>
    <w:sectPr w:rsidR="00C62030" w:rsidSect="00004264">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C5" w:rsidRDefault="00570BC5" w:rsidP="00E84C4F">
      <w:r>
        <w:separator/>
      </w:r>
    </w:p>
  </w:endnote>
  <w:endnote w:type="continuationSeparator" w:id="0">
    <w:p w:rsidR="00570BC5" w:rsidRDefault="00570BC5" w:rsidP="00E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329892"/>
      <w:docPartObj>
        <w:docPartGallery w:val="Page Numbers (Bottom of Page)"/>
        <w:docPartUnique/>
      </w:docPartObj>
    </w:sdtPr>
    <w:sdtEndPr>
      <w:rPr>
        <w:sz w:val="20"/>
        <w:szCs w:val="20"/>
      </w:rPr>
    </w:sdtEndPr>
    <w:sdtContent>
      <w:p w:rsidR="00426098" w:rsidRPr="00004264" w:rsidRDefault="00426098" w:rsidP="00426098">
        <w:pPr>
          <w:pStyle w:val="Fuzeile"/>
          <w:jc w:val="center"/>
          <w:rPr>
            <w:sz w:val="20"/>
            <w:szCs w:val="20"/>
          </w:rPr>
        </w:pPr>
        <w:r w:rsidRPr="00004264">
          <w:rPr>
            <w:sz w:val="20"/>
            <w:szCs w:val="20"/>
          </w:rPr>
          <w:fldChar w:fldCharType="begin"/>
        </w:r>
        <w:r w:rsidRPr="00004264">
          <w:rPr>
            <w:sz w:val="20"/>
            <w:szCs w:val="20"/>
          </w:rPr>
          <w:instrText>PAGE   \* MERGEFORMAT</w:instrText>
        </w:r>
        <w:r w:rsidRPr="00004264">
          <w:rPr>
            <w:sz w:val="20"/>
            <w:szCs w:val="20"/>
          </w:rPr>
          <w:fldChar w:fldCharType="separate"/>
        </w:r>
        <w:r w:rsidR="0024701A">
          <w:rPr>
            <w:noProof/>
            <w:sz w:val="20"/>
            <w:szCs w:val="20"/>
          </w:rPr>
          <w:t>2</w:t>
        </w:r>
        <w:r w:rsidRPr="00004264">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C5" w:rsidRDefault="00570BC5" w:rsidP="00E84C4F">
      <w:r>
        <w:separator/>
      </w:r>
    </w:p>
  </w:footnote>
  <w:footnote w:type="continuationSeparator" w:id="0">
    <w:p w:rsidR="00570BC5" w:rsidRDefault="00570BC5" w:rsidP="00E84C4F">
      <w:r>
        <w:continuationSeparator/>
      </w:r>
    </w:p>
  </w:footnote>
  <w:footnote w:id="1">
    <w:p w:rsidR="002503EC" w:rsidRPr="00F61EAC" w:rsidRDefault="002503EC">
      <w:pPr>
        <w:pStyle w:val="Funotentext"/>
        <w:rPr>
          <w:rFonts w:ascii="Arial" w:hAnsi="Arial" w:cs="Arial"/>
          <w:sz w:val="18"/>
          <w:szCs w:val="18"/>
          <w:lang w:val="en-US"/>
        </w:rPr>
      </w:pPr>
      <w:r w:rsidRPr="00F61EAC">
        <w:rPr>
          <w:rStyle w:val="Funotenzeichen"/>
          <w:rFonts w:ascii="Arial" w:hAnsi="Arial" w:cs="Arial"/>
          <w:sz w:val="18"/>
          <w:szCs w:val="18"/>
        </w:rPr>
        <w:footnoteRef/>
      </w:r>
      <w:r w:rsidRPr="00F61EAC">
        <w:rPr>
          <w:rFonts w:ascii="Arial" w:hAnsi="Arial" w:cs="Arial"/>
          <w:sz w:val="18"/>
          <w:szCs w:val="18"/>
          <w:lang w:val="en-US"/>
        </w:rPr>
        <w:t xml:space="preserve"> Examples include traditional Chinese medicine and indigenous therapeutic practices in the context of health. In the context of food and nutrition, agroecology is an example of a paradigm and set of practices that is rooted in the knowledge developed by communities and peoples over centuries. </w:t>
      </w:r>
    </w:p>
  </w:footnote>
  <w:footnote w:id="2">
    <w:p w:rsidR="00004264" w:rsidRPr="00004264" w:rsidRDefault="00004264" w:rsidP="00E84C4F">
      <w:pPr>
        <w:pStyle w:val="Funotentext"/>
        <w:rPr>
          <w:rFonts w:ascii="Arial" w:hAnsi="Arial" w:cs="Arial"/>
          <w:sz w:val="18"/>
          <w:szCs w:val="18"/>
          <w:lang w:val="en-US"/>
        </w:rPr>
      </w:pPr>
      <w:r w:rsidRPr="00004264">
        <w:rPr>
          <w:rStyle w:val="Funotenzeichen"/>
          <w:rFonts w:ascii="Arial" w:hAnsi="Arial" w:cs="Arial"/>
          <w:sz w:val="18"/>
          <w:szCs w:val="18"/>
        </w:rPr>
        <w:footnoteRef/>
      </w:r>
      <w:r w:rsidRPr="00004264">
        <w:rPr>
          <w:rFonts w:ascii="Arial" w:hAnsi="Arial" w:cs="Arial"/>
          <w:sz w:val="18"/>
          <w:szCs w:val="18"/>
          <w:lang w:val="en-US"/>
        </w:rPr>
        <w:t xml:space="preserve"> UN</w:t>
      </w:r>
      <w:r w:rsidRPr="00004264">
        <w:rPr>
          <w:rFonts w:ascii="Arial" w:hAnsi="Arial" w:cs="Arial"/>
          <w:sz w:val="18"/>
          <w:szCs w:val="18"/>
          <w:lang w:val="en-US"/>
        </w:rPr>
        <w:t xml:space="preserve"> Declaration on the Rights of Indigenous Peoples, </w:t>
      </w:r>
      <w:r w:rsidRPr="00004264">
        <w:rPr>
          <w:rFonts w:ascii="Arial" w:hAnsi="Arial" w:cs="Arial"/>
          <w:sz w:val="18"/>
          <w:szCs w:val="18"/>
          <w:lang w:val="en-US"/>
        </w:rPr>
        <w:t>Preamble</w:t>
      </w:r>
      <w:r w:rsidR="002503EC" w:rsidRPr="002503EC">
        <w:rPr>
          <w:rFonts w:ascii="Arial" w:hAnsi="Arial" w:cs="Arial"/>
          <w:sz w:val="18"/>
          <w:szCs w:val="18"/>
          <w:lang w:val="en-US"/>
        </w:rPr>
        <w:t xml:space="preserve"> </w:t>
      </w:r>
      <w:r w:rsidR="002503EC" w:rsidRPr="00004264">
        <w:rPr>
          <w:rFonts w:ascii="Arial" w:hAnsi="Arial" w:cs="Arial"/>
          <w:sz w:val="18"/>
          <w:szCs w:val="18"/>
          <w:lang w:val="en-US"/>
        </w:rPr>
        <w:t>and art. 31</w:t>
      </w:r>
      <w:r w:rsidR="002503EC">
        <w:rPr>
          <w:rFonts w:ascii="Arial" w:hAnsi="Arial" w:cs="Arial"/>
          <w:sz w:val="18"/>
          <w:szCs w:val="18"/>
          <w:lang w:val="en-US"/>
        </w:rPr>
        <w:t>;</w:t>
      </w:r>
      <w:r w:rsidR="00C16808">
        <w:rPr>
          <w:rFonts w:ascii="Arial" w:hAnsi="Arial" w:cs="Arial"/>
          <w:sz w:val="18"/>
          <w:szCs w:val="18"/>
          <w:lang w:val="en-US"/>
        </w:rPr>
        <w:t xml:space="preserve"> UN Declaration on the Rights of Peasants and Other People Working in Rural Areas, art. 20</w:t>
      </w:r>
      <w:r w:rsidRPr="00004264">
        <w:rPr>
          <w:rFonts w:ascii="Arial" w:hAnsi="Arial" w:cs="Arial"/>
          <w:sz w:val="18"/>
          <w:szCs w:val="18"/>
          <w:lang w:val="en-US"/>
        </w:rPr>
        <w:t>; C</w:t>
      </w:r>
      <w:r w:rsidRPr="00004264">
        <w:rPr>
          <w:rFonts w:ascii="Arial" w:hAnsi="Arial" w:cs="Arial"/>
          <w:sz w:val="18"/>
          <w:szCs w:val="18"/>
          <w:lang w:val="en-US"/>
        </w:rPr>
        <w:t>onvention on Biological Diversity</w:t>
      </w:r>
      <w:r w:rsidRPr="00004264">
        <w:rPr>
          <w:rFonts w:ascii="Arial" w:hAnsi="Arial" w:cs="Arial"/>
          <w:sz w:val="18"/>
          <w:szCs w:val="18"/>
          <w:lang w:val="en-US"/>
        </w:rPr>
        <w:t>, art 8(j).</w:t>
      </w:r>
    </w:p>
  </w:footnote>
  <w:footnote w:id="3">
    <w:p w:rsidR="008368DD" w:rsidRPr="00004264" w:rsidRDefault="008368DD">
      <w:pPr>
        <w:pStyle w:val="Funotentext"/>
        <w:rPr>
          <w:rFonts w:ascii="Arial" w:hAnsi="Arial" w:cs="Arial"/>
          <w:sz w:val="18"/>
          <w:szCs w:val="18"/>
          <w:lang w:val="en-US"/>
        </w:rPr>
      </w:pPr>
      <w:r w:rsidRPr="00004264">
        <w:rPr>
          <w:rStyle w:val="Funotenzeichen"/>
          <w:rFonts w:ascii="Arial" w:hAnsi="Arial" w:cs="Arial"/>
          <w:sz w:val="18"/>
          <w:szCs w:val="18"/>
        </w:rPr>
        <w:footnoteRef/>
      </w:r>
      <w:r w:rsidRPr="00004264">
        <w:rPr>
          <w:rFonts w:ascii="Arial" w:hAnsi="Arial" w:cs="Arial"/>
          <w:sz w:val="18"/>
          <w:szCs w:val="18"/>
          <w:lang w:val="en-US"/>
        </w:rPr>
        <w:t xml:space="preserve"> Recent examples includ</w:t>
      </w:r>
      <w:r w:rsidR="00770119" w:rsidRPr="00004264">
        <w:rPr>
          <w:rFonts w:ascii="Arial" w:hAnsi="Arial" w:cs="Arial"/>
          <w:sz w:val="18"/>
          <w:szCs w:val="18"/>
          <w:lang w:val="en-US"/>
        </w:rPr>
        <w:t>e the systematic manipulation</w:t>
      </w:r>
      <w:r w:rsidRPr="00004264">
        <w:rPr>
          <w:rFonts w:ascii="Arial" w:hAnsi="Arial" w:cs="Arial"/>
          <w:sz w:val="18"/>
          <w:szCs w:val="18"/>
          <w:lang w:val="en-US"/>
        </w:rPr>
        <w:t xml:space="preserve"> </w:t>
      </w:r>
      <w:r w:rsidR="009A0398" w:rsidRPr="00004264">
        <w:rPr>
          <w:rFonts w:ascii="Arial" w:hAnsi="Arial" w:cs="Arial"/>
          <w:sz w:val="18"/>
          <w:szCs w:val="18"/>
          <w:lang w:val="en-US"/>
        </w:rPr>
        <w:t>of studies on the effects of glyphosate on the human body</w:t>
      </w:r>
      <w:r w:rsidR="009A0398" w:rsidRPr="00004264">
        <w:rPr>
          <w:rFonts w:ascii="Arial" w:hAnsi="Arial" w:cs="Arial"/>
          <w:sz w:val="18"/>
          <w:szCs w:val="18"/>
          <w:lang w:val="en-US"/>
        </w:rPr>
        <w:t xml:space="preserve"> </w:t>
      </w:r>
      <w:r w:rsidR="00770119" w:rsidRPr="00004264">
        <w:rPr>
          <w:rFonts w:ascii="Arial" w:hAnsi="Arial" w:cs="Arial"/>
          <w:sz w:val="18"/>
          <w:szCs w:val="18"/>
          <w:lang w:val="en-US"/>
        </w:rPr>
        <w:t xml:space="preserve">by </w:t>
      </w:r>
      <w:r w:rsidRPr="00004264">
        <w:rPr>
          <w:rFonts w:ascii="Arial" w:hAnsi="Arial" w:cs="Arial"/>
          <w:sz w:val="18"/>
          <w:szCs w:val="18"/>
          <w:lang w:val="en-US"/>
        </w:rPr>
        <w:t>Monsanto</w:t>
      </w:r>
      <w:r w:rsidR="009A0398" w:rsidRPr="00004264">
        <w:rPr>
          <w:rFonts w:ascii="Arial" w:hAnsi="Arial" w:cs="Arial"/>
          <w:sz w:val="18"/>
          <w:szCs w:val="18"/>
          <w:lang w:val="en-US"/>
        </w:rPr>
        <w:t xml:space="preserve"> (</w:t>
      </w:r>
      <w:r w:rsidR="002503EC">
        <w:rPr>
          <w:rFonts w:ascii="Arial" w:hAnsi="Arial" w:cs="Arial"/>
          <w:sz w:val="18"/>
          <w:szCs w:val="18"/>
          <w:lang w:val="en-US"/>
        </w:rPr>
        <w:t xml:space="preserve">see, for instance: </w:t>
      </w:r>
      <w:hyperlink r:id="rId1" w:history="1">
        <w:r w:rsidR="002503EC" w:rsidRPr="00980AB6">
          <w:rPr>
            <w:rStyle w:val="Hyperlink"/>
            <w:rFonts w:ascii="Arial" w:hAnsi="Arial" w:cs="Arial"/>
            <w:sz w:val="18"/>
            <w:szCs w:val="18"/>
            <w:lang w:val="en-US"/>
          </w:rPr>
          <w:t>https://corporateeurope.org/en/food-and-agriculture/2018/03/what-monsanto-papers-tell-us-about-corporate-science</w:t>
        </w:r>
      </w:hyperlink>
      <w:r w:rsidR="009A0398" w:rsidRPr="00004264">
        <w:rPr>
          <w:rFonts w:ascii="Arial" w:hAnsi="Arial" w:cs="Arial"/>
          <w:sz w:val="18"/>
          <w:szCs w:val="18"/>
          <w:lang w:val="en-US"/>
        </w:rPr>
        <w:t>)</w:t>
      </w:r>
      <w:r w:rsidRPr="00004264">
        <w:rPr>
          <w:rFonts w:ascii="Arial" w:hAnsi="Arial" w:cs="Arial"/>
          <w:sz w:val="18"/>
          <w:szCs w:val="18"/>
          <w:lang w:val="en-US"/>
        </w:rPr>
        <w:t xml:space="preserve">, as well as </w:t>
      </w:r>
      <w:r w:rsidR="009A0398" w:rsidRPr="00004264">
        <w:rPr>
          <w:rFonts w:ascii="Arial" w:hAnsi="Arial" w:cs="Arial"/>
          <w:sz w:val="18"/>
          <w:szCs w:val="18"/>
          <w:lang w:val="en-US"/>
        </w:rPr>
        <w:t xml:space="preserve">ongoing </w:t>
      </w:r>
      <w:r w:rsidRPr="00004264">
        <w:rPr>
          <w:rFonts w:ascii="Arial" w:hAnsi="Arial" w:cs="Arial"/>
          <w:sz w:val="18"/>
          <w:szCs w:val="18"/>
          <w:lang w:val="en-US"/>
        </w:rPr>
        <w:t>research on gene drives</w:t>
      </w:r>
      <w:r w:rsidR="009A0398" w:rsidRPr="00004264">
        <w:rPr>
          <w:rFonts w:ascii="Arial" w:hAnsi="Arial" w:cs="Arial"/>
          <w:sz w:val="18"/>
          <w:szCs w:val="18"/>
          <w:lang w:val="en-US"/>
        </w:rPr>
        <w:t xml:space="preserve"> (</w:t>
      </w:r>
      <w:r w:rsidRPr="00004264">
        <w:rPr>
          <w:rFonts w:ascii="Arial" w:hAnsi="Arial" w:cs="Arial"/>
          <w:sz w:val="18"/>
          <w:szCs w:val="18"/>
          <w:lang w:val="en-US"/>
        </w:rPr>
        <w:t>see: FIAN. 2018. A Human Rights Analysis of Gene Drives</w:t>
      </w:r>
      <w:r w:rsidR="009A0398" w:rsidRPr="00004264">
        <w:rPr>
          <w:rFonts w:ascii="Arial" w:hAnsi="Arial" w:cs="Arial"/>
          <w:sz w:val="18"/>
          <w:szCs w:val="18"/>
          <w:lang w:val="en-US"/>
        </w:rPr>
        <w:t xml:space="preserve">, available at: </w:t>
      </w:r>
      <w:hyperlink r:id="rId2" w:history="1">
        <w:r w:rsidR="009A0398" w:rsidRPr="00004264">
          <w:rPr>
            <w:rStyle w:val="Hyperlink"/>
            <w:rFonts w:ascii="Arial" w:hAnsi="Arial" w:cs="Arial"/>
            <w:sz w:val="18"/>
            <w:szCs w:val="18"/>
            <w:lang w:val="en-US"/>
          </w:rPr>
          <w:t>https://www.fian.org/fileadmin/media/publications_2018/Letters_and_statements/A_human_rights_analysis_of_gene_drives_final_EN_updated.pdf</w:t>
        </w:r>
      </w:hyperlink>
      <w:r w:rsidR="009A0398" w:rsidRPr="00004264">
        <w:rPr>
          <w:rFonts w:ascii="Arial" w:hAnsi="Arial" w:cs="Arial"/>
          <w:sz w:val="18"/>
          <w:szCs w:val="18"/>
          <w:lang w:val="en-US"/>
        </w:rPr>
        <w:t>)</w:t>
      </w:r>
      <w:r w:rsidRPr="00004264">
        <w:rPr>
          <w:rFonts w:ascii="Arial" w:hAnsi="Arial" w:cs="Arial"/>
          <w:sz w:val="18"/>
          <w:szCs w:val="18"/>
          <w:lang w:val="en-US"/>
        </w:rPr>
        <w:t xml:space="preserve">. </w:t>
      </w:r>
    </w:p>
  </w:footnote>
  <w:footnote w:id="4">
    <w:p w:rsidR="00004264" w:rsidRPr="00004264" w:rsidRDefault="00004264" w:rsidP="00701758">
      <w:pPr>
        <w:pStyle w:val="Funotentext"/>
        <w:rPr>
          <w:rFonts w:ascii="Arial" w:hAnsi="Arial" w:cs="Arial"/>
          <w:sz w:val="18"/>
          <w:szCs w:val="18"/>
          <w:lang w:val="en-US"/>
        </w:rPr>
      </w:pPr>
      <w:r w:rsidRPr="00004264">
        <w:rPr>
          <w:rStyle w:val="Funotenzeichen"/>
          <w:rFonts w:ascii="Arial" w:hAnsi="Arial" w:cs="Arial"/>
          <w:sz w:val="18"/>
          <w:szCs w:val="18"/>
        </w:rPr>
        <w:footnoteRef/>
      </w:r>
      <w:r w:rsidRPr="00004264">
        <w:rPr>
          <w:rFonts w:ascii="Arial" w:hAnsi="Arial" w:cs="Arial"/>
          <w:sz w:val="18"/>
          <w:szCs w:val="18"/>
          <w:lang w:val="en-US"/>
        </w:rPr>
        <w:t xml:space="preserve"> Convention on Biological Diversity, art. 8(g).</w:t>
      </w:r>
    </w:p>
  </w:footnote>
  <w:footnote w:id="5">
    <w:p w:rsidR="00004264" w:rsidRPr="00004264" w:rsidRDefault="00004264" w:rsidP="00701758">
      <w:pPr>
        <w:pStyle w:val="Funotentext"/>
        <w:rPr>
          <w:rFonts w:ascii="Arial" w:hAnsi="Arial" w:cs="Arial"/>
          <w:sz w:val="18"/>
          <w:szCs w:val="18"/>
          <w:lang w:val="en-US"/>
        </w:rPr>
      </w:pPr>
      <w:r w:rsidRPr="00004264">
        <w:rPr>
          <w:rStyle w:val="Funotenzeichen"/>
          <w:rFonts w:ascii="Arial" w:hAnsi="Arial" w:cs="Arial"/>
          <w:sz w:val="18"/>
          <w:szCs w:val="18"/>
        </w:rPr>
        <w:footnoteRef/>
      </w:r>
      <w:r w:rsidRPr="00004264">
        <w:rPr>
          <w:rFonts w:ascii="Arial" w:hAnsi="Arial" w:cs="Arial"/>
          <w:sz w:val="18"/>
          <w:szCs w:val="18"/>
          <w:lang w:val="en-US"/>
        </w:rPr>
        <w:t xml:space="preserve"> Cartagena Protocol, art. 1</w:t>
      </w:r>
    </w:p>
  </w:footnote>
  <w:footnote w:id="6">
    <w:p w:rsidR="00004264" w:rsidRPr="00004264" w:rsidRDefault="00004264" w:rsidP="00701758">
      <w:pPr>
        <w:pStyle w:val="Funotentext"/>
        <w:rPr>
          <w:rFonts w:ascii="Arial" w:hAnsi="Arial" w:cs="Arial"/>
          <w:sz w:val="18"/>
          <w:szCs w:val="18"/>
          <w:lang w:val="en-US"/>
        </w:rPr>
      </w:pPr>
      <w:r w:rsidRPr="00004264">
        <w:rPr>
          <w:rStyle w:val="Funotenzeichen"/>
          <w:rFonts w:ascii="Arial" w:hAnsi="Arial" w:cs="Arial"/>
          <w:sz w:val="18"/>
          <w:szCs w:val="18"/>
        </w:rPr>
        <w:footnoteRef/>
      </w:r>
      <w:r w:rsidRPr="00004264">
        <w:rPr>
          <w:rFonts w:ascii="Arial" w:hAnsi="Arial" w:cs="Arial"/>
          <w:sz w:val="18"/>
          <w:szCs w:val="18"/>
          <w:lang w:val="en-US"/>
        </w:rPr>
        <w:t xml:space="preserve"> In an important judgement, the Court of Justice of the European Union declared, in September 2018, that gene-edited organisms including those modified using CRISPR techniques are subjected to the same regulation as other GMOs. See Court of Justice of the European Union press release, No. 111/18, Luxembourg, 25 July 2018</w:t>
      </w:r>
      <w:r w:rsidRPr="00004264">
        <w:rPr>
          <w:rFonts w:ascii="Arial" w:hAnsi="Arial" w:cs="Arial"/>
          <w:sz w:val="18"/>
          <w:szCs w:val="18"/>
          <w:lang w:val="en-US"/>
        </w:rPr>
        <w:t>, available at:</w:t>
      </w:r>
      <w:r w:rsidRPr="00004264">
        <w:rPr>
          <w:rFonts w:ascii="Arial" w:hAnsi="Arial" w:cs="Arial"/>
          <w:sz w:val="18"/>
          <w:szCs w:val="18"/>
          <w:lang w:val="en-US"/>
        </w:rPr>
        <w:t xml:space="preserve"> </w:t>
      </w:r>
      <w:hyperlink r:id="rId3" w:history="1">
        <w:r w:rsidRPr="00004264">
          <w:rPr>
            <w:rStyle w:val="Hyperlink"/>
            <w:rFonts w:ascii="Arial" w:hAnsi="Arial" w:cs="Arial"/>
            <w:sz w:val="18"/>
            <w:szCs w:val="18"/>
            <w:lang w:val="en-US"/>
          </w:rPr>
          <w:t>https://curia.europa.eu/jcms/upload/docs/application/pdf/2018-07/cp180111en.pdf</w:t>
        </w:r>
      </w:hyperlink>
      <w:r w:rsidRPr="00004264">
        <w:rPr>
          <w:rStyle w:val="Hyperlink"/>
          <w:rFonts w:ascii="Arial" w:hAnsi="Arial" w:cs="Arial"/>
          <w:color w:val="538135" w:themeColor="accent6" w:themeShade="BF"/>
          <w:sz w:val="18"/>
          <w:szCs w:val="18"/>
          <w:lang w:val="en-US"/>
        </w:rPr>
        <w:t xml:space="preserve"> </w:t>
      </w:r>
      <w:r w:rsidRPr="00004264">
        <w:rPr>
          <w:rFonts w:ascii="Arial" w:hAnsi="Arial" w:cs="Arial"/>
          <w:sz w:val="18"/>
          <w:szCs w:val="18"/>
          <w:lang w:val="en-US"/>
        </w:rPr>
        <w:t xml:space="preserve">. </w:t>
      </w:r>
    </w:p>
  </w:footnote>
  <w:footnote w:id="7">
    <w:p w:rsidR="003D55BC" w:rsidRPr="00004264" w:rsidRDefault="003D55BC">
      <w:pPr>
        <w:pStyle w:val="Funotentext"/>
        <w:rPr>
          <w:rFonts w:ascii="Arial" w:hAnsi="Arial" w:cs="Arial"/>
          <w:sz w:val="18"/>
          <w:szCs w:val="18"/>
          <w:lang w:val="en-US"/>
        </w:rPr>
      </w:pPr>
      <w:r w:rsidRPr="00004264">
        <w:rPr>
          <w:rStyle w:val="Funotenzeichen"/>
          <w:rFonts w:ascii="Arial" w:hAnsi="Arial" w:cs="Arial"/>
          <w:sz w:val="18"/>
          <w:szCs w:val="18"/>
        </w:rPr>
        <w:footnoteRef/>
      </w:r>
      <w:r w:rsidRPr="00004264">
        <w:rPr>
          <w:rFonts w:ascii="Arial" w:hAnsi="Arial" w:cs="Arial"/>
          <w:sz w:val="18"/>
          <w:szCs w:val="18"/>
          <w:lang w:val="en-US"/>
        </w:rPr>
        <w:t xml:space="preserve"> See a call by </w:t>
      </w:r>
      <w:r w:rsidRPr="00004264">
        <w:rPr>
          <w:rFonts w:ascii="Arial" w:hAnsi="Arial" w:cs="Arial"/>
          <w:sz w:val="18"/>
          <w:szCs w:val="18"/>
          <w:lang w:val="en-US"/>
        </w:rPr>
        <w:t>a broad alliance of civil society organizations (CSOs) for a global moratorium on gene drives</w:t>
      </w:r>
      <w:r w:rsidRPr="00004264">
        <w:rPr>
          <w:rFonts w:ascii="Arial" w:hAnsi="Arial" w:cs="Arial"/>
          <w:sz w:val="18"/>
          <w:szCs w:val="18"/>
          <w:lang w:val="en-US"/>
        </w:rPr>
        <w:t xml:space="preserve">, available at: </w:t>
      </w:r>
      <w:hyperlink r:id="rId4" w:history="1">
        <w:r w:rsidRPr="00004264">
          <w:rPr>
            <w:rStyle w:val="Hyperlink"/>
            <w:rFonts w:ascii="Arial" w:hAnsi="Arial" w:cs="Arial"/>
            <w:sz w:val="18"/>
            <w:szCs w:val="18"/>
            <w:lang w:val="en-US"/>
          </w:rPr>
          <w:t>http://www.etcgroup.org/sites/www.etcgroup.org/files/files/call_to_protect_food_systems_oct_17th.pdf</w:t>
        </w:r>
      </w:hyperlink>
      <w:r w:rsidRPr="00004264">
        <w:rPr>
          <w:rFonts w:ascii="Arial" w:hAnsi="Arial" w:cs="Arial"/>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65B"/>
    <w:multiLevelType w:val="hybridMultilevel"/>
    <w:tmpl w:val="1966E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BB47E1"/>
    <w:multiLevelType w:val="hybridMultilevel"/>
    <w:tmpl w:val="852EC7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EE43E1"/>
    <w:multiLevelType w:val="hybridMultilevel"/>
    <w:tmpl w:val="852EC7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554B05"/>
    <w:multiLevelType w:val="hybridMultilevel"/>
    <w:tmpl w:val="733C5E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31C6874"/>
    <w:multiLevelType w:val="hybridMultilevel"/>
    <w:tmpl w:val="F6408D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8D08AD"/>
    <w:multiLevelType w:val="hybridMultilevel"/>
    <w:tmpl w:val="1966E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lvlOverride w:ilvl="0"/>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67"/>
    <w:rsid w:val="00004264"/>
    <w:rsid w:val="00111B93"/>
    <w:rsid w:val="00226767"/>
    <w:rsid w:val="0024701A"/>
    <w:rsid w:val="002503EC"/>
    <w:rsid w:val="002F0084"/>
    <w:rsid w:val="003D55BC"/>
    <w:rsid w:val="004229DB"/>
    <w:rsid w:val="00426098"/>
    <w:rsid w:val="004D5872"/>
    <w:rsid w:val="00537F9F"/>
    <w:rsid w:val="00570BC5"/>
    <w:rsid w:val="005F7CB7"/>
    <w:rsid w:val="00701758"/>
    <w:rsid w:val="00730552"/>
    <w:rsid w:val="00770119"/>
    <w:rsid w:val="008368DD"/>
    <w:rsid w:val="009109C6"/>
    <w:rsid w:val="009A0398"/>
    <w:rsid w:val="009D194F"/>
    <w:rsid w:val="009F5460"/>
    <w:rsid w:val="00C03988"/>
    <w:rsid w:val="00C061F0"/>
    <w:rsid w:val="00C16808"/>
    <w:rsid w:val="00C62030"/>
    <w:rsid w:val="00D01183"/>
    <w:rsid w:val="00E145F3"/>
    <w:rsid w:val="00E84C4F"/>
    <w:rsid w:val="00F61EAC"/>
    <w:rsid w:val="00F71F4B"/>
    <w:rsid w:val="00F90FEE"/>
    <w:rsid w:val="00FB0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F48A5-ED33-442F-8847-2547B04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6767"/>
    <w:pPr>
      <w:spacing w:after="0" w:line="240"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6767"/>
    <w:rPr>
      <w:color w:val="0563C1" w:themeColor="hyperlink"/>
      <w:u w:val="single"/>
    </w:rPr>
  </w:style>
  <w:style w:type="paragraph" w:styleId="Listenabsatz">
    <w:name w:val="List Paragraph"/>
    <w:basedOn w:val="Standard"/>
    <w:uiPriority w:val="34"/>
    <w:qFormat/>
    <w:rsid w:val="00E84C4F"/>
    <w:pPr>
      <w:ind w:left="720"/>
      <w:contextualSpacing/>
    </w:pPr>
  </w:style>
  <w:style w:type="paragraph" w:styleId="Endnotentext">
    <w:name w:val="endnote text"/>
    <w:basedOn w:val="Standard"/>
    <w:link w:val="EndnotentextZchn"/>
    <w:uiPriority w:val="99"/>
    <w:semiHidden/>
    <w:unhideWhenUsed/>
    <w:rsid w:val="00E84C4F"/>
    <w:rPr>
      <w:sz w:val="20"/>
      <w:szCs w:val="20"/>
    </w:rPr>
  </w:style>
  <w:style w:type="character" w:customStyle="1" w:styleId="EndnotentextZchn">
    <w:name w:val="Endnotentext Zchn"/>
    <w:basedOn w:val="Absatz-Standardschriftart"/>
    <w:link w:val="Endnotentext"/>
    <w:uiPriority w:val="99"/>
    <w:semiHidden/>
    <w:rsid w:val="00E84C4F"/>
    <w:rPr>
      <w:sz w:val="20"/>
      <w:szCs w:val="20"/>
    </w:rPr>
  </w:style>
  <w:style w:type="character" w:styleId="Endnotenzeichen">
    <w:name w:val="endnote reference"/>
    <w:basedOn w:val="Absatz-Standardschriftart"/>
    <w:uiPriority w:val="99"/>
    <w:semiHidden/>
    <w:unhideWhenUsed/>
    <w:rsid w:val="00E84C4F"/>
    <w:rPr>
      <w:vertAlign w:val="superscript"/>
    </w:rPr>
  </w:style>
  <w:style w:type="paragraph" w:styleId="Funotentext">
    <w:name w:val="footnote text"/>
    <w:basedOn w:val="Standard"/>
    <w:link w:val="FunotentextZchn"/>
    <w:uiPriority w:val="99"/>
    <w:semiHidden/>
    <w:unhideWhenUsed/>
    <w:rsid w:val="008368DD"/>
    <w:rPr>
      <w:sz w:val="20"/>
      <w:szCs w:val="20"/>
    </w:rPr>
  </w:style>
  <w:style w:type="character" w:customStyle="1" w:styleId="FunotentextZchn">
    <w:name w:val="Fußnotentext Zchn"/>
    <w:basedOn w:val="Absatz-Standardschriftart"/>
    <w:link w:val="Funotentext"/>
    <w:uiPriority w:val="99"/>
    <w:semiHidden/>
    <w:rsid w:val="008368DD"/>
    <w:rPr>
      <w:sz w:val="20"/>
      <w:szCs w:val="20"/>
    </w:rPr>
  </w:style>
  <w:style w:type="character" w:styleId="Funotenzeichen">
    <w:name w:val="footnote reference"/>
    <w:basedOn w:val="Absatz-Standardschriftart"/>
    <w:uiPriority w:val="99"/>
    <w:semiHidden/>
    <w:unhideWhenUsed/>
    <w:rsid w:val="008368DD"/>
    <w:rPr>
      <w:vertAlign w:val="superscript"/>
    </w:rPr>
  </w:style>
  <w:style w:type="paragraph" w:styleId="Kopfzeile">
    <w:name w:val="header"/>
    <w:basedOn w:val="Standard"/>
    <w:link w:val="KopfzeileZchn"/>
    <w:uiPriority w:val="99"/>
    <w:unhideWhenUsed/>
    <w:rsid w:val="00426098"/>
    <w:pPr>
      <w:tabs>
        <w:tab w:val="center" w:pos="4536"/>
        <w:tab w:val="right" w:pos="9072"/>
      </w:tabs>
    </w:pPr>
  </w:style>
  <w:style w:type="character" w:customStyle="1" w:styleId="KopfzeileZchn">
    <w:name w:val="Kopfzeile Zchn"/>
    <w:basedOn w:val="Absatz-Standardschriftart"/>
    <w:link w:val="Kopfzeile"/>
    <w:uiPriority w:val="99"/>
    <w:rsid w:val="00426098"/>
  </w:style>
  <w:style w:type="paragraph" w:styleId="Fuzeile">
    <w:name w:val="footer"/>
    <w:basedOn w:val="Standard"/>
    <w:link w:val="FuzeileZchn"/>
    <w:uiPriority w:val="99"/>
    <w:unhideWhenUsed/>
    <w:rsid w:val="00426098"/>
    <w:pPr>
      <w:tabs>
        <w:tab w:val="center" w:pos="4536"/>
        <w:tab w:val="right" w:pos="9072"/>
      </w:tabs>
    </w:pPr>
  </w:style>
  <w:style w:type="character" w:customStyle="1" w:styleId="FuzeileZchn">
    <w:name w:val="Fußzeile Zchn"/>
    <w:basedOn w:val="Absatz-Standardschriftart"/>
    <w:link w:val="Fuzeile"/>
    <w:uiPriority w:val="99"/>
    <w:rsid w:val="00426098"/>
  </w:style>
  <w:style w:type="paragraph" w:styleId="Sprechblasentext">
    <w:name w:val="Balloon Text"/>
    <w:basedOn w:val="Standard"/>
    <w:link w:val="SprechblasentextZchn"/>
    <w:uiPriority w:val="99"/>
    <w:semiHidden/>
    <w:unhideWhenUsed/>
    <w:rsid w:val="002503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0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7253">
      <w:bodyDiv w:val="1"/>
      <w:marLeft w:val="0"/>
      <w:marRight w:val="0"/>
      <w:marTop w:val="0"/>
      <w:marBottom w:val="0"/>
      <w:divBdr>
        <w:top w:val="none" w:sz="0" w:space="0" w:color="auto"/>
        <w:left w:val="none" w:sz="0" w:space="0" w:color="auto"/>
        <w:bottom w:val="none" w:sz="0" w:space="0" w:color="auto"/>
        <w:right w:val="none" w:sz="0" w:space="0" w:color="auto"/>
      </w:divBdr>
    </w:div>
    <w:div w:id="1127814794">
      <w:bodyDiv w:val="1"/>
      <w:marLeft w:val="0"/>
      <w:marRight w:val="0"/>
      <w:marTop w:val="0"/>
      <w:marBottom w:val="0"/>
      <w:divBdr>
        <w:top w:val="none" w:sz="0" w:space="0" w:color="auto"/>
        <w:left w:val="none" w:sz="0" w:space="0" w:color="auto"/>
        <w:bottom w:val="none" w:sz="0" w:space="0" w:color="auto"/>
        <w:right w:val="none" w:sz="0" w:space="0" w:color="auto"/>
      </w:divBdr>
    </w:div>
    <w:div w:id="1445618287">
      <w:bodyDiv w:val="1"/>
      <w:marLeft w:val="0"/>
      <w:marRight w:val="0"/>
      <w:marTop w:val="0"/>
      <w:marBottom w:val="0"/>
      <w:divBdr>
        <w:top w:val="none" w:sz="0" w:space="0" w:color="auto"/>
        <w:left w:val="none" w:sz="0" w:space="0" w:color="auto"/>
        <w:bottom w:val="none" w:sz="0" w:space="0" w:color="auto"/>
        <w:right w:val="none" w:sz="0" w:space="0" w:color="auto"/>
      </w:divBdr>
    </w:div>
    <w:div w:id="1578323893">
      <w:bodyDiv w:val="1"/>
      <w:marLeft w:val="0"/>
      <w:marRight w:val="0"/>
      <w:marTop w:val="0"/>
      <w:marBottom w:val="0"/>
      <w:divBdr>
        <w:top w:val="none" w:sz="0" w:space="0" w:color="auto"/>
        <w:left w:val="none" w:sz="0" w:space="0" w:color="auto"/>
        <w:bottom w:val="none" w:sz="0" w:space="0" w:color="auto"/>
        <w:right w:val="none" w:sz="0" w:space="0" w:color="auto"/>
      </w:divBdr>
    </w:div>
    <w:div w:id="20085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fian.org" TargetMode="External"/><Relationship Id="rId4" Type="http://schemas.openxmlformats.org/officeDocument/2006/relationships/settings" Target="settings.xml"/><Relationship Id="rId9" Type="http://schemas.openxmlformats.org/officeDocument/2006/relationships/hyperlink" Target="mailto:seufert@fian.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curia.europa.eu/jcms/upload/docs/application/pdf/2018-07/cp180111en.pdf" TargetMode="External"/><Relationship Id="rId2" Type="http://schemas.openxmlformats.org/officeDocument/2006/relationships/hyperlink" Target="https://www.fian.org/fileadmin/media/publications_2018/Letters_and_statements/A_human_rights_analysis_of_gene_drives_final_EN_updated.pdf" TargetMode="External"/><Relationship Id="rId1" Type="http://schemas.openxmlformats.org/officeDocument/2006/relationships/hyperlink" Target="https://corporateeurope.org/en/food-and-agriculture/2018/03/what-monsanto-papers-tell-us-about-corporate-science" TargetMode="External"/><Relationship Id="rId4" Type="http://schemas.openxmlformats.org/officeDocument/2006/relationships/hyperlink" Target="http://www.etcgroup.org/sites/www.etcgroup.org/files/files/call_to_protect_food_systems_oct_17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AF9089-4A3E-4BE0-ABC2-2E81A68DF184}">
  <ds:schemaRefs>
    <ds:schemaRef ds:uri="http://schemas.openxmlformats.org/officeDocument/2006/bibliography"/>
  </ds:schemaRefs>
</ds:datastoreItem>
</file>

<file path=customXml/itemProps2.xml><?xml version="1.0" encoding="utf-8"?>
<ds:datastoreItem xmlns:ds="http://schemas.openxmlformats.org/officeDocument/2006/customXml" ds:itemID="{0D8B67CA-44CA-48E9-B167-414FBF844971}"/>
</file>

<file path=customXml/itemProps3.xml><?xml version="1.0" encoding="utf-8"?>
<ds:datastoreItem xmlns:ds="http://schemas.openxmlformats.org/officeDocument/2006/customXml" ds:itemID="{6ED489BB-5EA8-4AD6-B36E-3A4E34419EA2}"/>
</file>

<file path=customXml/itemProps4.xml><?xml version="1.0" encoding="utf-8"?>
<ds:datastoreItem xmlns:ds="http://schemas.openxmlformats.org/officeDocument/2006/customXml" ds:itemID="{9372FBF6-B5BD-47BD-9E0E-DAAF018D81DC}"/>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9433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Seufert</dc:creator>
  <cp:keywords/>
  <dc:description/>
  <cp:lastModifiedBy>Philip Seufert</cp:lastModifiedBy>
  <cp:revision>3</cp:revision>
  <dcterms:created xsi:type="dcterms:W3CDTF">2020-02-14T23:29:00Z</dcterms:created>
  <dcterms:modified xsi:type="dcterms:W3CDTF">2020-02-14T23:31:00Z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