
<file path=[Content_Types].xml><?xml version="1.0" encoding="utf-8"?>
<Types xmlns="http://schemas.openxmlformats.org/package/2006/content-types">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highlight w:val="white"/>
          <w:rtl w:val="0"/>
        </w:rPr>
        <w:t xml:space="preserve">Comments of Knowledge Ecology International (KEI) on the </w:t>
      </w:r>
      <w:r w:rsidDel="00000000" w:rsidR="00000000" w:rsidRPr="00000000">
        <w:rPr>
          <w:b w:val="1"/>
          <w:rtl w:val="0"/>
        </w:rPr>
        <w:t xml:space="preserve">Draft General Comment: Science and economic, social and cultural rights Art. 15: 15.1b, 15.2, 15.3 and 15.4 | 2 January 2020 draft.</w:t>
      </w:r>
    </w:p>
    <w:p w:rsidR="00000000" w:rsidDel="00000000" w:rsidP="00000000" w:rsidRDefault="00000000" w:rsidRPr="00000000" w14:paraId="00000002">
      <w:pPr>
        <w:rPr>
          <w:b w:val="1"/>
          <w:highlight w:val="white"/>
        </w:rPr>
      </w:pPr>
      <w:r w:rsidDel="00000000" w:rsidR="00000000" w:rsidRPr="00000000">
        <w:rPr>
          <w:rtl w:val="0"/>
        </w:rPr>
      </w:r>
    </w:p>
    <w:p w:rsidR="00000000" w:rsidDel="00000000" w:rsidP="00000000" w:rsidRDefault="00000000" w:rsidRPr="00000000" w14:paraId="00000003">
      <w:pPr>
        <w:rPr>
          <w:b w:val="1"/>
          <w:highlight w:val="white"/>
        </w:rPr>
      </w:pPr>
      <w:r w:rsidDel="00000000" w:rsidR="00000000" w:rsidRPr="00000000">
        <w:rPr>
          <w:b w:val="1"/>
          <w:highlight w:val="white"/>
          <w:rtl w:val="0"/>
        </w:rPr>
        <w:t xml:space="preserve">From: James Love, KEI</w:t>
      </w:r>
    </w:p>
    <w:p w:rsidR="00000000" w:rsidDel="00000000" w:rsidP="00000000" w:rsidRDefault="00000000" w:rsidRPr="00000000" w14:paraId="00000004">
      <w:pPr>
        <w:rPr>
          <w:b w:val="1"/>
          <w:highlight w:val="white"/>
        </w:rPr>
      </w:pPr>
      <w:r w:rsidDel="00000000" w:rsidR="00000000" w:rsidRPr="00000000">
        <w:rPr>
          <w:b w:val="1"/>
          <w:highlight w:val="white"/>
          <w:rtl w:val="0"/>
        </w:rPr>
        <w:t xml:space="preserve">To: </w:t>
      </w:r>
      <w:r w:rsidDel="00000000" w:rsidR="00000000" w:rsidRPr="00000000">
        <w:rPr>
          <w:b w:val="1"/>
          <w:rtl w:val="0"/>
        </w:rPr>
        <w:t xml:space="preserve">Committee on Economic Social and Cultural Rights, </w:t>
      </w:r>
      <w:r w:rsidDel="00000000" w:rsidR="00000000" w:rsidRPr="00000000">
        <w:rPr>
          <w:b w:val="1"/>
          <w:highlight w:val="white"/>
          <w:rtl w:val="0"/>
        </w:rPr>
        <w:t xml:space="preserve">cescr@ohchr.org.</w:t>
      </w:r>
    </w:p>
    <w:p w:rsidR="00000000" w:rsidDel="00000000" w:rsidP="00000000" w:rsidRDefault="00000000" w:rsidRPr="00000000" w14:paraId="00000005">
      <w:pPr>
        <w:rPr>
          <w:b w:val="1"/>
          <w:highlight w:val="white"/>
        </w:rPr>
      </w:pPr>
      <w:r w:rsidDel="00000000" w:rsidR="00000000" w:rsidRPr="00000000">
        <w:rPr>
          <w:b w:val="1"/>
          <w:highlight w:val="white"/>
          <w:rtl w:val="0"/>
        </w:rPr>
        <w:t xml:space="preserve">Date: February 14, 2020</w:t>
      </w:r>
    </w:p>
    <w:p w:rsidR="00000000" w:rsidDel="00000000" w:rsidP="00000000" w:rsidRDefault="00000000" w:rsidRPr="00000000" w14:paraId="00000006">
      <w:pPr>
        <w:rPr>
          <w:b w:val="1"/>
          <w:highlight w:val="white"/>
        </w:rPr>
      </w:pPr>
      <w:r w:rsidDel="00000000" w:rsidR="00000000" w:rsidRPr="00000000">
        <w:rPr>
          <w:rtl w:val="0"/>
        </w:rPr>
      </w:r>
    </w:p>
    <w:p w:rsidR="00000000" w:rsidDel="00000000" w:rsidP="00000000" w:rsidRDefault="00000000" w:rsidRPr="00000000" w14:paraId="00000007">
      <w:pPr>
        <w:rPr>
          <w:b w:val="1"/>
          <w:highlight w:val="white"/>
        </w:rPr>
      </w:pPr>
      <w:r w:rsidDel="00000000" w:rsidR="00000000" w:rsidRPr="00000000">
        <w:rPr>
          <w:b w:val="1"/>
          <w:highlight w:val="white"/>
          <w:rtl w:val="0"/>
        </w:rPr>
        <w:t xml:space="preserve">Paragraph 10. </w:t>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rPr>
          <w:highlight w:val="white"/>
        </w:rPr>
      </w:pPr>
      <w:r w:rsidDel="00000000" w:rsidR="00000000" w:rsidRPr="00000000">
        <w:rPr>
          <w:highlight w:val="white"/>
          <w:rtl w:val="0"/>
        </w:rPr>
        <w:t xml:space="preserve">Currently reads:</w:t>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ind w:left="720" w:firstLine="0"/>
        <w:rPr/>
      </w:pPr>
      <w:r w:rsidDel="00000000" w:rsidR="00000000" w:rsidRPr="00000000">
        <w:rPr>
          <w:rtl w:val="0"/>
        </w:rPr>
        <w:t xml:space="preserve">The term “benefits” refers first to the material results of scientific research, such as medicines, vaccination, fertilizers, technological instruments and so on.</w:t>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highlight w:val="white"/>
        </w:rPr>
      </w:pPr>
      <w:r w:rsidDel="00000000" w:rsidR="00000000" w:rsidRPr="00000000">
        <w:rPr>
          <w:highlight w:val="white"/>
          <w:rtl w:val="0"/>
        </w:rPr>
        <w:t xml:space="preserve">The 2019 debate at the World Health Organization on transparency included discussions of how to define health technologies.  Among the issues were the status of new cell and gene therapies, which can be described as procedures or services rather than drugs or products.   </w:t>
      </w:r>
    </w:p>
    <w:p w:rsidR="00000000" w:rsidDel="00000000" w:rsidP="00000000" w:rsidRDefault="00000000" w:rsidRPr="00000000" w14:paraId="0000000E">
      <w:pPr>
        <w:rPr>
          <w:highlight w:val="white"/>
        </w:rPr>
      </w:pP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highlight w:val="white"/>
          <w:rtl w:val="0"/>
        </w:rPr>
        <w:t xml:space="preserve">WHA72.8, was titled: “Improving the transparency of markets for medicines, vaccines, and other health products.” Footnote 1 of that resolution stated: “For the purposes of this resolution, health products include medicines, vaccines, medical devices, diagnostics, assistive products, cell- and gene-based therapies, and other health technologies.”</w:t>
      </w:r>
    </w:p>
    <w:p w:rsidR="00000000" w:rsidDel="00000000" w:rsidP="00000000" w:rsidRDefault="00000000" w:rsidRPr="00000000" w14:paraId="00000010">
      <w:pPr>
        <w:rPr>
          <w:highlight w:val="white"/>
        </w:rPr>
      </w:pPr>
      <w:r w:rsidDel="00000000" w:rsidR="00000000" w:rsidRPr="00000000">
        <w:rPr>
          <w:rtl w:val="0"/>
        </w:rPr>
      </w:r>
    </w:p>
    <w:p w:rsidR="00000000" w:rsidDel="00000000" w:rsidP="00000000" w:rsidRDefault="00000000" w:rsidRPr="00000000" w14:paraId="00000011">
      <w:pPr>
        <w:rPr>
          <w:highlight w:val="white"/>
        </w:rPr>
      </w:pPr>
      <w:r w:rsidDel="00000000" w:rsidR="00000000" w:rsidRPr="00000000">
        <w:rPr>
          <w:highlight w:val="white"/>
          <w:rtl w:val="0"/>
        </w:rPr>
        <w:t xml:space="preserve">It should be clear that “medical devices, diagnostics, assistive products, cell- and gene-based therapies, and other health technologies” are included, particularly since cell and gene therapies are now much less equal in terms of access than are drugs or vaccines.  </w:t>
      </w:r>
    </w:p>
    <w:p w:rsidR="00000000" w:rsidDel="00000000" w:rsidP="00000000" w:rsidRDefault="00000000" w:rsidRPr="00000000" w14:paraId="00000012">
      <w:pPr>
        <w:rPr>
          <w:highlight w:val="white"/>
        </w:rPr>
      </w:pPr>
      <w:r w:rsidDel="00000000" w:rsidR="00000000" w:rsidRPr="00000000">
        <w:rPr>
          <w:rtl w:val="0"/>
        </w:rPr>
      </w:r>
    </w:p>
    <w:p w:rsidR="00000000" w:rsidDel="00000000" w:rsidP="00000000" w:rsidRDefault="00000000" w:rsidRPr="00000000" w14:paraId="00000013">
      <w:pPr>
        <w:rPr>
          <w:highlight w:val="white"/>
        </w:rPr>
      </w:pPr>
      <w:r w:rsidDel="00000000" w:rsidR="00000000" w:rsidRPr="00000000">
        <w:rPr>
          <w:highlight w:val="white"/>
          <w:rtl w:val="0"/>
        </w:rPr>
        <w:t xml:space="preserve">Another category of benefits, that might be worth mentioning, are those related to safety in automobiles, since new, life-saving innovations such as blind side protection, automatic stopping, etc, are often now an expensive add-on, unlike, for example, mandatory seatbelts or airbags.</w:t>
      </w:r>
    </w:p>
    <w:p w:rsidR="00000000" w:rsidDel="00000000" w:rsidP="00000000" w:rsidRDefault="00000000" w:rsidRPr="00000000" w14:paraId="00000014">
      <w:pPr>
        <w:rPr>
          <w:highlight w:val="white"/>
        </w:rPr>
      </w:pPr>
      <w:r w:rsidDel="00000000" w:rsidR="00000000" w:rsidRPr="00000000">
        <w:rPr>
          <w:rtl w:val="0"/>
        </w:rPr>
      </w:r>
    </w:p>
    <w:p w:rsidR="00000000" w:rsidDel="00000000" w:rsidP="00000000" w:rsidRDefault="00000000" w:rsidRPr="00000000" w14:paraId="00000015">
      <w:pPr>
        <w:rPr>
          <w:i w:val="1"/>
          <w:highlight w:val="white"/>
        </w:rPr>
      </w:pPr>
      <w:r w:rsidDel="00000000" w:rsidR="00000000" w:rsidRPr="00000000">
        <w:rPr>
          <w:rtl w:val="0"/>
        </w:rPr>
      </w:r>
    </w:p>
    <w:p w:rsidR="00000000" w:rsidDel="00000000" w:rsidP="00000000" w:rsidRDefault="00000000" w:rsidRPr="00000000" w14:paraId="00000016">
      <w:pPr>
        <w:shd w:fill="ffffff" w:val="clear"/>
        <w:spacing w:after="160" w:line="384.00000000000006" w:lineRule="auto"/>
        <w:rPr>
          <w:b w:val="1"/>
          <w:i w:val="1"/>
          <w:highlight w:val="white"/>
        </w:rPr>
      </w:pPr>
      <w:r w:rsidDel="00000000" w:rsidR="00000000" w:rsidRPr="00000000">
        <w:rPr>
          <w:b w:val="1"/>
          <w:i w:val="1"/>
          <w:highlight w:val="white"/>
          <w:rtl w:val="0"/>
        </w:rPr>
        <w:t xml:space="preserve">Paragraph 17.</w:t>
      </w:r>
    </w:p>
    <w:p w:rsidR="00000000" w:rsidDel="00000000" w:rsidP="00000000" w:rsidRDefault="00000000" w:rsidRPr="00000000" w14:paraId="00000017">
      <w:pPr>
        <w:rPr/>
      </w:pPr>
      <w:r w:rsidDel="00000000" w:rsidR="00000000" w:rsidRPr="00000000">
        <w:rPr>
          <w:rtl w:val="0"/>
        </w:rPr>
        <w:t xml:space="preserve">As regards the “material interests resulting from any scientific, literary or artistic production of which he or she is the author,” it is useful and important to distinguish between “material interests” and “intellectual property.”  Many inventions and many copyrighted works are produced under work for hire contracts that eliminate future rights in data for the relevant inventor, author or performer.  Simply having a patent or copyright regime does not solve this problem.  Also, there are many people who work collaboratively and inventions or works that are based upon efforts by teams should be considered apart from works or inventions by persons working individually or in very small collaborations.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When inventions or copyrighted works are considered, material interests can be addressed through means other than the grant of exclusive rights in inventions or copyrighted works.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i w:val="1"/>
        </w:rPr>
      </w:pPr>
      <w:r w:rsidDel="00000000" w:rsidR="00000000" w:rsidRPr="00000000">
        <w:rPr>
          <w:b w:val="1"/>
          <w:i w:val="1"/>
          <w:rtl w:val="0"/>
        </w:rPr>
        <w:t xml:space="preserve"> Paragraph 18.</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grant of exclusive rights in inventions reduces the freedom to engage in research and in the development of innovations that build upon earlier inventions. Since science is mostly about building upon the knowledge and innovations of others, this creates conflicts, some of which can be resolved by rewarding innovation through mechanisms that do not involve exclusive rights.</w:t>
        <w:br w:type="textWrapping"/>
      </w:r>
    </w:p>
    <w:p w:rsidR="00000000" w:rsidDel="00000000" w:rsidP="00000000" w:rsidRDefault="00000000" w:rsidRPr="00000000" w14:paraId="0000001E">
      <w:pPr>
        <w:rPr/>
      </w:pPr>
      <w:r w:rsidDel="00000000" w:rsidR="00000000" w:rsidRPr="00000000">
        <w:rPr>
          <w:rtl w:val="0"/>
        </w:rPr>
        <w:t xml:space="preserve">One area of particular interest, as regards medical inventions, is the possibility that market entry rewards (sometimes referred to as innovation inducement prize funds) could replace exclusive rights to sell patented medical technologies, thus delinking R&amp;D incentives from prices, and making access to medical technologies more equal, while providing robust material rewards for innovators.  Undertaking feasibility studies of such reforms in business models is quite important, and also, unfortunately, controversial, having been blocked in the 2018 World Health Assembly as regards cancer drugs.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Paragraph 31.</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 mechanisms to enforce the progressive realization of human rights are currently weak.</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One effort to make more concrete the obligations to work toward the realization of human rights was explored in 2009, in the context of the right to development.  This involved obligations to search for new  arrangements, including global norms or business models, that are more consistent with equal access to the benefits of science, including new medical technologies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 2009 evaluation of “The Global Fund to Fight AIDS, Tuberculosis and Malaria, the Special Programme for Research and Training in Tropical Diseases (TDR), and the right to development,” for the Human Right Council, Working Group on the Right to Development (</w:t>
      </w:r>
      <w:hyperlink r:id="rId6">
        <w:r w:rsidDel="00000000" w:rsidR="00000000" w:rsidRPr="00000000">
          <w:rPr>
            <w:color w:val="1155cc"/>
            <w:u w:val="single"/>
            <w:rtl w:val="0"/>
          </w:rPr>
          <w:t xml:space="preserve">A/HRC/12/WG.2/TF/CRP.4/Rev.1</w:t>
        </w:r>
      </w:hyperlink>
      <w:r w:rsidDel="00000000" w:rsidR="00000000" w:rsidRPr="00000000">
        <w:rPr>
          <w:rtl w:val="0"/>
        </w:rPr>
        <w:t xml:space="preserve">, 18 June 2009), looked at the nature of the obligation to progressively realize human rights.   In Table 3 of that report, these were among the proposed obligations: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Has the institution made reasonable medium and long-term projections regarding the resources necessary to accomplish its objectives? </w:t>
      </w:r>
    </w:p>
    <w:p w:rsidR="00000000" w:rsidDel="00000000" w:rsidP="00000000" w:rsidRDefault="00000000" w:rsidRPr="00000000" w14:paraId="00000029">
      <w:pPr>
        <w:numPr>
          <w:ilvl w:val="0"/>
          <w:numId w:val="1"/>
        </w:numPr>
        <w:ind w:left="720" w:hanging="360"/>
      </w:pPr>
      <w:r w:rsidDel="00000000" w:rsidR="00000000" w:rsidRPr="00000000">
        <w:rPr>
          <w:rtl w:val="0"/>
        </w:rPr>
        <w:t xml:space="preserve">Has the institution secured sustainable funding sufficient to accomplish its objectives?</w:t>
      </w:r>
    </w:p>
    <w:p w:rsidR="00000000" w:rsidDel="00000000" w:rsidP="00000000" w:rsidRDefault="00000000" w:rsidRPr="00000000" w14:paraId="0000002A">
      <w:pPr>
        <w:numPr>
          <w:ilvl w:val="0"/>
          <w:numId w:val="1"/>
        </w:numPr>
        <w:ind w:left="720" w:hanging="360"/>
      </w:pPr>
      <w:r w:rsidDel="00000000" w:rsidR="00000000" w:rsidRPr="00000000">
        <w:rPr>
          <w:rtl w:val="0"/>
        </w:rPr>
        <w:t xml:space="preserve">If access to knowledge goods (including new medicines, vaccines, diagnostics, compound libraries, data, research tools, etc) is important for success, is there a feasible strategy to obtain sustainable access at affordable prices, consistent with resource constraints?</w:t>
      </w:r>
    </w:p>
    <w:p w:rsidR="00000000" w:rsidDel="00000000" w:rsidP="00000000" w:rsidRDefault="00000000" w:rsidRPr="00000000" w14:paraId="0000002B">
      <w:pPr>
        <w:numPr>
          <w:ilvl w:val="0"/>
          <w:numId w:val="1"/>
        </w:numPr>
        <w:ind w:left="720" w:hanging="360"/>
      </w:pPr>
      <w:r w:rsidDel="00000000" w:rsidR="00000000" w:rsidRPr="00000000">
        <w:rPr>
          <w:rtl w:val="0"/>
        </w:rPr>
        <w:t xml:space="preserve">Are policies regarding intellectual property rights transparent and consistent with human rights? </w:t>
      </w:r>
    </w:p>
    <w:p w:rsidR="00000000" w:rsidDel="00000000" w:rsidP="00000000" w:rsidRDefault="00000000" w:rsidRPr="00000000" w14:paraId="0000002C">
      <w:pPr>
        <w:numPr>
          <w:ilvl w:val="0"/>
          <w:numId w:val="1"/>
        </w:numPr>
        <w:ind w:left="720" w:hanging="360"/>
      </w:pPr>
      <w:r w:rsidDel="00000000" w:rsidR="00000000" w:rsidRPr="00000000">
        <w:rPr>
          <w:rtl w:val="0"/>
        </w:rPr>
        <w:t xml:space="preserve">If current business models fail to promote development and undermine human rights, does the institution encourage and support efforts to evaluate or promote new business models that are better for development and human rights? </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t xml:space="preserve">The notion that one has to search for feasible and better paths to achieving human rights outcomes, and not just settle for small incremental changes, is important. </w:t>
      </w:r>
    </w:p>
    <w:p w:rsidR="00000000" w:rsidDel="00000000" w:rsidP="00000000" w:rsidRDefault="00000000" w:rsidRPr="00000000" w14:paraId="0000002F">
      <w:pPr>
        <w:rPr>
          <w:highlight w:val="white"/>
        </w:rPr>
      </w:pPr>
      <w:r w:rsidDel="00000000" w:rsidR="00000000" w:rsidRPr="00000000">
        <w:rPr>
          <w:rtl w:val="0"/>
        </w:rPr>
      </w:r>
    </w:p>
    <w:p w:rsidR="00000000" w:rsidDel="00000000" w:rsidP="00000000" w:rsidRDefault="00000000" w:rsidRPr="00000000" w14:paraId="00000030">
      <w:pPr>
        <w:rPr>
          <w:highlight w:val="white"/>
        </w:rPr>
      </w:pPr>
      <w:r w:rsidDel="00000000" w:rsidR="00000000" w:rsidRPr="00000000">
        <w:rPr>
          <w:b w:val="1"/>
          <w:highlight w:val="white"/>
          <w:rtl w:val="0"/>
        </w:rPr>
        <w:t xml:space="preserve">Paragraphs 41-42.</w:t>
      </w:r>
      <w:r w:rsidDel="00000000" w:rsidR="00000000" w:rsidRPr="00000000">
        <w:rPr>
          <w:highlight w:val="white"/>
          <w:rtl w:val="0"/>
        </w:rPr>
        <w:t xml:space="preserve"> </w:t>
      </w:r>
    </w:p>
    <w:p w:rsidR="00000000" w:rsidDel="00000000" w:rsidP="00000000" w:rsidRDefault="00000000" w:rsidRPr="00000000" w14:paraId="00000031">
      <w:pPr>
        <w:rPr>
          <w:highlight w:val="white"/>
        </w:rPr>
      </w:pPr>
      <w:r w:rsidDel="00000000" w:rsidR="00000000" w:rsidRPr="00000000">
        <w:rPr>
          <w:rtl w:val="0"/>
        </w:rPr>
      </w:r>
    </w:p>
    <w:p w:rsidR="00000000" w:rsidDel="00000000" w:rsidP="00000000" w:rsidRDefault="00000000" w:rsidRPr="00000000" w14:paraId="00000032">
      <w:pPr>
        <w:rPr>
          <w:i w:val="1"/>
          <w:highlight w:val="white"/>
        </w:rPr>
      </w:pPr>
      <w:r w:rsidDel="00000000" w:rsidR="00000000" w:rsidRPr="00000000">
        <w:rPr>
          <w:highlight w:val="white"/>
          <w:rtl w:val="0"/>
        </w:rPr>
        <w:t xml:space="preserve">In relation to persons with disabilities who have suffered deep discrimination in the enjoyment of the right to participate in scientific progress, the draft general comment should refer to the rights and obligations of state parties to implement the Marrakesh Treaty to Facilitate Access to Published Works for Persons Who Are Blind, Visually Impaired, or Otherwise Print Disabled.</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0"/>
        <w:rPr>
          <w:b w:val="1"/>
        </w:rPr>
      </w:pPr>
      <w:r w:rsidDel="00000000" w:rsidR="00000000" w:rsidRPr="00000000">
        <w:rPr>
          <w:b w:val="1"/>
          <w:rtl w:val="0"/>
        </w:rPr>
        <w:t xml:space="preserve">Paragraph 44.</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t xml:space="preserve">The only way the governments can eliminate unequal access to medical technologies is to delink R&amp;D incentives from prices.  All other reforms will fall short of equal access. </w:t>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rPr>
          <w:b w:val="1"/>
        </w:rPr>
      </w:pPr>
      <w:r w:rsidDel="00000000" w:rsidR="00000000" w:rsidRPr="00000000">
        <w:rPr>
          <w:b w:val="1"/>
          <w:rtl w:val="0"/>
        </w:rPr>
        <w:t xml:space="preserve">Paragraph 57.</w:t>
      </w:r>
    </w:p>
    <w:p w:rsidR="00000000" w:rsidDel="00000000" w:rsidP="00000000" w:rsidRDefault="00000000" w:rsidRPr="00000000" w14:paraId="0000003A">
      <w:pPr>
        <w:ind w:left="0" w:firstLine="0"/>
        <w:rPr>
          <w:b w:val="1"/>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t xml:space="preserve">The issues of transparency and participation are quite important.   </w:t>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t xml:space="preserve">Trade negotiations are often conducted with asymmetric access to information.  Corporate lobbies are often briefed on the details of norms for intellectual property rights or other provisions, on the grounds that they have special rights as stakeholders, while the public is left in the dark, even though the agreements can have life or death consequences.</w:t>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t xml:space="preserve">High prices for medical technologies are justified by narratives about research and development costs which involve exaggerations, and inaccurate and deliberately misleading estimates.  </w:t>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t xml:space="preserve">Policies by governments that block the transparency of research and development costs, such as the costs of conducting human subject clinical trials in the development of drug, vaccine, cell and gene therapies, are, in our view, violations of human rights. In the case of a lack of transparency or excessive secrecy of R&amp;D costs, the predictable outcome is to permit drug companies to lie and mislead the public in order to justify high prices and unequal access.  Another consequence is that it far more difficult to explore new arrangements including new business models that delink incentives from prices, when the actual costs of R&amp;D are shrouded with mystery and inaccurate information. </w:t>
      </w:r>
    </w:p>
    <w:p w:rsidR="00000000" w:rsidDel="00000000" w:rsidP="00000000" w:rsidRDefault="00000000" w:rsidRPr="00000000" w14:paraId="00000042">
      <w:pPr>
        <w:shd w:fill="ffffff" w:val="clear"/>
        <w:spacing w:after="160" w:line="384.00000000000006" w:lineRule="auto"/>
        <w:rPr>
          <w:highlight w:val="white"/>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Paragraph 65. </w:t>
        <w:br w:type="textWrapping"/>
      </w:r>
    </w:p>
    <w:p w:rsidR="00000000" w:rsidDel="00000000" w:rsidP="00000000" w:rsidRDefault="00000000" w:rsidRPr="00000000" w14:paraId="00000044">
      <w:pPr>
        <w:rPr>
          <w:highlight w:val="white"/>
        </w:rPr>
      </w:pPr>
      <w:r w:rsidDel="00000000" w:rsidR="00000000" w:rsidRPr="00000000">
        <w:rPr>
          <w:rtl w:val="0"/>
        </w:rPr>
        <w:t xml:space="preserve">The CESCR, in collaboration with WHO, should </w:t>
      </w:r>
      <w:r w:rsidDel="00000000" w:rsidR="00000000" w:rsidRPr="00000000">
        <w:rPr>
          <w:highlight w:val="white"/>
          <w:rtl w:val="0"/>
        </w:rPr>
        <w:t xml:space="preserve">conduct a feasibility study to examine models of different possible means of de-linking research and development costs from product prices, in the context of states seeking to achieve universal health coverage, and more equal global access to new technologies.</w:t>
      </w:r>
    </w:p>
    <w:p w:rsidR="00000000" w:rsidDel="00000000" w:rsidP="00000000" w:rsidRDefault="00000000" w:rsidRPr="00000000" w14:paraId="00000045">
      <w:pPr>
        <w:rPr>
          <w:highlight w:val="white"/>
        </w:rPr>
      </w:pPr>
      <w:r w:rsidDel="00000000" w:rsidR="00000000" w:rsidRPr="00000000">
        <w:rPr>
          <w:rtl w:val="0"/>
        </w:rPr>
      </w:r>
    </w:p>
    <w:p w:rsidR="00000000" w:rsidDel="00000000" w:rsidP="00000000" w:rsidRDefault="00000000" w:rsidRPr="00000000" w14:paraId="00000046">
      <w:pPr>
        <w:shd w:fill="ffffff" w:val="clear"/>
        <w:spacing w:after="160" w:line="384.00000000000006" w:lineRule="auto"/>
        <w:rPr>
          <w:b w:val="1"/>
          <w:highlight w:val="white"/>
        </w:rPr>
      </w:pPr>
      <w:r w:rsidDel="00000000" w:rsidR="00000000" w:rsidRPr="00000000">
        <w:rPr>
          <w:b w:val="1"/>
          <w:highlight w:val="white"/>
          <w:rtl w:val="0"/>
        </w:rPr>
        <w:t xml:space="preserve">Paragraph 66.</w:t>
      </w:r>
    </w:p>
    <w:p w:rsidR="00000000" w:rsidDel="00000000" w:rsidP="00000000" w:rsidRDefault="00000000" w:rsidRPr="00000000" w14:paraId="00000047">
      <w:pPr>
        <w:rPr/>
      </w:pPr>
      <w:r w:rsidDel="00000000" w:rsidR="00000000" w:rsidRPr="00000000">
        <w:rPr>
          <w:rtl w:val="0"/>
        </w:rPr>
        <w:t xml:space="preserve">Intellectual property rights can be implemented without exclusive rights, either as part of a liability rule regime, which preserves the freedom to use inventions, data and works, subject to economic remuneration of some type, or where incentives are completely delinked from prices, such as with market entry rewards for new drugs, vaccines, cell and gene therapies. </w:t>
      </w:r>
    </w:p>
    <w:p w:rsidR="00000000" w:rsidDel="00000000" w:rsidP="00000000" w:rsidRDefault="00000000" w:rsidRPr="00000000" w14:paraId="00000048">
      <w:pPr>
        <w:rPr>
          <w:highlight w:val="white"/>
        </w:rPr>
      </w:pPr>
      <w:r w:rsidDel="00000000" w:rsidR="00000000" w:rsidRPr="00000000">
        <w:rPr>
          <w:rtl w:val="0"/>
        </w:rPr>
      </w:r>
    </w:p>
    <w:p w:rsidR="00000000" w:rsidDel="00000000" w:rsidP="00000000" w:rsidRDefault="00000000" w:rsidRPr="00000000" w14:paraId="00000049">
      <w:pPr>
        <w:rPr>
          <w:highlight w:val="white"/>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footerReference r:id="rId7" w:type="default"/>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s://www.keionline.org/wp-content/uploads/A-HRC-12-WG2-TF-CRP4-Rev1.pdf" TargetMode="Externa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836B9E-C1F3-46E8-BEE5-6CD3BE16A8C4}"/>
</file>

<file path=customXml/itemProps2.xml><?xml version="1.0" encoding="utf-8"?>
<ds:datastoreItem xmlns:ds="http://schemas.openxmlformats.org/officeDocument/2006/customXml" ds:itemID="{ADEEDF5F-350F-42AD-A5AE-D45FB15494E2}"/>
</file>

<file path=customXml/itemProps3.xml><?xml version="1.0" encoding="utf-8"?>
<ds:datastoreItem xmlns:ds="http://schemas.openxmlformats.org/officeDocument/2006/customXml" ds:itemID="{DE933441-A440-42FF-8722-5D7429B326B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