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FD6" w:rsidRDefault="00A84FD6">
      <w:pPr>
        <w:spacing w:after="20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bookmarkStart w:id="0" w:name="_GoBack"/>
      <w:bookmarkEnd w:id="0"/>
    </w:p>
    <w:p w:rsidR="00A84FD6" w:rsidRDefault="005E2E44">
      <w:pPr>
        <w:spacing w:after="200" w:line="240" w:lineRule="auto"/>
        <w:jc w:val="center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Observaciones al borrador del </w:t>
      </w:r>
      <w:r>
        <w:rPr>
          <w:rFonts w:ascii="Cambria" w:eastAsia="Cambria" w:hAnsi="Cambria" w:cs="Cambria"/>
          <w:b/>
          <w:i/>
          <w:sz w:val="24"/>
          <w:szCs w:val="24"/>
        </w:rPr>
        <w:t>“Comentario General del Comité sobre Derechos Económicos, Sociales y Culturales relativo a la ciencia y el disfrute de los derechos económicos, sociales y culturales, art. 15 del PIDESC”</w:t>
      </w:r>
    </w:p>
    <w:p w:rsidR="00A84FD6" w:rsidRDefault="00A84FD6">
      <w:pPr>
        <w:spacing w:after="20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84FD6" w:rsidRDefault="005E2E44">
      <w:pPr>
        <w:spacing w:after="200" w:line="240" w:lineRule="auto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07 de febrero de 2020</w:t>
      </w:r>
    </w:p>
    <w:p w:rsidR="00A84FD6" w:rsidRDefault="005E2E44">
      <w:pPr>
        <w:spacing w:after="20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i/>
        </w:rPr>
        <w:t>G. Risks and promises of the so called 4th industrial revolution</w:t>
      </w: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6240"/>
      </w:tblGrid>
      <w:tr w:rsidR="00A84FD6">
        <w:tc>
          <w:tcPr>
            <w:tcW w:w="312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D6" w:rsidRDefault="005E2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Texto </w:t>
            </w:r>
          </w:p>
        </w:tc>
        <w:tc>
          <w:tcPr>
            <w:tcW w:w="624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D6" w:rsidRDefault="005E2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Comentario</w:t>
            </w:r>
          </w:p>
        </w:tc>
      </w:tr>
      <w:tr w:rsidR="00A84FD6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D6" w:rsidRDefault="005E2E44">
            <w:pPr>
              <w:spacing w:after="20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i/>
                <w:color w:val="0000FF"/>
              </w:rPr>
              <w:t>“...artificial intelligence (AI), robotics, 3D printing, biotechnology, genetic engineering, quantum computers or management of big data”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D6" w:rsidRDefault="005E2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Entendiendo que la enumeración de tecnologías que se indica en el texto no pretende ser exhaustiva, se sugiere agregar “</w:t>
            </w:r>
            <w:r>
              <w:rPr>
                <w:rFonts w:ascii="Cambria" w:eastAsia="Cambria" w:hAnsi="Cambria" w:cs="Cambria"/>
                <w:i/>
              </w:rPr>
              <w:t>Internet of things (IoT)”</w:t>
            </w:r>
            <w:r>
              <w:rPr>
                <w:rFonts w:ascii="Cambria" w:eastAsia="Cambria" w:hAnsi="Cambria" w:cs="Cambria"/>
              </w:rPr>
              <w:t>.</w:t>
            </w:r>
          </w:p>
          <w:p w:rsidR="00A84FD6" w:rsidRDefault="005E2E44">
            <w:pPr>
              <w:spacing w:after="20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Desde nuestra perspectiva, es importante incluir la tecnología IoT, por el potencial que representa  para pro</w:t>
            </w:r>
            <w:r>
              <w:rPr>
                <w:rFonts w:ascii="Cambria" w:eastAsia="Cambria" w:hAnsi="Cambria" w:cs="Cambria"/>
              </w:rPr>
              <w:t xml:space="preserve">ducir la convergencia del mundo físico con el mundo digital, al que alude el texto. </w:t>
            </w:r>
          </w:p>
          <w:p w:rsidR="00A84FD6" w:rsidRDefault="005E2E44">
            <w:pPr>
              <w:spacing w:after="20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La IoT permite la conexión de una red de elementos físicos equipados con componentes electrónicos, sensores y actuadores, con software, que permite capturar, filtrar e int</w:t>
            </w:r>
            <w:r>
              <w:rPr>
                <w:rFonts w:ascii="Cambria" w:eastAsia="Cambria" w:hAnsi="Cambria" w:cs="Cambria"/>
              </w:rPr>
              <w:t xml:space="preserve">ercambiar datos sobre sí mismos y su entorno a fin de generar información y conocimientos prácticos que se traduzcan en inteligencia. </w:t>
            </w:r>
          </w:p>
          <w:p w:rsidR="00A84FD6" w:rsidRDefault="005E2E44">
            <w:pPr>
              <w:spacing w:after="20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El desarrollo y aplicación de la IoT, y sus repercusiones sociales, económicas y ambientales, así como sobre los derechos</w:t>
            </w:r>
            <w:r>
              <w:rPr>
                <w:rFonts w:ascii="Cambria" w:eastAsia="Cambria" w:hAnsi="Cambria" w:cs="Cambria"/>
              </w:rPr>
              <w:t xml:space="preserve"> fundamentales como la privacidad y la libertad de expresión, han sido examinados en estudios recientes de la UNCTAD y de la Comisión de Ciencia y Tecnología para el Desarrollo (CSTD</w:t>
            </w:r>
            <w:r>
              <w:rPr>
                <w:rFonts w:ascii="Cambria" w:eastAsia="Cambria" w:hAnsi="Cambria" w:cs="Cambria"/>
                <w:vertAlign w:val="superscript"/>
              </w:rPr>
              <w:footnoteReference w:id="1"/>
            </w:r>
            <w:r>
              <w:rPr>
                <w:rFonts w:ascii="Cambria" w:eastAsia="Cambria" w:hAnsi="Cambria" w:cs="Cambria"/>
              </w:rPr>
              <w:t>.</w:t>
            </w:r>
          </w:p>
        </w:tc>
      </w:tr>
      <w:tr w:rsidR="00A84FD6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D6" w:rsidRDefault="005E2E44">
            <w:pPr>
              <w:spacing w:after="200" w:line="240" w:lineRule="auto"/>
              <w:rPr>
                <w:rFonts w:ascii="Cambria" w:eastAsia="Cambria" w:hAnsi="Cambria" w:cs="Cambria"/>
                <w:i/>
                <w:color w:val="0000FF"/>
              </w:rPr>
            </w:pPr>
            <w:r>
              <w:rPr>
                <w:rFonts w:ascii="Cambria" w:eastAsia="Cambria" w:hAnsi="Cambria" w:cs="Cambria"/>
                <w:i/>
                <w:color w:val="0000FF"/>
              </w:rPr>
              <w:t>“...artificial intelligence (AI), robotics, 3D printing, biotechnology, genetic engineering, quantum computers or management of big data”</w:t>
            </w:r>
          </w:p>
          <w:p w:rsidR="00A84FD6" w:rsidRDefault="00A84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color w:val="0000FF"/>
                <w:u w:val="single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D6" w:rsidRDefault="005E2E44">
            <w:pPr>
              <w:spacing w:after="20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En el mismo sentido del comentario anterior, se sugiere incorporar la frase </w:t>
            </w:r>
            <w:r>
              <w:rPr>
                <w:rFonts w:ascii="Cambria" w:eastAsia="Cambria" w:hAnsi="Cambria" w:cs="Cambria"/>
                <w:i/>
              </w:rPr>
              <w:t>“whose applications will show their full potential with 5G networks.”</w:t>
            </w:r>
            <w:r>
              <w:rPr>
                <w:rFonts w:ascii="Cambria" w:eastAsia="Cambria" w:hAnsi="Cambria" w:cs="Cambria"/>
              </w:rPr>
              <w:t xml:space="preserve">, después de la enumeración de las tecnologías. </w:t>
            </w:r>
          </w:p>
          <w:p w:rsidR="00A84FD6" w:rsidRDefault="005E2E44">
            <w:pPr>
              <w:spacing w:after="20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La Unión Internacional de las Telecomunicaciones (UIT) ha destacado que las redes 5G son un elemento imprescindible para la creación de so</w:t>
            </w:r>
            <w:r>
              <w:rPr>
                <w:rFonts w:ascii="Cambria" w:eastAsia="Cambria" w:hAnsi="Cambria" w:cs="Cambria"/>
              </w:rPr>
              <w:t xml:space="preserve">ciedades más inteligentes, permitiendo que las aplicaciones del IoT, el manejo de datos mediante la inteligencia artificial, la robótica y las cadenas de bloques (blockchain) </w:t>
            </w:r>
            <w:r>
              <w:rPr>
                <w:rFonts w:ascii="Cambria" w:eastAsia="Cambria" w:hAnsi="Cambria" w:cs="Cambria"/>
              </w:rPr>
              <w:lastRenderedPageBreak/>
              <w:t>muestren todo su potencial</w:t>
            </w:r>
            <w:r>
              <w:rPr>
                <w:rFonts w:ascii="Cambria" w:eastAsia="Cambria" w:hAnsi="Cambria" w:cs="Cambria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</w:rPr>
              <w:t>. Se estima que una mejora de las redes 5G a través de</w:t>
            </w:r>
            <w:r>
              <w:rPr>
                <w:rFonts w:ascii="Cambria" w:eastAsia="Cambria" w:hAnsi="Cambria" w:cs="Cambria"/>
              </w:rPr>
              <w:t xml:space="preserve"> la IA, que dará sentido a los datos, gestionará y orquestará los recursos de red y dotará de inteligencia a los sistemas conectados y autónomos.</w:t>
            </w:r>
          </w:p>
          <w:p w:rsidR="00A84FD6" w:rsidRDefault="005E2E44">
            <w:pPr>
              <w:spacing w:after="20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El despliegue del 5G está acompañado de una serie de desafíos respecto de estándares y protocolos necesarios p</w:t>
            </w:r>
            <w:r>
              <w:rPr>
                <w:rFonts w:ascii="Cambria" w:eastAsia="Cambria" w:hAnsi="Cambria" w:cs="Cambria"/>
              </w:rPr>
              <w:t>ara prevenir afectaciones a los derechos de las personas, incluyendo las garantías relacionadas con la vida privada, la protección de sus datos personales, la inviolabilidad de las comunicaciones, la libertad de expresión y el acceso a la información.</w:t>
            </w:r>
          </w:p>
        </w:tc>
      </w:tr>
      <w:tr w:rsidR="00A84FD6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D6" w:rsidRDefault="005E2E44">
            <w:pPr>
              <w:spacing w:after="200" w:line="240" w:lineRule="auto"/>
              <w:rPr>
                <w:rFonts w:ascii="Cambria" w:eastAsia="Cambria" w:hAnsi="Cambria" w:cs="Cambria"/>
                <w:color w:val="0000FF"/>
              </w:rPr>
            </w:pPr>
            <w:r>
              <w:rPr>
                <w:rFonts w:ascii="Cambria" w:eastAsia="Cambria" w:hAnsi="Cambria" w:cs="Cambria"/>
                <w:i/>
                <w:color w:val="0000FF"/>
              </w:rPr>
              <w:lastRenderedPageBreak/>
              <w:t>“77</w:t>
            </w:r>
            <w:r>
              <w:rPr>
                <w:rFonts w:ascii="Cambria" w:eastAsia="Cambria" w:hAnsi="Cambria" w:cs="Cambria"/>
                <w:i/>
                <w:color w:val="0000FF"/>
              </w:rPr>
              <w:t>. States Parties have to adopt policies and measures that expand the benefits of these new technologies…“,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D6" w:rsidRDefault="005E2E44">
            <w:pPr>
              <w:spacing w:after="200" w:line="240" w:lineRule="auto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</w:rPr>
              <w:t xml:space="preserve">Después del texto, se sugiere incorporar </w:t>
            </w:r>
            <w:r>
              <w:rPr>
                <w:rFonts w:ascii="Cambria" w:eastAsia="Cambria" w:hAnsi="Cambria" w:cs="Cambria"/>
                <w:i/>
              </w:rPr>
              <w:t>“promote equality”.</w:t>
            </w:r>
          </w:p>
          <w:p w:rsidR="00A84FD6" w:rsidRDefault="005E2E44">
            <w:pPr>
              <w:spacing w:after="20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Es una opinión ampliamente compartida que la igualdad es un valor fundamental del desarr</w:t>
            </w:r>
            <w:r>
              <w:rPr>
                <w:rFonts w:ascii="Cambria" w:eastAsia="Cambria" w:hAnsi="Cambria" w:cs="Cambria"/>
              </w:rPr>
              <w:t xml:space="preserve">ollo y un principio ético irreductible, en sincronía con la creciente relevancia del tema en las demandas ciudadanas y el debate público, por lo cual debe estar en el centro de las decisiones de política que adopten los países en materia de tecnologías de </w:t>
            </w:r>
            <w:r>
              <w:rPr>
                <w:rFonts w:ascii="Cambria" w:eastAsia="Cambria" w:hAnsi="Cambria" w:cs="Cambria"/>
              </w:rPr>
              <w:t xml:space="preserve">vanguardia. </w:t>
            </w:r>
          </w:p>
          <w:p w:rsidR="00A84FD6" w:rsidRDefault="005E2E44">
            <w:pPr>
              <w:spacing w:after="20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La igualdad provee a las políticas de un fundamento último centrado en un enfoque de derechos y una vocación humanista que recoge la herencia más preciada de la modernidad. </w:t>
            </w:r>
          </w:p>
          <w:p w:rsidR="00A84FD6" w:rsidRDefault="005E2E44">
            <w:pPr>
              <w:spacing w:after="20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La igualdad es también una condición para avanzar hacia un modelo de desarrollo centrado en la innovación y el aprendizaje, pues crea un ambiente institucional, de políticas y de esfuerzos favorable para la construcción de capacidades, facilitando la absor</w:t>
            </w:r>
            <w:r>
              <w:rPr>
                <w:rFonts w:ascii="Cambria" w:eastAsia="Cambria" w:hAnsi="Cambria" w:cs="Cambria"/>
              </w:rPr>
              <w:t xml:space="preserve">ción de avances tecnológicos generados en otras partes del mundo, lo que se traduce en el acortamiento de las brechas tecnológicas. </w:t>
            </w:r>
          </w:p>
          <w:p w:rsidR="00A84FD6" w:rsidRDefault="005E2E44">
            <w:pPr>
              <w:spacing w:after="200" w:line="240" w:lineRule="auto"/>
              <w:jc w:val="both"/>
              <w:rPr>
                <w:rFonts w:ascii="Cambria" w:eastAsia="Cambria" w:hAnsi="Cambria" w:cs="Cambria"/>
                <w:i/>
                <w:color w:val="0000FF"/>
              </w:rPr>
            </w:pPr>
            <w:r>
              <w:rPr>
                <w:rFonts w:ascii="Cambria" w:eastAsia="Cambria" w:hAnsi="Cambria" w:cs="Cambria"/>
              </w:rPr>
              <w:t>Finalmente, se subraya que la igualdad se encuentra en el corazón de la Agenda 2030, concibiéndola  como horizonte estratég</w:t>
            </w:r>
            <w:r>
              <w:rPr>
                <w:rFonts w:ascii="Cambria" w:eastAsia="Cambria" w:hAnsi="Cambria" w:cs="Cambria"/>
              </w:rPr>
              <w:t>ico del desarrollo sostenible. Los países que hoy están en la frontera del desarrollo sostenible, es decir, del desarrollo que articula adecuadamente sus dimensiones social, económica y ambiental, combinan en gran medida la igualdad, el crecimiento económi</w:t>
            </w:r>
            <w:r>
              <w:rPr>
                <w:rFonts w:ascii="Cambria" w:eastAsia="Cambria" w:hAnsi="Cambria" w:cs="Cambria"/>
              </w:rPr>
              <w:t>co, la productividad y la democracia”.</w:t>
            </w:r>
          </w:p>
        </w:tc>
      </w:tr>
      <w:tr w:rsidR="00A84FD6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D6" w:rsidRDefault="005E2E44">
            <w:pPr>
              <w:spacing w:after="200" w:line="240" w:lineRule="auto"/>
              <w:jc w:val="both"/>
              <w:rPr>
                <w:rFonts w:ascii="Cambria" w:eastAsia="Cambria" w:hAnsi="Cambria" w:cs="Cambria"/>
                <w:i/>
                <w:color w:val="0000FF"/>
              </w:rPr>
            </w:pPr>
            <w:r>
              <w:rPr>
                <w:rFonts w:ascii="Cambria" w:eastAsia="Cambria" w:hAnsi="Cambria" w:cs="Cambria"/>
                <w:i/>
                <w:color w:val="0000FF"/>
              </w:rPr>
              <w:t xml:space="preserve">“...first, international cooperation should be enhanced in this field as some of the more serious risks of these </w:t>
            </w:r>
            <w:r>
              <w:rPr>
                <w:rFonts w:ascii="Cambria" w:eastAsia="Cambria" w:hAnsi="Cambria" w:cs="Cambria"/>
                <w:i/>
                <w:color w:val="0000FF"/>
              </w:rPr>
              <w:lastRenderedPageBreak/>
              <w:t xml:space="preserve">technologies need global regulations to be effectively managed. Fragmented national responses to these </w:t>
            </w:r>
            <w:r>
              <w:rPr>
                <w:rFonts w:ascii="Cambria" w:eastAsia="Cambria" w:hAnsi="Cambria" w:cs="Cambria"/>
                <w:i/>
                <w:color w:val="0000FF"/>
              </w:rPr>
              <w:t xml:space="preserve">transnational technologies would create governance gaps detrimental to the enjoyment of ESCR and would perpetuate technological divides”. </w:t>
            </w:r>
          </w:p>
          <w:p w:rsidR="00A84FD6" w:rsidRDefault="00A84FD6">
            <w:pPr>
              <w:spacing w:after="200" w:line="240" w:lineRule="auto"/>
              <w:jc w:val="both"/>
              <w:rPr>
                <w:rFonts w:ascii="Cambria" w:eastAsia="Cambria" w:hAnsi="Cambria" w:cs="Cambria"/>
                <w:i/>
                <w:color w:val="0000FF"/>
              </w:rPr>
            </w:pPr>
          </w:p>
          <w:p w:rsidR="00A84FD6" w:rsidRDefault="00A84FD6">
            <w:pPr>
              <w:spacing w:after="200" w:line="240" w:lineRule="auto"/>
              <w:jc w:val="both"/>
              <w:rPr>
                <w:rFonts w:ascii="Cambria" w:eastAsia="Cambria" w:hAnsi="Cambria" w:cs="Cambria"/>
                <w:color w:val="0000FF"/>
                <w:u w:val="single"/>
              </w:rPr>
            </w:pPr>
          </w:p>
          <w:p w:rsidR="00A84FD6" w:rsidRDefault="00A84FD6">
            <w:pPr>
              <w:spacing w:after="200" w:line="240" w:lineRule="auto"/>
              <w:jc w:val="both"/>
              <w:rPr>
                <w:rFonts w:ascii="Cambria" w:eastAsia="Cambria" w:hAnsi="Cambria" w:cs="Cambria"/>
                <w:i/>
                <w:color w:val="0000FF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D6" w:rsidRDefault="005E2E44">
            <w:pPr>
              <w:spacing w:after="20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 xml:space="preserve">En el texto se alude a la “cooperación internacional” para abordar los riesgos de las tecnologías mediante la </w:t>
            </w:r>
            <w:r>
              <w:rPr>
                <w:rFonts w:ascii="Cambria" w:eastAsia="Cambria" w:hAnsi="Cambria" w:cs="Cambria"/>
                <w:i/>
              </w:rPr>
              <w:t>“reg</w:t>
            </w:r>
            <w:r>
              <w:rPr>
                <w:rFonts w:ascii="Cambria" w:eastAsia="Cambria" w:hAnsi="Cambria" w:cs="Cambria"/>
                <w:i/>
              </w:rPr>
              <w:t xml:space="preserve">ulación global”, </w:t>
            </w:r>
            <w:r>
              <w:rPr>
                <w:rFonts w:ascii="Cambria" w:eastAsia="Cambria" w:hAnsi="Cambria" w:cs="Cambria"/>
              </w:rPr>
              <w:t xml:space="preserve">exclusivamente. Se sugiere complementar dicha aseveración, explicitando que la colaboración internacional también es </w:t>
            </w:r>
            <w:r>
              <w:rPr>
                <w:rFonts w:ascii="Cambria" w:eastAsia="Cambria" w:hAnsi="Cambria" w:cs="Cambria"/>
              </w:rPr>
              <w:lastRenderedPageBreak/>
              <w:t>importante para facilitar la difusión del conocimiento y el cierre de la brecha digital, en particular en beneficio de los</w:t>
            </w:r>
            <w:r>
              <w:rPr>
                <w:rFonts w:ascii="Cambria" w:eastAsia="Cambria" w:hAnsi="Cambria" w:cs="Cambria"/>
              </w:rPr>
              <w:t xml:space="preserve"> países en vías de desarrollo y países menos adelantados (tal como ha sido recogido en anteriores resoluciones del CDH</w:t>
            </w:r>
            <w:r>
              <w:rPr>
                <w:rFonts w:ascii="Cambria" w:eastAsia="Cambria" w:hAnsi="Cambria" w:cs="Cambria"/>
                <w:vertAlign w:val="superscript"/>
              </w:rPr>
              <w:footnoteReference w:id="3"/>
            </w:r>
            <w:r>
              <w:rPr>
                <w:rFonts w:ascii="Cambria" w:eastAsia="Cambria" w:hAnsi="Cambria" w:cs="Cambria"/>
              </w:rPr>
              <w:t xml:space="preserve">). </w:t>
            </w:r>
          </w:p>
          <w:p w:rsidR="00A84FD6" w:rsidRDefault="005E2E44">
            <w:pPr>
              <w:spacing w:after="20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En instancias como la CSTD, el STI FORUM y el Internet Governance Forum (IGF), los países en vías de desarrollo y PMA han expresado s</w:t>
            </w:r>
            <w:r>
              <w:rPr>
                <w:rFonts w:ascii="Cambria" w:eastAsia="Cambria" w:hAnsi="Cambria" w:cs="Cambria"/>
              </w:rPr>
              <w:t xml:space="preserve">us preocupaciones por la creciente brecha digital y tecnológica entre los países, que podría verse exacerbada por la Inteligencia Artificial (IA). </w:t>
            </w:r>
          </w:p>
          <w:p w:rsidR="00A84FD6" w:rsidRDefault="005E2E44">
            <w:pPr>
              <w:spacing w:after="20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El cambio tecnológico rápido afecta a los países de diferentes maneras y para responder a esos efectos, es n</w:t>
            </w:r>
            <w:r>
              <w:rPr>
                <w:rFonts w:ascii="Cambria" w:eastAsia="Cambria" w:hAnsi="Cambria" w:cs="Cambria"/>
              </w:rPr>
              <w:t xml:space="preserve">ecesario fortalecer la cooperación internacional, en particular mediante la transferencia de tecnología, el desarrollo de capacidades, la divulgación de datos y el acceso a los datos, entre otros, de manera de posibilitar la creación y captación de valor. </w:t>
            </w:r>
          </w:p>
        </w:tc>
      </w:tr>
      <w:tr w:rsidR="00A84FD6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D6" w:rsidRDefault="005E2E44">
            <w:pPr>
              <w:spacing w:after="200" w:line="240" w:lineRule="auto"/>
              <w:jc w:val="both"/>
              <w:rPr>
                <w:rFonts w:ascii="Cambria" w:eastAsia="Cambria" w:hAnsi="Cambria" w:cs="Cambria"/>
                <w:i/>
                <w:color w:val="0000FF"/>
              </w:rPr>
            </w:pPr>
            <w:r>
              <w:rPr>
                <w:rFonts w:ascii="Cambria" w:eastAsia="Cambria" w:hAnsi="Cambria" w:cs="Cambria"/>
                <w:i/>
                <w:color w:val="0000FF"/>
              </w:rPr>
              <w:lastRenderedPageBreak/>
              <w:t xml:space="preserve">78. “Second, decisions concerning the development and use of these technologies should be adopted within a human rights framework and with a holistic and inclusive view”. 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D6" w:rsidRDefault="005E2E44">
            <w:pPr>
              <w:spacing w:after="20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 continuación de este texto, conviene hacer hincapié en la naturaleza global y ab</w:t>
            </w:r>
            <w:r>
              <w:rPr>
                <w:rFonts w:ascii="Cambria" w:eastAsia="Cambria" w:hAnsi="Cambria" w:cs="Cambria"/>
              </w:rPr>
              <w:t>ierta de Internet, como fuerza impulsora de los derechos humanos y de la aceleración de los ODS.</w:t>
            </w:r>
          </w:p>
          <w:p w:rsidR="00A84FD6" w:rsidRDefault="005E2E44">
            <w:pPr>
              <w:spacing w:after="20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Resulta, por tanto, adecuado incorporar </w:t>
            </w:r>
            <w:r>
              <w:rPr>
                <w:rFonts w:ascii="Cambria" w:eastAsia="Cambria" w:hAnsi="Cambria" w:cs="Cambria"/>
                <w:i/>
              </w:rPr>
              <w:t>“Emphasizing also that an open, secure, stable, accessible and peaceful information and communications technology environment is important to the enjoyment of human rights.</w:t>
            </w:r>
          </w:p>
        </w:tc>
      </w:tr>
    </w:tbl>
    <w:p w:rsidR="00A84FD6" w:rsidRDefault="00A84FD6">
      <w:pPr>
        <w:spacing w:after="200" w:line="240" w:lineRule="auto"/>
        <w:jc w:val="both"/>
        <w:rPr>
          <w:rFonts w:ascii="Cambria" w:eastAsia="Cambria" w:hAnsi="Cambria" w:cs="Cambria"/>
        </w:rPr>
      </w:pPr>
    </w:p>
    <w:p w:rsidR="00A84FD6" w:rsidRDefault="00A84FD6">
      <w:pPr>
        <w:spacing w:after="200" w:line="240" w:lineRule="auto"/>
        <w:jc w:val="both"/>
        <w:rPr>
          <w:rFonts w:ascii="Cambria" w:eastAsia="Cambria" w:hAnsi="Cambria" w:cs="Cambria"/>
        </w:rPr>
      </w:pPr>
    </w:p>
    <w:sectPr w:rsidR="00A84FD6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E44" w:rsidRDefault="005E2E44">
      <w:pPr>
        <w:spacing w:line="240" w:lineRule="auto"/>
      </w:pPr>
      <w:r>
        <w:separator/>
      </w:r>
    </w:p>
  </w:endnote>
  <w:endnote w:type="continuationSeparator" w:id="0">
    <w:p w:rsidR="005E2E44" w:rsidRDefault="005E2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FD6" w:rsidRDefault="005E2E44">
    <w:pPr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fldChar w:fldCharType="begin"/>
    </w:r>
    <w:r>
      <w:rPr>
        <w:rFonts w:ascii="Cambria" w:eastAsia="Cambria" w:hAnsi="Cambria" w:cs="Cambria"/>
        <w:sz w:val="20"/>
        <w:szCs w:val="20"/>
      </w:rPr>
      <w:instrText>PAGE</w:instrText>
    </w:r>
    <w:r w:rsidR="00243BA5">
      <w:rPr>
        <w:rFonts w:ascii="Cambria" w:eastAsia="Cambria" w:hAnsi="Cambria" w:cs="Cambria"/>
        <w:sz w:val="20"/>
        <w:szCs w:val="20"/>
      </w:rPr>
      <w:fldChar w:fldCharType="separate"/>
    </w:r>
    <w:r w:rsidR="00243BA5">
      <w:rPr>
        <w:rFonts w:ascii="Cambria" w:eastAsia="Cambria" w:hAnsi="Cambria" w:cs="Cambria"/>
        <w:noProof/>
        <w:sz w:val="20"/>
        <w:szCs w:val="20"/>
      </w:rPr>
      <w:t>3</w:t>
    </w:r>
    <w:r>
      <w:rPr>
        <w:rFonts w:ascii="Cambria" w:eastAsia="Cambria" w:hAnsi="Cambria" w:cs="Cambria"/>
        <w:sz w:val="20"/>
        <w:szCs w:val="20"/>
      </w:rPr>
      <w:fldChar w:fldCharType="end"/>
    </w:r>
    <w:r>
      <w:rPr>
        <w:noProof/>
        <w:lang w:val="es-CL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-171449</wp:posOffset>
          </wp:positionV>
          <wp:extent cx="1076325" cy="295275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FD6" w:rsidRDefault="005E2E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A84FD6" w:rsidRDefault="00A84F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E44" w:rsidRDefault="005E2E44">
      <w:pPr>
        <w:spacing w:line="240" w:lineRule="auto"/>
      </w:pPr>
      <w:r>
        <w:separator/>
      </w:r>
    </w:p>
  </w:footnote>
  <w:footnote w:type="continuationSeparator" w:id="0">
    <w:p w:rsidR="005E2E44" w:rsidRDefault="005E2E44">
      <w:pPr>
        <w:spacing w:line="240" w:lineRule="auto"/>
      </w:pPr>
      <w:r>
        <w:continuationSeparator/>
      </w:r>
    </w:p>
  </w:footnote>
  <w:footnote w:id="1">
    <w:p w:rsidR="00A84FD6" w:rsidRDefault="005E2E44">
      <w:pPr>
        <w:spacing w:line="24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sz w:val="20"/>
          <w:szCs w:val="20"/>
        </w:rPr>
        <w:t xml:space="preserve"> Véase por ejemplo, E/CN.16/2019/2 o UNCTAD, 2018c, </w:t>
      </w:r>
      <w:r>
        <w:rPr>
          <w:rFonts w:ascii="Cambria" w:eastAsia="Cambria" w:hAnsi="Cambria" w:cs="Cambria"/>
          <w:i/>
          <w:sz w:val="20"/>
          <w:szCs w:val="20"/>
        </w:rPr>
        <w:t>Technology and Innovation Report 2018, Harnessing Frontier Technologies for Development</w:t>
      </w:r>
      <w:r>
        <w:rPr>
          <w:rFonts w:ascii="Cambria" w:eastAsia="Cambria" w:hAnsi="Cambria" w:cs="Cambria"/>
          <w:sz w:val="20"/>
          <w:szCs w:val="20"/>
        </w:rPr>
        <w:t>.</w:t>
      </w:r>
    </w:p>
  </w:footnote>
  <w:footnote w:id="2">
    <w:p w:rsidR="00A84FD6" w:rsidRDefault="005E2E44">
      <w:pPr>
        <w:spacing w:line="24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sz w:val="20"/>
          <w:szCs w:val="20"/>
        </w:rPr>
        <w:t xml:space="preserve"> International Telecommunication Union (ITU), </w:t>
      </w:r>
      <w:r>
        <w:rPr>
          <w:rFonts w:ascii="Cambria" w:eastAsia="Cambria" w:hAnsi="Cambria" w:cs="Cambria"/>
          <w:i/>
          <w:sz w:val="20"/>
          <w:szCs w:val="20"/>
        </w:rPr>
        <w:t xml:space="preserve">Setting the Scene for 5G: Opportunities &amp; Challenges, </w:t>
      </w:r>
      <w:r>
        <w:rPr>
          <w:rFonts w:ascii="Cambria" w:eastAsia="Cambria" w:hAnsi="Cambria" w:cs="Cambria"/>
          <w:sz w:val="20"/>
          <w:szCs w:val="20"/>
        </w:rPr>
        <w:t>Geneva, 2018.</w:t>
      </w:r>
    </w:p>
  </w:footnote>
  <w:footnote w:id="3">
    <w:p w:rsidR="00A84FD6" w:rsidRDefault="005E2E44">
      <w:pPr>
        <w:spacing w:line="240" w:lineRule="auto"/>
        <w:rPr>
          <w:rFonts w:ascii="Cambria" w:eastAsia="Cambria" w:hAnsi="Cambria" w:cs="Cambria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sz w:val="20"/>
          <w:szCs w:val="20"/>
        </w:rPr>
        <w:t xml:space="preserve"> Por ejemplo, fue recogido así en la Resolución del CDH 41/L.14 de julio de 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FD6" w:rsidRDefault="00A84FD6"/>
  <w:p w:rsidR="00A84FD6" w:rsidRDefault="00A84FD6"/>
  <w:p w:rsidR="00A84FD6" w:rsidRDefault="005E2E44">
    <w:pPr>
      <w:ind w:left="-27"/>
      <w:rPr>
        <w:rFonts w:ascii="Cambria" w:eastAsia="Cambria" w:hAnsi="Cambria" w:cs="Cambria"/>
      </w:rPr>
    </w:pPr>
    <w:r>
      <w:rPr>
        <w:rFonts w:ascii="Cambria" w:eastAsia="Cambria" w:hAnsi="Cambria" w:cs="Cambria"/>
      </w:rPr>
      <w:t>Ministerio de Relaciones Exteriores</w:t>
    </w:r>
  </w:p>
  <w:p w:rsidR="00A84FD6" w:rsidRDefault="005E2E44">
    <w:pPr>
      <w:ind w:left="-27"/>
      <w:rPr>
        <w:rFonts w:ascii="Cambria" w:eastAsia="Cambria" w:hAnsi="Cambria" w:cs="Cambria"/>
      </w:rPr>
    </w:pPr>
    <w:r>
      <w:rPr>
        <w:rFonts w:ascii="Cambria" w:eastAsia="Cambria" w:hAnsi="Cambria" w:cs="Cambria"/>
      </w:rPr>
      <w:t>Dirección de Energía, Ciencia y Tecnología e Innovación (DECYTI)</w:t>
    </w:r>
  </w:p>
  <w:p w:rsidR="00A84FD6" w:rsidRDefault="005E2E44">
    <w:pPr>
      <w:ind w:left="-27"/>
    </w:pPr>
    <w:r>
      <w:rPr>
        <w:rFonts w:ascii="Cambria" w:eastAsia="Cambria" w:hAnsi="Cambria" w:cs="Cambria"/>
        <w:b/>
        <w:color w:val="0168B3"/>
        <w:sz w:val="36"/>
        <w:szCs w:val="36"/>
        <w:highlight w:val="white"/>
      </w:rPr>
      <w:t>——</w:t>
    </w:r>
    <w:r>
      <w:rPr>
        <w:rFonts w:ascii="Cambria" w:eastAsia="Cambria" w:hAnsi="Cambria" w:cs="Cambria"/>
        <w:b/>
        <w:color w:val="EE3A43"/>
        <w:sz w:val="36"/>
        <w:szCs w:val="36"/>
        <w:highlight w:val="white"/>
      </w:rPr>
      <w:t>———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FD6" w:rsidRDefault="00A84FD6">
    <w:pPr>
      <w:rPr>
        <w:sz w:val="18"/>
        <w:szCs w:val="18"/>
      </w:rPr>
    </w:pPr>
  </w:p>
  <w:p w:rsidR="00A84FD6" w:rsidRDefault="005E2E44">
    <w:pPr>
      <w:ind w:left="-27"/>
      <w:rPr>
        <w:rFonts w:ascii="Cambria" w:eastAsia="Cambria" w:hAnsi="Cambria" w:cs="Cambria"/>
      </w:rPr>
    </w:pPr>
    <w:r>
      <w:rPr>
        <w:rFonts w:ascii="Cambria" w:eastAsia="Cambria" w:hAnsi="Cambria" w:cs="Cambria"/>
      </w:rPr>
      <w:t>Ministerio de Relaciones Exteriores</w:t>
    </w:r>
  </w:p>
  <w:p w:rsidR="00A84FD6" w:rsidRDefault="005E2E44">
    <w:pPr>
      <w:ind w:left="-27"/>
      <w:rPr>
        <w:rFonts w:ascii="Cambria" w:eastAsia="Cambria" w:hAnsi="Cambria" w:cs="Cambria"/>
      </w:rPr>
    </w:pPr>
    <w:r>
      <w:rPr>
        <w:rFonts w:ascii="Cambria" w:eastAsia="Cambria" w:hAnsi="Cambria" w:cs="Cambria"/>
      </w:rPr>
      <w:t>Dirección de Energía, Ciencia y Tecnología e Innovación (DECYTI)</w:t>
    </w:r>
  </w:p>
  <w:p w:rsidR="00A84FD6" w:rsidRDefault="005E2E44">
    <w:pPr>
      <w:ind w:left="-27"/>
      <w:rPr>
        <w:rFonts w:ascii="Cambria" w:eastAsia="Cambria" w:hAnsi="Cambria" w:cs="Cambria"/>
        <w:b/>
      </w:rPr>
    </w:pPr>
    <w:r>
      <w:rPr>
        <w:rFonts w:ascii="Cambria" w:eastAsia="Cambria" w:hAnsi="Cambria" w:cs="Cambria"/>
        <w:b/>
        <w:color w:val="0168B3"/>
        <w:sz w:val="36"/>
        <w:szCs w:val="36"/>
        <w:highlight w:val="white"/>
      </w:rPr>
      <w:t>——</w:t>
    </w:r>
    <w:r>
      <w:rPr>
        <w:rFonts w:ascii="Cambria" w:eastAsia="Cambria" w:hAnsi="Cambria" w:cs="Cambria"/>
        <w:b/>
        <w:color w:val="EE3A43"/>
        <w:sz w:val="36"/>
        <w:szCs w:val="36"/>
        <w:highlight w:val="white"/>
      </w:rPr>
      <w:t>———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D6"/>
    <w:rsid w:val="00243BA5"/>
    <w:rsid w:val="005E2E44"/>
    <w:rsid w:val="00A8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017C8-3BB3-41BC-A1F8-E36009F2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101289-B301-4FDB-A61C-70042C28A93B}"/>
</file>

<file path=customXml/itemProps2.xml><?xml version="1.0" encoding="utf-8"?>
<ds:datastoreItem xmlns:ds="http://schemas.openxmlformats.org/officeDocument/2006/customXml" ds:itemID="{F61C7430-B089-4BDD-B625-7FEE8A2A8509}"/>
</file>

<file path=customXml/itemProps3.xml><?xml version="1.0" encoding="utf-8"?>
<ds:datastoreItem xmlns:ds="http://schemas.openxmlformats.org/officeDocument/2006/customXml" ds:itemID="{5FE64951-00FC-4ED3-83CD-8EEB117CC6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MINREL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Troncoso</dc:creator>
  <cp:lastModifiedBy>Ana Maria Troncoso</cp:lastModifiedBy>
  <cp:revision>2</cp:revision>
  <dcterms:created xsi:type="dcterms:W3CDTF">2020-02-07T14:45:00Z</dcterms:created>
  <dcterms:modified xsi:type="dcterms:W3CDTF">2020-02-07T14:45:00Z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