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865" w:rsidRPr="006969BD" w:rsidRDefault="00781CF8">
      <w:pPr>
        <w:rPr>
          <w:rFonts w:ascii="Times New Roman" w:hAnsi="Times New Roman" w:cs="Times New Roman"/>
          <w:b/>
          <w:sz w:val="28"/>
          <w:szCs w:val="28"/>
        </w:rPr>
      </w:pPr>
      <w:r w:rsidRPr="006969BD">
        <w:rPr>
          <w:rFonts w:ascii="Times New Roman" w:hAnsi="Times New Roman" w:cs="Times New Roman"/>
          <w:b/>
          <w:sz w:val="28"/>
          <w:szCs w:val="28"/>
        </w:rPr>
        <w:t>Comments on the Draft General Comment</w:t>
      </w:r>
      <w:r w:rsidR="000E2C96" w:rsidRPr="006969BD">
        <w:rPr>
          <w:rFonts w:ascii="Times New Roman" w:hAnsi="Times New Roman" w:cs="Times New Roman"/>
          <w:b/>
          <w:sz w:val="28"/>
          <w:szCs w:val="28"/>
        </w:rPr>
        <w:t xml:space="preserve"> on Science</w:t>
      </w:r>
    </w:p>
    <w:p w:rsidR="00781CF8" w:rsidRPr="006969BD" w:rsidRDefault="00781CF8">
      <w:pPr>
        <w:rPr>
          <w:rFonts w:ascii="Times New Roman" w:hAnsi="Times New Roman" w:cs="Times New Roman"/>
          <w:b/>
          <w:sz w:val="28"/>
          <w:szCs w:val="28"/>
        </w:rPr>
      </w:pPr>
      <w:r w:rsidRPr="006969BD">
        <w:rPr>
          <w:rFonts w:ascii="Times New Roman" w:hAnsi="Times New Roman" w:cs="Times New Roman"/>
          <w:b/>
          <w:sz w:val="28"/>
          <w:szCs w:val="28"/>
        </w:rPr>
        <w:t xml:space="preserve">Helle Porsdam, Professor of </w:t>
      </w:r>
      <w:proofErr w:type="gramStart"/>
      <w:r w:rsidRPr="006969BD">
        <w:rPr>
          <w:rFonts w:ascii="Times New Roman" w:hAnsi="Times New Roman" w:cs="Times New Roman"/>
          <w:b/>
          <w:sz w:val="28"/>
          <w:szCs w:val="28"/>
        </w:rPr>
        <w:t>Law and Humanities</w:t>
      </w:r>
      <w:proofErr w:type="gramEnd"/>
      <w:r w:rsidRPr="006969BD">
        <w:rPr>
          <w:rFonts w:ascii="Times New Roman" w:hAnsi="Times New Roman" w:cs="Times New Roman"/>
          <w:b/>
          <w:sz w:val="28"/>
          <w:szCs w:val="28"/>
        </w:rPr>
        <w:t xml:space="preserve"> and UNESCO Chair in Cultural rights, University of Copenhagen, Denmark</w:t>
      </w:r>
    </w:p>
    <w:p w:rsidR="00781CF8" w:rsidRPr="00604412" w:rsidRDefault="00781CF8" w:rsidP="00604412">
      <w:pPr>
        <w:jc w:val="both"/>
        <w:rPr>
          <w:rFonts w:ascii="Times New Roman" w:hAnsi="Times New Roman" w:cs="Times New Roman"/>
          <w:sz w:val="24"/>
          <w:szCs w:val="24"/>
        </w:rPr>
      </w:pPr>
    </w:p>
    <w:p w:rsidR="00701D62" w:rsidRPr="00604412" w:rsidRDefault="00701D62" w:rsidP="007762A9">
      <w:pPr>
        <w:spacing w:line="360" w:lineRule="auto"/>
        <w:jc w:val="both"/>
        <w:rPr>
          <w:rFonts w:ascii="Times New Roman" w:hAnsi="Times New Roman" w:cs="Times New Roman"/>
          <w:sz w:val="24"/>
          <w:szCs w:val="24"/>
        </w:rPr>
      </w:pPr>
      <w:r w:rsidRPr="00604412">
        <w:rPr>
          <w:rFonts w:ascii="Times New Roman" w:hAnsi="Times New Roman" w:cs="Times New Roman"/>
          <w:sz w:val="24"/>
          <w:szCs w:val="24"/>
        </w:rPr>
        <w:t xml:space="preserve">My comments are chiefly directed at the very last paragraph of the draft General Comment (GC), para 89 concerning “A human right to science.” </w:t>
      </w:r>
    </w:p>
    <w:p w:rsidR="00701D62" w:rsidRPr="00604412" w:rsidRDefault="00701D62" w:rsidP="007762A9">
      <w:pPr>
        <w:spacing w:line="360" w:lineRule="auto"/>
        <w:jc w:val="both"/>
        <w:rPr>
          <w:rFonts w:ascii="Times New Roman" w:hAnsi="Times New Roman" w:cs="Times New Roman"/>
          <w:sz w:val="24"/>
          <w:szCs w:val="24"/>
        </w:rPr>
      </w:pPr>
      <w:r w:rsidRPr="00604412">
        <w:rPr>
          <w:rFonts w:ascii="Times New Roman" w:hAnsi="Times New Roman" w:cs="Times New Roman"/>
          <w:sz w:val="24"/>
          <w:szCs w:val="24"/>
        </w:rPr>
        <w:t xml:space="preserve">As I see it, Article 15 ICESCR and the rights outlined in its four sub-parts are among the most universally beneficial and important human rights. For that reason, I would like to </w:t>
      </w:r>
      <w:r w:rsidR="00A91BDF">
        <w:rPr>
          <w:rFonts w:ascii="Times New Roman" w:hAnsi="Times New Roman" w:cs="Times New Roman"/>
          <w:sz w:val="24"/>
          <w:szCs w:val="24"/>
        </w:rPr>
        <w:t>start by congratulating</w:t>
      </w:r>
      <w:r w:rsidRPr="00604412">
        <w:rPr>
          <w:rFonts w:ascii="Times New Roman" w:hAnsi="Times New Roman" w:cs="Times New Roman"/>
          <w:sz w:val="24"/>
          <w:szCs w:val="24"/>
        </w:rPr>
        <w:t xml:space="preserve"> Rodrigo </w:t>
      </w:r>
      <w:proofErr w:type="spellStart"/>
      <w:r w:rsidRPr="00604412">
        <w:rPr>
          <w:rFonts w:ascii="Times New Roman" w:hAnsi="Times New Roman" w:cs="Times New Roman"/>
          <w:sz w:val="24"/>
          <w:szCs w:val="24"/>
        </w:rPr>
        <w:t>Uprimny</w:t>
      </w:r>
      <w:proofErr w:type="spellEnd"/>
      <w:r w:rsidRPr="00604412">
        <w:rPr>
          <w:rFonts w:ascii="Times New Roman" w:hAnsi="Times New Roman" w:cs="Times New Roman"/>
          <w:sz w:val="24"/>
          <w:szCs w:val="24"/>
        </w:rPr>
        <w:t xml:space="preserve"> and Mikel </w:t>
      </w:r>
      <w:proofErr w:type="spellStart"/>
      <w:r w:rsidRPr="00604412">
        <w:rPr>
          <w:rFonts w:ascii="Times New Roman" w:hAnsi="Times New Roman" w:cs="Times New Roman"/>
          <w:sz w:val="24"/>
          <w:szCs w:val="24"/>
        </w:rPr>
        <w:t>Mancisidor</w:t>
      </w:r>
      <w:proofErr w:type="spellEnd"/>
      <w:r w:rsidRPr="00604412">
        <w:rPr>
          <w:rFonts w:ascii="Times New Roman" w:hAnsi="Times New Roman" w:cs="Times New Roman"/>
          <w:sz w:val="24"/>
          <w:szCs w:val="24"/>
        </w:rPr>
        <w:t xml:space="preserve"> on having drafted a GC that I think works and will be very useful for the human rights community in the future.</w:t>
      </w:r>
      <w:r w:rsidR="00A91BDF">
        <w:rPr>
          <w:rFonts w:ascii="Times New Roman" w:hAnsi="Times New Roman" w:cs="Times New Roman"/>
          <w:sz w:val="24"/>
          <w:szCs w:val="24"/>
        </w:rPr>
        <w:t xml:space="preserve"> Many of us have looked forward to this particular GC for a while and are very pleased to see it now being under serious consideration.</w:t>
      </w:r>
    </w:p>
    <w:p w:rsidR="00701D62" w:rsidRDefault="00701D62" w:rsidP="007762A9">
      <w:pPr>
        <w:spacing w:line="360" w:lineRule="auto"/>
        <w:jc w:val="both"/>
        <w:rPr>
          <w:rFonts w:ascii="Times New Roman" w:hAnsi="Times New Roman" w:cs="Times New Roman"/>
          <w:sz w:val="24"/>
          <w:szCs w:val="24"/>
        </w:rPr>
      </w:pPr>
      <w:proofErr w:type="gramStart"/>
      <w:r w:rsidRPr="00604412">
        <w:rPr>
          <w:rFonts w:ascii="Times New Roman" w:hAnsi="Times New Roman" w:cs="Times New Roman"/>
          <w:sz w:val="24"/>
          <w:szCs w:val="24"/>
        </w:rPr>
        <w:t xml:space="preserve">Looking back after six years as UN Special Rapporteur in the field of cultural rights, Farida Shaheed </w:t>
      </w:r>
      <w:r w:rsidR="00604412" w:rsidRPr="00604412">
        <w:rPr>
          <w:rFonts w:ascii="Times New Roman" w:hAnsi="Times New Roman" w:cs="Times New Roman"/>
          <w:sz w:val="24"/>
          <w:szCs w:val="24"/>
        </w:rPr>
        <w:t>pointed to a question</w:t>
      </w:r>
      <w:r w:rsidR="00A91BDF">
        <w:rPr>
          <w:rFonts w:ascii="Times New Roman" w:hAnsi="Times New Roman" w:cs="Times New Roman"/>
          <w:sz w:val="24"/>
          <w:szCs w:val="24"/>
        </w:rPr>
        <w:t>,</w:t>
      </w:r>
      <w:r w:rsidR="00604412" w:rsidRPr="00604412">
        <w:rPr>
          <w:rFonts w:ascii="Times New Roman" w:hAnsi="Times New Roman" w:cs="Times New Roman"/>
          <w:sz w:val="24"/>
          <w:szCs w:val="24"/>
        </w:rPr>
        <w:t xml:space="preserve"> asked to her during an expert group meeting</w:t>
      </w:r>
      <w:r w:rsidR="00A91BDF">
        <w:rPr>
          <w:rFonts w:ascii="Times New Roman" w:hAnsi="Times New Roman" w:cs="Times New Roman"/>
          <w:sz w:val="24"/>
          <w:szCs w:val="24"/>
        </w:rPr>
        <w:t>,</w:t>
      </w:r>
      <w:r w:rsidR="00604412" w:rsidRPr="00604412">
        <w:rPr>
          <w:rFonts w:ascii="Times New Roman" w:hAnsi="Times New Roman" w:cs="Times New Roman"/>
          <w:sz w:val="24"/>
          <w:szCs w:val="24"/>
        </w:rPr>
        <w:t xml:space="preserve"> as a catalyst for her understanding of what she calls the</w:t>
      </w:r>
      <w:r w:rsidRPr="00604412">
        <w:rPr>
          <w:rFonts w:ascii="Times New Roman" w:hAnsi="Times New Roman" w:cs="Times New Roman"/>
          <w:sz w:val="24"/>
          <w:szCs w:val="24"/>
        </w:rPr>
        <w:t xml:space="preserve"> </w:t>
      </w:r>
      <w:r w:rsidR="00604412" w:rsidRPr="00604412">
        <w:rPr>
          <w:rFonts w:ascii="Times New Roman" w:hAnsi="Times New Roman" w:cs="Times New Roman"/>
          <w:sz w:val="24"/>
          <w:szCs w:val="24"/>
        </w:rPr>
        <w:t>right to science: “What does the right to enjoy the benefits of scientific progress and its application mean beyond the right to health…?”</w:t>
      </w:r>
      <w:proofErr w:type="gramEnd"/>
      <w:r w:rsidR="00604412" w:rsidRPr="00604412">
        <w:rPr>
          <w:rFonts w:ascii="Times New Roman" w:hAnsi="Times New Roman" w:cs="Times New Roman"/>
          <w:sz w:val="24"/>
          <w:szCs w:val="24"/>
        </w:rPr>
        <w:t xml:space="preserve"> This was a vital question, which made her think long and hard, and the answer she came up with informs her 2012 re</w:t>
      </w:r>
      <w:r w:rsidR="0053669E">
        <w:rPr>
          <w:rFonts w:ascii="Times New Roman" w:hAnsi="Times New Roman" w:cs="Times New Roman"/>
          <w:sz w:val="24"/>
          <w:szCs w:val="24"/>
        </w:rPr>
        <w:t>port on the right to science: Beyond the right to health, “a</w:t>
      </w:r>
      <w:r w:rsidR="00604412" w:rsidRPr="00604412">
        <w:rPr>
          <w:rFonts w:ascii="Times New Roman" w:hAnsi="Times New Roman" w:cs="Times New Roman"/>
          <w:sz w:val="24"/>
          <w:szCs w:val="24"/>
        </w:rPr>
        <w:t>t the core of cultural rights is human creativity, regardless of whether this is in terms of scie</w:t>
      </w:r>
      <w:r w:rsidR="00A91BDF">
        <w:rPr>
          <w:rFonts w:ascii="Times New Roman" w:hAnsi="Times New Roman" w:cs="Times New Roman"/>
          <w:sz w:val="24"/>
          <w:szCs w:val="24"/>
        </w:rPr>
        <w:t>nce, technology or artistic ex</w:t>
      </w:r>
      <w:r w:rsidR="00604412" w:rsidRPr="00604412">
        <w:rPr>
          <w:rFonts w:ascii="Times New Roman" w:hAnsi="Times New Roman" w:cs="Times New Roman"/>
          <w:sz w:val="24"/>
          <w:szCs w:val="24"/>
        </w:rPr>
        <w:t>pression.”</w:t>
      </w:r>
      <w:r w:rsidR="00604412" w:rsidRPr="00604412">
        <w:rPr>
          <w:rStyle w:val="FootnoteReference"/>
          <w:rFonts w:ascii="Times New Roman" w:hAnsi="Times New Roman" w:cs="Times New Roman"/>
          <w:sz w:val="24"/>
          <w:szCs w:val="24"/>
        </w:rPr>
        <w:footnoteReference w:id="1"/>
      </w:r>
    </w:p>
    <w:p w:rsidR="00A91BDF" w:rsidRDefault="00A91BDF" w:rsidP="007762A9">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While overlapping in important ways with the right to health, the right to science, to stay within Shaheed’s phrasing, is more than ‘merely’ the right to health. It is a right in and of its own</w:t>
      </w:r>
      <w:r w:rsidR="004718BE">
        <w:rPr>
          <w:rFonts w:ascii="Times New Roman" w:hAnsi="Times New Roman" w:cs="Times New Roman"/>
          <w:sz w:val="24"/>
          <w:szCs w:val="24"/>
        </w:rPr>
        <w:t>. I</w:t>
      </w:r>
      <w:r>
        <w:rPr>
          <w:rFonts w:ascii="Times New Roman" w:hAnsi="Times New Roman" w:cs="Times New Roman"/>
          <w:sz w:val="24"/>
          <w:szCs w:val="24"/>
        </w:rPr>
        <w:t xml:space="preserve">n addition to concerning human creativity, it is also about making possible </w:t>
      </w:r>
      <w:r w:rsidR="004718BE">
        <w:rPr>
          <w:rFonts w:ascii="Times New Roman" w:hAnsi="Times New Roman" w:cs="Times New Roman"/>
          <w:sz w:val="24"/>
          <w:szCs w:val="24"/>
        </w:rPr>
        <w:t>and safeguarding scientific knowledge and the consensus of relevant experts on a scientific matter after due consideration from those whose interests are threatened.</w:t>
      </w:r>
      <w:r w:rsidR="004718BE">
        <w:rPr>
          <w:rStyle w:val="FootnoteReference"/>
          <w:rFonts w:ascii="Times New Roman" w:hAnsi="Times New Roman" w:cs="Times New Roman"/>
          <w:sz w:val="24"/>
          <w:szCs w:val="24"/>
        </w:rPr>
        <w:footnoteReference w:id="2"/>
      </w:r>
      <w:r w:rsidR="004718BE">
        <w:rPr>
          <w:rFonts w:ascii="Times New Roman" w:hAnsi="Times New Roman" w:cs="Times New Roman"/>
          <w:sz w:val="24"/>
          <w:szCs w:val="24"/>
        </w:rPr>
        <w:t xml:space="preserve"> 15(3) ICESCR expressly protects scientific freedom, and “</w:t>
      </w:r>
      <w:r w:rsidR="004718BE">
        <w:rPr>
          <w:rFonts w:ascii="Times New Roman" w:hAnsi="Times New Roman" w:cs="Times New Roman"/>
          <w:color w:val="000000"/>
          <w:sz w:val="24"/>
          <w:szCs w:val="24"/>
        </w:rPr>
        <w:t xml:space="preserve">the </w:t>
      </w:r>
      <w:r w:rsidR="004718BE" w:rsidRPr="00A50657">
        <w:rPr>
          <w:rFonts w:ascii="Times New Roman" w:hAnsi="Times New Roman" w:cs="Times New Roman"/>
          <w:color w:val="000000"/>
          <w:sz w:val="24"/>
          <w:szCs w:val="24"/>
        </w:rPr>
        <w:t xml:space="preserve">crucial rationale for the protection of freedom of science must be seen </w:t>
      </w:r>
      <w:r w:rsidR="004718BE" w:rsidRPr="00A50657">
        <w:rPr>
          <w:rFonts w:ascii="Times New Roman" w:hAnsi="Times New Roman" w:cs="Times New Roman"/>
          <w:color w:val="000000"/>
          <w:sz w:val="24"/>
          <w:szCs w:val="24"/>
        </w:rPr>
        <w:lastRenderedPageBreak/>
        <w:t>to lie in the fact that it makes possible the discovery of the truth</w:t>
      </w:r>
      <w:r w:rsidR="004718BE">
        <w:rPr>
          <w:rFonts w:ascii="Times New Roman" w:hAnsi="Times New Roman" w:cs="Times New Roman"/>
          <w:color w:val="000000"/>
          <w:sz w:val="24"/>
          <w:szCs w:val="24"/>
        </w:rPr>
        <w:t xml:space="preserve">. </w:t>
      </w:r>
      <w:r w:rsidR="004718BE" w:rsidRPr="00A50657">
        <w:rPr>
          <w:rFonts w:ascii="Times New Roman" w:hAnsi="Times New Roman" w:cs="Times New Roman"/>
          <w:color w:val="000000"/>
          <w:sz w:val="24"/>
          <w:szCs w:val="24"/>
        </w:rPr>
        <w:t>Scientiﬁc truth may, in turn, yield beneﬁcial applications of science.</w:t>
      </w:r>
      <w:r w:rsidR="004718BE">
        <w:rPr>
          <w:rFonts w:ascii="Times New Roman" w:hAnsi="Times New Roman" w:cs="Times New Roman"/>
          <w:color w:val="000000"/>
          <w:sz w:val="24"/>
          <w:szCs w:val="24"/>
        </w:rPr>
        <w:t>”</w:t>
      </w:r>
      <w:r w:rsidR="004718BE">
        <w:rPr>
          <w:rStyle w:val="FootnoteReference"/>
          <w:rFonts w:ascii="Times New Roman" w:hAnsi="Times New Roman" w:cs="Times New Roman"/>
          <w:color w:val="000000"/>
          <w:sz w:val="24"/>
          <w:szCs w:val="24"/>
        </w:rPr>
        <w:footnoteReference w:id="3"/>
      </w:r>
    </w:p>
    <w:p w:rsidR="008D49A6" w:rsidRDefault="001545FD" w:rsidP="007762A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At a time where p</w:t>
      </w:r>
      <w:r w:rsidRPr="004156C0">
        <w:rPr>
          <w:rFonts w:ascii="Times New Roman" w:hAnsi="Times New Roman" w:cs="Times New Roman"/>
          <w:sz w:val="24"/>
          <w:szCs w:val="24"/>
        </w:rPr>
        <w:t xml:space="preserve">ublic trust is suffering as falsehood is presented as ‘alternative facts’, ‘post-truth’ and ‘fake news’, and the ‘dual use’ and unintended, because unforeseen, consequences of emerging technologies are </w:t>
      </w:r>
      <w:r>
        <w:rPr>
          <w:rFonts w:ascii="Times New Roman" w:hAnsi="Times New Roman" w:cs="Times New Roman"/>
          <w:sz w:val="24"/>
          <w:szCs w:val="24"/>
        </w:rPr>
        <w:t xml:space="preserve">perceived as an increasing risk, </w:t>
      </w:r>
      <w:r w:rsidR="008D49A6">
        <w:rPr>
          <w:rFonts w:ascii="Times New Roman" w:hAnsi="Times New Roman" w:cs="Times New Roman"/>
          <w:sz w:val="24"/>
          <w:szCs w:val="24"/>
        </w:rPr>
        <w:t xml:space="preserve">I would like to see this </w:t>
      </w:r>
      <w:r>
        <w:rPr>
          <w:rFonts w:ascii="Times New Roman" w:hAnsi="Times New Roman" w:cs="Times New Roman"/>
          <w:sz w:val="24"/>
          <w:szCs w:val="24"/>
        </w:rPr>
        <w:t xml:space="preserve">aspect of the right to science </w:t>
      </w:r>
      <w:r w:rsidR="008D49A6">
        <w:rPr>
          <w:rFonts w:ascii="Times New Roman" w:hAnsi="Times New Roman" w:cs="Times New Roman"/>
          <w:sz w:val="24"/>
          <w:szCs w:val="24"/>
        </w:rPr>
        <w:t>reflected in the GC. Para 89 briefly touches on “this set of rights, entitlements, liberties, duties or obligations related to science, analyzed in the GC,” which may be “named the human right to science.” I propose to change the wording of para 89 in the following way:</w:t>
      </w:r>
    </w:p>
    <w:p w:rsidR="008D49A6" w:rsidRDefault="008D49A6" w:rsidP="007762A9">
      <w:pPr>
        <w:spacing w:after="120" w:line="360" w:lineRule="auto"/>
        <w:jc w:val="both"/>
        <w:rPr>
          <w:rFonts w:ascii="Times New Roman" w:hAnsi="Times New Roman" w:cs="Times New Roman"/>
          <w:sz w:val="24"/>
          <w:szCs w:val="24"/>
        </w:rPr>
      </w:pPr>
    </w:p>
    <w:p w:rsidR="008D49A6" w:rsidRPr="007762A9" w:rsidRDefault="008D49A6" w:rsidP="007762A9">
      <w:pPr>
        <w:pStyle w:val="SingleTxtG"/>
        <w:suppressAutoHyphens w:val="0"/>
        <w:spacing w:line="360" w:lineRule="auto"/>
        <w:ind w:left="1138" w:right="1138"/>
        <w:rPr>
          <w:sz w:val="22"/>
          <w:szCs w:val="22"/>
          <w:lang w:val="en-US"/>
        </w:rPr>
      </w:pPr>
      <w:r w:rsidRPr="007762A9">
        <w:rPr>
          <w:sz w:val="22"/>
          <w:szCs w:val="22"/>
          <w:lang w:val="en-US"/>
        </w:rPr>
        <w:t>This set of rights, entitlements, liberties, duties or obligations related to science, analyzed in this</w:t>
      </w:r>
      <w:r w:rsidR="007762A9" w:rsidRPr="007762A9">
        <w:rPr>
          <w:sz w:val="22"/>
          <w:szCs w:val="22"/>
          <w:lang w:val="en-US"/>
        </w:rPr>
        <w:t xml:space="preserve"> General Comment, </w:t>
      </w:r>
      <w:proofErr w:type="gramStart"/>
      <w:r w:rsidR="007762A9" w:rsidRPr="007762A9">
        <w:rPr>
          <w:sz w:val="22"/>
          <w:szCs w:val="22"/>
          <w:lang w:val="en-US"/>
        </w:rPr>
        <w:t>might be brought</w:t>
      </w:r>
      <w:proofErr w:type="gramEnd"/>
      <w:r w:rsidRPr="007762A9">
        <w:rPr>
          <w:sz w:val="22"/>
          <w:szCs w:val="22"/>
          <w:lang w:val="en-US"/>
        </w:rPr>
        <w:t xml:space="preserve"> together in a single broad concept named the human right to science, in the same way that, for example, the human right to health encompasses a set of rights and freedoms. </w:t>
      </w:r>
      <w:r w:rsidRPr="007762A9">
        <w:rPr>
          <w:i/>
          <w:sz w:val="22"/>
          <w:szCs w:val="22"/>
          <w:lang w:val="en-US"/>
        </w:rPr>
        <w:t xml:space="preserve">The human right to science enables the safeguarding of scientific knowledge and the consensus of relevant experts on a scientific matter after due consideration from those whose interests are threatened. </w:t>
      </w:r>
      <w:proofErr w:type="gramStart"/>
      <w:r w:rsidRPr="007762A9">
        <w:rPr>
          <w:sz w:val="22"/>
          <w:szCs w:val="22"/>
          <w:lang w:val="en-US"/>
        </w:rPr>
        <w:t xml:space="preserve">This approach and </w:t>
      </w:r>
      <w:r w:rsidR="00312DC0" w:rsidRPr="00312DC0">
        <w:rPr>
          <w:i/>
          <w:sz w:val="22"/>
          <w:szCs w:val="22"/>
          <w:lang w:val="en-US"/>
        </w:rPr>
        <w:t>the</w:t>
      </w:r>
      <w:r w:rsidR="00312DC0">
        <w:rPr>
          <w:sz w:val="22"/>
          <w:szCs w:val="22"/>
          <w:lang w:val="en-US"/>
        </w:rPr>
        <w:t xml:space="preserve"> </w:t>
      </w:r>
      <w:r w:rsidRPr="007762A9">
        <w:rPr>
          <w:sz w:val="22"/>
          <w:szCs w:val="22"/>
          <w:lang w:val="en-US"/>
        </w:rPr>
        <w:t>name</w:t>
      </w:r>
      <w:r w:rsidR="00312DC0" w:rsidRPr="00312DC0">
        <w:rPr>
          <w:i/>
          <w:sz w:val="22"/>
          <w:szCs w:val="22"/>
          <w:lang w:val="en-US"/>
        </w:rPr>
        <w:t>,</w:t>
      </w:r>
      <w:r w:rsidR="00312DC0">
        <w:rPr>
          <w:sz w:val="22"/>
          <w:szCs w:val="22"/>
          <w:lang w:val="en-US"/>
        </w:rPr>
        <w:t xml:space="preserve"> </w:t>
      </w:r>
      <w:r w:rsidR="00312DC0" w:rsidRPr="00312DC0">
        <w:rPr>
          <w:i/>
          <w:sz w:val="22"/>
          <w:szCs w:val="22"/>
          <w:lang w:val="en-US"/>
        </w:rPr>
        <w:t>the right to science,</w:t>
      </w:r>
      <w:r w:rsidRPr="007762A9">
        <w:rPr>
          <w:sz w:val="22"/>
          <w:szCs w:val="22"/>
          <w:lang w:val="en-US"/>
        </w:rPr>
        <w:t xml:space="preserve"> has already been adopted by the Special Rapporteur on Cultural Rights, by UNESCO</w:t>
      </w:r>
      <w:proofErr w:type="gramEnd"/>
      <w:r w:rsidRPr="007762A9">
        <w:rPr>
          <w:sz w:val="22"/>
          <w:szCs w:val="22"/>
          <w:lang w:val="en-US"/>
        </w:rPr>
        <w:t>, by some international conferences and summits and by some important scientific organizations and publications.</w:t>
      </w:r>
    </w:p>
    <w:p w:rsidR="000864A5" w:rsidRDefault="000864A5" w:rsidP="000864A5">
      <w:pPr>
        <w:spacing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C3EAC" w:rsidRDefault="004C3EAC" w:rsidP="004C3EAC">
      <w:pPr>
        <w:rPr>
          <w:rFonts w:eastAsiaTheme="minorEastAsia"/>
          <w:noProof/>
        </w:rPr>
      </w:pPr>
      <w:bookmarkStart w:id="0" w:name="_MailAutoSig"/>
    </w:p>
    <w:p w:rsidR="004C3EAC" w:rsidRDefault="004C3EAC" w:rsidP="006969BD">
      <w:pPr>
        <w:spacing w:line="120" w:lineRule="exact"/>
        <w:rPr>
          <w:rFonts w:ascii="Verdana" w:eastAsiaTheme="minorEastAsia" w:hAnsi="Verdana"/>
          <w:b/>
          <w:bCs/>
          <w:noProof/>
          <w:color w:val="808080"/>
          <w:sz w:val="15"/>
          <w:szCs w:val="15"/>
          <w:lang w:val="da-DK"/>
        </w:rPr>
      </w:pPr>
      <w:r>
        <w:rPr>
          <w:rFonts w:ascii="Verdana" w:eastAsiaTheme="minorEastAsia" w:hAnsi="Verdana"/>
          <w:b/>
          <w:bCs/>
          <w:noProof/>
          <w:color w:val="808080"/>
          <w:sz w:val="15"/>
          <w:szCs w:val="15"/>
          <w:lang w:val="da-DK"/>
        </w:rPr>
        <w:t xml:space="preserve">Helle Porsdam, </w:t>
      </w:r>
      <w:r>
        <w:rPr>
          <w:rFonts w:ascii="Verdana" w:eastAsiaTheme="minorEastAsia" w:hAnsi="Verdana"/>
          <w:noProof/>
          <w:color w:val="808080"/>
          <w:sz w:val="15"/>
          <w:szCs w:val="15"/>
          <w:lang w:val="da-DK"/>
        </w:rPr>
        <w:t>PhD &amp; dr.phil.</w:t>
      </w:r>
    </w:p>
    <w:p w:rsidR="004C3EAC" w:rsidRDefault="004C3EAC" w:rsidP="006969BD">
      <w:pPr>
        <w:spacing w:line="120" w:lineRule="exact"/>
        <w:rPr>
          <w:rFonts w:ascii="Verdana" w:eastAsiaTheme="minorEastAsia" w:hAnsi="Verdana"/>
          <w:noProof/>
          <w:color w:val="808080"/>
          <w:sz w:val="15"/>
          <w:szCs w:val="15"/>
          <w:lang w:val="en-GB"/>
        </w:rPr>
      </w:pPr>
      <w:r>
        <w:rPr>
          <w:rFonts w:ascii="Verdana" w:eastAsiaTheme="minorEastAsia" w:hAnsi="Verdana"/>
          <w:noProof/>
          <w:color w:val="808080"/>
          <w:sz w:val="15"/>
          <w:szCs w:val="15"/>
          <w:lang w:val="en-GB"/>
        </w:rPr>
        <w:t>Professor of Law and Humanities</w:t>
      </w:r>
    </w:p>
    <w:p w:rsidR="004C3EAC" w:rsidRDefault="004C3EAC" w:rsidP="006969BD">
      <w:pPr>
        <w:spacing w:line="120" w:lineRule="exact"/>
        <w:rPr>
          <w:rFonts w:ascii="Verdana" w:eastAsiaTheme="minorEastAsia" w:hAnsi="Verdana"/>
          <w:noProof/>
          <w:color w:val="808080"/>
          <w:sz w:val="15"/>
          <w:szCs w:val="15"/>
          <w:lang w:val="en-GB"/>
        </w:rPr>
      </w:pPr>
      <w:r>
        <w:rPr>
          <w:rFonts w:ascii="Verdana" w:eastAsiaTheme="minorEastAsia" w:hAnsi="Verdana"/>
          <w:noProof/>
          <w:color w:val="808080"/>
          <w:sz w:val="15"/>
          <w:szCs w:val="15"/>
          <w:lang w:val="en-GB"/>
        </w:rPr>
        <w:t>UNESCO Chair in Cultural Rights</w:t>
      </w:r>
    </w:p>
    <w:p w:rsidR="004C3EAC" w:rsidRDefault="004C3EAC" w:rsidP="006969BD">
      <w:pPr>
        <w:spacing w:line="120" w:lineRule="exact"/>
        <w:rPr>
          <w:rFonts w:ascii="Verdana" w:eastAsiaTheme="minorEastAsia" w:hAnsi="Verdana"/>
          <w:noProof/>
          <w:color w:val="808080"/>
          <w:sz w:val="15"/>
          <w:szCs w:val="15"/>
          <w:lang w:val="en-GB"/>
        </w:rPr>
      </w:pPr>
    </w:p>
    <w:p w:rsidR="004C3EAC" w:rsidRDefault="004C3EAC" w:rsidP="006969BD">
      <w:pPr>
        <w:spacing w:line="120" w:lineRule="exact"/>
        <w:rPr>
          <w:rFonts w:ascii="Verdana" w:eastAsiaTheme="minorEastAsia" w:hAnsi="Verdana"/>
          <w:b/>
          <w:bCs/>
          <w:noProof/>
          <w:color w:val="808080"/>
          <w:sz w:val="15"/>
          <w:szCs w:val="15"/>
          <w:lang w:val="en-GB"/>
        </w:rPr>
      </w:pPr>
      <w:r>
        <w:rPr>
          <w:rFonts w:ascii="Verdana" w:eastAsiaTheme="minorEastAsia" w:hAnsi="Verdana"/>
          <w:b/>
          <w:bCs/>
          <w:noProof/>
          <w:color w:val="808080"/>
          <w:sz w:val="15"/>
          <w:szCs w:val="15"/>
          <w:lang w:val="en-GB"/>
        </w:rPr>
        <w:t>University of Copenhagen</w:t>
      </w:r>
    </w:p>
    <w:p w:rsidR="004C3EAC" w:rsidRDefault="004C3EAC" w:rsidP="006969BD">
      <w:pPr>
        <w:spacing w:line="120" w:lineRule="exact"/>
        <w:rPr>
          <w:rFonts w:ascii="Verdana" w:eastAsiaTheme="minorEastAsia" w:hAnsi="Verdana"/>
          <w:noProof/>
          <w:color w:val="808080"/>
          <w:sz w:val="15"/>
          <w:szCs w:val="15"/>
          <w:lang w:val="en-GB"/>
        </w:rPr>
      </w:pPr>
      <w:r>
        <w:rPr>
          <w:rFonts w:ascii="Verdana" w:eastAsiaTheme="minorEastAsia" w:hAnsi="Verdana"/>
          <w:noProof/>
          <w:color w:val="808080"/>
          <w:sz w:val="15"/>
          <w:szCs w:val="15"/>
          <w:lang w:val="en-GB"/>
        </w:rPr>
        <w:t>Faculty of Law</w:t>
      </w:r>
    </w:p>
    <w:p w:rsidR="004C3EAC" w:rsidRDefault="004C3EAC" w:rsidP="006969BD">
      <w:pPr>
        <w:spacing w:line="120" w:lineRule="exact"/>
        <w:rPr>
          <w:rFonts w:ascii="Verdana" w:eastAsiaTheme="minorEastAsia" w:hAnsi="Verdana"/>
          <w:noProof/>
          <w:color w:val="808080"/>
          <w:sz w:val="15"/>
          <w:szCs w:val="15"/>
          <w:lang w:val="en-GB"/>
        </w:rPr>
      </w:pPr>
      <w:r>
        <w:rPr>
          <w:rFonts w:ascii="Verdana" w:eastAsiaTheme="minorEastAsia" w:hAnsi="Verdana"/>
          <w:noProof/>
          <w:color w:val="808080"/>
          <w:sz w:val="15"/>
          <w:szCs w:val="15"/>
          <w:lang w:val="en-GB"/>
        </w:rPr>
        <w:t>Centre for Interdisciplinary Studies of Law</w:t>
      </w:r>
    </w:p>
    <w:p w:rsidR="004C3EAC" w:rsidRDefault="004C3EAC" w:rsidP="006969BD">
      <w:pPr>
        <w:spacing w:line="120" w:lineRule="exact"/>
        <w:rPr>
          <w:rFonts w:ascii="Verdana" w:eastAsiaTheme="minorEastAsia" w:hAnsi="Verdana"/>
          <w:noProof/>
          <w:color w:val="808080"/>
          <w:sz w:val="15"/>
          <w:szCs w:val="15"/>
          <w:lang w:val="da-DK"/>
        </w:rPr>
      </w:pPr>
      <w:r>
        <w:rPr>
          <w:rFonts w:ascii="Verdana" w:eastAsiaTheme="minorEastAsia" w:hAnsi="Verdana"/>
          <w:noProof/>
          <w:color w:val="808080"/>
          <w:sz w:val="15"/>
          <w:szCs w:val="15"/>
          <w:lang w:val="da-DK"/>
        </w:rPr>
        <w:t>Karen Blixens Plads 16</w:t>
      </w:r>
    </w:p>
    <w:p w:rsidR="004C3EAC" w:rsidRDefault="004C3EAC" w:rsidP="006969BD">
      <w:pPr>
        <w:spacing w:line="120" w:lineRule="exact"/>
        <w:rPr>
          <w:rFonts w:ascii="Verdana" w:eastAsiaTheme="minorEastAsia" w:hAnsi="Verdana"/>
          <w:noProof/>
          <w:color w:val="808080"/>
          <w:sz w:val="15"/>
          <w:szCs w:val="15"/>
          <w:lang w:val="da-DK"/>
        </w:rPr>
      </w:pPr>
      <w:r>
        <w:rPr>
          <w:rFonts w:ascii="Verdana" w:eastAsiaTheme="minorEastAsia" w:hAnsi="Verdana"/>
          <w:noProof/>
          <w:color w:val="808080"/>
          <w:sz w:val="15"/>
          <w:szCs w:val="15"/>
          <w:lang w:val="da-DK"/>
        </w:rPr>
        <w:t xml:space="preserve">DK-2300 Copenhagen S  </w:t>
      </w:r>
    </w:p>
    <w:p w:rsidR="004C3EAC" w:rsidRDefault="004C3EAC" w:rsidP="006969BD">
      <w:pPr>
        <w:spacing w:line="120" w:lineRule="exact"/>
        <w:rPr>
          <w:rFonts w:ascii="Verdana" w:eastAsiaTheme="minorEastAsia" w:hAnsi="Verdana"/>
          <w:noProof/>
          <w:color w:val="808080"/>
          <w:sz w:val="15"/>
          <w:szCs w:val="15"/>
          <w:lang w:val="da-DK"/>
        </w:rPr>
      </w:pPr>
    </w:p>
    <w:p w:rsidR="004C3EAC" w:rsidRPr="004C3EAC" w:rsidRDefault="004C3EAC" w:rsidP="006969BD">
      <w:pPr>
        <w:spacing w:line="120" w:lineRule="exact"/>
        <w:rPr>
          <w:rFonts w:ascii="Verdana" w:eastAsiaTheme="minorEastAsia" w:hAnsi="Verdana"/>
          <w:noProof/>
          <w:color w:val="808080"/>
          <w:sz w:val="15"/>
          <w:szCs w:val="15"/>
          <w:lang w:val="de-DE"/>
        </w:rPr>
      </w:pPr>
      <w:r w:rsidRPr="004C3EAC">
        <w:rPr>
          <w:rFonts w:ascii="Verdana" w:eastAsiaTheme="minorEastAsia" w:hAnsi="Verdana"/>
          <w:noProof/>
          <w:color w:val="808080"/>
          <w:sz w:val="15"/>
          <w:szCs w:val="15"/>
          <w:lang w:val="de-DE"/>
        </w:rPr>
        <w:t>TEL +45 35 33 15 22</w:t>
      </w:r>
    </w:p>
    <w:p w:rsidR="004C3EAC" w:rsidRPr="004C3EAC" w:rsidRDefault="004C3EAC" w:rsidP="006969BD">
      <w:pPr>
        <w:spacing w:line="120" w:lineRule="exact"/>
        <w:rPr>
          <w:rFonts w:ascii="Verdana" w:eastAsiaTheme="minorEastAsia" w:hAnsi="Verdana"/>
          <w:noProof/>
          <w:color w:val="808080"/>
          <w:sz w:val="15"/>
          <w:szCs w:val="15"/>
          <w:lang w:val="de-DE"/>
        </w:rPr>
      </w:pPr>
      <w:r w:rsidRPr="004C3EAC">
        <w:rPr>
          <w:rFonts w:ascii="Verdana" w:eastAsiaTheme="minorEastAsia" w:hAnsi="Verdana"/>
          <w:noProof/>
          <w:color w:val="808080"/>
          <w:sz w:val="15"/>
          <w:szCs w:val="15"/>
          <w:lang w:val="de-DE"/>
        </w:rPr>
        <w:lastRenderedPageBreak/>
        <w:t>DIR +45 24 62 33 93</w:t>
      </w:r>
    </w:p>
    <w:p w:rsidR="004C3EAC" w:rsidRPr="004C3EAC" w:rsidRDefault="004C3EAC" w:rsidP="006969BD">
      <w:pPr>
        <w:spacing w:line="120" w:lineRule="exact"/>
        <w:rPr>
          <w:rFonts w:ascii="Verdana" w:eastAsiaTheme="minorEastAsia" w:hAnsi="Verdana"/>
          <w:noProof/>
          <w:color w:val="808080"/>
          <w:sz w:val="15"/>
          <w:szCs w:val="15"/>
          <w:lang w:val="de-DE"/>
        </w:rPr>
      </w:pPr>
      <w:hyperlink r:id="rId8" w:history="1">
        <w:r w:rsidRPr="004C3EAC">
          <w:rPr>
            <w:rStyle w:val="Hyperlink"/>
            <w:rFonts w:ascii="Verdana" w:eastAsiaTheme="minorEastAsia" w:hAnsi="Verdana"/>
            <w:noProof/>
            <w:sz w:val="15"/>
            <w:szCs w:val="15"/>
            <w:lang w:val="de-DE"/>
          </w:rPr>
          <w:t>porsdam@hum.ku.dk</w:t>
        </w:r>
      </w:hyperlink>
      <w:r w:rsidRPr="004C3EAC">
        <w:rPr>
          <w:rFonts w:ascii="Verdana" w:eastAsiaTheme="minorEastAsia" w:hAnsi="Verdana"/>
          <w:noProof/>
          <w:color w:val="808080"/>
          <w:sz w:val="15"/>
          <w:szCs w:val="15"/>
          <w:lang w:val="de-DE"/>
        </w:rPr>
        <w:t xml:space="preserve"> </w:t>
      </w:r>
    </w:p>
    <w:p w:rsidR="004C3EAC" w:rsidRPr="004C3EAC" w:rsidRDefault="004C3EAC" w:rsidP="004C3EAC">
      <w:pPr>
        <w:rPr>
          <w:rFonts w:ascii="Verdana" w:eastAsiaTheme="minorEastAsia" w:hAnsi="Verdana"/>
          <w:noProof/>
          <w:color w:val="808080"/>
          <w:sz w:val="15"/>
          <w:szCs w:val="15"/>
          <w:lang w:val="de-DE"/>
        </w:rPr>
      </w:pPr>
    </w:p>
    <w:p w:rsidR="004C3EAC" w:rsidRDefault="004C3EAC" w:rsidP="004C3EAC">
      <w:pPr>
        <w:rPr>
          <w:rFonts w:ascii="Calibri" w:eastAsiaTheme="minorEastAsia" w:hAnsi="Calibri"/>
          <w:noProof/>
          <w:lang w:val="da-DK"/>
        </w:rPr>
      </w:pPr>
      <w:r>
        <w:rPr>
          <w:rFonts w:ascii="Verdana" w:eastAsiaTheme="minorEastAsia" w:hAnsi="Verdana"/>
          <w:noProof/>
          <w:color w:val="808080"/>
          <w:sz w:val="15"/>
          <w:szCs w:val="15"/>
        </w:rPr>
        <w:drawing>
          <wp:inline distT="0" distB="0" distL="0" distR="0">
            <wp:extent cx="4057650" cy="1381125"/>
            <wp:effectExtent l="0" t="0" r="0" b="9525"/>
            <wp:docPr id="1" name="Picture 1" descr="Version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Version 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650" cy="1381125"/>
                    </a:xfrm>
                    <a:prstGeom prst="rect">
                      <a:avLst/>
                    </a:prstGeom>
                    <a:noFill/>
                    <a:ln>
                      <a:noFill/>
                    </a:ln>
                  </pic:spPr>
                </pic:pic>
              </a:graphicData>
            </a:graphic>
          </wp:inline>
        </w:drawing>
      </w:r>
    </w:p>
    <w:p w:rsidR="004C3EAC" w:rsidRDefault="004C3EAC" w:rsidP="004C3EAC">
      <w:pPr>
        <w:rPr>
          <w:rFonts w:eastAsiaTheme="minorEastAsia"/>
          <w:noProof/>
        </w:rPr>
      </w:pPr>
      <w:bookmarkStart w:id="1" w:name="_GoBack"/>
      <w:bookmarkEnd w:id="1"/>
      <w:r>
        <w:rPr>
          <w:rFonts w:ascii="Verdana" w:eastAsiaTheme="minorEastAsia" w:hAnsi="Verdana"/>
          <w:noProof/>
          <w:sz w:val="15"/>
          <w:szCs w:val="15"/>
        </w:rPr>
        <w:t xml:space="preserve">Stay tuned and updated: </w:t>
      </w:r>
      <w:hyperlink r:id="rId11" w:history="1">
        <w:r>
          <w:rPr>
            <w:rStyle w:val="Hyperlink"/>
            <w:rFonts w:ascii="Verdana" w:eastAsiaTheme="minorEastAsia" w:hAnsi="Verdana"/>
            <w:noProof/>
            <w:sz w:val="15"/>
            <w:szCs w:val="15"/>
          </w:rPr>
          <w:t>http://jura.ku.dk/unescochair/</w:t>
        </w:r>
      </w:hyperlink>
      <w:r>
        <w:rPr>
          <w:rFonts w:eastAsiaTheme="minorEastAsia"/>
          <w:noProof/>
        </w:rPr>
        <w:t xml:space="preserve"> </w:t>
      </w:r>
      <w:bookmarkEnd w:id="0"/>
    </w:p>
    <w:p w:rsidR="000864A5" w:rsidRDefault="000864A5"/>
    <w:p w:rsidR="006969BD" w:rsidRDefault="006969BD" w:rsidP="006969BD">
      <w:pPr>
        <w:spacing w:line="100" w:lineRule="exact"/>
        <w:rPr>
          <w:rFonts w:ascii="Calibri" w:eastAsiaTheme="minorEastAsia" w:hAnsi="Calibri"/>
          <w:noProof/>
          <w:lang w:val="da-DK"/>
        </w:rPr>
      </w:pPr>
      <w:r>
        <w:rPr>
          <w:rFonts w:ascii="Verdana" w:eastAsiaTheme="minorEastAsia" w:hAnsi="Verdana"/>
          <w:noProof/>
          <w:color w:val="808080"/>
          <w:sz w:val="15"/>
          <w:szCs w:val="15"/>
        </w:rPr>
        <w:drawing>
          <wp:inline distT="0" distB="0" distL="0" distR="0">
            <wp:extent cx="4057650" cy="1381125"/>
            <wp:effectExtent l="0" t="0" r="0" b="9525"/>
            <wp:docPr id="2" name="Picture 2" descr="Version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Version 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650" cy="1381125"/>
                    </a:xfrm>
                    <a:prstGeom prst="rect">
                      <a:avLst/>
                    </a:prstGeom>
                    <a:noFill/>
                    <a:ln>
                      <a:noFill/>
                    </a:ln>
                  </pic:spPr>
                </pic:pic>
              </a:graphicData>
            </a:graphic>
          </wp:inline>
        </w:drawing>
      </w:r>
    </w:p>
    <w:p w:rsidR="006969BD" w:rsidRPr="000864A5" w:rsidRDefault="006969BD"/>
    <w:sectPr w:rsidR="006969BD" w:rsidRPr="000864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59A" w:rsidRDefault="0080759A" w:rsidP="000864A5">
      <w:pPr>
        <w:spacing w:after="0" w:line="240" w:lineRule="auto"/>
      </w:pPr>
      <w:r>
        <w:separator/>
      </w:r>
    </w:p>
  </w:endnote>
  <w:endnote w:type="continuationSeparator" w:id="0">
    <w:p w:rsidR="0080759A" w:rsidRDefault="0080759A" w:rsidP="0008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59A" w:rsidRDefault="0080759A" w:rsidP="000864A5">
      <w:pPr>
        <w:spacing w:after="0" w:line="240" w:lineRule="auto"/>
      </w:pPr>
      <w:r>
        <w:separator/>
      </w:r>
    </w:p>
  </w:footnote>
  <w:footnote w:type="continuationSeparator" w:id="0">
    <w:p w:rsidR="0080759A" w:rsidRDefault="0080759A" w:rsidP="000864A5">
      <w:pPr>
        <w:spacing w:after="0" w:line="240" w:lineRule="auto"/>
      </w:pPr>
      <w:r>
        <w:continuationSeparator/>
      </w:r>
    </w:p>
  </w:footnote>
  <w:footnote w:id="1">
    <w:p w:rsidR="00604412" w:rsidRPr="00604412" w:rsidRDefault="00604412">
      <w:pPr>
        <w:pStyle w:val="FootnoteText"/>
        <w:rPr>
          <w:rFonts w:ascii="Times New Roman" w:hAnsi="Times New Roman" w:cs="Times New Roman"/>
        </w:rPr>
      </w:pPr>
      <w:r w:rsidRPr="00604412">
        <w:rPr>
          <w:rStyle w:val="FootnoteReference"/>
          <w:rFonts w:ascii="Times New Roman" w:hAnsi="Times New Roman" w:cs="Times New Roman"/>
        </w:rPr>
        <w:footnoteRef/>
      </w:r>
      <w:r w:rsidRPr="00604412">
        <w:rPr>
          <w:rFonts w:ascii="Times New Roman" w:hAnsi="Times New Roman" w:cs="Times New Roman"/>
        </w:rPr>
        <w:t xml:space="preserve"> Farida Shaheed, “The United Nations cultural rights mandate: reflections on the significance and challenges,” in Lucky </w:t>
      </w:r>
      <w:proofErr w:type="spellStart"/>
      <w:r w:rsidRPr="00604412">
        <w:rPr>
          <w:rFonts w:ascii="Times New Roman" w:hAnsi="Times New Roman" w:cs="Times New Roman"/>
        </w:rPr>
        <w:t>Belder</w:t>
      </w:r>
      <w:proofErr w:type="spellEnd"/>
      <w:r w:rsidRPr="00604412">
        <w:rPr>
          <w:rFonts w:ascii="Times New Roman" w:hAnsi="Times New Roman" w:cs="Times New Roman"/>
        </w:rPr>
        <w:t xml:space="preserve"> and Helle Porsdam, </w:t>
      </w:r>
      <w:r w:rsidRPr="00604412">
        <w:rPr>
          <w:rFonts w:ascii="Times New Roman" w:hAnsi="Times New Roman" w:cs="Times New Roman"/>
          <w:i/>
        </w:rPr>
        <w:t>Negotiating Cultural Rights: Issues at Stake, Challenges and Recommendations</w:t>
      </w:r>
      <w:r w:rsidRPr="00604412">
        <w:rPr>
          <w:rFonts w:ascii="Times New Roman" w:hAnsi="Times New Roman" w:cs="Times New Roman"/>
        </w:rPr>
        <w:t xml:space="preserve"> (Cheltenham, UK: Edward Elgar, 2017), p. 32.</w:t>
      </w:r>
    </w:p>
  </w:footnote>
  <w:footnote w:id="2">
    <w:p w:rsidR="004718BE" w:rsidRPr="004718BE" w:rsidRDefault="004718BE">
      <w:pPr>
        <w:pStyle w:val="FootnoteText"/>
        <w:rPr>
          <w:rFonts w:ascii="Times New Roman" w:hAnsi="Times New Roman" w:cs="Times New Roman"/>
        </w:rPr>
      </w:pPr>
      <w:r w:rsidRPr="004718BE">
        <w:rPr>
          <w:rStyle w:val="FootnoteReference"/>
          <w:rFonts w:ascii="Times New Roman" w:hAnsi="Times New Roman" w:cs="Times New Roman"/>
        </w:rPr>
        <w:footnoteRef/>
      </w:r>
      <w:r w:rsidRPr="004718BE">
        <w:rPr>
          <w:rFonts w:ascii="Times New Roman" w:hAnsi="Times New Roman" w:cs="Times New Roman"/>
        </w:rPr>
        <w:t xml:space="preserve"> See Naomi </w:t>
      </w:r>
      <w:proofErr w:type="spellStart"/>
      <w:r w:rsidRPr="004718BE">
        <w:rPr>
          <w:rFonts w:ascii="Times New Roman" w:hAnsi="Times New Roman" w:cs="Times New Roman"/>
        </w:rPr>
        <w:t>Oreskes</w:t>
      </w:r>
      <w:proofErr w:type="spellEnd"/>
      <w:r w:rsidRPr="004718BE">
        <w:rPr>
          <w:rFonts w:ascii="Times New Roman" w:hAnsi="Times New Roman" w:cs="Times New Roman"/>
        </w:rPr>
        <w:t xml:space="preserve">, </w:t>
      </w:r>
      <w:r w:rsidRPr="004718BE">
        <w:rPr>
          <w:rFonts w:ascii="Times New Roman" w:hAnsi="Times New Roman" w:cs="Times New Roman"/>
          <w:i/>
        </w:rPr>
        <w:t>Why Trust Science?</w:t>
      </w:r>
      <w:r w:rsidRPr="004718BE">
        <w:rPr>
          <w:rFonts w:ascii="Times New Roman" w:hAnsi="Times New Roman" w:cs="Times New Roman"/>
        </w:rPr>
        <w:t xml:space="preserve"> (Princeton &amp; Oxford: Princeton University Press, 2019).</w:t>
      </w:r>
    </w:p>
  </w:footnote>
  <w:footnote w:id="3">
    <w:p w:rsidR="004718BE" w:rsidRPr="00EA540D" w:rsidRDefault="004718BE" w:rsidP="004718BE">
      <w:pPr>
        <w:pStyle w:val="FootnoteText"/>
        <w:rPr>
          <w:rFonts w:ascii="Times New Roman" w:hAnsi="Times New Roman" w:cs="Times New Roman"/>
        </w:rPr>
      </w:pPr>
      <w:r w:rsidRPr="00732F86">
        <w:rPr>
          <w:rStyle w:val="FootnoteReference"/>
          <w:rFonts w:ascii="Times New Roman" w:hAnsi="Times New Roman" w:cs="Times New Roman"/>
        </w:rPr>
        <w:footnoteRef/>
      </w:r>
      <w:r w:rsidRPr="00732F86">
        <w:rPr>
          <w:rFonts w:ascii="Times New Roman" w:hAnsi="Times New Roman" w:cs="Times New Roman"/>
        </w:rPr>
        <w:t xml:space="preserve"> </w:t>
      </w:r>
      <w:r w:rsidRPr="00B031C2">
        <w:rPr>
          <w:rFonts w:ascii="Times New Roman" w:hAnsi="Times New Roman" w:cs="Times New Roman"/>
        </w:rPr>
        <w:t xml:space="preserve">Klaus D. </w:t>
      </w:r>
      <w:proofErr w:type="spellStart"/>
      <w:r w:rsidRPr="00B031C2">
        <w:rPr>
          <w:rFonts w:ascii="Times New Roman" w:hAnsi="Times New Roman" w:cs="Times New Roman"/>
        </w:rPr>
        <w:t>Beiter</w:t>
      </w:r>
      <w:proofErr w:type="spellEnd"/>
      <w:r w:rsidRPr="00B031C2">
        <w:rPr>
          <w:rFonts w:ascii="Times New Roman" w:hAnsi="Times New Roman" w:cs="Times New Roman"/>
        </w:rPr>
        <w:t xml:space="preserve">, “Where Have All the Scientific and Academic Freedoms Gone? </w:t>
      </w:r>
      <w:proofErr w:type="gramStart"/>
      <w:r w:rsidRPr="00B031C2">
        <w:rPr>
          <w:rFonts w:ascii="Times New Roman" w:hAnsi="Times New Roman" w:cs="Times New Roman"/>
        </w:rPr>
        <w:t>And</w:t>
      </w:r>
      <w:proofErr w:type="gramEnd"/>
      <w:r w:rsidRPr="00B031C2">
        <w:rPr>
          <w:rFonts w:ascii="Times New Roman" w:hAnsi="Times New Roman" w:cs="Times New Roman"/>
        </w:rPr>
        <w:t xml:space="preserve"> What Is ‘Adequate for </w:t>
      </w:r>
      <w:r w:rsidRPr="00EA540D">
        <w:rPr>
          <w:rFonts w:ascii="Times New Roman" w:hAnsi="Times New Roman" w:cs="Times New Roman"/>
        </w:rPr>
        <w:t xml:space="preserve">Science’? The Right to Enjoy the Benefits of Science and Its Applications,” </w:t>
      </w:r>
      <w:r w:rsidRPr="00EA540D">
        <w:rPr>
          <w:rFonts w:ascii="Times New Roman" w:hAnsi="Times New Roman" w:cs="Times New Roman"/>
          <w:i/>
        </w:rPr>
        <w:t>Israel Law Review</w:t>
      </w:r>
      <w:r w:rsidRPr="00EA540D">
        <w:rPr>
          <w:rFonts w:ascii="Times New Roman" w:hAnsi="Times New Roman" w:cs="Times New Roman"/>
        </w:rPr>
        <w:t xml:space="preserve"> 52(2) 2019, p. 238.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D1839"/>
    <w:multiLevelType w:val="hybridMultilevel"/>
    <w:tmpl w:val="1C3EEDF8"/>
    <w:lvl w:ilvl="0" w:tplc="D3A62ECE">
      <w:start w:val="1"/>
      <w:numFmt w:val="decimal"/>
      <w:lvlText w:val="%1."/>
      <w:lvlJc w:val="left"/>
      <w:pPr>
        <w:ind w:left="1689" w:hanging="555"/>
      </w:pPr>
      <w:rPr>
        <w:rFonts w:hint="default"/>
        <w:b w:val="0"/>
        <w:i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F8"/>
    <w:rsid w:val="000864A5"/>
    <w:rsid w:val="000E2C96"/>
    <w:rsid w:val="00116F2F"/>
    <w:rsid w:val="001545FD"/>
    <w:rsid w:val="001904BF"/>
    <w:rsid w:val="00312DC0"/>
    <w:rsid w:val="00316B71"/>
    <w:rsid w:val="00402CCE"/>
    <w:rsid w:val="004718BE"/>
    <w:rsid w:val="004C3EAC"/>
    <w:rsid w:val="0053669E"/>
    <w:rsid w:val="00604412"/>
    <w:rsid w:val="006969BD"/>
    <w:rsid w:val="00701D62"/>
    <w:rsid w:val="007762A9"/>
    <w:rsid w:val="00781CF8"/>
    <w:rsid w:val="007F08C3"/>
    <w:rsid w:val="0080759A"/>
    <w:rsid w:val="008D49A6"/>
    <w:rsid w:val="00A91BDF"/>
    <w:rsid w:val="00BF1865"/>
    <w:rsid w:val="00EA540D"/>
    <w:rsid w:val="00FB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CC60"/>
  <w15:chartTrackingRefBased/>
  <w15:docId w15:val="{109F6493-EE9E-459A-B4CD-4F6A7DB8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5_G,Footnotes,Note de bas de page2,fn,Fußnotentext RAXEN,Footnote Text Char2 Char,Footnote Text Char Char1 Char,Footnote Text Char2 Char Char Char,Footnote Text Char1 Char Char Char Char"/>
    <w:basedOn w:val="Normal"/>
    <w:link w:val="FootnoteTextChar"/>
    <w:uiPriority w:val="99"/>
    <w:unhideWhenUsed/>
    <w:qFormat/>
    <w:rsid w:val="000864A5"/>
    <w:pPr>
      <w:spacing w:after="0" w:line="240" w:lineRule="auto"/>
    </w:pPr>
    <w:rPr>
      <w:sz w:val="20"/>
      <w:szCs w:val="20"/>
    </w:rPr>
  </w:style>
  <w:style w:type="character" w:customStyle="1" w:styleId="FootnoteTextChar">
    <w:name w:val="Footnote Text Char"/>
    <w:aliases w:val="Footnote Text Char Char Char Char,Footnote Text Char Char Char1,5_G Char,Footnotes Char,Note de bas de page2 Char,fn Char,Fußnotentext RAXEN Char,Footnote Text Char2 Char Char,Footnote Text Char Char1 Char Char"/>
    <w:basedOn w:val="DefaultParagraphFont"/>
    <w:link w:val="FootnoteText"/>
    <w:uiPriority w:val="99"/>
    <w:rsid w:val="000864A5"/>
    <w:rPr>
      <w:sz w:val="20"/>
      <w:szCs w:val="20"/>
    </w:rPr>
  </w:style>
  <w:style w:type="character" w:styleId="FootnoteReference">
    <w:name w:val="footnote reference"/>
    <w:aliases w:val="4_G,16 Point,Superscript 6 Point,callout,Footnotes refss,Ref,de nota al pie,Footnote Ref"/>
    <w:basedOn w:val="DefaultParagraphFont"/>
    <w:link w:val="4GChar"/>
    <w:uiPriority w:val="99"/>
    <w:unhideWhenUsed/>
    <w:qFormat/>
    <w:rsid w:val="000864A5"/>
    <w:rPr>
      <w:vertAlign w:val="superscript"/>
    </w:rPr>
  </w:style>
  <w:style w:type="paragraph" w:customStyle="1" w:styleId="4GChar">
    <w:name w:val="4_G Char"/>
    <w:aliases w:val="Footnotes refss Char,ftref Char,BVI fnr Char,BVI fnr Car Car Char,BVI fnr Car Char,BVI fnr Car Car Car Car Char,BVI fnr Char Car Car Car Char,BVI fnr Car Car Car Car Char Char Char"/>
    <w:basedOn w:val="Normal"/>
    <w:link w:val="FootnoteReference"/>
    <w:uiPriority w:val="99"/>
    <w:rsid w:val="000864A5"/>
    <w:pPr>
      <w:spacing w:line="240" w:lineRule="exact"/>
      <w:jc w:val="both"/>
    </w:pPr>
    <w:rPr>
      <w:vertAlign w:val="superscript"/>
    </w:rPr>
  </w:style>
  <w:style w:type="paragraph" w:customStyle="1" w:styleId="SingleTxtG">
    <w:name w:val="_ Single Txt_G"/>
    <w:basedOn w:val="Normal"/>
    <w:qFormat/>
    <w:rsid w:val="008D49A6"/>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styleId="Hyperlink">
    <w:name w:val="Hyperlink"/>
    <w:basedOn w:val="DefaultParagraphFont"/>
    <w:uiPriority w:val="99"/>
    <w:semiHidden/>
    <w:unhideWhenUsed/>
    <w:rsid w:val="004C3E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01364">
      <w:bodyDiv w:val="1"/>
      <w:marLeft w:val="0"/>
      <w:marRight w:val="0"/>
      <w:marTop w:val="0"/>
      <w:marBottom w:val="0"/>
      <w:divBdr>
        <w:top w:val="none" w:sz="0" w:space="0" w:color="auto"/>
        <w:left w:val="none" w:sz="0" w:space="0" w:color="auto"/>
        <w:bottom w:val="none" w:sz="0" w:space="0" w:color="auto"/>
        <w:right w:val="none" w:sz="0" w:space="0" w:color="auto"/>
      </w:divBdr>
    </w:div>
    <w:div w:id="189873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sdam@hum.ku.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ra.ku.dk/unescochair/"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jura.ku.dk/english/research/unescochai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C7C325-7951-4852-9C2F-0F30660CF2D6}">
  <ds:schemaRefs>
    <ds:schemaRef ds:uri="http://schemas.openxmlformats.org/officeDocument/2006/bibliography"/>
  </ds:schemaRefs>
</ds:datastoreItem>
</file>

<file path=customXml/itemProps2.xml><?xml version="1.0" encoding="utf-8"?>
<ds:datastoreItem xmlns:ds="http://schemas.openxmlformats.org/officeDocument/2006/customXml" ds:itemID="{D131EA9E-AE10-4128-9048-4E6478FC760F}"/>
</file>

<file path=customXml/itemProps3.xml><?xml version="1.0" encoding="utf-8"?>
<ds:datastoreItem xmlns:ds="http://schemas.openxmlformats.org/officeDocument/2006/customXml" ds:itemID="{2A2D39EC-6816-4D1F-AD45-DE7AE80A3ADA}"/>
</file>

<file path=customXml/itemProps4.xml><?xml version="1.0" encoding="utf-8"?>
<ds:datastoreItem xmlns:ds="http://schemas.openxmlformats.org/officeDocument/2006/customXml" ds:itemID="{0A4F8EF4-FA6F-4C07-A0E3-C3EE4D2D83D4}"/>
</file>

<file path=docProps/app.xml><?xml version="1.0" encoding="utf-8"?>
<Properties xmlns="http://schemas.openxmlformats.org/officeDocument/2006/extended-properties" xmlns:vt="http://schemas.openxmlformats.org/officeDocument/2006/docPropsVTypes">
  <Template>Normal.dotm</Template>
  <TotalTime>183</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Max-Planck-Institute of Biochemistry</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dc:creator>
  <cp:keywords/>
  <dc:description/>
  <cp:lastModifiedBy>helle</cp:lastModifiedBy>
  <cp:revision>12</cp:revision>
  <dcterms:created xsi:type="dcterms:W3CDTF">2020-02-11T15:05:00Z</dcterms:created>
  <dcterms:modified xsi:type="dcterms:W3CDTF">2020-02-12T09:00:00Z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