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B4" w:rsidRDefault="009406DE" w:rsidP="001F72B4">
      <w:pPr>
        <w:pStyle w:val="Corpsdetexte"/>
        <w:jc w:val="center"/>
        <w:rPr>
          <w:rFonts w:ascii="Times New Roman" w:hAnsi="Times New Roman" w:cs="Times New Roman"/>
          <w:b/>
        </w:rPr>
      </w:pPr>
      <w:r w:rsidRPr="00CB1980">
        <w:rPr>
          <w:rFonts w:ascii="Times New Roman" w:hAnsi="Times New Roman" w:cs="Times New Roman"/>
          <w:b/>
        </w:rPr>
        <w:t>Written Submission to the Committee on Economic, Social and Cultural Rights (the “CESCR”)</w:t>
      </w:r>
    </w:p>
    <w:p w:rsidR="001F72B4" w:rsidRPr="001F72B4" w:rsidRDefault="001F72B4" w:rsidP="001F72B4">
      <w:pPr>
        <w:pStyle w:val="Corpsdetexte"/>
        <w:jc w:val="center"/>
        <w:rPr>
          <w:rFonts w:ascii="Times New Roman" w:hAnsi="Times New Roman" w:cs="Times New Roman"/>
          <w:b/>
        </w:rPr>
      </w:pPr>
    </w:p>
    <w:p w:rsidR="00616F6A" w:rsidRDefault="00616F6A" w:rsidP="00CB1980">
      <w:pPr>
        <w:pStyle w:val="Corpsdetexte"/>
        <w:jc w:val="both"/>
        <w:rPr>
          <w:rFonts w:ascii="Times New Roman" w:hAnsi="Times New Roman" w:cs="Times New Roman"/>
        </w:rPr>
      </w:pPr>
      <w:r>
        <w:rPr>
          <w:rFonts w:ascii="Times New Roman" w:hAnsi="Times New Roman" w:cs="Times New Roman"/>
          <w:b/>
        </w:rPr>
        <w:t xml:space="preserve">STTACA, the Tunisian Society of </w:t>
      </w:r>
      <w:proofErr w:type="spellStart"/>
      <w:r>
        <w:rPr>
          <w:rFonts w:ascii="Times New Roman" w:hAnsi="Times New Roman" w:cs="Times New Roman"/>
          <w:b/>
        </w:rPr>
        <w:t>Tobacology</w:t>
      </w:r>
      <w:proofErr w:type="spellEnd"/>
      <w:r>
        <w:rPr>
          <w:rFonts w:ascii="Times New Roman" w:hAnsi="Times New Roman" w:cs="Times New Roman"/>
          <w:b/>
        </w:rPr>
        <w:t xml:space="preserve"> and Addictive </w:t>
      </w:r>
      <w:proofErr w:type="spellStart"/>
      <w:r>
        <w:rPr>
          <w:rFonts w:ascii="Times New Roman" w:hAnsi="Times New Roman" w:cs="Times New Roman"/>
          <w:b/>
        </w:rPr>
        <w:t>Behaviours</w:t>
      </w:r>
      <w:proofErr w:type="spellEnd"/>
      <w:r>
        <w:rPr>
          <w:rFonts w:ascii="Times New Roman" w:hAnsi="Times New Roman" w:cs="Times New Roman"/>
          <w:b/>
        </w:rPr>
        <w:t>,</w:t>
      </w:r>
      <w:r w:rsidR="00A600F5" w:rsidRPr="00CB1980">
        <w:rPr>
          <w:rFonts w:ascii="Times New Roman" w:hAnsi="Times New Roman" w:cs="Times New Roman"/>
          <w:b/>
        </w:rPr>
        <w:t xml:space="preserve"> </w:t>
      </w:r>
      <w:r w:rsidR="00A600F5" w:rsidRPr="00CB1980">
        <w:rPr>
          <w:rFonts w:ascii="Times New Roman" w:hAnsi="Times New Roman" w:cs="Times New Roman"/>
        </w:rPr>
        <w:t>welcomes</w:t>
      </w:r>
      <w:r w:rsidR="0075061F" w:rsidRPr="00CB1980">
        <w:rPr>
          <w:rFonts w:ascii="Times New Roman" w:hAnsi="Times New Roman" w:cs="Times New Roman"/>
        </w:rPr>
        <w:t xml:space="preserve"> the opportunity to provide input on the draft General Comment on Science and Economic Social and Cultural Rights</w:t>
      </w:r>
      <w:r w:rsidR="00DB378E" w:rsidRPr="00CB1980">
        <w:rPr>
          <w:rFonts w:ascii="Times New Roman" w:hAnsi="Times New Roman" w:cs="Times New Roman"/>
        </w:rPr>
        <w:t xml:space="preserve"> (“the</w:t>
      </w:r>
      <w:r w:rsidR="00FD31F0" w:rsidRPr="00CB1980">
        <w:rPr>
          <w:rFonts w:ascii="Times New Roman" w:hAnsi="Times New Roman" w:cs="Times New Roman"/>
        </w:rPr>
        <w:t xml:space="preserve"> Draft</w:t>
      </w:r>
      <w:r w:rsidR="00DB378E" w:rsidRPr="00CB1980">
        <w:rPr>
          <w:rFonts w:ascii="Times New Roman" w:hAnsi="Times New Roman" w:cs="Times New Roman"/>
        </w:rPr>
        <w:t xml:space="preserve"> General Comment”)</w:t>
      </w:r>
      <w:r w:rsidR="0075061F" w:rsidRPr="00CB1980">
        <w:rPr>
          <w:rFonts w:ascii="Times New Roman" w:hAnsi="Times New Roman" w:cs="Times New Roman"/>
        </w:rPr>
        <w:t xml:space="preserve">.  The right to enjoy the benefits of scientific progress forms an integral part of the international human rights framework, as enshrined in </w:t>
      </w:r>
      <w:r w:rsidR="00CC2DAD" w:rsidRPr="00CB1980">
        <w:rPr>
          <w:rFonts w:ascii="Times New Roman" w:hAnsi="Times New Roman" w:cs="Times New Roman"/>
        </w:rPr>
        <w:t xml:space="preserve">Article 15 of the </w:t>
      </w:r>
      <w:r w:rsidR="0075061F" w:rsidRPr="00CB1980">
        <w:rPr>
          <w:rFonts w:ascii="Times New Roman" w:hAnsi="Times New Roman" w:cs="Times New Roman"/>
        </w:rPr>
        <w:t>International Covenant on Economic Social and Cultural Rights</w:t>
      </w:r>
      <w:r w:rsidR="00BA28CD">
        <w:rPr>
          <w:rFonts w:ascii="Times New Roman" w:hAnsi="Times New Roman" w:cs="Times New Roman"/>
        </w:rPr>
        <w:t xml:space="preserve"> (“the Covenant”)</w:t>
      </w:r>
      <w:r w:rsidR="0075061F" w:rsidRPr="00CB1980">
        <w:rPr>
          <w:rFonts w:ascii="Times New Roman" w:hAnsi="Times New Roman" w:cs="Times New Roman"/>
        </w:rPr>
        <w:t>.</w:t>
      </w:r>
      <w:r w:rsidR="00911814" w:rsidRPr="00CB1980">
        <w:rPr>
          <w:rStyle w:val="Appelnotedebasdep"/>
          <w:rFonts w:ascii="Times New Roman" w:hAnsi="Times New Roman" w:cs="Times New Roman"/>
        </w:rPr>
        <w:footnoteReference w:id="1"/>
      </w:r>
      <w:r w:rsidR="000C46E9" w:rsidRPr="00CB1980">
        <w:rPr>
          <w:rFonts w:ascii="Times New Roman" w:hAnsi="Times New Roman" w:cs="Times New Roman"/>
        </w:rPr>
        <w:t xml:space="preserve"> </w:t>
      </w:r>
    </w:p>
    <w:p w:rsidR="00FD31F0" w:rsidRPr="00CB1980" w:rsidRDefault="000C46E9" w:rsidP="00CB1980">
      <w:pPr>
        <w:pStyle w:val="Corpsdetexte"/>
        <w:jc w:val="both"/>
        <w:rPr>
          <w:rFonts w:ascii="Times New Roman" w:eastAsia="Times New Roman" w:hAnsi="Times New Roman" w:cs="Times New Roman"/>
          <w:kern w:val="24"/>
        </w:rPr>
      </w:pPr>
      <w:r w:rsidRPr="00CB1980">
        <w:rPr>
          <w:rFonts w:ascii="Times New Roman" w:hAnsi="Times New Roman" w:cs="Times New Roman"/>
        </w:rPr>
        <w:t xml:space="preserve"> </w:t>
      </w:r>
      <w:r w:rsidR="00616F6A">
        <w:rPr>
          <w:rFonts w:ascii="Times New Roman" w:eastAsia="Times New Roman" w:hAnsi="Times New Roman" w:cs="Times New Roman"/>
          <w:b/>
          <w:kern w:val="24"/>
        </w:rPr>
        <w:t>STTACA</w:t>
      </w:r>
      <w:r w:rsidR="00716448" w:rsidRPr="00CB1980">
        <w:rPr>
          <w:rFonts w:ascii="Times New Roman" w:eastAsia="Times New Roman" w:hAnsi="Times New Roman" w:cs="Times New Roman"/>
          <w:kern w:val="24"/>
        </w:rPr>
        <w:t xml:space="preserve"> agrees on the fundamental nature of the right to</w:t>
      </w:r>
      <w:r w:rsidR="009D6CA2">
        <w:rPr>
          <w:rFonts w:ascii="Times New Roman" w:eastAsia="Times New Roman" w:hAnsi="Times New Roman" w:cs="Times New Roman"/>
          <w:kern w:val="24"/>
        </w:rPr>
        <w:t xml:space="preserve"> enjoy the benefits of</w:t>
      </w:r>
      <w:r w:rsidR="00716448" w:rsidRPr="00CB1980">
        <w:rPr>
          <w:rFonts w:ascii="Times New Roman" w:eastAsia="Times New Roman" w:hAnsi="Times New Roman" w:cs="Times New Roman"/>
          <w:kern w:val="24"/>
        </w:rPr>
        <w:t xml:space="preserve"> </w:t>
      </w:r>
      <w:r w:rsidR="009D6CA2">
        <w:rPr>
          <w:rFonts w:ascii="Times New Roman" w:eastAsia="Times New Roman" w:hAnsi="Times New Roman" w:cs="Times New Roman"/>
          <w:kern w:val="24"/>
        </w:rPr>
        <w:t>scientific progress</w:t>
      </w:r>
      <w:r w:rsidR="00716448" w:rsidRPr="00CB1980">
        <w:rPr>
          <w:rFonts w:ascii="Times New Roman" w:eastAsia="Times New Roman" w:hAnsi="Times New Roman" w:cs="Times New Roman"/>
          <w:kern w:val="24"/>
        </w:rPr>
        <w:t xml:space="preserve"> and on the need to promote its full realization without discrimination.  </w:t>
      </w:r>
    </w:p>
    <w:p w:rsidR="009406DE" w:rsidRPr="00CB1980" w:rsidRDefault="00616F6A" w:rsidP="00CB1980">
      <w:pPr>
        <w:rPr>
          <w:rFonts w:ascii="Times New Roman" w:hAnsi="Times New Roman" w:cs="Times New Roman"/>
          <w:b/>
        </w:rPr>
      </w:pPr>
      <w:r>
        <w:rPr>
          <w:rFonts w:ascii="Times New Roman" w:hAnsi="Times New Roman" w:cs="Times New Roman"/>
          <w:b/>
        </w:rPr>
        <w:t>STTACA,</w:t>
      </w:r>
      <w:r w:rsidR="00257DCF" w:rsidRPr="00CB1980">
        <w:rPr>
          <w:rFonts w:ascii="Times New Roman" w:hAnsi="Times New Roman" w:cs="Times New Roman"/>
          <w:b/>
        </w:rPr>
        <w:t xml:space="preserve"> </w:t>
      </w:r>
      <w:r w:rsidR="00257DCF" w:rsidRPr="00CB1980">
        <w:rPr>
          <w:rFonts w:ascii="Times New Roman" w:hAnsi="Times New Roman" w:cs="Times New Roman"/>
        </w:rPr>
        <w:t xml:space="preserve">commends the Committee for the issuance of the </w:t>
      </w:r>
      <w:r w:rsidR="004D6D99">
        <w:rPr>
          <w:rFonts w:ascii="Times New Roman" w:hAnsi="Times New Roman" w:cs="Times New Roman"/>
        </w:rPr>
        <w:t xml:space="preserve">Draft </w:t>
      </w:r>
      <w:r w:rsidR="00257DCF" w:rsidRPr="00CB1980">
        <w:rPr>
          <w:rFonts w:ascii="Times New Roman" w:hAnsi="Times New Roman" w:cs="Times New Roman"/>
        </w:rPr>
        <w:t xml:space="preserve">General Comment and welcomes this effort to provide </w:t>
      </w:r>
      <w:r w:rsidR="009D6CA2">
        <w:rPr>
          <w:rFonts w:ascii="Times New Roman" w:hAnsi="Times New Roman" w:cs="Times New Roman"/>
        </w:rPr>
        <w:t>clarity on the parameters of this</w:t>
      </w:r>
      <w:r w:rsidR="00257DCF" w:rsidRPr="00CB1980">
        <w:rPr>
          <w:rFonts w:ascii="Times New Roman" w:hAnsi="Times New Roman" w:cs="Times New Roman"/>
        </w:rPr>
        <w:t xml:space="preserve"> right, </w:t>
      </w:r>
      <w:r w:rsidR="004D6D99">
        <w:rPr>
          <w:rFonts w:ascii="Times New Roman" w:hAnsi="Times New Roman" w:cs="Times New Roman"/>
        </w:rPr>
        <w:t>as well as</w:t>
      </w:r>
      <w:r w:rsidR="00257DCF" w:rsidRPr="00CB1980">
        <w:rPr>
          <w:rFonts w:ascii="Times New Roman" w:hAnsi="Times New Roman" w:cs="Times New Roman"/>
        </w:rPr>
        <w:t xml:space="preserve"> encourage</w:t>
      </w:r>
      <w:r w:rsidR="00CB1980">
        <w:rPr>
          <w:rFonts w:ascii="Times New Roman" w:hAnsi="Times New Roman" w:cs="Times New Roman"/>
        </w:rPr>
        <w:t>s</w:t>
      </w:r>
      <w:r w:rsidR="00257DCF" w:rsidRPr="00CB1980">
        <w:rPr>
          <w:rFonts w:ascii="Times New Roman" w:hAnsi="Times New Roman" w:cs="Times New Roman"/>
        </w:rPr>
        <w:t xml:space="preserve"> states to </w:t>
      </w:r>
      <w:r w:rsidR="004D6D99">
        <w:rPr>
          <w:rFonts w:ascii="Times New Roman" w:hAnsi="Times New Roman" w:cs="Times New Roman"/>
        </w:rPr>
        <w:t>fulfill their</w:t>
      </w:r>
      <w:r w:rsidR="00257DCF" w:rsidRPr="00CB1980">
        <w:rPr>
          <w:rFonts w:ascii="Times New Roman" w:hAnsi="Times New Roman" w:cs="Times New Roman"/>
        </w:rPr>
        <w:t xml:space="preserve"> tripartite obligation to respect, protect, and fulfill </w:t>
      </w:r>
      <w:r w:rsidR="009D6CA2">
        <w:rPr>
          <w:rFonts w:ascii="Times New Roman" w:hAnsi="Times New Roman" w:cs="Times New Roman"/>
        </w:rPr>
        <w:t>this right.</w:t>
      </w:r>
      <w:r w:rsidR="00257DCF" w:rsidRPr="00CB1980">
        <w:rPr>
          <w:rFonts w:ascii="Times New Roman" w:hAnsi="Times New Roman" w:cs="Times New Roman"/>
        </w:rPr>
        <w:t xml:space="preserve"> </w:t>
      </w:r>
    </w:p>
    <w:p w:rsidR="00257DCF" w:rsidRDefault="00257DCF" w:rsidP="00CB1980">
      <w:pPr>
        <w:rPr>
          <w:rFonts w:ascii="Times New Roman" w:hAnsi="Times New Roman" w:cs="Times New Roman"/>
        </w:rPr>
      </w:pPr>
      <w:r w:rsidRPr="00CB1980">
        <w:rPr>
          <w:rFonts w:ascii="Times New Roman" w:hAnsi="Times New Roman" w:cs="Times New Roman"/>
        </w:rPr>
        <w:t xml:space="preserve">As </w:t>
      </w:r>
      <w:r w:rsidR="00CB1980">
        <w:rPr>
          <w:rFonts w:ascii="Times New Roman" w:hAnsi="Times New Roman" w:cs="Times New Roman"/>
        </w:rPr>
        <w:t>recognized</w:t>
      </w:r>
      <w:r w:rsidRPr="00CB1980">
        <w:rPr>
          <w:rFonts w:ascii="Times New Roman" w:hAnsi="Times New Roman" w:cs="Times New Roman"/>
        </w:rPr>
        <w:t xml:space="preserve"> in the Draft General Comment, the Covenant is a living document, and interpretations </w:t>
      </w:r>
      <w:r w:rsidR="009406DE" w:rsidRPr="00CB1980">
        <w:rPr>
          <w:rFonts w:ascii="Times New Roman" w:hAnsi="Times New Roman" w:cs="Times New Roman"/>
        </w:rPr>
        <w:t>are</w:t>
      </w:r>
      <w:r w:rsidRPr="00CB1980">
        <w:rPr>
          <w:rFonts w:ascii="Times New Roman" w:hAnsi="Times New Roman" w:cs="Times New Roman"/>
        </w:rPr>
        <w:t xml:space="preserve"> necessary in order to reflect innovation, progress, and change.  The adoption of a General Comment is </w:t>
      </w:r>
      <w:r w:rsidR="001F72B4" w:rsidRPr="00CB1980">
        <w:rPr>
          <w:rFonts w:ascii="Times New Roman" w:hAnsi="Times New Roman" w:cs="Times New Roman"/>
        </w:rPr>
        <w:t>required</w:t>
      </w:r>
      <w:r w:rsidRPr="00CB1980">
        <w:rPr>
          <w:rFonts w:ascii="Times New Roman" w:hAnsi="Times New Roman" w:cs="Times New Roman"/>
        </w:rPr>
        <w:t xml:space="preserve"> to elaborate on the normative content </w:t>
      </w:r>
      <w:r w:rsidR="009406DE" w:rsidRPr="00CB1980">
        <w:rPr>
          <w:rFonts w:ascii="Times New Roman" w:hAnsi="Times New Roman" w:cs="Times New Roman"/>
        </w:rPr>
        <w:t>of</w:t>
      </w:r>
      <w:r w:rsidRPr="00CB1980">
        <w:rPr>
          <w:rFonts w:ascii="Times New Roman" w:hAnsi="Times New Roman" w:cs="Times New Roman"/>
        </w:rPr>
        <w:t xml:space="preserve"> state obligations, </w:t>
      </w:r>
      <w:r w:rsidR="009406DE" w:rsidRPr="00CB1980">
        <w:rPr>
          <w:rFonts w:ascii="Times New Roman" w:hAnsi="Times New Roman" w:cs="Times New Roman"/>
        </w:rPr>
        <w:t>creating an</w:t>
      </w:r>
      <w:r w:rsidRPr="00CB1980">
        <w:rPr>
          <w:rFonts w:ascii="Times New Roman" w:hAnsi="Times New Roman" w:cs="Times New Roman"/>
        </w:rPr>
        <w:t xml:space="preserve"> authoritative </w:t>
      </w:r>
      <w:r w:rsidR="009406DE" w:rsidRPr="00CB1980">
        <w:rPr>
          <w:rFonts w:ascii="Times New Roman" w:hAnsi="Times New Roman" w:cs="Times New Roman"/>
        </w:rPr>
        <w:t xml:space="preserve">source of interpretation for </w:t>
      </w:r>
      <w:r w:rsidRPr="00CB1980">
        <w:rPr>
          <w:rFonts w:ascii="Times New Roman" w:hAnsi="Times New Roman" w:cs="Times New Roman"/>
        </w:rPr>
        <w:t>states to ensure that their national legal systems protect this right.</w:t>
      </w:r>
      <w:r w:rsidRPr="00CB1980">
        <w:rPr>
          <w:rStyle w:val="Appelnotedebasdep"/>
          <w:rFonts w:ascii="Times New Roman" w:hAnsi="Times New Roman" w:cs="Times New Roman"/>
        </w:rPr>
        <w:footnoteReference w:id="2"/>
      </w:r>
    </w:p>
    <w:p w:rsidR="001F72B4" w:rsidRPr="00693478" w:rsidRDefault="00693478" w:rsidP="00CB1980">
      <w:pPr>
        <w:rPr>
          <w:rFonts w:ascii="Times New Roman" w:hAnsi="Times New Roman" w:cs="Times New Roman"/>
          <w:b/>
        </w:rPr>
      </w:pPr>
      <w:r>
        <w:rPr>
          <w:rFonts w:ascii="Times New Roman" w:hAnsi="Times New Roman" w:cs="Times New Roman"/>
        </w:rPr>
        <w:t>The</w:t>
      </w:r>
      <w:r w:rsidR="009406DE" w:rsidRPr="00CB1980">
        <w:rPr>
          <w:rFonts w:ascii="Times New Roman" w:hAnsi="Times New Roman" w:cs="Times New Roman"/>
        </w:rPr>
        <w:t xml:space="preserve"> publication of the Draft General Comment is </w:t>
      </w:r>
      <w:r w:rsidR="009D6CA2">
        <w:rPr>
          <w:rFonts w:ascii="Times New Roman" w:hAnsi="Times New Roman" w:cs="Times New Roman"/>
        </w:rPr>
        <w:t xml:space="preserve">also </w:t>
      </w:r>
      <w:r w:rsidR="009406DE" w:rsidRPr="00CB1980">
        <w:rPr>
          <w:rFonts w:ascii="Times New Roman" w:hAnsi="Times New Roman" w:cs="Times New Roman"/>
        </w:rPr>
        <w:t xml:space="preserve">timely, given increased recognition that </w:t>
      </w:r>
      <w:r w:rsidR="00C83306" w:rsidRPr="00CB1980">
        <w:rPr>
          <w:rFonts w:ascii="Times New Roman" w:hAnsi="Times New Roman" w:cs="Times New Roman"/>
        </w:rPr>
        <w:t xml:space="preserve">science, innovation, and technology </w:t>
      </w:r>
      <w:r w:rsidR="009406DE" w:rsidRPr="00CB1980">
        <w:rPr>
          <w:rFonts w:ascii="Times New Roman" w:hAnsi="Times New Roman" w:cs="Times New Roman"/>
        </w:rPr>
        <w:t>are</w:t>
      </w:r>
      <w:r w:rsidR="00C83306" w:rsidRPr="00CB1980">
        <w:rPr>
          <w:rFonts w:ascii="Times New Roman" w:hAnsi="Times New Roman" w:cs="Times New Roman"/>
        </w:rPr>
        <w:t xml:space="preserve"> critical</w:t>
      </w:r>
      <w:r w:rsidR="009406DE" w:rsidRPr="00CB1980">
        <w:rPr>
          <w:rFonts w:ascii="Times New Roman" w:hAnsi="Times New Roman" w:cs="Times New Roman"/>
        </w:rPr>
        <w:t xml:space="preserve"> </w:t>
      </w:r>
      <w:r w:rsidR="00CB1980">
        <w:rPr>
          <w:rFonts w:ascii="Times New Roman" w:hAnsi="Times New Roman" w:cs="Times New Roman"/>
        </w:rPr>
        <w:t>components to</w:t>
      </w:r>
      <w:r w:rsidR="00C83306" w:rsidRPr="00CB1980">
        <w:rPr>
          <w:rFonts w:ascii="Times New Roman" w:hAnsi="Times New Roman" w:cs="Times New Roman"/>
        </w:rPr>
        <w:t xml:space="preserve"> </w:t>
      </w:r>
      <w:r w:rsidR="00CB1980">
        <w:rPr>
          <w:rFonts w:ascii="Times New Roman" w:hAnsi="Times New Roman" w:cs="Times New Roman"/>
        </w:rPr>
        <w:t xml:space="preserve">foster achievement </w:t>
      </w:r>
      <w:r w:rsidR="00C83306" w:rsidRPr="00CB1980">
        <w:rPr>
          <w:rFonts w:ascii="Times New Roman" w:hAnsi="Times New Roman" w:cs="Times New Roman"/>
        </w:rPr>
        <w:t>of the Sustainable Development Goals (“SDGs</w:t>
      </w:r>
      <w:r w:rsidR="009406DE" w:rsidRPr="00CB1980">
        <w:rPr>
          <w:rFonts w:ascii="Times New Roman" w:hAnsi="Times New Roman" w:cs="Times New Roman"/>
        </w:rPr>
        <w:t>”), including SDG 3 on health.</w:t>
      </w:r>
      <w:r w:rsidR="00C83306" w:rsidRPr="00CB1980">
        <w:rPr>
          <w:rStyle w:val="Appelnotedebasdep"/>
          <w:rFonts w:ascii="Times New Roman" w:hAnsi="Times New Roman" w:cs="Times New Roman"/>
        </w:rPr>
        <w:footnoteReference w:id="3"/>
      </w:r>
      <w:r w:rsidR="00CC2DAD" w:rsidRPr="00CB1980">
        <w:rPr>
          <w:rFonts w:ascii="Times New Roman" w:hAnsi="Times New Roman" w:cs="Times New Roman"/>
        </w:rPr>
        <w:t xml:space="preserve">  </w:t>
      </w:r>
      <w:r w:rsidR="001F72B4">
        <w:rPr>
          <w:rFonts w:ascii="Times New Roman" w:hAnsi="Times New Roman" w:cs="Times New Roman"/>
        </w:rPr>
        <w:t xml:space="preserve">In this connection, </w:t>
      </w:r>
      <w:r w:rsidR="009406DE" w:rsidRPr="00CB1980">
        <w:rPr>
          <w:rFonts w:ascii="Times New Roman" w:hAnsi="Times New Roman" w:cs="Times New Roman"/>
        </w:rPr>
        <w:t xml:space="preserve">innovative </w:t>
      </w:r>
      <w:r w:rsidR="00A23C7C">
        <w:rPr>
          <w:rFonts w:ascii="Times New Roman" w:hAnsi="Times New Roman" w:cs="Times New Roman"/>
        </w:rPr>
        <w:t xml:space="preserve">technologies and </w:t>
      </w:r>
      <w:r w:rsidR="009406DE" w:rsidRPr="00CB1980">
        <w:rPr>
          <w:rFonts w:ascii="Times New Roman" w:hAnsi="Times New Roman" w:cs="Times New Roman"/>
        </w:rPr>
        <w:t>products are being developed every day which can help solve public health challenges.</w:t>
      </w:r>
      <w:r w:rsidR="00CB1980">
        <w:rPr>
          <w:rStyle w:val="Appelnotedebasdep"/>
          <w:rFonts w:ascii="Times New Roman" w:hAnsi="Times New Roman" w:cs="Times New Roman"/>
        </w:rPr>
        <w:footnoteReference w:id="4"/>
      </w:r>
      <w:r w:rsidR="009406DE" w:rsidRPr="00CB1980">
        <w:rPr>
          <w:rFonts w:ascii="Times New Roman" w:hAnsi="Times New Roman" w:cs="Times New Roman"/>
        </w:rPr>
        <w:t xml:space="preserve">  </w:t>
      </w:r>
      <w:r w:rsidR="00CB1980">
        <w:rPr>
          <w:rFonts w:ascii="Times New Roman" w:hAnsi="Times New Roman" w:cs="Times New Roman"/>
        </w:rPr>
        <w:t>It is therefore critical for member states to</w:t>
      </w:r>
      <w:r w:rsidR="001F72B4">
        <w:rPr>
          <w:rFonts w:ascii="Times New Roman" w:hAnsi="Times New Roman" w:cs="Times New Roman"/>
        </w:rPr>
        <w:t xml:space="preserve"> implement policies which protect the right of individuals to benefit from </w:t>
      </w:r>
      <w:r>
        <w:rPr>
          <w:rFonts w:ascii="Times New Roman" w:hAnsi="Times New Roman" w:cs="Times New Roman"/>
        </w:rPr>
        <w:t xml:space="preserve">scientific progress which has allowed for the creation of </w:t>
      </w:r>
      <w:r w:rsidR="00A23C7C">
        <w:rPr>
          <w:rFonts w:ascii="Times New Roman" w:hAnsi="Times New Roman" w:cs="Times New Roman"/>
        </w:rPr>
        <w:t xml:space="preserve">these </w:t>
      </w:r>
      <w:r w:rsidR="00BA28CD">
        <w:rPr>
          <w:rFonts w:ascii="Times New Roman" w:hAnsi="Times New Roman" w:cs="Times New Roman"/>
        </w:rPr>
        <w:t>new technologies and products</w:t>
      </w:r>
      <w:r w:rsidR="00A23C7C">
        <w:rPr>
          <w:rFonts w:ascii="Times New Roman" w:hAnsi="Times New Roman" w:cs="Times New Roman"/>
        </w:rPr>
        <w:t>.</w:t>
      </w:r>
    </w:p>
    <w:p w:rsidR="00693478" w:rsidRDefault="00CB1980" w:rsidP="007724F0">
      <w:pPr>
        <w:spacing w:after="0" w:line="240" w:lineRule="auto"/>
        <w:rPr>
          <w:rFonts w:ascii="Times New Roman" w:hAnsi="Times New Roman" w:cs="Times New Roman"/>
        </w:rPr>
      </w:pPr>
      <w:r w:rsidRPr="001F72B4">
        <w:rPr>
          <w:rFonts w:ascii="Times New Roman" w:hAnsi="Times New Roman" w:cs="Times New Roman"/>
        </w:rPr>
        <w:t xml:space="preserve">Within this </w:t>
      </w:r>
      <w:r w:rsidR="007724F0">
        <w:rPr>
          <w:rFonts w:ascii="Times New Roman" w:hAnsi="Times New Roman" w:cs="Times New Roman"/>
        </w:rPr>
        <w:t>framework</w:t>
      </w:r>
      <w:r w:rsidRPr="001F72B4">
        <w:rPr>
          <w:rFonts w:ascii="Times New Roman" w:hAnsi="Times New Roman" w:cs="Times New Roman"/>
        </w:rPr>
        <w:t>, t</w:t>
      </w:r>
      <w:r w:rsidR="00911814" w:rsidRPr="001F72B4">
        <w:rPr>
          <w:rFonts w:ascii="Times New Roman" w:hAnsi="Times New Roman" w:cs="Times New Roman"/>
        </w:rPr>
        <w:t xml:space="preserve">hese comments will </w:t>
      </w:r>
      <w:r w:rsidR="001F72B4" w:rsidRPr="001F72B4">
        <w:rPr>
          <w:rFonts w:ascii="Times New Roman" w:hAnsi="Times New Roman" w:cs="Times New Roman"/>
        </w:rPr>
        <w:t>elaborate</w:t>
      </w:r>
      <w:r w:rsidRPr="001F72B4">
        <w:rPr>
          <w:rFonts w:ascii="Times New Roman" w:hAnsi="Times New Roman" w:cs="Times New Roman"/>
        </w:rPr>
        <w:t xml:space="preserve"> o</w:t>
      </w:r>
      <w:r w:rsidR="001F72B4">
        <w:rPr>
          <w:rFonts w:ascii="Times New Roman" w:hAnsi="Times New Roman" w:cs="Times New Roman"/>
        </w:rPr>
        <w:t>n the following:</w:t>
      </w:r>
      <w:r w:rsidR="001F72B4" w:rsidRPr="001F72B4">
        <w:rPr>
          <w:rFonts w:ascii="Times New Roman" w:hAnsi="Times New Roman" w:cs="Times New Roman"/>
        </w:rPr>
        <w:t xml:space="preserve"> (i) </w:t>
      </w:r>
      <w:r w:rsidR="001F72B4">
        <w:rPr>
          <w:rFonts w:ascii="Times New Roman" w:hAnsi="Times New Roman" w:cs="Times New Roman"/>
        </w:rPr>
        <w:t>i</w:t>
      </w:r>
      <w:r w:rsidR="001F72B4" w:rsidRPr="001F72B4">
        <w:rPr>
          <w:rFonts w:ascii="Times New Roman" w:hAnsi="Times New Roman" w:cs="Times New Roman"/>
        </w:rPr>
        <w:t>nterdependence of the right to</w:t>
      </w:r>
      <w:r w:rsidR="00693478">
        <w:rPr>
          <w:rFonts w:ascii="Times New Roman" w:hAnsi="Times New Roman" w:cs="Times New Roman"/>
        </w:rPr>
        <w:t xml:space="preserve"> </w:t>
      </w:r>
      <w:r w:rsidR="007724F0">
        <w:rPr>
          <w:rFonts w:ascii="Times New Roman" w:hAnsi="Times New Roman" w:cs="Times New Roman"/>
        </w:rPr>
        <w:t>enjoy the benefits of scientific progress</w:t>
      </w:r>
      <w:r w:rsidR="001F72B4" w:rsidRPr="001F72B4">
        <w:rPr>
          <w:rFonts w:ascii="Times New Roman" w:hAnsi="Times New Roman" w:cs="Times New Roman"/>
        </w:rPr>
        <w:t xml:space="preserve"> and the right to </w:t>
      </w:r>
      <w:r w:rsidR="007724F0">
        <w:rPr>
          <w:rFonts w:ascii="Times New Roman" w:hAnsi="Times New Roman" w:cs="Times New Roman"/>
        </w:rPr>
        <w:t xml:space="preserve">the highest attainable standard of </w:t>
      </w:r>
      <w:r w:rsidR="001F72B4" w:rsidRPr="001F72B4">
        <w:rPr>
          <w:rFonts w:ascii="Times New Roman" w:hAnsi="Times New Roman" w:cs="Times New Roman"/>
        </w:rPr>
        <w:t xml:space="preserve">health; (ii) the critical role of information and communication on risks and benefits of new technologies and products; (iii) </w:t>
      </w:r>
      <w:r w:rsidR="001F72B4" w:rsidRPr="001F72B4">
        <w:rPr>
          <w:rFonts w:ascii="Times New Roman" w:hAnsi="Times New Roman" w:cs="Times New Roman"/>
          <w:color w:val="000000"/>
        </w:rPr>
        <w:t xml:space="preserve">the importance of international cooperation and </w:t>
      </w:r>
      <w:r w:rsidR="001F72B4">
        <w:rPr>
          <w:rFonts w:ascii="Times New Roman" w:hAnsi="Times New Roman" w:cs="Times New Roman"/>
          <w:color w:val="000000"/>
        </w:rPr>
        <w:t xml:space="preserve">globally </w:t>
      </w:r>
      <w:r w:rsidR="001F72B4" w:rsidRPr="001F72B4">
        <w:rPr>
          <w:rFonts w:ascii="Times New Roman" w:hAnsi="Times New Roman" w:cs="Times New Roman"/>
          <w:color w:val="000000"/>
        </w:rPr>
        <w:t xml:space="preserve">harmonized approaches for new technologies and products; and (iv) </w:t>
      </w:r>
      <w:r w:rsidR="001F72B4">
        <w:rPr>
          <w:rFonts w:ascii="Times New Roman" w:hAnsi="Times New Roman" w:cs="Times New Roman"/>
        </w:rPr>
        <w:t>the importance of using</w:t>
      </w:r>
      <w:r w:rsidR="001F72B4" w:rsidRPr="001F72B4">
        <w:rPr>
          <w:rFonts w:ascii="Times New Roman" w:hAnsi="Times New Roman" w:cs="Times New Roman"/>
        </w:rPr>
        <w:t xml:space="preserve"> the precautionary principle in a way </w:t>
      </w:r>
      <w:r w:rsidR="00BA28CD">
        <w:rPr>
          <w:rFonts w:ascii="Times New Roman" w:hAnsi="Times New Roman" w:cs="Times New Roman"/>
        </w:rPr>
        <w:t>that</w:t>
      </w:r>
      <w:r w:rsidR="001F72B4" w:rsidRPr="001F72B4">
        <w:rPr>
          <w:rFonts w:ascii="Times New Roman" w:hAnsi="Times New Roman" w:cs="Times New Roman"/>
        </w:rPr>
        <w:t xml:space="preserve"> promotes scientific progress </w:t>
      </w:r>
      <w:r w:rsidR="00BA28CD">
        <w:rPr>
          <w:rFonts w:ascii="Times New Roman" w:hAnsi="Times New Roman" w:cs="Times New Roman"/>
        </w:rPr>
        <w:t>which</w:t>
      </w:r>
      <w:r w:rsidR="001F72B4" w:rsidRPr="001F72B4">
        <w:rPr>
          <w:rFonts w:ascii="Times New Roman" w:hAnsi="Times New Roman" w:cs="Times New Roman"/>
        </w:rPr>
        <w:t xml:space="preserve"> is beneficial for humanity</w:t>
      </w:r>
      <w:r w:rsidR="007724F0">
        <w:rPr>
          <w:rFonts w:ascii="Times New Roman" w:hAnsi="Times New Roman" w:cs="Times New Roman"/>
        </w:rPr>
        <w:t>.</w:t>
      </w:r>
      <w:r w:rsidR="004B24CE">
        <w:rPr>
          <w:rFonts w:ascii="Times New Roman" w:hAnsi="Times New Roman" w:cs="Times New Roman"/>
        </w:rPr>
        <w:t xml:space="preserve"> </w:t>
      </w:r>
      <w:r w:rsidR="004B24CE" w:rsidRPr="004B24CE">
        <w:rPr>
          <w:rFonts w:ascii="Times New Roman" w:hAnsi="Times New Roman" w:cs="Times New Roman"/>
        </w:rPr>
        <w:t>In the end, the role of science is to challenge the status quo, and the precautionary principle is the moral justification of the status quo. If the precautionary principle would have always been applied in its strictest interpretation, the earth will still be flat. The way it is written the precautionary principle should not only be implemented in a practical approach should be challenged to the benefit of social impact and scientific progress made available to the many and not only to the rich.</w:t>
      </w:r>
      <w:bookmarkStart w:id="0" w:name="_GoBack"/>
      <w:bookmarkEnd w:id="0"/>
    </w:p>
    <w:p w:rsidR="007724F0" w:rsidRDefault="007724F0" w:rsidP="007724F0">
      <w:pPr>
        <w:spacing w:after="0" w:line="240" w:lineRule="auto"/>
        <w:rPr>
          <w:rFonts w:ascii="Times New Roman" w:hAnsi="Times New Roman" w:cs="Times New Roman"/>
        </w:rPr>
      </w:pPr>
    </w:p>
    <w:p w:rsidR="007724F0" w:rsidRDefault="007724F0" w:rsidP="007724F0">
      <w:pPr>
        <w:spacing w:after="0" w:line="240" w:lineRule="auto"/>
        <w:rPr>
          <w:rFonts w:ascii="Times New Roman" w:hAnsi="Times New Roman" w:cs="Times New Roman"/>
        </w:rPr>
      </w:pPr>
    </w:p>
    <w:p w:rsidR="007724F0" w:rsidRDefault="007724F0" w:rsidP="007724F0">
      <w:pPr>
        <w:spacing w:after="0" w:line="240" w:lineRule="auto"/>
        <w:rPr>
          <w:rFonts w:ascii="Times New Roman" w:hAnsi="Times New Roman" w:cs="Times New Roman"/>
        </w:rPr>
      </w:pPr>
    </w:p>
    <w:p w:rsidR="007724F0" w:rsidRDefault="007724F0" w:rsidP="007724F0">
      <w:pPr>
        <w:spacing w:after="0" w:line="240" w:lineRule="auto"/>
        <w:rPr>
          <w:rFonts w:ascii="Times New Roman" w:hAnsi="Times New Roman" w:cs="Times New Roman"/>
        </w:rPr>
      </w:pPr>
    </w:p>
    <w:p w:rsidR="001F72B4" w:rsidRDefault="006C186C" w:rsidP="001F72B4">
      <w:pPr>
        <w:jc w:val="center"/>
        <w:rPr>
          <w:rFonts w:ascii="Times New Roman" w:hAnsi="Times New Roman" w:cs="Times New Roman"/>
          <w:i/>
        </w:rPr>
      </w:pPr>
      <w:r w:rsidRPr="00CB1980">
        <w:rPr>
          <w:rFonts w:ascii="Times New Roman" w:hAnsi="Times New Roman" w:cs="Times New Roman"/>
          <w:i/>
        </w:rPr>
        <w:t xml:space="preserve">Interdependence of </w:t>
      </w:r>
      <w:r w:rsidR="009406DE" w:rsidRPr="00CB1980">
        <w:rPr>
          <w:rFonts w:ascii="Times New Roman" w:hAnsi="Times New Roman" w:cs="Times New Roman"/>
          <w:i/>
        </w:rPr>
        <w:t xml:space="preserve">the right to </w:t>
      </w:r>
      <w:r w:rsidR="007724F0">
        <w:rPr>
          <w:rFonts w:ascii="Times New Roman" w:hAnsi="Times New Roman" w:cs="Times New Roman"/>
          <w:i/>
        </w:rPr>
        <w:t>enjoy the benefits of scientific progress</w:t>
      </w:r>
      <w:r w:rsidR="009406DE" w:rsidRPr="00CB1980">
        <w:rPr>
          <w:rFonts w:ascii="Times New Roman" w:hAnsi="Times New Roman" w:cs="Times New Roman"/>
          <w:i/>
        </w:rPr>
        <w:t xml:space="preserve"> and the right to </w:t>
      </w:r>
      <w:r w:rsidR="007724F0">
        <w:rPr>
          <w:rFonts w:ascii="Times New Roman" w:hAnsi="Times New Roman" w:cs="Times New Roman"/>
          <w:i/>
        </w:rPr>
        <w:t xml:space="preserve">the highest attainable standard of </w:t>
      </w:r>
      <w:r w:rsidR="009406DE" w:rsidRPr="00CB1980">
        <w:rPr>
          <w:rFonts w:ascii="Times New Roman" w:hAnsi="Times New Roman" w:cs="Times New Roman"/>
          <w:i/>
        </w:rPr>
        <w:t>health</w:t>
      </w:r>
      <w:r w:rsidR="00693478">
        <w:rPr>
          <w:rFonts w:ascii="Times New Roman" w:hAnsi="Times New Roman" w:cs="Times New Roman"/>
          <w:i/>
        </w:rPr>
        <w:t xml:space="preserve"> </w:t>
      </w:r>
    </w:p>
    <w:p w:rsidR="009406DE" w:rsidRDefault="001F72B4" w:rsidP="001F72B4">
      <w:pPr>
        <w:rPr>
          <w:rFonts w:ascii="Times New Roman" w:hAnsi="Times New Roman" w:cs="Times New Roman"/>
        </w:rPr>
      </w:pPr>
      <w:r>
        <w:rPr>
          <w:rFonts w:ascii="Times New Roman" w:hAnsi="Times New Roman" w:cs="Times New Roman"/>
        </w:rPr>
        <w:t>The</w:t>
      </w:r>
      <w:r w:rsidR="009406DE" w:rsidRPr="00CB1980">
        <w:rPr>
          <w:rFonts w:ascii="Times New Roman" w:hAnsi="Times New Roman" w:cs="Times New Roman"/>
        </w:rPr>
        <w:t xml:space="preserve"> Draft General Comment recognizes that science is </w:t>
      </w:r>
      <w:r w:rsidR="00693478">
        <w:rPr>
          <w:rFonts w:ascii="Times New Roman" w:hAnsi="Times New Roman" w:cs="Times New Roman"/>
        </w:rPr>
        <w:t>essential</w:t>
      </w:r>
      <w:r w:rsidR="009406DE" w:rsidRPr="00CB1980">
        <w:rPr>
          <w:rFonts w:ascii="Times New Roman" w:hAnsi="Times New Roman" w:cs="Times New Roman"/>
        </w:rPr>
        <w:t xml:space="preserve"> </w:t>
      </w:r>
      <w:r w:rsidR="00335BF6">
        <w:rPr>
          <w:rFonts w:ascii="Times New Roman" w:hAnsi="Times New Roman" w:cs="Times New Roman"/>
        </w:rPr>
        <w:t>to foster</w:t>
      </w:r>
      <w:r w:rsidR="009406DE" w:rsidRPr="00CB1980">
        <w:rPr>
          <w:rFonts w:ascii="Times New Roman" w:hAnsi="Times New Roman" w:cs="Times New Roman"/>
        </w:rPr>
        <w:t xml:space="preserve"> the realization of many other rights, including the right to the highest attainable standard of health</w:t>
      </w:r>
      <w:r>
        <w:rPr>
          <w:rFonts w:ascii="Times New Roman" w:hAnsi="Times New Roman" w:cs="Times New Roman"/>
        </w:rPr>
        <w:t xml:space="preserve"> (para. 19)</w:t>
      </w:r>
      <w:r w:rsidR="009406DE" w:rsidRPr="00CB1980">
        <w:rPr>
          <w:rFonts w:ascii="Times New Roman" w:hAnsi="Times New Roman" w:cs="Times New Roman"/>
        </w:rPr>
        <w:t>.</w:t>
      </w:r>
      <w:r w:rsidR="009406DE" w:rsidRPr="00CB1980">
        <w:rPr>
          <w:rStyle w:val="Appelnotedebasdep"/>
          <w:rFonts w:ascii="Times New Roman" w:hAnsi="Times New Roman" w:cs="Times New Roman"/>
        </w:rPr>
        <w:footnoteReference w:id="5"/>
      </w:r>
      <w:r w:rsidR="009406DE" w:rsidRPr="00CB1980">
        <w:rPr>
          <w:rFonts w:ascii="Times New Roman" w:hAnsi="Times New Roman" w:cs="Times New Roman"/>
        </w:rPr>
        <w:t xml:space="preserve">  </w:t>
      </w:r>
      <w:r w:rsidR="00F62BF4">
        <w:rPr>
          <w:rFonts w:ascii="Times New Roman" w:hAnsi="Times New Roman" w:cs="Times New Roman"/>
        </w:rPr>
        <w:t>It is therefore critical for member states to adopt policies which allow for the use of newly innovative technologies and products to solve public health challenges.</w:t>
      </w:r>
    </w:p>
    <w:p w:rsidR="001F72B4" w:rsidRDefault="001F72B4" w:rsidP="00CB1980">
      <w:pPr>
        <w:rPr>
          <w:rFonts w:ascii="Times New Roman" w:hAnsi="Times New Roman" w:cs="Times New Roman"/>
        </w:rPr>
      </w:pPr>
      <w:r>
        <w:rPr>
          <w:rFonts w:ascii="Times New Roman" w:hAnsi="Times New Roman" w:cs="Times New Roman"/>
        </w:rPr>
        <w:t xml:space="preserve">In this connection, </w:t>
      </w:r>
      <w:r w:rsidR="009406DE" w:rsidRPr="00CB1980">
        <w:rPr>
          <w:rFonts w:ascii="Times New Roman" w:hAnsi="Times New Roman" w:cs="Times New Roman"/>
        </w:rPr>
        <w:t xml:space="preserve">the </w:t>
      </w:r>
      <w:r>
        <w:rPr>
          <w:rFonts w:ascii="Times New Roman" w:hAnsi="Times New Roman" w:cs="Times New Roman"/>
        </w:rPr>
        <w:t>United Nations General Assembly recognized that</w:t>
      </w:r>
      <w:r w:rsidR="009406DE" w:rsidRPr="00CB1980">
        <w:rPr>
          <w:rFonts w:ascii="Times New Roman" w:hAnsi="Times New Roman" w:cs="Times New Roman"/>
        </w:rPr>
        <w:t xml:space="preserve"> innovation is a component of resolving the challenges associated with non-communicable diseases.</w:t>
      </w:r>
      <w:r w:rsidR="009406DE" w:rsidRPr="00CB1980">
        <w:rPr>
          <w:rStyle w:val="Appelnotedebasdep"/>
          <w:rFonts w:ascii="Times New Roman" w:hAnsi="Times New Roman" w:cs="Times New Roman"/>
        </w:rPr>
        <w:footnoteReference w:id="6"/>
      </w:r>
      <w:r>
        <w:rPr>
          <w:rFonts w:ascii="Times New Roman" w:hAnsi="Times New Roman" w:cs="Times New Roman"/>
        </w:rPr>
        <w:t xml:space="preserve"> </w:t>
      </w:r>
      <w:r w:rsidR="00F62BF4">
        <w:rPr>
          <w:rFonts w:ascii="Times New Roman" w:hAnsi="Times New Roman" w:cs="Times New Roman"/>
        </w:rPr>
        <w:t xml:space="preserve"> Member states should therefore be encouraged to allow people to have access to, and information on, new technologies and products that may reduce public health harms in relation to non-communicable diseases.</w:t>
      </w:r>
      <w:r w:rsidR="009D6CA2">
        <w:rPr>
          <w:rFonts w:ascii="Times New Roman" w:hAnsi="Times New Roman" w:cs="Times New Roman"/>
        </w:rPr>
        <w:t xml:space="preserve">  This will have the impact of allowing individuals to benefit from scientific advancement.</w:t>
      </w:r>
    </w:p>
    <w:p w:rsidR="009406DE" w:rsidRPr="00CB1980" w:rsidRDefault="009406DE" w:rsidP="00CB1980">
      <w:pPr>
        <w:jc w:val="center"/>
        <w:rPr>
          <w:rFonts w:ascii="Times New Roman" w:hAnsi="Times New Roman" w:cs="Times New Roman"/>
          <w:i/>
        </w:rPr>
      </w:pPr>
      <w:r w:rsidRPr="00CB1980">
        <w:rPr>
          <w:rFonts w:ascii="Times New Roman" w:hAnsi="Times New Roman" w:cs="Times New Roman"/>
          <w:i/>
        </w:rPr>
        <w:t xml:space="preserve">The critical role of information </w:t>
      </w:r>
      <w:r w:rsidR="00CB1980" w:rsidRPr="00CB1980">
        <w:rPr>
          <w:rFonts w:ascii="Times New Roman" w:hAnsi="Times New Roman" w:cs="Times New Roman"/>
          <w:i/>
        </w:rPr>
        <w:t>and communication on risks and benefits of new technologies and products</w:t>
      </w:r>
    </w:p>
    <w:p w:rsidR="009406DE" w:rsidRPr="00CB1980" w:rsidRDefault="00F62BF4" w:rsidP="00CB1980">
      <w:pPr>
        <w:rPr>
          <w:rFonts w:ascii="Times New Roman" w:hAnsi="Times New Roman" w:cs="Times New Roman"/>
        </w:rPr>
      </w:pPr>
      <w:r>
        <w:rPr>
          <w:rFonts w:ascii="Times New Roman" w:hAnsi="Times New Roman" w:cs="Times New Roman"/>
        </w:rPr>
        <w:t>T</w:t>
      </w:r>
      <w:r w:rsidR="00CB1980" w:rsidRPr="00CB1980">
        <w:rPr>
          <w:rFonts w:ascii="Times New Roman" w:hAnsi="Times New Roman" w:cs="Times New Roman"/>
        </w:rPr>
        <w:t>he</w:t>
      </w:r>
      <w:r>
        <w:rPr>
          <w:rFonts w:ascii="Times New Roman" w:hAnsi="Times New Roman" w:cs="Times New Roman"/>
        </w:rPr>
        <w:t xml:space="preserve"> Draft General Comment provides that</w:t>
      </w:r>
      <w:r w:rsidR="00CB1980" w:rsidRPr="00CB1980">
        <w:rPr>
          <w:rFonts w:ascii="Times New Roman" w:hAnsi="Times New Roman" w:cs="Times New Roman"/>
        </w:rPr>
        <w:t xml:space="preserve"> “information concerning the risks and benefits of science and technology should be accessible</w:t>
      </w:r>
      <w:r>
        <w:rPr>
          <w:rFonts w:ascii="Times New Roman" w:hAnsi="Times New Roman" w:cs="Times New Roman"/>
        </w:rPr>
        <w:t xml:space="preserve"> (para. 23)</w:t>
      </w:r>
      <w:r w:rsidR="00CB1980" w:rsidRPr="00CB1980">
        <w:rPr>
          <w:rFonts w:ascii="Times New Roman" w:hAnsi="Times New Roman" w:cs="Times New Roman"/>
        </w:rPr>
        <w:t>.”</w:t>
      </w:r>
      <w:r w:rsidR="00CB1980">
        <w:rPr>
          <w:rFonts w:ascii="Times New Roman" w:hAnsi="Times New Roman" w:cs="Times New Roman"/>
        </w:rPr>
        <w:t xml:space="preserve">  </w:t>
      </w:r>
      <w:r>
        <w:rPr>
          <w:rFonts w:ascii="Times New Roman" w:hAnsi="Times New Roman" w:cs="Times New Roman"/>
        </w:rPr>
        <w:t>The Draft General Comment also designates information</w:t>
      </w:r>
      <w:r w:rsidR="00384711" w:rsidRPr="00CB1980">
        <w:rPr>
          <w:rFonts w:ascii="Times New Roman" w:hAnsi="Times New Roman" w:cs="Times New Roman"/>
        </w:rPr>
        <w:t xml:space="preserve"> as one</w:t>
      </w:r>
      <w:r w:rsidR="00257DCF" w:rsidRPr="00CB1980">
        <w:rPr>
          <w:rFonts w:ascii="Times New Roman" w:hAnsi="Times New Roman" w:cs="Times New Roman"/>
        </w:rPr>
        <w:t xml:space="preserve"> of the </w:t>
      </w:r>
      <w:r>
        <w:rPr>
          <w:rFonts w:ascii="Times New Roman" w:hAnsi="Times New Roman" w:cs="Times New Roman"/>
        </w:rPr>
        <w:t>four</w:t>
      </w:r>
      <w:r w:rsidR="00257DCF" w:rsidRPr="00CB1980">
        <w:rPr>
          <w:rFonts w:ascii="Times New Roman" w:hAnsi="Times New Roman" w:cs="Times New Roman"/>
        </w:rPr>
        <w:t xml:space="preserve"> cr</w:t>
      </w:r>
      <w:r w:rsidR="00BA28CD">
        <w:rPr>
          <w:rFonts w:ascii="Times New Roman" w:hAnsi="Times New Roman" w:cs="Times New Roman"/>
        </w:rPr>
        <w:t>itical pillars of accessibility (para. 23).</w:t>
      </w:r>
    </w:p>
    <w:p w:rsidR="00F62BF4" w:rsidRDefault="00616F6A" w:rsidP="00CB1980">
      <w:pPr>
        <w:rPr>
          <w:rFonts w:ascii="Times New Roman" w:hAnsi="Times New Roman" w:cs="Times New Roman"/>
        </w:rPr>
      </w:pPr>
      <w:r>
        <w:rPr>
          <w:rFonts w:ascii="Times New Roman" w:hAnsi="Times New Roman" w:cs="Times New Roman"/>
          <w:b/>
        </w:rPr>
        <w:t>STTACA</w:t>
      </w:r>
      <w:r w:rsidR="009406DE" w:rsidRPr="00CB1980">
        <w:rPr>
          <w:rFonts w:ascii="Times New Roman" w:hAnsi="Times New Roman" w:cs="Times New Roman"/>
        </w:rPr>
        <w:t xml:space="preserve"> agrees with this designation, and </w:t>
      </w:r>
      <w:r w:rsidR="00F62BF4">
        <w:rPr>
          <w:rFonts w:ascii="Times New Roman" w:hAnsi="Times New Roman" w:cs="Times New Roman"/>
        </w:rPr>
        <w:t>recalls</w:t>
      </w:r>
      <w:r w:rsidR="009406DE" w:rsidRPr="00CB1980">
        <w:rPr>
          <w:rFonts w:ascii="Times New Roman" w:hAnsi="Times New Roman" w:cs="Times New Roman"/>
        </w:rPr>
        <w:t xml:space="preserve"> that</w:t>
      </w:r>
      <w:r w:rsidR="00CB1980">
        <w:rPr>
          <w:rFonts w:ascii="Times New Roman" w:hAnsi="Times New Roman" w:cs="Times New Roman"/>
        </w:rPr>
        <w:t xml:space="preserve"> the</w:t>
      </w:r>
      <w:r w:rsidR="009406DE" w:rsidRPr="00CB1980">
        <w:rPr>
          <w:rFonts w:ascii="Times New Roman" w:hAnsi="Times New Roman" w:cs="Times New Roman"/>
        </w:rPr>
        <w:t xml:space="preserve"> right to information is</w:t>
      </w:r>
      <w:r w:rsidR="00CB1980">
        <w:rPr>
          <w:rFonts w:ascii="Times New Roman" w:hAnsi="Times New Roman" w:cs="Times New Roman"/>
        </w:rPr>
        <w:t xml:space="preserve"> also</w:t>
      </w:r>
      <w:r w:rsidR="009406DE" w:rsidRPr="00CB1980">
        <w:rPr>
          <w:rFonts w:ascii="Times New Roman" w:hAnsi="Times New Roman" w:cs="Times New Roman"/>
        </w:rPr>
        <w:t xml:space="preserve"> an interdependent </w:t>
      </w:r>
      <w:r w:rsidR="00F62BF4">
        <w:rPr>
          <w:rFonts w:ascii="Times New Roman" w:hAnsi="Times New Roman" w:cs="Times New Roman"/>
        </w:rPr>
        <w:t xml:space="preserve">human </w:t>
      </w:r>
      <w:r w:rsidR="009406DE" w:rsidRPr="00CB1980">
        <w:rPr>
          <w:rFonts w:ascii="Times New Roman" w:hAnsi="Times New Roman" w:cs="Times New Roman"/>
        </w:rPr>
        <w:t>right</w:t>
      </w:r>
      <w:r w:rsidR="00CB1980">
        <w:rPr>
          <w:rFonts w:ascii="Times New Roman" w:hAnsi="Times New Roman" w:cs="Times New Roman"/>
        </w:rPr>
        <w:t>.</w:t>
      </w:r>
      <w:r w:rsidR="00CB1980">
        <w:rPr>
          <w:rStyle w:val="Appelnotedebasdep"/>
          <w:rFonts w:ascii="Times New Roman" w:hAnsi="Times New Roman" w:cs="Times New Roman"/>
        </w:rPr>
        <w:footnoteReference w:id="7"/>
      </w:r>
      <w:r w:rsidR="00CB1980">
        <w:rPr>
          <w:rFonts w:ascii="Times New Roman" w:hAnsi="Times New Roman" w:cs="Times New Roman"/>
        </w:rPr>
        <w:t xml:space="preserve">  Providing people with information on new technologies and products </w:t>
      </w:r>
      <w:r w:rsidR="009406DE" w:rsidRPr="00CB1980">
        <w:rPr>
          <w:rFonts w:ascii="Times New Roman" w:hAnsi="Times New Roman" w:cs="Times New Roman"/>
        </w:rPr>
        <w:t>is critical</w:t>
      </w:r>
      <w:r w:rsidR="00CB1980">
        <w:rPr>
          <w:rFonts w:ascii="Times New Roman" w:hAnsi="Times New Roman" w:cs="Times New Roman"/>
        </w:rPr>
        <w:t xml:space="preserve">, to ensure that </w:t>
      </w:r>
      <w:r w:rsidR="00F62BF4">
        <w:rPr>
          <w:rFonts w:ascii="Times New Roman" w:hAnsi="Times New Roman" w:cs="Times New Roman"/>
        </w:rPr>
        <w:t>they</w:t>
      </w:r>
      <w:r w:rsidR="00CB1980">
        <w:rPr>
          <w:rFonts w:ascii="Times New Roman" w:hAnsi="Times New Roman" w:cs="Times New Roman"/>
        </w:rPr>
        <w:t xml:space="preserve"> are aware of the potential risks and benefits of </w:t>
      </w:r>
      <w:r w:rsidR="00F62BF4">
        <w:rPr>
          <w:rFonts w:ascii="Times New Roman" w:hAnsi="Times New Roman" w:cs="Times New Roman"/>
        </w:rPr>
        <w:t>these new technologies and products</w:t>
      </w:r>
      <w:r w:rsidR="00CB1980">
        <w:rPr>
          <w:rFonts w:ascii="Times New Roman" w:hAnsi="Times New Roman" w:cs="Times New Roman"/>
        </w:rPr>
        <w:t>.  Through providing risk related information, individuals will be able to make informed decisions to</w:t>
      </w:r>
      <w:r w:rsidR="00F62BF4">
        <w:rPr>
          <w:rFonts w:ascii="Times New Roman" w:hAnsi="Times New Roman" w:cs="Times New Roman"/>
        </w:rPr>
        <w:t xml:space="preserve"> change behaviors, or to</w:t>
      </w:r>
      <w:r w:rsidR="00CB1980">
        <w:rPr>
          <w:rFonts w:ascii="Times New Roman" w:hAnsi="Times New Roman" w:cs="Times New Roman"/>
        </w:rPr>
        <w:t xml:space="preserve"> use less harmful produ</w:t>
      </w:r>
      <w:r w:rsidR="00F62BF4">
        <w:rPr>
          <w:rFonts w:ascii="Times New Roman" w:hAnsi="Times New Roman" w:cs="Times New Roman"/>
        </w:rPr>
        <w:t xml:space="preserve">cts. This could </w:t>
      </w:r>
      <w:r w:rsidR="00CB1980">
        <w:rPr>
          <w:rFonts w:ascii="Times New Roman" w:hAnsi="Times New Roman" w:cs="Times New Roman"/>
        </w:rPr>
        <w:t xml:space="preserve">ultimately </w:t>
      </w:r>
      <w:r w:rsidR="00F62BF4">
        <w:rPr>
          <w:rFonts w:ascii="Times New Roman" w:hAnsi="Times New Roman" w:cs="Times New Roman"/>
        </w:rPr>
        <w:t>lead</w:t>
      </w:r>
      <w:r w:rsidR="00CB1980">
        <w:rPr>
          <w:rFonts w:ascii="Times New Roman" w:hAnsi="Times New Roman" w:cs="Times New Roman"/>
        </w:rPr>
        <w:t xml:space="preserve"> t</w:t>
      </w:r>
      <w:r w:rsidR="00F62BF4">
        <w:rPr>
          <w:rFonts w:ascii="Times New Roman" w:hAnsi="Times New Roman" w:cs="Times New Roman"/>
        </w:rPr>
        <w:t>o improvements in public health.</w:t>
      </w:r>
    </w:p>
    <w:p w:rsidR="00F62BF4" w:rsidRPr="00A23C7C" w:rsidRDefault="00F62BF4" w:rsidP="00A23C7C">
      <w:pPr>
        <w:spacing w:line="240" w:lineRule="auto"/>
        <w:rPr>
          <w:rFonts w:ascii="Times New Roman" w:hAnsi="Times New Roman" w:cs="Times New Roman"/>
          <w:b/>
        </w:rPr>
      </w:pPr>
      <w:r w:rsidRPr="00BA28CD">
        <w:rPr>
          <w:rFonts w:ascii="Times New Roman" w:hAnsi="Times New Roman" w:cs="Times New Roman"/>
        </w:rPr>
        <w:t>In some cases</w:t>
      </w:r>
      <w:r w:rsidR="00CB1980" w:rsidRPr="00BA28CD">
        <w:rPr>
          <w:rFonts w:ascii="Times New Roman" w:hAnsi="Times New Roman" w:cs="Times New Roman"/>
        </w:rPr>
        <w:t xml:space="preserve"> </w:t>
      </w:r>
      <w:r w:rsidR="00CB1980" w:rsidRPr="00BA28CD">
        <w:rPr>
          <w:rFonts w:ascii="Times New Roman" w:eastAsia="Times New Roman" w:hAnsi="Times New Roman" w:cs="Times New Roman"/>
          <w:color w:val="000000"/>
        </w:rPr>
        <w:t>s</w:t>
      </w:r>
      <w:r w:rsidR="009655C2" w:rsidRPr="00BA28CD">
        <w:rPr>
          <w:rFonts w:ascii="Times New Roman" w:eastAsia="Times New Roman" w:hAnsi="Times New Roman" w:cs="Times New Roman"/>
          <w:color w:val="000000"/>
        </w:rPr>
        <w:t xml:space="preserve">cientific </w:t>
      </w:r>
      <w:r w:rsidRPr="00BA28CD">
        <w:rPr>
          <w:rFonts w:ascii="Times New Roman" w:eastAsia="Times New Roman" w:hAnsi="Times New Roman" w:cs="Times New Roman"/>
          <w:color w:val="000000"/>
        </w:rPr>
        <w:t>innovation</w:t>
      </w:r>
      <w:r w:rsidR="009655C2" w:rsidRPr="00BA28CD">
        <w:rPr>
          <w:rFonts w:ascii="Times New Roman" w:eastAsia="Times New Roman" w:hAnsi="Times New Roman" w:cs="Times New Roman"/>
          <w:color w:val="000000"/>
        </w:rPr>
        <w:t xml:space="preserve"> may create “imperfect information</w:t>
      </w:r>
      <w:r w:rsidRPr="00BA28CD">
        <w:rPr>
          <w:rFonts w:ascii="Times New Roman" w:eastAsia="Times New Roman" w:hAnsi="Times New Roman" w:cs="Times New Roman"/>
          <w:color w:val="000000"/>
        </w:rPr>
        <w:t>,</w:t>
      </w:r>
      <w:r w:rsidR="009655C2" w:rsidRPr="00BA28CD">
        <w:rPr>
          <w:rFonts w:ascii="Times New Roman" w:eastAsia="Times New Roman" w:hAnsi="Times New Roman" w:cs="Times New Roman"/>
          <w:color w:val="000000"/>
        </w:rPr>
        <w:t>”</w:t>
      </w:r>
      <w:r w:rsidR="00CB1980" w:rsidRPr="00BA28CD">
        <w:rPr>
          <w:rFonts w:ascii="Times New Roman" w:eastAsia="Times New Roman" w:hAnsi="Times New Roman" w:cs="Times New Roman"/>
          <w:color w:val="000000"/>
        </w:rPr>
        <w:t xml:space="preserve"> where information is </w:t>
      </w:r>
      <w:r w:rsidRPr="00BA28CD">
        <w:rPr>
          <w:rFonts w:ascii="Times New Roman" w:eastAsia="Times New Roman" w:hAnsi="Times New Roman" w:cs="Times New Roman"/>
          <w:color w:val="000000"/>
        </w:rPr>
        <w:t xml:space="preserve">unknown or </w:t>
      </w:r>
      <w:r w:rsidR="00CB1980" w:rsidRPr="00BA28CD">
        <w:rPr>
          <w:rFonts w:ascii="Times New Roman" w:eastAsia="Times New Roman" w:hAnsi="Times New Roman" w:cs="Times New Roman"/>
          <w:color w:val="000000"/>
        </w:rPr>
        <w:t>contradictory.</w:t>
      </w:r>
      <w:r w:rsidR="009655C2" w:rsidRPr="00BA28CD">
        <w:rPr>
          <w:vertAlign w:val="superscript"/>
        </w:rPr>
        <w:footnoteReference w:id="8"/>
      </w:r>
      <w:r w:rsidR="009655C2" w:rsidRPr="00BA28CD">
        <w:rPr>
          <w:rFonts w:ascii="Times New Roman" w:eastAsia="Times New Roman" w:hAnsi="Times New Roman" w:cs="Times New Roman"/>
          <w:color w:val="000000"/>
        </w:rPr>
        <w:t xml:space="preserve"> This could arise</w:t>
      </w:r>
      <w:r w:rsidR="00CB1980" w:rsidRPr="00BA28CD">
        <w:rPr>
          <w:rFonts w:ascii="Times New Roman" w:eastAsia="Times New Roman" w:hAnsi="Times New Roman" w:cs="Times New Roman"/>
          <w:color w:val="000000"/>
        </w:rPr>
        <w:t>, for example,</w:t>
      </w:r>
      <w:r w:rsidR="009655C2" w:rsidRPr="00BA28CD">
        <w:rPr>
          <w:rFonts w:ascii="Times New Roman" w:eastAsia="Times New Roman" w:hAnsi="Times New Roman" w:cs="Times New Roman"/>
          <w:color w:val="000000"/>
        </w:rPr>
        <w:t xml:space="preserve"> when the long term health effects of a product are unknown, or when scientific opinions differ about the health consequences of consumption.</w:t>
      </w:r>
      <w:r w:rsidR="009655C2" w:rsidRPr="00BA28CD">
        <w:rPr>
          <w:vertAlign w:val="superscript"/>
        </w:rPr>
        <w:footnoteReference w:id="9"/>
      </w:r>
      <w:r w:rsidR="009655C2" w:rsidRPr="00BA28CD">
        <w:rPr>
          <w:rFonts w:ascii="Times New Roman" w:eastAsia="Times New Roman" w:hAnsi="Times New Roman" w:cs="Times New Roman"/>
          <w:color w:val="000000"/>
        </w:rPr>
        <w:t xml:space="preserve"> Even in those cases, </w:t>
      </w:r>
      <w:r w:rsidR="00CB1980" w:rsidRPr="00BA28CD">
        <w:rPr>
          <w:rFonts w:ascii="Times New Roman" w:eastAsia="Times New Roman" w:hAnsi="Times New Roman" w:cs="Times New Roman"/>
          <w:color w:val="000000"/>
        </w:rPr>
        <w:t>states should be encouraged to</w:t>
      </w:r>
      <w:r w:rsidR="009655C2" w:rsidRPr="00BA28CD">
        <w:rPr>
          <w:rFonts w:ascii="Times New Roman" w:eastAsia="Times New Roman" w:hAnsi="Times New Roman" w:cs="Times New Roman"/>
          <w:color w:val="000000"/>
        </w:rPr>
        <w:t xml:space="preserve"> take a policy stance </w:t>
      </w:r>
      <w:r w:rsidR="00CB1980" w:rsidRPr="00BA28CD">
        <w:rPr>
          <w:rFonts w:ascii="Times New Roman" w:eastAsia="Times New Roman" w:hAnsi="Times New Roman" w:cs="Times New Roman"/>
          <w:color w:val="000000"/>
        </w:rPr>
        <w:t>which allows for providing the</w:t>
      </w:r>
      <w:r w:rsidR="009655C2" w:rsidRPr="00BA28CD">
        <w:rPr>
          <w:rFonts w:ascii="Times New Roman" w:eastAsia="Times New Roman" w:hAnsi="Times New Roman" w:cs="Times New Roman"/>
          <w:color w:val="000000"/>
        </w:rPr>
        <w:t xml:space="preserve"> fullest</w:t>
      </w:r>
      <w:r w:rsidR="009406DE" w:rsidRPr="00BA28CD">
        <w:rPr>
          <w:rFonts w:ascii="Times New Roman" w:eastAsia="Times New Roman" w:hAnsi="Times New Roman" w:cs="Times New Roman"/>
          <w:color w:val="000000"/>
        </w:rPr>
        <w:t xml:space="preserve"> </w:t>
      </w:r>
      <w:r w:rsidR="009655C2" w:rsidRPr="00BA28CD">
        <w:rPr>
          <w:rFonts w:ascii="Times New Roman" w:eastAsia="Times New Roman" w:hAnsi="Times New Roman" w:cs="Times New Roman"/>
          <w:color w:val="000000"/>
        </w:rPr>
        <w:t>information possible</w:t>
      </w:r>
      <w:r w:rsidRPr="00BA28CD">
        <w:rPr>
          <w:rFonts w:ascii="Times New Roman" w:eastAsia="Times New Roman" w:hAnsi="Times New Roman" w:cs="Times New Roman"/>
          <w:color w:val="000000"/>
        </w:rPr>
        <w:t xml:space="preserve"> to individuals</w:t>
      </w:r>
      <w:r w:rsidR="00335BF6" w:rsidRPr="00BA28CD">
        <w:rPr>
          <w:rFonts w:ascii="Times New Roman" w:eastAsia="Times New Roman" w:hAnsi="Times New Roman" w:cs="Times New Roman"/>
          <w:color w:val="000000"/>
        </w:rPr>
        <w:t>.</w:t>
      </w:r>
      <w:r w:rsidR="00A23C7C">
        <w:rPr>
          <w:rFonts w:ascii="Times New Roman" w:hAnsi="Times New Roman" w:cs="Times New Roman"/>
          <w:b/>
        </w:rPr>
        <w:t xml:space="preserve">  </w:t>
      </w:r>
      <w:r>
        <w:rPr>
          <w:rFonts w:ascii="Times New Roman" w:hAnsi="Times New Roman" w:cs="Times New Roman"/>
        </w:rPr>
        <w:t>The provision of information on new technologies and products will</w:t>
      </w:r>
      <w:r w:rsidR="009D6CA2">
        <w:rPr>
          <w:rFonts w:ascii="Times New Roman" w:hAnsi="Times New Roman" w:cs="Times New Roman"/>
        </w:rPr>
        <w:t xml:space="preserve"> also</w:t>
      </w:r>
      <w:r>
        <w:rPr>
          <w:rFonts w:ascii="Times New Roman" w:hAnsi="Times New Roman" w:cs="Times New Roman"/>
        </w:rPr>
        <w:t xml:space="preserve"> have the impact of allowing individuals to benefit from scientific advancement.</w:t>
      </w:r>
    </w:p>
    <w:p w:rsidR="009406DE" w:rsidRPr="00CB1980" w:rsidRDefault="009406DE" w:rsidP="00CB1980">
      <w:pPr>
        <w:keepNext/>
        <w:pBdr>
          <w:top w:val="nil"/>
          <w:left w:val="nil"/>
          <w:bottom w:val="nil"/>
          <w:right w:val="nil"/>
          <w:between w:val="nil"/>
        </w:pBdr>
        <w:tabs>
          <w:tab w:val="left" w:pos="5180"/>
        </w:tabs>
        <w:spacing w:line="240" w:lineRule="auto"/>
        <w:ind w:right="338"/>
        <w:jc w:val="center"/>
        <w:rPr>
          <w:rFonts w:ascii="Times New Roman" w:hAnsi="Times New Roman" w:cs="Times New Roman"/>
          <w:i/>
          <w:color w:val="000000"/>
        </w:rPr>
      </w:pPr>
      <w:r w:rsidRPr="00CB1980">
        <w:rPr>
          <w:rFonts w:ascii="Times New Roman" w:hAnsi="Times New Roman" w:cs="Times New Roman"/>
          <w:i/>
          <w:color w:val="000000"/>
        </w:rPr>
        <w:t xml:space="preserve">The importance of </w:t>
      </w:r>
      <w:r w:rsidR="00CB1980">
        <w:rPr>
          <w:rFonts w:ascii="Times New Roman" w:hAnsi="Times New Roman" w:cs="Times New Roman"/>
          <w:i/>
          <w:color w:val="000000"/>
        </w:rPr>
        <w:t xml:space="preserve">international cooperation and harmonized policy approaches </w:t>
      </w:r>
      <w:r w:rsidR="006B50F2">
        <w:rPr>
          <w:rFonts w:ascii="Times New Roman" w:hAnsi="Times New Roman" w:cs="Times New Roman"/>
          <w:i/>
          <w:color w:val="000000"/>
        </w:rPr>
        <w:t>for</w:t>
      </w:r>
      <w:r w:rsidR="00CB1980">
        <w:rPr>
          <w:rFonts w:ascii="Times New Roman" w:hAnsi="Times New Roman" w:cs="Times New Roman"/>
          <w:i/>
          <w:color w:val="000000"/>
        </w:rPr>
        <w:t xml:space="preserve"> new technologies</w:t>
      </w:r>
      <w:r w:rsidR="006B50F2">
        <w:rPr>
          <w:rFonts w:ascii="Times New Roman" w:hAnsi="Times New Roman" w:cs="Times New Roman"/>
          <w:i/>
          <w:color w:val="000000"/>
        </w:rPr>
        <w:t xml:space="preserve"> and products</w:t>
      </w:r>
    </w:p>
    <w:p w:rsidR="00335BF6" w:rsidRDefault="00616F6A" w:rsidP="00CB1980">
      <w:pPr>
        <w:keepNext/>
        <w:pBdr>
          <w:top w:val="nil"/>
          <w:left w:val="nil"/>
          <w:bottom w:val="nil"/>
          <w:right w:val="nil"/>
          <w:between w:val="nil"/>
        </w:pBdr>
        <w:spacing w:line="240" w:lineRule="auto"/>
        <w:ind w:right="338"/>
        <w:jc w:val="both"/>
        <w:rPr>
          <w:rFonts w:ascii="Times New Roman" w:hAnsi="Times New Roman" w:cs="Times New Roman"/>
          <w:color w:val="000000"/>
        </w:rPr>
      </w:pPr>
      <w:r>
        <w:rPr>
          <w:rFonts w:ascii="Times New Roman" w:hAnsi="Times New Roman" w:cs="Times New Roman"/>
          <w:b/>
          <w:color w:val="000000"/>
        </w:rPr>
        <w:t>STTACA</w:t>
      </w:r>
      <w:r w:rsidR="00CB1980" w:rsidRPr="00CB1980">
        <w:rPr>
          <w:rFonts w:ascii="Times New Roman" w:hAnsi="Times New Roman" w:cs="Times New Roman"/>
          <w:color w:val="000000"/>
        </w:rPr>
        <w:t xml:space="preserve"> agrees </w:t>
      </w:r>
      <w:r w:rsidR="00693478">
        <w:rPr>
          <w:rFonts w:ascii="Times New Roman" w:hAnsi="Times New Roman" w:cs="Times New Roman"/>
          <w:color w:val="000000"/>
        </w:rPr>
        <w:t xml:space="preserve">with </w:t>
      </w:r>
      <w:r w:rsidR="00CB1980" w:rsidRPr="00CB1980">
        <w:rPr>
          <w:rFonts w:ascii="Times New Roman" w:hAnsi="Times New Roman" w:cs="Times New Roman"/>
          <w:color w:val="000000"/>
        </w:rPr>
        <w:t>and fully supports the recommendations in the Draft General Comment concerning the importance of international cooperation to promote</w:t>
      </w:r>
      <w:r w:rsidR="00CB1980">
        <w:rPr>
          <w:rFonts w:ascii="Times New Roman" w:hAnsi="Times New Roman" w:cs="Times New Roman"/>
          <w:color w:val="000000"/>
        </w:rPr>
        <w:t xml:space="preserve"> the right to benefit from</w:t>
      </w:r>
      <w:r w:rsidR="00CB1980" w:rsidRPr="00CB1980">
        <w:rPr>
          <w:rFonts w:ascii="Times New Roman" w:hAnsi="Times New Roman" w:cs="Times New Roman"/>
          <w:color w:val="000000"/>
        </w:rPr>
        <w:t xml:space="preserve"> scientific </w:t>
      </w:r>
      <w:proofErr w:type="gramStart"/>
      <w:r w:rsidR="00CB1980" w:rsidRPr="00CB1980">
        <w:rPr>
          <w:rFonts w:ascii="Times New Roman" w:hAnsi="Times New Roman" w:cs="Times New Roman"/>
          <w:color w:val="000000"/>
        </w:rPr>
        <w:lastRenderedPageBreak/>
        <w:t>progress</w:t>
      </w:r>
      <w:proofErr w:type="gramEnd"/>
      <w:r w:rsidR="00CB1980" w:rsidRPr="00CB1980">
        <w:rPr>
          <w:rFonts w:ascii="Times New Roman" w:hAnsi="Times New Roman" w:cs="Times New Roman"/>
          <w:color w:val="000000"/>
        </w:rPr>
        <w:t xml:space="preserve"> (para. 80).</w:t>
      </w:r>
      <w:r w:rsidR="00335BF6">
        <w:rPr>
          <w:rFonts w:ascii="Times New Roman" w:hAnsi="Times New Roman" w:cs="Times New Roman"/>
          <w:color w:val="000000"/>
        </w:rPr>
        <w:t xml:space="preserve">  This obligation of cooperation should extend to all international fora and intergovernmental negotiations</w:t>
      </w:r>
      <w:r w:rsidR="00CB1980">
        <w:rPr>
          <w:rFonts w:ascii="Times New Roman" w:hAnsi="Times New Roman" w:cs="Times New Roman"/>
          <w:color w:val="000000"/>
        </w:rPr>
        <w:t xml:space="preserve"> </w:t>
      </w:r>
      <w:r w:rsidR="00335BF6">
        <w:rPr>
          <w:rFonts w:ascii="Times New Roman" w:hAnsi="Times New Roman" w:cs="Times New Roman"/>
          <w:color w:val="000000"/>
        </w:rPr>
        <w:t>where policies are adopted</w:t>
      </w:r>
      <w:r w:rsidR="00CB1980" w:rsidRPr="00CB1980">
        <w:rPr>
          <w:rFonts w:ascii="Times New Roman" w:hAnsi="Times New Roman" w:cs="Times New Roman"/>
          <w:color w:val="000000"/>
        </w:rPr>
        <w:t xml:space="preserve"> </w:t>
      </w:r>
      <w:r w:rsidR="00CB1980">
        <w:rPr>
          <w:rFonts w:ascii="Times New Roman" w:hAnsi="Times New Roman" w:cs="Times New Roman"/>
          <w:color w:val="000000"/>
        </w:rPr>
        <w:t xml:space="preserve">on new technologies and </w:t>
      </w:r>
      <w:r w:rsidR="00335BF6">
        <w:rPr>
          <w:rFonts w:ascii="Times New Roman" w:hAnsi="Times New Roman" w:cs="Times New Roman"/>
          <w:color w:val="000000"/>
        </w:rPr>
        <w:t xml:space="preserve">products.  This will </w:t>
      </w:r>
      <w:r w:rsidR="00CB1980" w:rsidRPr="00CB1980">
        <w:rPr>
          <w:rFonts w:ascii="Times New Roman" w:hAnsi="Times New Roman" w:cs="Times New Roman"/>
          <w:color w:val="000000"/>
        </w:rPr>
        <w:t>ensure increased harmonization a</w:t>
      </w:r>
      <w:r w:rsidR="00CB1980">
        <w:rPr>
          <w:rFonts w:ascii="Times New Roman" w:hAnsi="Times New Roman" w:cs="Times New Roman"/>
          <w:color w:val="000000"/>
        </w:rPr>
        <w:t>mong member states,</w:t>
      </w:r>
      <w:r w:rsidR="00CB1980" w:rsidRPr="00CB1980">
        <w:rPr>
          <w:rFonts w:ascii="Times New Roman" w:hAnsi="Times New Roman" w:cs="Times New Roman"/>
          <w:color w:val="000000"/>
        </w:rPr>
        <w:t xml:space="preserve"> reduce </w:t>
      </w:r>
      <w:r w:rsidR="00335BF6">
        <w:rPr>
          <w:rFonts w:ascii="Times New Roman" w:hAnsi="Times New Roman" w:cs="Times New Roman"/>
          <w:color w:val="000000"/>
        </w:rPr>
        <w:t>fragmentation</w:t>
      </w:r>
      <w:r w:rsidR="00CB1980">
        <w:rPr>
          <w:rFonts w:ascii="Times New Roman" w:hAnsi="Times New Roman" w:cs="Times New Roman"/>
          <w:color w:val="000000"/>
        </w:rPr>
        <w:t>, and eliminate</w:t>
      </w:r>
      <w:r w:rsidR="00CB1980" w:rsidRPr="00CB1980">
        <w:rPr>
          <w:rFonts w:ascii="Times New Roman" w:hAnsi="Times New Roman" w:cs="Times New Roman"/>
          <w:color w:val="000000"/>
        </w:rPr>
        <w:t xml:space="preserve"> “governance gaps” </w:t>
      </w:r>
      <w:r w:rsidR="00CB1980">
        <w:rPr>
          <w:rFonts w:ascii="Times New Roman" w:hAnsi="Times New Roman" w:cs="Times New Roman"/>
          <w:color w:val="000000"/>
        </w:rPr>
        <w:t xml:space="preserve">in relation to new technologies </w:t>
      </w:r>
      <w:r w:rsidR="00335BF6">
        <w:rPr>
          <w:rFonts w:ascii="Times New Roman" w:hAnsi="Times New Roman" w:cs="Times New Roman"/>
          <w:color w:val="000000"/>
        </w:rPr>
        <w:t xml:space="preserve">and products </w:t>
      </w:r>
      <w:r w:rsidR="00CB1980" w:rsidRPr="00CB1980">
        <w:rPr>
          <w:rFonts w:ascii="Times New Roman" w:hAnsi="Times New Roman" w:cs="Times New Roman"/>
          <w:color w:val="000000"/>
        </w:rPr>
        <w:t>(para. 77).</w:t>
      </w:r>
      <w:r w:rsidR="00335BF6">
        <w:rPr>
          <w:rStyle w:val="Appelnotedebasdep"/>
          <w:rFonts w:ascii="Times New Roman" w:hAnsi="Times New Roman" w:cs="Times New Roman"/>
          <w:color w:val="000000"/>
        </w:rPr>
        <w:footnoteReference w:id="10"/>
      </w:r>
      <w:r w:rsidR="00CB1980" w:rsidRPr="00CB1980">
        <w:rPr>
          <w:rFonts w:ascii="Times New Roman" w:hAnsi="Times New Roman" w:cs="Times New Roman"/>
          <w:color w:val="000000"/>
        </w:rPr>
        <w:t xml:space="preserve">  </w:t>
      </w:r>
    </w:p>
    <w:p w:rsidR="00317E27" w:rsidRPr="001F72B4" w:rsidRDefault="001F72B4" w:rsidP="001F72B4">
      <w:pPr>
        <w:tabs>
          <w:tab w:val="left" w:pos="7700"/>
        </w:tabs>
        <w:jc w:val="center"/>
        <w:rPr>
          <w:rFonts w:ascii="Times New Roman" w:hAnsi="Times New Roman" w:cs="Times New Roman"/>
          <w:i/>
        </w:rPr>
      </w:pPr>
      <w:r>
        <w:rPr>
          <w:rFonts w:ascii="Times New Roman" w:hAnsi="Times New Roman" w:cs="Times New Roman"/>
          <w:i/>
        </w:rPr>
        <w:t>Use of the precautionary principle in a way that promotes scientific progress that is beneficial for humanity</w:t>
      </w:r>
    </w:p>
    <w:p w:rsidR="00CB1980" w:rsidRPr="00CB1980" w:rsidRDefault="00616F6A" w:rsidP="00CB1980">
      <w:pPr>
        <w:rPr>
          <w:rFonts w:ascii="Times New Roman" w:hAnsi="Times New Roman" w:cs="Times New Roman"/>
        </w:rPr>
      </w:pPr>
      <w:r>
        <w:rPr>
          <w:rFonts w:ascii="Times New Roman" w:hAnsi="Times New Roman" w:cs="Times New Roman"/>
          <w:b/>
        </w:rPr>
        <w:t>STTACA</w:t>
      </w:r>
      <w:r w:rsidR="009655C2" w:rsidRPr="00CB1980">
        <w:rPr>
          <w:rFonts w:ascii="Times New Roman" w:hAnsi="Times New Roman" w:cs="Times New Roman"/>
        </w:rPr>
        <w:t xml:space="preserve"> agree</w:t>
      </w:r>
      <w:r w:rsidR="00CB1980" w:rsidRPr="00CB1980">
        <w:rPr>
          <w:rFonts w:ascii="Times New Roman" w:hAnsi="Times New Roman" w:cs="Times New Roman"/>
        </w:rPr>
        <w:t>s</w:t>
      </w:r>
      <w:r w:rsidR="009655C2" w:rsidRPr="00CB1980">
        <w:rPr>
          <w:rFonts w:ascii="Times New Roman" w:hAnsi="Times New Roman" w:cs="Times New Roman"/>
        </w:rPr>
        <w:t xml:space="preserve"> </w:t>
      </w:r>
      <w:r w:rsidR="00693478">
        <w:rPr>
          <w:rFonts w:ascii="Times New Roman" w:hAnsi="Times New Roman" w:cs="Times New Roman"/>
        </w:rPr>
        <w:t>with and fully s</w:t>
      </w:r>
      <w:r w:rsidR="00CB1980" w:rsidRPr="00CB1980">
        <w:rPr>
          <w:rFonts w:ascii="Times New Roman" w:hAnsi="Times New Roman" w:cs="Times New Roman"/>
        </w:rPr>
        <w:t>upports</w:t>
      </w:r>
      <w:r w:rsidR="009655C2" w:rsidRPr="00CB1980">
        <w:rPr>
          <w:rFonts w:ascii="Times New Roman" w:hAnsi="Times New Roman" w:cs="Times New Roman"/>
        </w:rPr>
        <w:t xml:space="preserve"> the </w:t>
      </w:r>
      <w:r w:rsidR="00CB1980" w:rsidRPr="00CB1980">
        <w:rPr>
          <w:rFonts w:ascii="Times New Roman" w:hAnsi="Times New Roman" w:cs="Times New Roman"/>
        </w:rPr>
        <w:t xml:space="preserve">provisions of the Draft General Comment in relation to the precautionary principle, in particular paragraph 61.  The precautionary principle is a theory that may be used by regulators when adopting policies on innovative products and technologies.  It is also a strategy that can be used to cope with scientific uncertainties in the assessment of risks related to health.  </w:t>
      </w:r>
    </w:p>
    <w:p w:rsidR="00CB1980" w:rsidRPr="00CB1980" w:rsidRDefault="001F72B4" w:rsidP="00CB1980">
      <w:pPr>
        <w:rPr>
          <w:rFonts w:ascii="Times New Roman" w:hAnsi="Times New Roman" w:cs="Times New Roman"/>
        </w:rPr>
      </w:pPr>
      <w:r w:rsidRPr="00CB1980">
        <w:rPr>
          <w:rFonts w:ascii="Times New Roman" w:hAnsi="Times New Roman" w:cs="Times New Roman"/>
        </w:rPr>
        <w:t xml:space="preserve">While regulators should exercise precaution in the face of scientific uncertainty, </w:t>
      </w:r>
      <w:r>
        <w:rPr>
          <w:rFonts w:ascii="Times New Roman" w:hAnsi="Times New Roman" w:cs="Times New Roman"/>
        </w:rPr>
        <w:t xml:space="preserve">they should also seek to use the precautionary principle in a way that promotes scientific progress which is beneficial for humanity.  </w:t>
      </w:r>
      <w:r w:rsidR="00CB1980" w:rsidRPr="00CB1980">
        <w:rPr>
          <w:rFonts w:ascii="Times New Roman" w:hAnsi="Times New Roman" w:cs="Times New Roman"/>
        </w:rPr>
        <w:t>In the public health context</w:t>
      </w:r>
      <w:r>
        <w:rPr>
          <w:rFonts w:ascii="Times New Roman" w:hAnsi="Times New Roman" w:cs="Times New Roman"/>
        </w:rPr>
        <w:t>, for example,</w:t>
      </w:r>
      <w:r w:rsidR="00CB1980" w:rsidRPr="00CB1980">
        <w:rPr>
          <w:rFonts w:ascii="Times New Roman" w:hAnsi="Times New Roman" w:cs="Times New Roman"/>
        </w:rPr>
        <w:t xml:space="preserve"> the precautionary principle </w:t>
      </w:r>
      <w:r w:rsidR="00335BF6">
        <w:rPr>
          <w:rFonts w:ascii="Times New Roman" w:hAnsi="Times New Roman" w:cs="Times New Roman"/>
        </w:rPr>
        <w:t>can</w:t>
      </w:r>
      <w:r w:rsidR="00CB1980" w:rsidRPr="00CB1980">
        <w:rPr>
          <w:rFonts w:ascii="Times New Roman" w:hAnsi="Times New Roman" w:cs="Times New Roman"/>
        </w:rPr>
        <w:t xml:space="preserve"> be used as a way to substitute harmful products with less harmful alternatives.</w:t>
      </w:r>
      <w:r>
        <w:rPr>
          <w:rStyle w:val="Appelnotedebasdep"/>
          <w:rFonts w:ascii="Times New Roman" w:hAnsi="Times New Roman" w:cs="Times New Roman"/>
        </w:rPr>
        <w:footnoteReference w:id="11"/>
      </w:r>
      <w:r w:rsidR="00CB1980" w:rsidRPr="00CB1980">
        <w:rPr>
          <w:rFonts w:ascii="Times New Roman" w:hAnsi="Times New Roman" w:cs="Times New Roman"/>
        </w:rPr>
        <w:t xml:space="preserve"> </w:t>
      </w:r>
    </w:p>
    <w:p w:rsidR="009406DE" w:rsidRDefault="00CB1980" w:rsidP="001F72B4">
      <w:pPr>
        <w:rPr>
          <w:rFonts w:ascii="Times New Roman" w:hAnsi="Times New Roman" w:cs="Times New Roman"/>
        </w:rPr>
      </w:pPr>
      <w:r w:rsidRPr="00CB1980">
        <w:rPr>
          <w:rFonts w:ascii="Times New Roman" w:hAnsi="Times New Roman" w:cs="Times New Roman"/>
        </w:rPr>
        <w:t>When scientific advancement and innovation has allowed for the creation of less harmful products, people should have access to</w:t>
      </w:r>
      <w:r w:rsidR="00335BF6">
        <w:rPr>
          <w:rFonts w:ascii="Times New Roman" w:hAnsi="Times New Roman" w:cs="Times New Roman"/>
        </w:rPr>
        <w:t>,</w:t>
      </w:r>
      <w:r w:rsidRPr="00CB1980">
        <w:rPr>
          <w:rFonts w:ascii="Times New Roman" w:hAnsi="Times New Roman" w:cs="Times New Roman"/>
        </w:rPr>
        <w:t xml:space="preserve"> and information on</w:t>
      </w:r>
      <w:r w:rsidR="00335BF6">
        <w:rPr>
          <w:rFonts w:ascii="Times New Roman" w:hAnsi="Times New Roman" w:cs="Times New Roman"/>
        </w:rPr>
        <w:t>,</w:t>
      </w:r>
      <w:r w:rsidRPr="00CB1980">
        <w:rPr>
          <w:rFonts w:ascii="Times New Roman" w:hAnsi="Times New Roman" w:cs="Times New Roman"/>
        </w:rPr>
        <w:t xml:space="preserve"> these products, even if the science is still at the nascent stages.  This </w:t>
      </w:r>
      <w:r w:rsidR="00335BF6">
        <w:rPr>
          <w:rFonts w:ascii="Times New Roman" w:hAnsi="Times New Roman" w:cs="Times New Roman"/>
        </w:rPr>
        <w:t>can have the impact of</w:t>
      </w:r>
      <w:r w:rsidRPr="00CB1980">
        <w:rPr>
          <w:rFonts w:ascii="Times New Roman" w:hAnsi="Times New Roman" w:cs="Times New Roman"/>
        </w:rPr>
        <w:t xml:space="preserve"> </w:t>
      </w:r>
      <w:r w:rsidR="00335BF6">
        <w:rPr>
          <w:rFonts w:ascii="Times New Roman" w:hAnsi="Times New Roman" w:cs="Times New Roman"/>
        </w:rPr>
        <w:t>advancing</w:t>
      </w:r>
      <w:r w:rsidRPr="00CB1980">
        <w:rPr>
          <w:rFonts w:ascii="Times New Roman" w:hAnsi="Times New Roman" w:cs="Times New Roman"/>
        </w:rPr>
        <w:t xml:space="preserve"> the public good in the face of scientific uncertainty, which is the intended purpose of the precautionary principle.</w:t>
      </w:r>
      <w:r w:rsidR="001F72B4">
        <w:rPr>
          <w:rStyle w:val="Appelnotedebasdep"/>
          <w:rFonts w:ascii="Times New Roman" w:hAnsi="Times New Roman" w:cs="Times New Roman"/>
        </w:rPr>
        <w:footnoteReference w:id="12"/>
      </w:r>
      <w:r w:rsidRPr="00CB1980">
        <w:rPr>
          <w:rFonts w:ascii="Times New Roman" w:hAnsi="Times New Roman" w:cs="Times New Roman"/>
        </w:rPr>
        <w:t xml:space="preserve"> </w:t>
      </w:r>
    </w:p>
    <w:p w:rsidR="00042FD1" w:rsidRDefault="00042FD1" w:rsidP="001F72B4">
      <w:pPr>
        <w:rPr>
          <w:rFonts w:ascii="Times New Roman" w:hAnsi="Times New Roman" w:cs="Times New Roman"/>
        </w:rPr>
      </w:pPr>
    </w:p>
    <w:p w:rsidR="00042FD1" w:rsidRDefault="00042FD1" w:rsidP="001F72B4">
      <w:pPr>
        <w:rPr>
          <w:rFonts w:ascii="Times New Roman" w:hAnsi="Times New Roman" w:cs="Times New Roman"/>
        </w:rPr>
      </w:pPr>
      <w:r>
        <w:rPr>
          <w:rFonts w:ascii="Times New Roman" w:hAnsi="Times New Roman" w:cs="Times New Roman"/>
        </w:rPr>
        <w:t xml:space="preserve">                                                                                                                    Dr Fares </w:t>
      </w:r>
      <w:proofErr w:type="gramStart"/>
      <w:r>
        <w:rPr>
          <w:rFonts w:ascii="Times New Roman" w:hAnsi="Times New Roman" w:cs="Times New Roman"/>
        </w:rPr>
        <w:t>MILI  MD</w:t>
      </w:r>
      <w:proofErr w:type="gramEnd"/>
      <w:r>
        <w:rPr>
          <w:rFonts w:ascii="Times New Roman" w:hAnsi="Times New Roman" w:cs="Times New Roman"/>
        </w:rPr>
        <w:t xml:space="preserve"> CTTS</w:t>
      </w:r>
    </w:p>
    <w:p w:rsidR="00042FD1" w:rsidRPr="001F72B4" w:rsidRDefault="00042FD1" w:rsidP="001F72B4">
      <w:pPr>
        <w:rPr>
          <w:rFonts w:ascii="Times New Roman" w:hAnsi="Times New Roman" w:cs="Times New Roman"/>
        </w:rPr>
      </w:pPr>
      <w:r>
        <w:rPr>
          <w:rFonts w:ascii="Times New Roman" w:hAnsi="Times New Roman" w:cs="Times New Roman"/>
        </w:rPr>
        <w:t xml:space="preserve">                                                                                                                          STTACA Chairman</w:t>
      </w:r>
    </w:p>
    <w:sectPr w:rsidR="00042FD1" w:rsidRPr="001F72B4" w:rsidSect="002A2C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13E" w:rsidRDefault="002B213E" w:rsidP="00883F82">
      <w:pPr>
        <w:spacing w:after="0" w:line="240" w:lineRule="auto"/>
      </w:pPr>
      <w:r>
        <w:separator/>
      </w:r>
    </w:p>
  </w:endnote>
  <w:endnote w:type="continuationSeparator" w:id="0">
    <w:p w:rsidR="002B213E" w:rsidRDefault="002B213E" w:rsidP="00883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13E" w:rsidRDefault="002B213E" w:rsidP="00883F82">
      <w:pPr>
        <w:spacing w:after="0" w:line="240" w:lineRule="auto"/>
      </w:pPr>
      <w:r>
        <w:separator/>
      </w:r>
    </w:p>
  </w:footnote>
  <w:footnote w:type="continuationSeparator" w:id="0">
    <w:p w:rsidR="002B213E" w:rsidRDefault="002B213E" w:rsidP="00883F82">
      <w:pPr>
        <w:spacing w:after="0" w:line="240" w:lineRule="auto"/>
      </w:pPr>
      <w:r>
        <w:continuationSeparator/>
      </w:r>
    </w:p>
  </w:footnote>
  <w:footnote w:id="1">
    <w:p w:rsidR="00911814" w:rsidRPr="00CB1980" w:rsidRDefault="00911814">
      <w:pPr>
        <w:pStyle w:val="Notedebasdepage"/>
        <w:rPr>
          <w:rFonts w:ascii="Times New Roman" w:hAnsi="Times New Roman" w:cs="Times New Roman"/>
          <w:sz w:val="18"/>
          <w:szCs w:val="18"/>
        </w:rPr>
      </w:pPr>
      <w:r w:rsidRPr="00CB1980">
        <w:rPr>
          <w:rStyle w:val="Appelnotedebasdep"/>
          <w:rFonts w:asciiTheme="majorHAnsi" w:hAnsiTheme="majorHAnsi" w:cstheme="majorHAnsi"/>
          <w:sz w:val="18"/>
          <w:szCs w:val="18"/>
        </w:rPr>
        <w:footnoteRef/>
      </w:r>
      <w:r w:rsidRPr="00CB1980">
        <w:rPr>
          <w:rFonts w:asciiTheme="majorHAnsi" w:hAnsiTheme="majorHAnsi" w:cstheme="majorHAnsi"/>
          <w:sz w:val="18"/>
          <w:szCs w:val="18"/>
        </w:rPr>
        <w:t xml:space="preserve"> </w:t>
      </w:r>
      <w:r w:rsidRPr="00CB1980">
        <w:rPr>
          <w:rFonts w:ascii="Times New Roman" w:hAnsi="Times New Roman" w:cs="Times New Roman"/>
          <w:sz w:val="18"/>
          <w:szCs w:val="18"/>
        </w:rPr>
        <w:t>Article 27 of the Universal Declaration of Human Rights also refers to the “right freely to participate in the cultural life of the community, to enjoy the arts and to share in scientific advancement and its benefits.”  Article 15(1)(b) of the International Covenant on Civil and Political Rights is the focus of the General Comment.</w:t>
      </w:r>
    </w:p>
  </w:footnote>
  <w:footnote w:id="2">
    <w:p w:rsidR="00257DCF" w:rsidRPr="00CB1980" w:rsidRDefault="00257DCF">
      <w:pPr>
        <w:pStyle w:val="Notedebasdepage"/>
        <w:rPr>
          <w:rFonts w:ascii="Times New Roman" w:hAnsi="Times New Roman" w:cs="Times New Roman"/>
          <w:sz w:val="18"/>
          <w:szCs w:val="18"/>
        </w:rPr>
      </w:pPr>
      <w:r w:rsidRPr="00CB1980">
        <w:rPr>
          <w:rStyle w:val="Appelnotedebasdep"/>
          <w:rFonts w:ascii="Times New Roman" w:hAnsi="Times New Roman" w:cs="Times New Roman"/>
          <w:sz w:val="18"/>
          <w:szCs w:val="18"/>
        </w:rPr>
        <w:footnoteRef/>
      </w:r>
      <w:r w:rsidRPr="00CB1980">
        <w:rPr>
          <w:rFonts w:ascii="Times New Roman" w:hAnsi="Times New Roman" w:cs="Times New Roman"/>
          <w:sz w:val="18"/>
          <w:szCs w:val="18"/>
        </w:rPr>
        <w:t xml:space="preserve"> </w:t>
      </w:r>
      <w:r w:rsidRPr="00335BF6">
        <w:rPr>
          <w:rFonts w:ascii="Times New Roman" w:hAnsi="Times New Roman" w:cs="Times New Roman"/>
          <w:i/>
          <w:sz w:val="18"/>
          <w:szCs w:val="18"/>
        </w:rPr>
        <w:t>See</w:t>
      </w:r>
      <w:r w:rsidRPr="00CB1980">
        <w:rPr>
          <w:rFonts w:ascii="Times New Roman" w:hAnsi="Times New Roman" w:cs="Times New Roman"/>
          <w:sz w:val="18"/>
          <w:szCs w:val="18"/>
        </w:rPr>
        <w:t xml:space="preserve"> </w:t>
      </w:r>
      <w:r w:rsidR="00335BF6">
        <w:rPr>
          <w:rFonts w:ascii="Times New Roman" w:hAnsi="Times New Roman" w:cs="Times New Roman"/>
          <w:sz w:val="18"/>
          <w:szCs w:val="18"/>
        </w:rPr>
        <w:t xml:space="preserve">Yvonne Donders, the Right to Enjoy the Benefits of Scientific Progress: In Search of State Obligations in Relation to Health, Med. Health Care </w:t>
      </w:r>
      <w:proofErr w:type="spellStart"/>
      <w:r w:rsidR="00335BF6">
        <w:rPr>
          <w:rFonts w:ascii="Times New Roman" w:hAnsi="Times New Roman" w:cs="Times New Roman"/>
          <w:sz w:val="18"/>
          <w:szCs w:val="18"/>
        </w:rPr>
        <w:t>Philos</w:t>
      </w:r>
      <w:proofErr w:type="spellEnd"/>
      <w:r w:rsidR="00335BF6">
        <w:rPr>
          <w:rFonts w:ascii="Times New Roman" w:hAnsi="Times New Roman" w:cs="Times New Roman"/>
          <w:sz w:val="18"/>
          <w:szCs w:val="18"/>
        </w:rPr>
        <w:t>, 2011 Nov; 14(4) 371-380, 1 May 2011, available at:</w:t>
      </w:r>
      <w:r w:rsidRPr="00CB1980">
        <w:rPr>
          <w:rFonts w:ascii="Times New Roman" w:hAnsi="Times New Roman" w:cs="Times New Roman"/>
          <w:sz w:val="18"/>
          <w:szCs w:val="18"/>
        </w:rPr>
        <w:t xml:space="preserve">  </w:t>
      </w:r>
      <w:hyperlink r:id="rId1" w:anchor="CR14" w:history="1">
        <w:r w:rsidRPr="00CB1980">
          <w:rPr>
            <w:rStyle w:val="Lienhypertexte"/>
            <w:rFonts w:ascii="Times New Roman" w:hAnsi="Times New Roman" w:cs="Times New Roman"/>
            <w:sz w:val="18"/>
            <w:szCs w:val="18"/>
          </w:rPr>
          <w:t>https://www.ncbi.nlm.nih.gov/pmc/articles/PMC3190088/#CR14</w:t>
        </w:r>
      </w:hyperlink>
      <w:r w:rsidRPr="00CB1980">
        <w:rPr>
          <w:rFonts w:ascii="Times New Roman" w:hAnsi="Times New Roman" w:cs="Times New Roman"/>
          <w:sz w:val="18"/>
          <w:szCs w:val="18"/>
        </w:rPr>
        <w:t xml:space="preserve">.  </w:t>
      </w:r>
    </w:p>
  </w:footnote>
  <w:footnote w:id="3">
    <w:p w:rsidR="00C83306" w:rsidRPr="00CB1980" w:rsidRDefault="00C83306">
      <w:pPr>
        <w:pStyle w:val="Notedebasdepage"/>
        <w:rPr>
          <w:rFonts w:ascii="Times New Roman" w:hAnsi="Times New Roman" w:cs="Times New Roman"/>
          <w:sz w:val="18"/>
          <w:szCs w:val="18"/>
        </w:rPr>
      </w:pPr>
      <w:r w:rsidRPr="00CB1980">
        <w:rPr>
          <w:rStyle w:val="Appelnotedebasdep"/>
          <w:rFonts w:ascii="Times New Roman" w:hAnsi="Times New Roman" w:cs="Times New Roman"/>
          <w:sz w:val="18"/>
          <w:szCs w:val="18"/>
        </w:rPr>
        <w:footnoteRef/>
      </w:r>
      <w:r w:rsidRPr="00CB1980">
        <w:rPr>
          <w:rFonts w:ascii="Times New Roman" w:hAnsi="Times New Roman" w:cs="Times New Roman"/>
          <w:sz w:val="18"/>
          <w:szCs w:val="18"/>
        </w:rPr>
        <w:t xml:space="preserve"> </w:t>
      </w:r>
      <w:r w:rsidR="00BA28CD">
        <w:rPr>
          <w:rFonts w:ascii="Times New Roman" w:hAnsi="Times New Roman" w:cs="Times New Roman"/>
          <w:sz w:val="18"/>
          <w:szCs w:val="18"/>
        </w:rPr>
        <w:t xml:space="preserve">See </w:t>
      </w:r>
      <w:r w:rsidR="00CC2DAD" w:rsidRPr="00CB1980">
        <w:rPr>
          <w:rFonts w:ascii="Times New Roman" w:hAnsi="Times New Roman" w:cs="Times New Roman"/>
          <w:bCs/>
          <w:sz w:val="18"/>
          <w:szCs w:val="18"/>
        </w:rPr>
        <w:t>The U</w:t>
      </w:r>
      <w:r w:rsidR="00335BF6">
        <w:rPr>
          <w:rFonts w:ascii="Times New Roman" w:hAnsi="Times New Roman" w:cs="Times New Roman"/>
          <w:bCs/>
          <w:sz w:val="18"/>
          <w:szCs w:val="18"/>
        </w:rPr>
        <w:t xml:space="preserve">nited Nations General Assembly Resolution </w:t>
      </w:r>
      <w:r w:rsidR="00CC2DAD" w:rsidRPr="00CB1980">
        <w:rPr>
          <w:rFonts w:ascii="Times New Roman" w:hAnsi="Times New Roman" w:cs="Times New Roman"/>
          <w:bCs/>
          <w:sz w:val="18"/>
          <w:szCs w:val="18"/>
        </w:rPr>
        <w:t>– the 2030 Sustainable Development Agenda</w:t>
      </w:r>
      <w:r w:rsidR="00335BF6">
        <w:rPr>
          <w:rFonts w:ascii="Times New Roman" w:hAnsi="Times New Roman" w:cs="Times New Roman"/>
          <w:bCs/>
          <w:sz w:val="18"/>
          <w:szCs w:val="18"/>
        </w:rPr>
        <w:t xml:space="preserve"> (A/70/1)</w:t>
      </w:r>
      <w:r w:rsidR="00CC2DAD" w:rsidRPr="00CB1980">
        <w:rPr>
          <w:rFonts w:ascii="Times New Roman" w:hAnsi="Times New Roman" w:cs="Times New Roman"/>
          <w:bCs/>
          <w:sz w:val="18"/>
          <w:szCs w:val="18"/>
        </w:rPr>
        <w:t xml:space="preserve">, available at:  </w:t>
      </w:r>
      <w:hyperlink r:id="rId2" w:history="1">
        <w:r w:rsidR="00CC2DAD" w:rsidRPr="00CB1980">
          <w:rPr>
            <w:rFonts w:ascii="Times New Roman" w:hAnsi="Times New Roman" w:cs="Times New Roman"/>
            <w:color w:val="0563C1" w:themeColor="hyperlink"/>
            <w:sz w:val="18"/>
            <w:szCs w:val="18"/>
            <w:u w:val="single"/>
          </w:rPr>
          <w:t>https://www.un.org/ga/search/view_doc.asp?symbol=A/RES/70/1&amp;Lang=E</w:t>
        </w:r>
      </w:hyperlink>
      <w:r w:rsidR="00CC2DAD" w:rsidRPr="00CB1980">
        <w:rPr>
          <w:rFonts w:ascii="Times New Roman" w:hAnsi="Times New Roman" w:cs="Times New Roman"/>
          <w:color w:val="0563C1" w:themeColor="hyperlink"/>
          <w:sz w:val="18"/>
          <w:szCs w:val="18"/>
          <w:u w:val="single"/>
        </w:rPr>
        <w:t xml:space="preserve"> </w:t>
      </w:r>
      <w:r w:rsidR="00BA28CD">
        <w:rPr>
          <w:rFonts w:ascii="Times New Roman" w:hAnsi="Times New Roman" w:cs="Times New Roman"/>
          <w:sz w:val="18"/>
          <w:szCs w:val="18"/>
        </w:rPr>
        <w:t xml:space="preserve">; </w:t>
      </w:r>
      <w:r w:rsidR="00BA28CD" w:rsidRPr="00BA28CD">
        <w:rPr>
          <w:rFonts w:ascii="Times New Roman" w:hAnsi="Times New Roman" w:cs="Times New Roman"/>
          <w:i/>
          <w:sz w:val="18"/>
          <w:szCs w:val="18"/>
        </w:rPr>
        <w:t>See also</w:t>
      </w:r>
      <w:r w:rsidR="00BA28CD">
        <w:rPr>
          <w:rFonts w:ascii="Times New Roman" w:hAnsi="Times New Roman" w:cs="Times New Roman"/>
          <w:sz w:val="18"/>
          <w:szCs w:val="18"/>
        </w:rPr>
        <w:t xml:space="preserve"> </w:t>
      </w:r>
      <w:r w:rsidR="00BA28CD" w:rsidRPr="00CB1980">
        <w:rPr>
          <w:rFonts w:ascii="Times New Roman" w:hAnsi="Times New Roman" w:cs="Times New Roman"/>
          <w:sz w:val="18"/>
          <w:szCs w:val="18"/>
        </w:rPr>
        <w:t xml:space="preserve">United Nations General Assembly Resolution on Science Technology &amp; Innovation for Development (A/RES/72/228), available at:  </w:t>
      </w:r>
      <w:hyperlink r:id="rId3" w:history="1">
        <w:r w:rsidR="00BA28CD" w:rsidRPr="00CB1980">
          <w:rPr>
            <w:rStyle w:val="Lienhypertexte"/>
            <w:rFonts w:ascii="Times New Roman" w:hAnsi="Times New Roman" w:cs="Times New Roman"/>
            <w:sz w:val="18"/>
            <w:szCs w:val="18"/>
          </w:rPr>
          <w:t>https://undocs.org/A/RES/72/228</w:t>
        </w:r>
      </w:hyperlink>
      <w:r w:rsidR="00BA28CD">
        <w:rPr>
          <w:rFonts w:ascii="Times New Roman" w:hAnsi="Times New Roman" w:cs="Times New Roman"/>
          <w:sz w:val="18"/>
          <w:szCs w:val="18"/>
        </w:rPr>
        <w:t xml:space="preserve"> </w:t>
      </w:r>
      <w:r w:rsidR="00BA28CD" w:rsidRPr="00CB1980">
        <w:rPr>
          <w:rFonts w:ascii="Times New Roman" w:hAnsi="Times New Roman" w:cs="Times New Roman"/>
          <w:sz w:val="18"/>
          <w:szCs w:val="18"/>
        </w:rPr>
        <w:t>.</w:t>
      </w:r>
      <w:r w:rsidR="00BA28CD">
        <w:rPr>
          <w:rFonts w:ascii="Times New Roman" w:hAnsi="Times New Roman" w:cs="Times New Roman"/>
          <w:sz w:val="18"/>
          <w:szCs w:val="18"/>
        </w:rPr>
        <w:t xml:space="preserve"> </w:t>
      </w:r>
      <w:r w:rsidR="009406DE" w:rsidRPr="00CB1980">
        <w:rPr>
          <w:rFonts w:ascii="Times New Roman" w:hAnsi="Times New Roman" w:cs="Times New Roman"/>
          <w:sz w:val="18"/>
          <w:szCs w:val="18"/>
        </w:rPr>
        <w:t xml:space="preserve"> </w:t>
      </w:r>
      <w:r w:rsidR="00BA28CD">
        <w:rPr>
          <w:rFonts w:ascii="Times New Roman" w:hAnsi="Times New Roman" w:cs="Times New Roman"/>
          <w:sz w:val="18"/>
          <w:szCs w:val="18"/>
        </w:rPr>
        <w:t>Sustainable Development Goal</w:t>
      </w:r>
      <w:r w:rsidR="009406DE" w:rsidRPr="00CB1980">
        <w:rPr>
          <w:rFonts w:ascii="Times New Roman" w:hAnsi="Times New Roman" w:cs="Times New Roman"/>
          <w:sz w:val="18"/>
          <w:szCs w:val="18"/>
        </w:rPr>
        <w:t xml:space="preserve"> 9 focuses on the importance of innovation and innovative technologies in fostering achievement of the goals.  </w:t>
      </w:r>
    </w:p>
  </w:footnote>
  <w:footnote w:id="4">
    <w:p w:rsidR="00CB1980" w:rsidRPr="00CB1980" w:rsidRDefault="00CB1980">
      <w:pPr>
        <w:pStyle w:val="Notedebasdepage"/>
        <w:rPr>
          <w:sz w:val="18"/>
          <w:szCs w:val="18"/>
        </w:rPr>
      </w:pPr>
      <w:r w:rsidRPr="00CB1980">
        <w:rPr>
          <w:rStyle w:val="Appelnotedebasdep"/>
          <w:sz w:val="18"/>
          <w:szCs w:val="18"/>
        </w:rPr>
        <w:footnoteRef/>
      </w:r>
      <w:r w:rsidRPr="00CB1980">
        <w:rPr>
          <w:sz w:val="18"/>
          <w:szCs w:val="18"/>
        </w:rPr>
        <w:t xml:space="preserve"> </w:t>
      </w:r>
      <w:hyperlink r:id="rId4" w:anchor="CR14" w:history="1">
        <w:r w:rsidR="00335BF6" w:rsidRPr="00335BF6">
          <w:rPr>
            <w:rStyle w:val="Lienhypertexte"/>
            <w:rFonts w:ascii="Times New Roman" w:hAnsi="Times New Roman" w:cs="Times New Roman"/>
            <w:color w:val="auto"/>
            <w:sz w:val="18"/>
            <w:szCs w:val="18"/>
            <w:u w:val="none"/>
          </w:rPr>
          <w:t>Note</w:t>
        </w:r>
      </w:hyperlink>
      <w:r w:rsidR="00335BF6" w:rsidRPr="00335BF6">
        <w:rPr>
          <w:rFonts w:ascii="Times New Roman" w:hAnsi="Times New Roman" w:cs="Times New Roman"/>
          <w:sz w:val="18"/>
          <w:szCs w:val="18"/>
        </w:rPr>
        <w:t xml:space="preserve"> 2, </w:t>
      </w:r>
      <w:r w:rsidR="00335BF6" w:rsidRPr="00335BF6">
        <w:rPr>
          <w:rFonts w:ascii="Times New Roman" w:hAnsi="Times New Roman" w:cs="Times New Roman"/>
          <w:i/>
          <w:color w:val="000000"/>
          <w:sz w:val="18"/>
          <w:szCs w:val="18"/>
        </w:rPr>
        <w:t>supra</w:t>
      </w:r>
      <w:r w:rsidR="00335BF6">
        <w:rPr>
          <w:rFonts w:ascii="Times New Roman" w:hAnsi="Times New Roman" w:cs="Times New Roman"/>
          <w:color w:val="000000"/>
          <w:sz w:val="18"/>
          <w:szCs w:val="18"/>
        </w:rPr>
        <w:t>.</w:t>
      </w:r>
      <w:r w:rsidRPr="00CB1980">
        <w:rPr>
          <w:rFonts w:ascii="Times New Roman" w:hAnsi="Times New Roman" w:cs="Times New Roman"/>
          <w:color w:val="000000"/>
          <w:sz w:val="18"/>
          <w:szCs w:val="18"/>
        </w:rPr>
        <w:t xml:space="preserve">  </w:t>
      </w:r>
      <w:r w:rsidR="00335BF6">
        <w:rPr>
          <w:rFonts w:ascii="Times New Roman" w:hAnsi="Times New Roman" w:cs="Times New Roman"/>
          <w:color w:val="000000"/>
          <w:sz w:val="18"/>
          <w:szCs w:val="18"/>
        </w:rPr>
        <w:t xml:space="preserve">For </w:t>
      </w:r>
      <w:r w:rsidRPr="00CB1980">
        <w:rPr>
          <w:rFonts w:ascii="Times New Roman" w:hAnsi="Times New Roman" w:cs="Times New Roman"/>
          <w:sz w:val="18"/>
          <w:szCs w:val="18"/>
        </w:rPr>
        <w:t>example, the development of vaccines and medications has helped improve diseases.  Information technology and mobile phones have accelerated the flow of information throughout the world proving beneficial to developing countries</w:t>
      </w:r>
      <w:r w:rsidR="00335BF6">
        <w:rPr>
          <w:rFonts w:ascii="Times New Roman" w:hAnsi="Times New Roman" w:cs="Times New Roman"/>
          <w:sz w:val="18"/>
          <w:szCs w:val="18"/>
        </w:rPr>
        <w:t>.</w:t>
      </w:r>
    </w:p>
  </w:footnote>
  <w:footnote w:id="5">
    <w:p w:rsidR="009406DE" w:rsidRPr="001F72B4" w:rsidRDefault="009406DE" w:rsidP="009406DE">
      <w:pPr>
        <w:pStyle w:val="Notedebasdepage"/>
        <w:rPr>
          <w:rFonts w:ascii="Times New Roman" w:hAnsi="Times New Roman" w:cs="Times New Roman"/>
          <w:sz w:val="18"/>
          <w:szCs w:val="18"/>
        </w:rPr>
      </w:pPr>
      <w:r w:rsidRPr="001F72B4">
        <w:rPr>
          <w:rStyle w:val="Appelnotedebasdep"/>
          <w:rFonts w:ascii="Times New Roman" w:hAnsi="Times New Roman" w:cs="Times New Roman"/>
          <w:sz w:val="18"/>
          <w:szCs w:val="18"/>
        </w:rPr>
        <w:footnoteRef/>
      </w:r>
      <w:r w:rsidRPr="001F72B4">
        <w:rPr>
          <w:rFonts w:ascii="Times New Roman" w:hAnsi="Times New Roman" w:cs="Times New Roman"/>
          <w:sz w:val="18"/>
          <w:szCs w:val="18"/>
        </w:rPr>
        <w:t xml:space="preserve"> </w:t>
      </w:r>
      <w:r w:rsidR="00C268A0">
        <w:rPr>
          <w:rFonts w:ascii="Times New Roman" w:hAnsi="Times New Roman" w:cs="Times New Roman"/>
          <w:i/>
          <w:sz w:val="18"/>
          <w:szCs w:val="18"/>
        </w:rPr>
        <w:t xml:space="preserve">See </w:t>
      </w:r>
      <w:r w:rsidRPr="001F72B4">
        <w:rPr>
          <w:rFonts w:ascii="Times New Roman" w:hAnsi="Times New Roman" w:cs="Times New Roman"/>
          <w:sz w:val="18"/>
          <w:szCs w:val="18"/>
        </w:rPr>
        <w:t xml:space="preserve">General Comment 14 on the Right to Health.  General Comment 14 considers that “health facilities, goods and services must (…) be scientifically and medically appropriate and of good quality.”   </w:t>
      </w:r>
    </w:p>
  </w:footnote>
  <w:footnote w:id="6">
    <w:p w:rsidR="009406DE" w:rsidRPr="001F72B4" w:rsidRDefault="009406DE">
      <w:pPr>
        <w:pStyle w:val="Notedebasdepage"/>
        <w:rPr>
          <w:rFonts w:ascii="Times New Roman" w:hAnsi="Times New Roman" w:cs="Times New Roman"/>
          <w:sz w:val="18"/>
          <w:szCs w:val="18"/>
        </w:rPr>
      </w:pPr>
      <w:r w:rsidRPr="001F72B4">
        <w:rPr>
          <w:rStyle w:val="Appelnotedebasdep"/>
          <w:rFonts w:ascii="Times New Roman" w:hAnsi="Times New Roman" w:cs="Times New Roman"/>
          <w:sz w:val="18"/>
          <w:szCs w:val="18"/>
        </w:rPr>
        <w:footnoteRef/>
      </w:r>
      <w:r w:rsidRPr="001F72B4">
        <w:rPr>
          <w:rFonts w:ascii="Times New Roman" w:hAnsi="Times New Roman" w:cs="Times New Roman"/>
          <w:sz w:val="18"/>
          <w:szCs w:val="18"/>
        </w:rPr>
        <w:t xml:space="preserve"> Political Declaration of the High-Level Meeting of the General Assembly on the Prevention and Control of Non-communicable Diseases</w:t>
      </w:r>
      <w:r w:rsidR="00C268A0">
        <w:rPr>
          <w:rFonts w:ascii="Times New Roman" w:hAnsi="Times New Roman" w:cs="Times New Roman"/>
          <w:sz w:val="18"/>
          <w:szCs w:val="18"/>
        </w:rPr>
        <w:t xml:space="preserve"> (A/RES/66/2), 24 January 2012</w:t>
      </w:r>
      <w:r w:rsidR="00C268A0" w:rsidRPr="00C268A0">
        <w:rPr>
          <w:rFonts w:ascii="Times New Roman" w:hAnsi="Times New Roman" w:cs="Times New Roman"/>
          <w:sz w:val="18"/>
          <w:szCs w:val="18"/>
        </w:rPr>
        <w:t xml:space="preserve">, at para. 57 </w:t>
      </w:r>
      <w:r w:rsidRPr="00C268A0">
        <w:rPr>
          <w:rFonts w:ascii="Times New Roman" w:hAnsi="Times New Roman" w:cs="Times New Roman"/>
          <w:sz w:val="18"/>
          <w:szCs w:val="18"/>
        </w:rPr>
        <w:t>(“Promote actively national and international investments and strengthen national capacity for quality research and development, for all aspects related to the prevention and control of non-communicable diseases, in a sustainable and cost-effective manner, while noting the importance of continuing to incentivize innovation;”).</w:t>
      </w:r>
    </w:p>
  </w:footnote>
  <w:footnote w:id="7">
    <w:p w:rsidR="00CB1980" w:rsidRPr="001F72B4" w:rsidRDefault="00CB1980" w:rsidP="00CB1980">
      <w:pPr>
        <w:pStyle w:val="Notedebasdepage"/>
        <w:tabs>
          <w:tab w:val="center" w:pos="4680"/>
        </w:tabs>
        <w:rPr>
          <w:rFonts w:ascii="Times New Roman" w:hAnsi="Times New Roman" w:cs="Times New Roman"/>
          <w:sz w:val="18"/>
          <w:szCs w:val="18"/>
        </w:rPr>
      </w:pPr>
      <w:r w:rsidRPr="001F72B4">
        <w:rPr>
          <w:rStyle w:val="Appelnotedebasdep"/>
          <w:rFonts w:ascii="Times New Roman" w:hAnsi="Times New Roman" w:cs="Times New Roman"/>
          <w:sz w:val="18"/>
          <w:szCs w:val="18"/>
        </w:rPr>
        <w:footnoteRef/>
      </w:r>
      <w:r w:rsidRPr="001F72B4">
        <w:rPr>
          <w:rFonts w:ascii="Times New Roman" w:hAnsi="Times New Roman" w:cs="Times New Roman"/>
          <w:sz w:val="18"/>
          <w:szCs w:val="18"/>
        </w:rPr>
        <w:t xml:space="preserve"> </w:t>
      </w:r>
      <w:r w:rsidR="001F72B4" w:rsidRPr="001F72B4">
        <w:rPr>
          <w:rFonts w:ascii="Times New Roman" w:hAnsi="Times New Roman" w:cs="Times New Roman"/>
          <w:sz w:val="18"/>
          <w:szCs w:val="18"/>
        </w:rPr>
        <w:t>Article 19 of the International Covenant on Civil and Political Rights</w:t>
      </w:r>
      <w:r w:rsidR="00C268A0">
        <w:rPr>
          <w:rFonts w:ascii="Times New Roman" w:hAnsi="Times New Roman" w:cs="Times New Roman"/>
          <w:sz w:val="18"/>
          <w:szCs w:val="18"/>
        </w:rPr>
        <w:t>.</w:t>
      </w:r>
      <w:r w:rsidRPr="001F72B4">
        <w:rPr>
          <w:rFonts w:ascii="Times New Roman" w:hAnsi="Times New Roman" w:cs="Times New Roman"/>
          <w:sz w:val="18"/>
          <w:szCs w:val="18"/>
        </w:rPr>
        <w:tab/>
      </w:r>
    </w:p>
  </w:footnote>
  <w:footnote w:id="8">
    <w:p w:rsidR="009655C2" w:rsidRPr="001F72B4" w:rsidRDefault="009655C2" w:rsidP="009655C2">
      <w:pPr>
        <w:pStyle w:val="Notedebasdepage"/>
        <w:rPr>
          <w:rFonts w:ascii="Times New Roman" w:hAnsi="Times New Roman" w:cs="Times New Roman"/>
          <w:sz w:val="18"/>
          <w:szCs w:val="18"/>
        </w:rPr>
      </w:pPr>
      <w:r w:rsidRPr="001F72B4">
        <w:rPr>
          <w:rStyle w:val="Appelnotedebasdep"/>
          <w:rFonts w:ascii="Times New Roman" w:hAnsi="Times New Roman" w:cs="Times New Roman"/>
          <w:sz w:val="18"/>
          <w:szCs w:val="18"/>
        </w:rPr>
        <w:footnoteRef/>
      </w:r>
      <w:r w:rsidRPr="001F72B4">
        <w:rPr>
          <w:rFonts w:ascii="Times New Roman" w:hAnsi="Times New Roman" w:cs="Times New Roman"/>
          <w:sz w:val="18"/>
          <w:szCs w:val="18"/>
        </w:rPr>
        <w:t xml:space="preserve"> </w:t>
      </w:r>
      <w:r w:rsidRPr="001F72B4">
        <w:rPr>
          <w:rFonts w:ascii="Times New Roman" w:hAnsi="Times New Roman" w:cs="Times New Roman"/>
          <w:i/>
          <w:color w:val="000000"/>
          <w:sz w:val="18"/>
          <w:szCs w:val="18"/>
        </w:rPr>
        <w:t>Mandatory Labeling</w:t>
      </w:r>
      <w:r w:rsidRPr="001F72B4">
        <w:rPr>
          <w:rFonts w:ascii="Times New Roman" w:hAnsi="Times New Roman" w:cs="Times New Roman"/>
          <w:color w:val="000000"/>
          <w:sz w:val="18"/>
          <w:szCs w:val="18"/>
        </w:rPr>
        <w:t xml:space="preserve">, </w:t>
      </w:r>
      <w:r w:rsidRPr="001F72B4">
        <w:rPr>
          <w:rFonts w:ascii="Times New Roman" w:hAnsi="Times New Roman" w:cs="Times New Roman"/>
          <w:smallCaps/>
          <w:color w:val="000000"/>
          <w:sz w:val="18"/>
          <w:szCs w:val="18"/>
        </w:rPr>
        <w:t>U.S. Dep't Agric., Econ. Res. Serv</w:t>
      </w:r>
      <w:r w:rsidRPr="001F72B4">
        <w:rPr>
          <w:rFonts w:ascii="Times New Roman" w:hAnsi="Times New Roman" w:cs="Times New Roman"/>
          <w:color w:val="000000"/>
          <w:sz w:val="18"/>
          <w:szCs w:val="18"/>
        </w:rPr>
        <w:t xml:space="preserve">., </w:t>
      </w:r>
      <w:hyperlink r:id="rId5" w:history="1">
        <w:r w:rsidR="00BA28CD" w:rsidRPr="000931B7">
          <w:rPr>
            <w:rStyle w:val="Lienhypertexte"/>
            <w:rFonts w:ascii="Times New Roman" w:hAnsi="Times New Roman" w:cs="Times New Roman"/>
            <w:sz w:val="18"/>
            <w:szCs w:val="18"/>
          </w:rPr>
          <w:t>https://www.ers.usda.gov/webdocs/publications/41203/18890_aer793d.pdf?v=0</w:t>
        </w:r>
      </w:hyperlink>
      <w:r w:rsidR="00BA28CD">
        <w:rPr>
          <w:rFonts w:ascii="Times New Roman" w:hAnsi="Times New Roman" w:cs="Times New Roman"/>
          <w:color w:val="000000"/>
          <w:sz w:val="18"/>
          <w:szCs w:val="18"/>
        </w:rPr>
        <w:t xml:space="preserve"> </w:t>
      </w:r>
      <w:r w:rsidRPr="001F72B4">
        <w:rPr>
          <w:rFonts w:ascii="Times New Roman" w:hAnsi="Times New Roman" w:cs="Times New Roman"/>
          <w:color w:val="000000"/>
          <w:sz w:val="18"/>
          <w:szCs w:val="18"/>
        </w:rPr>
        <w:t xml:space="preserve"> [https://perma.cc/SG86-WDZA].</w:t>
      </w:r>
    </w:p>
  </w:footnote>
  <w:footnote w:id="9">
    <w:p w:rsidR="009655C2" w:rsidRPr="005D6116" w:rsidRDefault="009655C2" w:rsidP="009655C2">
      <w:pPr>
        <w:pStyle w:val="Notedebasdepage"/>
        <w:keepLines/>
      </w:pPr>
      <w:r w:rsidRPr="001F72B4">
        <w:rPr>
          <w:rStyle w:val="Appelnotedebasdep"/>
          <w:rFonts w:ascii="Times New Roman" w:hAnsi="Times New Roman" w:cs="Times New Roman"/>
          <w:sz w:val="18"/>
          <w:szCs w:val="18"/>
        </w:rPr>
        <w:footnoteRef/>
      </w:r>
      <w:r w:rsidRPr="001F72B4">
        <w:rPr>
          <w:rFonts w:ascii="Times New Roman" w:hAnsi="Times New Roman" w:cs="Times New Roman"/>
          <w:sz w:val="18"/>
          <w:szCs w:val="18"/>
        </w:rPr>
        <w:t xml:space="preserve"> </w:t>
      </w:r>
      <w:r w:rsidRPr="001F72B4">
        <w:rPr>
          <w:rFonts w:ascii="Times New Roman" w:hAnsi="Times New Roman" w:cs="Times New Roman"/>
          <w:i/>
          <w:sz w:val="18"/>
          <w:szCs w:val="18"/>
        </w:rPr>
        <w:t>Id.</w:t>
      </w:r>
    </w:p>
  </w:footnote>
  <w:footnote w:id="10">
    <w:p w:rsidR="00335BF6" w:rsidRPr="00C268A0" w:rsidRDefault="00335BF6">
      <w:pPr>
        <w:pStyle w:val="Notedebasdepage"/>
        <w:rPr>
          <w:rFonts w:ascii="Times New Roman" w:hAnsi="Times New Roman" w:cs="Times New Roman"/>
          <w:sz w:val="18"/>
          <w:szCs w:val="18"/>
        </w:rPr>
      </w:pPr>
      <w:r w:rsidRPr="00C268A0">
        <w:rPr>
          <w:rStyle w:val="Appelnotedebasdep"/>
          <w:rFonts w:ascii="Times New Roman" w:hAnsi="Times New Roman" w:cs="Times New Roman"/>
          <w:sz w:val="18"/>
          <w:szCs w:val="18"/>
        </w:rPr>
        <w:footnoteRef/>
      </w:r>
      <w:r w:rsidRPr="00C268A0">
        <w:rPr>
          <w:rFonts w:ascii="Times New Roman" w:hAnsi="Times New Roman" w:cs="Times New Roman"/>
          <w:sz w:val="18"/>
          <w:szCs w:val="18"/>
        </w:rPr>
        <w:t xml:space="preserve"> </w:t>
      </w:r>
      <w:r w:rsidRPr="00C268A0">
        <w:rPr>
          <w:rFonts w:ascii="Times New Roman" w:hAnsi="Times New Roman" w:cs="Times New Roman"/>
          <w:i/>
          <w:sz w:val="18"/>
          <w:szCs w:val="18"/>
        </w:rPr>
        <w:t xml:space="preserve">See also </w:t>
      </w:r>
      <w:r w:rsidR="00C268A0" w:rsidRPr="00C268A0">
        <w:rPr>
          <w:rFonts w:ascii="Times New Roman" w:hAnsi="Times New Roman" w:cs="Times New Roman"/>
          <w:sz w:val="18"/>
          <w:szCs w:val="18"/>
        </w:rPr>
        <w:t>t</w:t>
      </w:r>
      <w:r w:rsidRPr="00C268A0">
        <w:rPr>
          <w:rFonts w:ascii="Times New Roman" w:hAnsi="Times New Roman" w:cs="Times New Roman"/>
          <w:sz w:val="18"/>
          <w:szCs w:val="18"/>
        </w:rPr>
        <w:t>he United Nations Guidelines for Consumer Protection at section VI.</w:t>
      </w:r>
    </w:p>
  </w:footnote>
  <w:footnote w:id="11">
    <w:p w:rsidR="001F72B4" w:rsidRPr="001F72B4" w:rsidRDefault="001F72B4" w:rsidP="001F72B4">
      <w:pPr>
        <w:pStyle w:val="NormalWeb"/>
        <w:spacing w:before="0" w:beforeAutospacing="0" w:after="0" w:afterAutospacing="0"/>
        <w:rPr>
          <w:sz w:val="18"/>
          <w:szCs w:val="18"/>
        </w:rPr>
      </w:pPr>
      <w:r w:rsidRPr="001F72B4">
        <w:rPr>
          <w:rStyle w:val="Appelnotedebasdep"/>
          <w:sz w:val="18"/>
          <w:szCs w:val="18"/>
        </w:rPr>
        <w:footnoteRef/>
      </w:r>
      <w:r w:rsidRPr="001F72B4">
        <w:rPr>
          <w:sz w:val="18"/>
          <w:szCs w:val="18"/>
        </w:rPr>
        <w:t xml:space="preserve"> </w:t>
      </w:r>
      <w:r w:rsidRPr="001F72B4">
        <w:rPr>
          <w:rFonts w:eastAsia="+mn-ea"/>
          <w:kern w:val="24"/>
          <w:sz w:val="18"/>
          <w:szCs w:val="18"/>
        </w:rPr>
        <w:t xml:space="preserve">Merlin </w:t>
      </w:r>
      <w:proofErr w:type="spellStart"/>
      <w:r w:rsidRPr="001F72B4">
        <w:rPr>
          <w:rFonts w:eastAsia="+mn-ea"/>
          <w:kern w:val="24"/>
          <w:sz w:val="18"/>
          <w:szCs w:val="18"/>
        </w:rPr>
        <w:t>Chowkwanyun</w:t>
      </w:r>
      <w:proofErr w:type="spellEnd"/>
      <w:r w:rsidRPr="001F72B4">
        <w:rPr>
          <w:rFonts w:eastAsia="+mn-ea"/>
          <w:kern w:val="24"/>
          <w:sz w:val="18"/>
          <w:szCs w:val="18"/>
        </w:rPr>
        <w:t xml:space="preserve">, et. al., Chapter 11 - Beyond the Precautionary Principle: Protecting Public Health and the Environment in the Face of Uncertainty.  </w:t>
      </w:r>
    </w:p>
  </w:footnote>
  <w:footnote w:id="12">
    <w:p w:rsidR="001F72B4" w:rsidRDefault="001F72B4">
      <w:pPr>
        <w:pStyle w:val="Notedebasdepage"/>
      </w:pPr>
      <w:r w:rsidRPr="001F72B4">
        <w:rPr>
          <w:rStyle w:val="Appelnotedebasdep"/>
          <w:rFonts w:ascii="Times New Roman" w:hAnsi="Times New Roman" w:cs="Times New Roman"/>
          <w:sz w:val="18"/>
          <w:szCs w:val="18"/>
        </w:rPr>
        <w:footnoteRef/>
      </w:r>
      <w:r w:rsidRPr="001F72B4">
        <w:rPr>
          <w:rFonts w:ascii="Times New Roman" w:hAnsi="Times New Roman" w:cs="Times New Roman"/>
          <w:sz w:val="18"/>
          <w:szCs w:val="18"/>
        </w:rPr>
        <w:t xml:space="preserve"> </w:t>
      </w:r>
      <w:r w:rsidRPr="001F72B4">
        <w:rPr>
          <w:rFonts w:ascii="Times New Roman" w:eastAsia="+mn-ea" w:hAnsi="Times New Roman" w:cs="Times New Roman"/>
          <w:kern w:val="24"/>
          <w:sz w:val="18"/>
          <w:szCs w:val="18"/>
        </w:rPr>
        <w:t>Fairchild A, et al., Beyond the Precautionary Principle: Protecting Public Health and the Environment in the Face of Uncertainty, Chapter 11 in Bioethical Insights into Values and Policy (2016).</w:t>
      </w:r>
      <w:r w:rsidR="00BA28CD">
        <w:rPr>
          <w:rFonts w:ascii="Times New Roman" w:eastAsia="+mn-ea" w:hAnsi="Times New Roman" w:cs="Times New Roman"/>
          <w:kern w:val="24"/>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4BFD"/>
    <w:multiLevelType w:val="multilevel"/>
    <w:tmpl w:val="E224FD02"/>
    <w:lvl w:ilvl="0">
      <w:start w:val="19"/>
      <w:numFmt w:val="upperLetter"/>
      <w:lvlText w:val="%1"/>
      <w:lvlJc w:val="left"/>
      <w:pPr>
        <w:ind w:left="152" w:hanging="634"/>
      </w:pPr>
    </w:lvl>
    <w:lvl w:ilvl="1">
      <w:start w:val="3"/>
      <w:numFmt w:val="upperLetter"/>
      <w:lvlText w:val="%1.%2"/>
      <w:lvlJc w:val="left"/>
      <w:pPr>
        <w:ind w:left="152" w:hanging="634"/>
      </w:pPr>
    </w:lvl>
    <w:lvl w:ilvl="2">
      <w:start w:val="12"/>
      <w:numFmt w:val="upperLetter"/>
      <w:lvlText w:val="%1.%2.%3"/>
      <w:lvlJc w:val="left"/>
      <w:pPr>
        <w:ind w:left="152" w:hanging="634"/>
      </w:pPr>
    </w:lvl>
    <w:lvl w:ilvl="3">
      <w:start w:val="1"/>
      <w:numFmt w:val="decimal"/>
      <w:lvlText w:val="%4."/>
      <w:lvlJc w:val="left"/>
      <w:pPr>
        <w:ind w:left="773" w:hanging="413"/>
      </w:pPr>
      <w:rPr>
        <w:rFonts w:ascii="Times New Roman" w:eastAsia="Times New Roman" w:hAnsi="Times New Roman" w:cs="Times New Roman"/>
        <w:sz w:val="20"/>
        <w:szCs w:val="20"/>
      </w:rPr>
    </w:lvl>
    <w:lvl w:ilvl="4">
      <w:start w:val="1"/>
      <w:numFmt w:val="lowerLetter"/>
      <w:lvlText w:val="%5."/>
      <w:lvlJc w:val="left"/>
      <w:pPr>
        <w:ind w:left="979" w:hanging="416"/>
      </w:pPr>
      <w:rPr>
        <w:rFonts w:ascii="Times New Roman" w:eastAsia="Times New Roman" w:hAnsi="Times New Roman" w:cs="Times New Roman"/>
        <w:sz w:val="20"/>
        <w:szCs w:val="20"/>
      </w:rPr>
    </w:lvl>
    <w:lvl w:ilvl="5">
      <w:numFmt w:val="bullet"/>
      <w:lvlText w:val="•"/>
      <w:lvlJc w:val="left"/>
      <w:pPr>
        <w:ind w:left="3912" w:hanging="416"/>
      </w:pPr>
    </w:lvl>
    <w:lvl w:ilvl="6">
      <w:numFmt w:val="bullet"/>
      <w:lvlText w:val="•"/>
      <w:lvlJc w:val="left"/>
      <w:pPr>
        <w:ind w:left="4890" w:hanging="416"/>
      </w:pPr>
    </w:lvl>
    <w:lvl w:ilvl="7">
      <w:numFmt w:val="bullet"/>
      <w:lvlText w:val="•"/>
      <w:lvlJc w:val="left"/>
      <w:pPr>
        <w:ind w:left="5867" w:hanging="416"/>
      </w:pPr>
    </w:lvl>
    <w:lvl w:ilvl="8">
      <w:numFmt w:val="bullet"/>
      <w:lvlText w:val="•"/>
      <w:lvlJc w:val="left"/>
      <w:pPr>
        <w:ind w:left="6845" w:hanging="416"/>
      </w:pPr>
    </w:lvl>
  </w:abstractNum>
  <w:abstractNum w:abstractNumId="1">
    <w:nsid w:val="14652881"/>
    <w:multiLevelType w:val="hybridMultilevel"/>
    <w:tmpl w:val="5CCEBCBA"/>
    <w:lvl w:ilvl="0" w:tplc="9DC2AB7C">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D1839"/>
    <w:multiLevelType w:val="hybridMultilevel"/>
    <w:tmpl w:val="1C3EEDF8"/>
    <w:lvl w:ilvl="0" w:tplc="D3A62ECE">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3F747AD6"/>
    <w:multiLevelType w:val="hybridMultilevel"/>
    <w:tmpl w:val="6E149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jW3NDY3MrE0NjY3NjFQ0lEKTi0uzszPAykwrAUANgQy5ywAAAA="/>
  </w:docVars>
  <w:rsids>
    <w:rsidRoot w:val="006C186C"/>
    <w:rsid w:val="00042FD1"/>
    <w:rsid w:val="000A3808"/>
    <w:rsid w:val="000C46E9"/>
    <w:rsid w:val="0019015D"/>
    <w:rsid w:val="001C0CDA"/>
    <w:rsid w:val="001D1C00"/>
    <w:rsid w:val="001F72B4"/>
    <w:rsid w:val="00257DCF"/>
    <w:rsid w:val="002A2C61"/>
    <w:rsid w:val="002B213E"/>
    <w:rsid w:val="002C3B37"/>
    <w:rsid w:val="00317E27"/>
    <w:rsid w:val="00335BF6"/>
    <w:rsid w:val="00384711"/>
    <w:rsid w:val="003C5E6C"/>
    <w:rsid w:val="004B24CE"/>
    <w:rsid w:val="004D6D99"/>
    <w:rsid w:val="005C55EA"/>
    <w:rsid w:val="00616F6A"/>
    <w:rsid w:val="0065137E"/>
    <w:rsid w:val="00693478"/>
    <w:rsid w:val="006B50F2"/>
    <w:rsid w:val="006C186C"/>
    <w:rsid w:val="006D2114"/>
    <w:rsid w:val="00716448"/>
    <w:rsid w:val="00730213"/>
    <w:rsid w:val="0075061F"/>
    <w:rsid w:val="00765C76"/>
    <w:rsid w:val="007724F0"/>
    <w:rsid w:val="00793D8C"/>
    <w:rsid w:val="00806C3A"/>
    <w:rsid w:val="00883F82"/>
    <w:rsid w:val="008B4FC8"/>
    <w:rsid w:val="00911814"/>
    <w:rsid w:val="009406DE"/>
    <w:rsid w:val="009655C2"/>
    <w:rsid w:val="009D6CA2"/>
    <w:rsid w:val="00A23C7C"/>
    <w:rsid w:val="00A600F5"/>
    <w:rsid w:val="00AA4E69"/>
    <w:rsid w:val="00B673F4"/>
    <w:rsid w:val="00BA28CD"/>
    <w:rsid w:val="00BC2076"/>
    <w:rsid w:val="00C268A0"/>
    <w:rsid w:val="00C70105"/>
    <w:rsid w:val="00C83306"/>
    <w:rsid w:val="00CB1980"/>
    <w:rsid w:val="00CC2DAD"/>
    <w:rsid w:val="00DB1C3D"/>
    <w:rsid w:val="00DB378E"/>
    <w:rsid w:val="00DF5580"/>
    <w:rsid w:val="00E528F7"/>
    <w:rsid w:val="00F62BF4"/>
    <w:rsid w:val="00FD3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86C"/>
    <w:pPr>
      <w:ind w:left="720"/>
      <w:contextualSpacing/>
    </w:pPr>
  </w:style>
  <w:style w:type="paragraph" w:styleId="En-tte">
    <w:name w:val="header"/>
    <w:basedOn w:val="Normal"/>
    <w:link w:val="En-tteCar"/>
    <w:uiPriority w:val="99"/>
    <w:unhideWhenUsed/>
    <w:rsid w:val="00883F82"/>
    <w:pPr>
      <w:tabs>
        <w:tab w:val="center" w:pos="4680"/>
        <w:tab w:val="right" w:pos="9360"/>
      </w:tabs>
      <w:spacing w:after="0" w:line="240" w:lineRule="auto"/>
    </w:pPr>
  </w:style>
  <w:style w:type="character" w:customStyle="1" w:styleId="En-tteCar">
    <w:name w:val="En-tête Car"/>
    <w:basedOn w:val="Policepardfaut"/>
    <w:link w:val="En-tte"/>
    <w:uiPriority w:val="99"/>
    <w:rsid w:val="00883F82"/>
  </w:style>
  <w:style w:type="paragraph" w:styleId="Pieddepage">
    <w:name w:val="footer"/>
    <w:basedOn w:val="Normal"/>
    <w:link w:val="PieddepageCar"/>
    <w:uiPriority w:val="99"/>
    <w:unhideWhenUsed/>
    <w:rsid w:val="00883F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83F82"/>
  </w:style>
  <w:style w:type="paragraph" w:styleId="Notedebasdepage">
    <w:name w:val="footnote text"/>
    <w:basedOn w:val="Normal"/>
    <w:link w:val="NotedebasdepageCar"/>
    <w:uiPriority w:val="99"/>
    <w:unhideWhenUsed/>
    <w:rsid w:val="00C83306"/>
    <w:pPr>
      <w:spacing w:after="0" w:line="240" w:lineRule="auto"/>
    </w:pPr>
    <w:rPr>
      <w:sz w:val="20"/>
      <w:szCs w:val="20"/>
    </w:rPr>
  </w:style>
  <w:style w:type="character" w:customStyle="1" w:styleId="NotedebasdepageCar">
    <w:name w:val="Note de bas de page Car"/>
    <w:basedOn w:val="Policepardfaut"/>
    <w:link w:val="Notedebasdepage"/>
    <w:uiPriority w:val="99"/>
    <w:rsid w:val="00C83306"/>
    <w:rPr>
      <w:sz w:val="20"/>
      <w:szCs w:val="20"/>
    </w:rPr>
  </w:style>
  <w:style w:type="character" w:styleId="Appelnotedebasdep">
    <w:name w:val="footnote reference"/>
    <w:basedOn w:val="Policepardfaut"/>
    <w:uiPriority w:val="99"/>
    <w:unhideWhenUsed/>
    <w:rsid w:val="00C83306"/>
    <w:rPr>
      <w:vertAlign w:val="superscript"/>
    </w:rPr>
  </w:style>
  <w:style w:type="character" w:styleId="Lienhypertexte">
    <w:name w:val="Hyperlink"/>
    <w:basedOn w:val="Policepardfaut"/>
    <w:uiPriority w:val="99"/>
    <w:unhideWhenUsed/>
    <w:rsid w:val="00CC2DAD"/>
    <w:rPr>
      <w:color w:val="0563C1" w:themeColor="hyperlink"/>
      <w:u w:val="single"/>
    </w:rPr>
  </w:style>
  <w:style w:type="paragraph" w:styleId="Corpsdetexte">
    <w:name w:val="Body Text"/>
    <w:basedOn w:val="Normal"/>
    <w:link w:val="CorpsdetexteCar"/>
    <w:uiPriority w:val="99"/>
    <w:unhideWhenUsed/>
    <w:rsid w:val="00716448"/>
    <w:pPr>
      <w:spacing w:after="120"/>
    </w:pPr>
  </w:style>
  <w:style w:type="character" w:customStyle="1" w:styleId="CorpsdetexteCar">
    <w:name w:val="Corps de texte Car"/>
    <w:basedOn w:val="Policepardfaut"/>
    <w:link w:val="Corpsdetexte"/>
    <w:uiPriority w:val="99"/>
    <w:rsid w:val="00716448"/>
  </w:style>
  <w:style w:type="paragraph" w:styleId="NormalWeb">
    <w:name w:val="Normal (Web)"/>
    <w:basedOn w:val="Normal"/>
    <w:uiPriority w:val="99"/>
    <w:unhideWhenUsed/>
    <w:rsid w:val="00257DCF"/>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9655C2"/>
    <w:pPr>
      <w:spacing w:line="240" w:lineRule="auto"/>
    </w:pPr>
    <w:rPr>
      <w:sz w:val="20"/>
      <w:szCs w:val="20"/>
    </w:rPr>
  </w:style>
  <w:style w:type="character" w:customStyle="1" w:styleId="CommentaireCar">
    <w:name w:val="Commentaire Car"/>
    <w:basedOn w:val="Policepardfaut"/>
    <w:link w:val="Commentaire"/>
    <w:uiPriority w:val="99"/>
    <w:semiHidden/>
    <w:rsid w:val="009655C2"/>
    <w:rPr>
      <w:sz w:val="20"/>
      <w:szCs w:val="20"/>
    </w:rPr>
  </w:style>
  <w:style w:type="paragraph" w:customStyle="1" w:styleId="Normal1">
    <w:name w:val="Normal1"/>
    <w:rsid w:val="009655C2"/>
    <w:pPr>
      <w:widowControl w:val="0"/>
      <w:spacing w:after="0" w:line="240" w:lineRule="auto"/>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9655C2"/>
    <w:rPr>
      <w:sz w:val="18"/>
      <w:szCs w:val="18"/>
    </w:rPr>
  </w:style>
  <w:style w:type="paragraph" w:styleId="Textedebulles">
    <w:name w:val="Balloon Text"/>
    <w:basedOn w:val="Normal"/>
    <w:link w:val="TextedebullesCar"/>
    <w:uiPriority w:val="99"/>
    <w:semiHidden/>
    <w:unhideWhenUsed/>
    <w:rsid w:val="009655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5C2"/>
    <w:rPr>
      <w:rFonts w:ascii="Segoe UI" w:hAnsi="Segoe UI" w:cs="Segoe UI"/>
      <w:sz w:val="18"/>
      <w:szCs w:val="18"/>
    </w:rPr>
  </w:style>
  <w:style w:type="paragraph" w:customStyle="1" w:styleId="SingleTxtG">
    <w:name w:val="_ Single Txt_G"/>
    <w:basedOn w:val="Normal"/>
    <w:qFormat/>
    <w:rsid w:val="009406DE"/>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Appeldenotedefin">
    <w:name w:val="endnote reference"/>
    <w:basedOn w:val="Policepardfaut"/>
    <w:uiPriority w:val="99"/>
    <w:semiHidden/>
    <w:unhideWhenUsed/>
    <w:rsid w:val="00CB1980"/>
    <w:rPr>
      <w:vertAlign w:val="superscript"/>
    </w:rPr>
  </w:style>
  <w:style w:type="paragraph" w:styleId="Notedefin">
    <w:name w:val="endnote text"/>
    <w:basedOn w:val="Normal"/>
    <w:link w:val="NotedefinCar"/>
    <w:uiPriority w:val="99"/>
    <w:semiHidden/>
    <w:unhideWhenUsed/>
    <w:rsid w:val="00CB1980"/>
    <w:pPr>
      <w:spacing w:after="0" w:line="240" w:lineRule="auto"/>
    </w:pPr>
    <w:rPr>
      <w:sz w:val="20"/>
      <w:szCs w:val="20"/>
    </w:rPr>
  </w:style>
  <w:style w:type="character" w:customStyle="1" w:styleId="NotedefinCar">
    <w:name w:val="Note de fin Car"/>
    <w:basedOn w:val="Policepardfaut"/>
    <w:link w:val="Notedefin"/>
    <w:uiPriority w:val="99"/>
    <w:semiHidden/>
    <w:rsid w:val="00CB1980"/>
    <w:rPr>
      <w:sz w:val="20"/>
      <w:szCs w:val="20"/>
    </w:rPr>
  </w:style>
  <w:style w:type="character" w:styleId="Lienhypertextesuivivisit">
    <w:name w:val="FollowedHyperlink"/>
    <w:basedOn w:val="Policepardfaut"/>
    <w:uiPriority w:val="99"/>
    <w:semiHidden/>
    <w:unhideWhenUsed/>
    <w:rsid w:val="00335BF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8891689">
      <w:bodyDiv w:val="1"/>
      <w:marLeft w:val="0"/>
      <w:marRight w:val="0"/>
      <w:marTop w:val="0"/>
      <w:marBottom w:val="0"/>
      <w:divBdr>
        <w:top w:val="none" w:sz="0" w:space="0" w:color="auto"/>
        <w:left w:val="none" w:sz="0" w:space="0" w:color="auto"/>
        <w:bottom w:val="none" w:sz="0" w:space="0" w:color="auto"/>
        <w:right w:val="none" w:sz="0" w:space="0" w:color="auto"/>
      </w:divBdr>
    </w:div>
    <w:div w:id="234902970">
      <w:bodyDiv w:val="1"/>
      <w:marLeft w:val="0"/>
      <w:marRight w:val="0"/>
      <w:marTop w:val="0"/>
      <w:marBottom w:val="0"/>
      <w:divBdr>
        <w:top w:val="none" w:sz="0" w:space="0" w:color="auto"/>
        <w:left w:val="none" w:sz="0" w:space="0" w:color="auto"/>
        <w:bottom w:val="none" w:sz="0" w:space="0" w:color="auto"/>
        <w:right w:val="none" w:sz="0" w:space="0" w:color="auto"/>
      </w:divBdr>
    </w:div>
    <w:div w:id="538931325">
      <w:bodyDiv w:val="1"/>
      <w:marLeft w:val="0"/>
      <w:marRight w:val="0"/>
      <w:marTop w:val="0"/>
      <w:marBottom w:val="0"/>
      <w:divBdr>
        <w:top w:val="none" w:sz="0" w:space="0" w:color="auto"/>
        <w:left w:val="none" w:sz="0" w:space="0" w:color="auto"/>
        <w:bottom w:val="none" w:sz="0" w:space="0" w:color="auto"/>
        <w:right w:val="none" w:sz="0" w:space="0" w:color="auto"/>
      </w:divBdr>
    </w:div>
    <w:div w:id="7369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RES/72/228" TargetMode="External"/><Relationship Id="rId2" Type="http://schemas.openxmlformats.org/officeDocument/2006/relationships/hyperlink" Target="https://www.un.org/ga/search/view_doc.asp?symbol=A/RES/70/1&amp;Lang=E" TargetMode="External"/><Relationship Id="rId1" Type="http://schemas.openxmlformats.org/officeDocument/2006/relationships/hyperlink" Target="https://www.ncbi.nlm.nih.gov/pmc/articles/PMC3190088/" TargetMode="External"/><Relationship Id="rId5" Type="http://schemas.openxmlformats.org/officeDocument/2006/relationships/hyperlink" Target="https://www.ers.usda.gov/webdocs/publications/41203/18890_aer793d.pdf?v=0" TargetMode="External"/><Relationship Id="rId4" Type="http://schemas.openxmlformats.org/officeDocument/2006/relationships/hyperlink" Target="https://www.ncbi.nlm.nih.gov/pmc/articles/PMC319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0BB47C-DEA6-41EC-A052-2774C21E9116}"/>
</file>

<file path=customXml/itemProps2.xml><?xml version="1.0" encoding="utf-8"?>
<ds:datastoreItem xmlns:ds="http://schemas.openxmlformats.org/officeDocument/2006/customXml" ds:itemID="{DDD4F6D9-80AC-42BD-9974-1C9C6D801091}"/>
</file>

<file path=customXml/itemProps3.xml><?xml version="1.0" encoding="utf-8"?>
<ds:datastoreItem xmlns:ds="http://schemas.openxmlformats.org/officeDocument/2006/customXml" ds:itemID="{A1FEFE3B-0D08-4F39-B55C-719015CE342D}"/>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6557</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2020-02-14T14:12:00Z</dcterms:created>
  <dcterms:modified xsi:type="dcterms:W3CDTF">2020-02-14T14:12:00Z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