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35" w:rsidRPr="001D7835" w:rsidRDefault="001D7835" w:rsidP="001D78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Annex V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D7835" w:rsidRPr="001D7835" w:rsidRDefault="001D7835" w:rsidP="001D78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CURRICULUM VITAE OF Olivier DE SCHUTTER.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(Kindly note that the maximum limit is </w:t>
      </w:r>
      <w:proofErr w:type="gramStart"/>
      <w:r w:rsidRPr="001D783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1D7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a half pages)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ar-SA"/>
        </w:rPr>
      </w:pPr>
    </w:p>
    <w:p w:rsid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NAME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Olivier DE SCHUTTER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DATE AND PLACE OF BIRTH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Ixelles, 20 July 1968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NATIONALITY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Belgian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</w:p>
    <w:p w:rsid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ADDRESS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Professional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Catholic University of Louvain, Pl. Montesquieu 2, B-1348 Louvain-la-</w:t>
      </w:r>
      <w:proofErr w:type="spellStart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Neuve</w:t>
      </w:r>
      <w:proofErr w:type="spellEnd"/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TEL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Professional </w:t>
      </w: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+32 10474642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FAX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Professional </w:t>
      </w: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+ 32 10 472403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E-MAIL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Professional </w:t>
      </w: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olivier.deschutter@uclouvain.be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</w:pPr>
    </w:p>
    <w:p w:rsid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WORKING LANGUAGES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bookmarkStart w:id="0" w:name="_GoBack"/>
      <w:bookmarkEnd w:id="0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EN-FR-NL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7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EDUCATION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1998 PhD (Law), UCL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1992 International Institute for Human Rights (Strasbourg), Laureate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1991 LL.M. (Master in Laws), Harvard University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1990 </w:t>
      </w:r>
      <w:proofErr w:type="spellStart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Licence</w:t>
      </w:r>
      <w:proofErr w:type="spellEnd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en</w:t>
      </w:r>
      <w:proofErr w:type="spellEnd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Droit (MA, Law), UCL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1987 Candidature </w:t>
      </w:r>
      <w:proofErr w:type="spellStart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en</w:t>
      </w:r>
      <w:proofErr w:type="spellEnd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Droit (BA, Law), UCL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  <w:t xml:space="preserve">PROFESSIONAL ACTIVITIES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Special Rapporteur on the right to food (2008-2014)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Member of the Scientific Committee, Fundamental Rights Agency of the EU (2014-2018)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1999-present Professor of Human Rights Law, Catholic University of Louvain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Chair, Belgian Advisory Council on Policy Coherence for Development (2016-2020)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Visiting professor at Yale Law School (2016-2017), UC Berkeley (2013), Columbia Law School (2008-2012), New York University (2004-2005), Univ. Abomey-</w:t>
      </w:r>
      <w:proofErr w:type="spellStart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Calavi</w:t>
      </w:r>
      <w:proofErr w:type="spellEnd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proofErr w:type="spellStart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Cotonou</w:t>
      </w:r>
      <w:proofErr w:type="spellEnd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Bénin</w:t>
      </w:r>
      <w:proofErr w:type="spellEnd"/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 (2000-2005)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  <w:lastRenderedPageBreak/>
        <w:t>CURRENT POSITION(S)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Member, Committee on Economic, Social and Cultural Rights (1.1.2015-31.12.2018)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PUBLICATIONS (IF ANY)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Author of 20 books and over two hundred articles. The most relevant are: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Books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en-US" w:eastAsia="ar-SA"/>
        </w:rPr>
      </w:pPr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The Future of the Right to Development: Reshaping International Regimes </w:t>
      </w:r>
      <w:r w:rsidRPr="001D7835">
        <w:rPr>
          <w:rFonts w:ascii="Times New Roman" w:eastAsia="Times New Roman" w:hAnsi="Times New Roman" w:cs="Times New Roman"/>
          <w:lang w:val="en-US" w:eastAsia="ar-SA"/>
        </w:rPr>
        <w:t>(in press)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i/>
          <w:lang w:val="en-US" w:eastAsia="ar-SA"/>
        </w:rPr>
        <w:t>International Human Rights Law. Cases, Materials and Commentary</w:t>
      </w: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(Cambridge University Press, 2nd ed. 2014)</w:t>
      </w:r>
    </w:p>
    <w:p w:rsidR="001D7835" w:rsidRPr="001D7835" w:rsidRDefault="001D7835" w:rsidP="001D783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hyperlink r:id="rId4" w:history="1">
        <w:r w:rsidRPr="001D7835">
          <w:rPr>
            <w:rFonts w:ascii="Times New Roman" w:eastAsia="Times New Roman" w:hAnsi="Times New Roman" w:cs="Times New Roman"/>
            <w:color w:val="386EFF"/>
            <w:u w:val="single" w:color="386EFF"/>
            <w:lang w:val="en-US" w:eastAsia="ja-JP"/>
          </w:rPr>
          <w:t xml:space="preserve">Trade in the Service of Sustainable Development. Linking Trade to </w:t>
        </w:r>
        <w:proofErr w:type="spellStart"/>
        <w:r w:rsidRPr="001D7835">
          <w:rPr>
            <w:rFonts w:ascii="Times New Roman" w:eastAsia="Times New Roman" w:hAnsi="Times New Roman" w:cs="Times New Roman"/>
            <w:color w:val="386EFF"/>
            <w:u w:val="single" w:color="386EFF"/>
            <w:lang w:val="en-US" w:eastAsia="ja-JP"/>
          </w:rPr>
          <w:t>Labour</w:t>
        </w:r>
        <w:proofErr w:type="spellEnd"/>
        <w:r w:rsidRPr="001D7835">
          <w:rPr>
            <w:rFonts w:ascii="Times New Roman" w:eastAsia="Times New Roman" w:hAnsi="Times New Roman" w:cs="Times New Roman"/>
            <w:color w:val="386EFF"/>
            <w:u w:val="single" w:color="386EFF"/>
            <w:lang w:val="en-US" w:eastAsia="ja-JP"/>
          </w:rPr>
          <w:t xml:space="preserve"> Rights and Environmental Standards</w:t>
        </w:r>
      </w:hyperlink>
      <w:r w:rsidRPr="001D7835">
        <w:rPr>
          <w:rFonts w:ascii="Times New Roman" w:eastAsia="Times New Roman" w:hAnsi="Times New Roman" w:cs="Times New Roman"/>
          <w:lang w:val="en-US" w:eastAsia="ja-JP"/>
        </w:rPr>
        <w:t> (Bloomsbury / Hart Publ., 2015).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hyperlink r:id="rId5" w:history="1">
        <w:r w:rsidRPr="001D7835">
          <w:rPr>
            <w:rFonts w:ascii="Times New Roman" w:eastAsia="Times New Roman" w:hAnsi="Times New Roman" w:cs="Times New Roman"/>
            <w:color w:val="386EFF"/>
            <w:u w:val="single" w:color="386EFF"/>
            <w:lang w:val="en-US" w:eastAsia="ar-SA"/>
          </w:rPr>
          <w:t>Governing Access to Essential Resources</w:t>
        </w:r>
      </w:hyperlink>
      <w:r w:rsidRPr="001D7835">
        <w:rPr>
          <w:rFonts w:ascii="Times New Roman" w:eastAsia="Times New Roman" w:hAnsi="Times New Roman" w:cs="Times New Roman"/>
          <w:lang w:val="en-US" w:eastAsia="ar-SA"/>
        </w:rPr>
        <w:t>  (Columbia University Press, 2015)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i/>
          <w:lang w:val="en-US" w:eastAsia="ar-SA"/>
        </w:rPr>
        <w:t>Economic, Social and Cultural Rights as Human Rights</w:t>
      </w: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(editor) (London: Edward Elgar, 2013)</w:t>
      </w:r>
    </w:p>
    <w:p w:rsidR="001D7835" w:rsidRPr="001D7835" w:rsidRDefault="001D7835" w:rsidP="001D783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hyperlink r:id="rId6" w:history="1">
        <w:r w:rsidRPr="001D7835">
          <w:rPr>
            <w:rFonts w:ascii="Times New Roman" w:eastAsia="Times New Roman" w:hAnsi="Times New Roman" w:cs="Times New Roman"/>
            <w:i/>
            <w:color w:val="0000FF"/>
            <w:u w:val="single"/>
            <w:lang w:val="en-US" w:eastAsia="ar-SA"/>
          </w:rPr>
          <w:t>Foreign Direct Investment and Human Development</w:t>
        </w:r>
      </w:hyperlink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(London: Routledge, 2012)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i/>
          <w:color w:val="386EFF"/>
          <w:u w:val="single" w:color="386EFF"/>
          <w:lang w:val="en-US" w:eastAsia="ar-SA"/>
        </w:rPr>
        <w:t xml:space="preserve">Accounting for Hunger. The Right to Food in the Era of </w:t>
      </w:r>
      <w:proofErr w:type="spellStart"/>
      <w:r w:rsidRPr="001D7835">
        <w:rPr>
          <w:rFonts w:ascii="Times New Roman" w:eastAsia="Times New Roman" w:hAnsi="Times New Roman" w:cs="Times New Roman"/>
          <w:i/>
          <w:color w:val="386EFF"/>
          <w:u w:val="single" w:color="386EFF"/>
          <w:lang w:val="en-US" w:eastAsia="ar-SA"/>
        </w:rPr>
        <w:t>Globalisation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r w:rsidRPr="001D7835">
        <w:rPr>
          <w:rFonts w:ascii="Times New Roman" w:eastAsia="Times New Roman" w:hAnsi="Times New Roman" w:cs="Times New Roman"/>
          <w:lang w:val="en-US" w:eastAsia="ar-SA"/>
        </w:rPr>
        <w:t>(Oxford:</w:t>
      </w:r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Hart Publ., 2011) 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i/>
          <w:lang w:val="en-US" w:eastAsia="ar-SA"/>
        </w:rPr>
        <w:t>The European Social Charter. A Social Constitution for Europe</w:t>
      </w: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(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Bruxelles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: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Bruylant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>, 2010)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i/>
          <w:lang w:val="en-US" w:eastAsia="ar-SA"/>
        </w:rPr>
        <w:t>Transnational Corporations and Human Rights</w:t>
      </w:r>
      <w:r w:rsidRPr="001D7835">
        <w:rPr>
          <w:rFonts w:ascii="Times New Roman" w:eastAsia="Times New Roman" w:hAnsi="Times New Roman" w:cs="Times New Roman"/>
          <w:lang w:val="en-US" w:eastAsia="ar-SA"/>
        </w:rPr>
        <w:t>, (editor) (Oxford and Portland-Oregon: Hart, 2006)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Discriminations </w:t>
      </w:r>
      <w:proofErr w:type="gram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et</w:t>
      </w:r>
      <w:proofErr w:type="gram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marché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du travail.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Liberté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proofErr w:type="gram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et</w:t>
      </w:r>
      <w:proofErr w:type="gram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égalité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dans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les rapports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d’emploi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(New York, Oxford: P.I.E. Peter Lang, 2001)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ar-SA"/>
        </w:rPr>
      </w:pPr>
      <w:r w:rsidRPr="001D7835">
        <w:rPr>
          <w:rFonts w:ascii="Times New Roman" w:eastAsia="Times New Roman" w:hAnsi="Times New Roman" w:cs="Times New Roman"/>
          <w:b/>
          <w:lang w:val="en-US" w:eastAsia="ar-SA"/>
        </w:rPr>
        <w:t>Articles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The Two Constitutions of Europe: Integrating Social Rights in the New Economic Architecture of the Union", </w:t>
      </w:r>
      <w:r w:rsidRPr="001D7835">
        <w:rPr>
          <w:rFonts w:ascii="Times New Roman" w:eastAsia="Times New Roman" w:hAnsi="Times New Roman" w:cs="Times New Roman"/>
          <w:i/>
          <w:lang w:val="en-US" w:eastAsia="ar-SA"/>
        </w:rPr>
        <w:t>European Journal of Human Rights</w:t>
      </w:r>
      <w:r w:rsidRPr="001D7835">
        <w:rPr>
          <w:rFonts w:ascii="Times New Roman" w:eastAsia="Times New Roman" w:hAnsi="Times New Roman" w:cs="Times New Roman"/>
          <w:lang w:val="en-US" w:eastAsia="ar-SA"/>
        </w:rPr>
        <w:t>, n° 2 (2017), pp. 108-156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"Welfare State Reform and Social Rights", </w:t>
      </w:r>
      <w:r w:rsidRPr="001D7835">
        <w:rPr>
          <w:rFonts w:ascii="Times New Roman" w:eastAsia="Times New Roman" w:hAnsi="Times New Roman" w:cs="Times New Roman"/>
          <w:i/>
          <w:lang w:val="en-US" w:eastAsia="ar-SA"/>
        </w:rPr>
        <w:t>Netherlands Quarterly of Human Rights</w:t>
      </w:r>
      <w:r w:rsidRPr="001D7835">
        <w:rPr>
          <w:rFonts w:ascii="Times New Roman" w:eastAsia="Times New Roman" w:hAnsi="Times New Roman" w:cs="Times New Roman"/>
          <w:lang w:val="en-US" w:eastAsia="ar-SA"/>
        </w:rPr>
        <w:t>, vol. 33(2) (2015), pp. 123-162.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"Towards a New Treaty on Business and Human Rights", </w:t>
      </w:r>
      <w:r w:rsidRPr="001D7835">
        <w:rPr>
          <w:rFonts w:ascii="Times New Roman" w:eastAsia="Times New Roman" w:hAnsi="Times New Roman" w:cs="Times New Roman"/>
          <w:i/>
          <w:lang w:val="en-US" w:eastAsia="ar-SA"/>
        </w:rPr>
        <w:t>Business and Human Rights Journal</w:t>
      </w:r>
      <w:r w:rsidRPr="001D7835">
        <w:rPr>
          <w:rFonts w:ascii="Times New Roman" w:eastAsia="Times New Roman" w:hAnsi="Times New Roman" w:cs="Times New Roman"/>
          <w:lang w:val="en-US" w:eastAsia="ar-SA"/>
        </w:rPr>
        <w:t>, vol. 1 (2015) pp. 41-67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ar-SA"/>
        </w:rPr>
      </w:pP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" 'Commentary to the Maastricht Principles on Extraterritorial Obligations of States in the area of Economic, Social and Cultural Rights', </w:t>
      </w:r>
      <w:r w:rsidRPr="001D7835">
        <w:rPr>
          <w:rFonts w:ascii="Times New Roman" w:eastAsia="Times New Roman" w:hAnsi="Times New Roman" w:cs="Times New Roman"/>
          <w:i/>
          <w:lang w:val="en-US" w:eastAsia="ar-SA"/>
        </w:rPr>
        <w:t>Human Rights Quarterly</w:t>
      </w:r>
      <w:r w:rsidRPr="001D7835">
        <w:rPr>
          <w:rFonts w:ascii="Times New Roman" w:eastAsia="Times New Roman" w:hAnsi="Times New Roman" w:cs="Times New Roman"/>
          <w:lang w:val="en-US" w:eastAsia="ar-SA"/>
        </w:rPr>
        <w:t>, vol. 34 (2012), pp. 1084-1171</w:t>
      </w:r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‘Rapport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général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- La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responsabilité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des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Etats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dans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le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contrôle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des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sociétés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proofErr w:type="gramStart"/>
      <w:r w:rsidRPr="001D7835">
        <w:rPr>
          <w:rFonts w:ascii="Times New Roman" w:eastAsia="Times New Roman" w:hAnsi="Times New Roman" w:cs="Times New Roman"/>
          <w:lang w:val="en-US" w:eastAsia="ar-SA"/>
        </w:rPr>
        <w:t>transnationales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> :</w:t>
      </w:r>
      <w:proofErr w:type="gram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vers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une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Convention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internationale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sur la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lutte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contre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les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atteintes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aux droits de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l’homme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commises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par les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sociétés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transnationales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’, in </w:t>
      </w:r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La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responsabilité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des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entreprises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multinationales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en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matière</w:t>
      </w:r>
      <w:proofErr w:type="spellEnd"/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 de droits de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l’homme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(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Bruxelles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Bruylant-Némésis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, 2010), pp. </w:t>
      </w:r>
      <w:hyperlink r:id="rId7" w:history="1">
        <w:r w:rsidRPr="001D7835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19-100</w:t>
        </w:r>
      </w:hyperlink>
    </w:p>
    <w:p w:rsidR="001D7835" w:rsidRPr="001D7835" w:rsidRDefault="001D7835" w:rsidP="001D78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‘Human Rights and the Rise of International </w:t>
      </w:r>
      <w:proofErr w:type="spellStart"/>
      <w:proofErr w:type="gramStart"/>
      <w:r w:rsidRPr="001D7835">
        <w:rPr>
          <w:rFonts w:ascii="Times New Roman" w:eastAsia="Times New Roman" w:hAnsi="Times New Roman" w:cs="Times New Roman"/>
          <w:lang w:val="en-US" w:eastAsia="ar-SA"/>
        </w:rPr>
        <w:t>Organisations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> :</w:t>
      </w:r>
      <w:proofErr w:type="gram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The Logic of Sliding Scales in the Law of International Responsibility’, in Jan 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Wouters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et al. (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eds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), </w:t>
      </w:r>
      <w:r w:rsidRPr="001D7835">
        <w:rPr>
          <w:rFonts w:ascii="Times New Roman" w:eastAsia="Times New Roman" w:hAnsi="Times New Roman" w:cs="Times New Roman"/>
          <w:i/>
          <w:lang w:val="en-US" w:eastAsia="ar-SA"/>
        </w:rPr>
        <w:t xml:space="preserve">Accountability for Human Rights Violations by International </w:t>
      </w:r>
      <w:proofErr w:type="spellStart"/>
      <w:r w:rsidRPr="001D7835">
        <w:rPr>
          <w:rFonts w:ascii="Times New Roman" w:eastAsia="Times New Roman" w:hAnsi="Times New Roman" w:cs="Times New Roman"/>
          <w:i/>
          <w:lang w:val="en-US" w:eastAsia="ar-SA"/>
        </w:rPr>
        <w:t>Organisations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 xml:space="preserve"> (</w:t>
      </w:r>
      <w:proofErr w:type="spellStart"/>
      <w:r w:rsidRPr="001D7835">
        <w:rPr>
          <w:rFonts w:ascii="Times New Roman" w:eastAsia="Times New Roman" w:hAnsi="Times New Roman" w:cs="Times New Roman"/>
          <w:lang w:val="en-US" w:eastAsia="ar-SA"/>
        </w:rPr>
        <w:t>Intersentia</w:t>
      </w:r>
      <w:proofErr w:type="spellEnd"/>
      <w:r w:rsidRPr="001D7835">
        <w:rPr>
          <w:rFonts w:ascii="Times New Roman" w:eastAsia="Times New Roman" w:hAnsi="Times New Roman" w:cs="Times New Roman"/>
          <w:lang w:val="en-US" w:eastAsia="ar-SA"/>
        </w:rPr>
        <w:t>, Antwerp-Oxford-Portland, 2010), pp. 51-129</w:t>
      </w:r>
    </w:p>
    <w:p w:rsidR="001D7835" w:rsidRPr="001D7835" w:rsidRDefault="001D7835" w:rsidP="001D7835">
      <w:pPr>
        <w:suppressAutoHyphens/>
        <w:overflowPunct w:val="0"/>
        <w:autoSpaceDE w:val="0"/>
        <w:autoSpaceDN w:val="0"/>
        <w:adjustRightInd w:val="0"/>
        <w:spacing w:before="240" w:after="0" w:line="240" w:lineRule="atLeast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</w:pPr>
      <w:r w:rsidRPr="001D78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ab/>
      </w:r>
      <w:r w:rsidRPr="001D78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ab/>
      </w:r>
      <w:r w:rsidRPr="001D78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ab/>
      </w:r>
    </w:p>
    <w:p w:rsidR="008159B1" w:rsidRDefault="008159B1"/>
    <w:sectPr w:rsidR="008159B1">
      <w:headerReference w:type="even" r:id="rId8"/>
      <w:headerReference w:type="default" r:id="rId9"/>
      <w:endnotePr>
        <w:numFmt w:val="lowerLetter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C2" w:rsidRDefault="001D7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26C2" w:rsidRDefault="001D7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C2" w:rsidRDefault="001D7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26C2" w:rsidRDefault="001D7835">
    <w:pPr>
      <w:pStyle w:val="Header"/>
      <w:framePr w:wrap="around" w:vAnchor="text" w:hAnchor="margin" w:xAlign="center" w:y="1"/>
      <w:rPr>
        <w:rStyle w:val="PageNumber"/>
      </w:rPr>
    </w:pPr>
  </w:p>
  <w:p w:rsidR="009926C2" w:rsidRDefault="001D7835">
    <w:pPr>
      <w:pStyle w:val="Header"/>
      <w:framePr w:wrap="around" w:vAnchor="text" w:hAnchor="margin" w:xAlign="center" w:y="1"/>
      <w:rPr>
        <w:rStyle w:val="PageNumber"/>
      </w:rPr>
    </w:pPr>
  </w:p>
  <w:p w:rsidR="009926C2" w:rsidRDefault="001D7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35"/>
    <w:rsid w:val="001D7835"/>
    <w:rsid w:val="008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9747"/>
  <w15:chartTrackingRefBased/>
  <w15:docId w15:val="{C924DF21-1D15-4A4D-8939-04B162D7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7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835"/>
  </w:style>
  <w:style w:type="character" w:styleId="PageNumber">
    <w:name w:val="page number"/>
    <w:basedOn w:val="DefaultParagraphFont"/>
    <w:rsid w:val="001D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hdl.handle.net/2078.1/10602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utledge.com/books/details/978041553548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up.columbia.edu/book/governing-access-to-essential-resources/978023117278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artpub.co.uk/books/details.asp?isbn=9781782257158" TargetMode="Externa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3BCD7A-A6A1-4184-9E54-BD076829156C}"/>
</file>

<file path=customXml/itemProps2.xml><?xml version="1.0" encoding="utf-8"?>
<ds:datastoreItem xmlns:ds="http://schemas.openxmlformats.org/officeDocument/2006/customXml" ds:itemID="{3112D4F0-AAB3-46A9-988F-E90A25C086EB}"/>
</file>

<file path=customXml/itemProps3.xml><?xml version="1.0" encoding="utf-8"?>
<ds:datastoreItem xmlns:ds="http://schemas.openxmlformats.org/officeDocument/2006/customXml" ds:itemID="{B39D63A0-C7A9-48AA-9340-AC6694FFB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Gayla Spasova</dc:creator>
  <cp:keywords/>
  <dc:description/>
  <cp:lastModifiedBy>Gayla Spasova</cp:lastModifiedBy>
  <cp:revision>1</cp:revision>
  <dcterms:created xsi:type="dcterms:W3CDTF">2017-10-12T13:02:00Z</dcterms:created>
  <dcterms:modified xsi:type="dcterms:W3CDTF">2017-10-12T13:04:00Z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