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E839" w14:textId="77777777" w:rsidR="00A86D66" w:rsidRPr="00C55523" w:rsidRDefault="00363933" w:rsidP="00F83926">
      <w:pPr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C55523">
        <w:rPr>
          <w:rFonts w:ascii="Times New Roman" w:hAnsi="Times New Roman" w:cs="Times New Roman"/>
          <w:b/>
          <w:sz w:val="28"/>
          <w:szCs w:val="28"/>
          <w:lang w:val="fr-BE"/>
        </w:rPr>
        <w:t>Ludovic Hennebel (</w:t>
      </w:r>
      <w:proofErr w:type="spellStart"/>
      <w:r w:rsidRPr="00C55523">
        <w:rPr>
          <w:rFonts w:ascii="Times New Roman" w:hAnsi="Times New Roman" w:cs="Times New Roman"/>
          <w:b/>
          <w:sz w:val="28"/>
          <w:szCs w:val="28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b/>
          <w:sz w:val="28"/>
          <w:szCs w:val="28"/>
          <w:lang w:val="fr-BE"/>
        </w:rPr>
        <w:t>)</w:t>
      </w:r>
    </w:p>
    <w:p w14:paraId="782B9C0F" w14:textId="77777777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4E717F6" w14:textId="09CA8843" w:rsidR="00BD5403" w:rsidRPr="00C55523" w:rsidRDefault="00C5552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  <w:lang w:val="fr-BE"/>
        </w:rPr>
        <w:t>Nacionalidad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fr-BE"/>
        </w:rPr>
        <w:t xml:space="preserve"> : </w:t>
      </w: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Belga</w:t>
      </w:r>
      <w:r w:rsidR="00BD5403"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 </w:t>
      </w:r>
      <w:proofErr w:type="spellStart"/>
      <w:r w:rsidR="002214BF" w:rsidRPr="00C55523">
        <w:rPr>
          <w:rFonts w:ascii="Times New Roman" w:hAnsi="Times New Roman" w:cs="Times New Roman"/>
          <w:b/>
          <w:sz w:val="22"/>
          <w:szCs w:val="22"/>
          <w:lang w:val="fr-BE"/>
        </w:rPr>
        <w:t>Residencia</w:t>
      </w:r>
      <w:proofErr w:type="spellEnd"/>
      <w:r w:rsidR="002214BF"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: </w:t>
      </w:r>
      <w:r w:rsidR="002214BF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Francia </w:t>
      </w:r>
    </w:p>
    <w:p w14:paraId="108F3593" w14:textId="77777777" w:rsidR="00BD5403" w:rsidRPr="00C55523" w:rsidRDefault="00BD540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fr-BE"/>
        </w:rPr>
      </w:pPr>
    </w:p>
    <w:p w14:paraId="3C0EE4FC" w14:textId="6FB5477B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Idiomas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trabajo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: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Francés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Nativo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),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Inglés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Fluido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</w:t>
      </w:r>
      <w:r w:rsidR="00C55523">
        <w:rPr>
          <w:rFonts w:ascii="Times New Roman" w:hAnsi="Times New Roman" w:cs="Times New Roman"/>
          <w:sz w:val="22"/>
          <w:szCs w:val="22"/>
          <w:lang w:val="fr-BE"/>
        </w:rPr>
        <w:t>,</w:t>
      </w:r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Español</w:t>
      </w:r>
      <w:proofErr w:type="spellEnd"/>
    </w:p>
    <w:p w14:paraId="22736300" w14:textId="77777777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3FA9CD78" w14:textId="61EAC1B0" w:rsidR="00363933" w:rsidRPr="00C55523" w:rsidRDefault="00363933" w:rsidP="00C55523">
      <w:pPr>
        <w:numPr>
          <w:ilvl w:val="0"/>
          <w:numId w:val="5"/>
        </w:numPr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Posición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/</w:t>
      </w: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función</w:t>
      </w:r>
      <w:proofErr w:type="spellEnd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sz w:val="22"/>
          <w:szCs w:val="22"/>
          <w:lang w:val="fr-BE"/>
        </w:rPr>
        <w:t>actual</w:t>
      </w:r>
      <w:proofErr w:type="spellEnd"/>
      <w:r w:rsidR="00EC7B34" w:rsidRPr="00C55523">
        <w:rPr>
          <w:rFonts w:ascii="Times New Roman" w:hAnsi="Times New Roman" w:cs="Times New Roman"/>
          <w:b/>
          <w:sz w:val="22"/>
          <w:szCs w:val="22"/>
          <w:lang w:val="fr-BE"/>
        </w:rPr>
        <w:t xml:space="preserve">: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en la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Aix-Marseille (Francia);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miembro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del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Comité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Asesor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del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Consejo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de las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Naciones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Unidas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y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Presidente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Relator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del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Grupo de </w:t>
      </w:r>
      <w:proofErr w:type="spellStart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Trabajo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sobre las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denuncia</w:t>
      </w:r>
      <w:r w:rsidR="00C55523">
        <w:rPr>
          <w:rFonts w:ascii="Times New Roman" w:hAnsi="Times New Roman" w:cs="Times New Roman"/>
          <w:bCs/>
          <w:sz w:val="22"/>
          <w:szCs w:val="22"/>
          <w:lang w:val="fr-BE"/>
        </w:rPr>
        <w:t>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violaciones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graves y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sistemáticas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;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A</w:t>
      </w:r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bogado</w:t>
      </w:r>
      <w:proofErr w:type="spellEnd"/>
      <w:r w:rsidR="00EC7B34" w:rsidRPr="00C55523">
        <w:rPr>
          <w:rFonts w:ascii="Times New Roman" w:hAnsi="Times New Roman" w:cs="Times New Roman"/>
          <w:sz w:val="22"/>
          <w:szCs w:val="22"/>
          <w:lang w:val="fr-BE"/>
        </w:rPr>
        <w:t>.</w:t>
      </w:r>
    </w:p>
    <w:p w14:paraId="703C3F98" w14:textId="77777777" w:rsidR="00363933" w:rsidRPr="00C5552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260A39A" w14:textId="77777777" w:rsidR="00363933" w:rsidRPr="00C55523" w:rsidRDefault="00363933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Internacional y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Aix-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Marsella</w:t>
      </w:r>
      <w:proofErr w:type="spellEnd"/>
      <w:r w:rsidR="00E432E4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(Francia)</w:t>
      </w:r>
    </w:p>
    <w:p w14:paraId="60712EAC" w14:textId="77777777" w:rsidR="00E432E4" w:rsidRPr="00C55523" w:rsidRDefault="00E432E4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118739E" w14:textId="77777777" w:rsidR="00E432E4" w:rsidRPr="00C55523" w:rsidRDefault="00E432E4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Instituto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Estudios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Humanitarios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(Francia)</w:t>
      </w:r>
    </w:p>
    <w:p w14:paraId="52186D42" w14:textId="77777777" w:rsidR="00E432E4" w:rsidRPr="00C55523" w:rsidRDefault="00E432E4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0E24565F" w14:textId="77777777" w:rsidR="00E432E4" w:rsidRPr="00C55523" w:rsidRDefault="00E432E4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socio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bufete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Hennebel Avocats, </w:t>
      </w:r>
      <w:proofErr w:type="spellStart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Colegio</w:t>
      </w:r>
      <w:proofErr w:type="spellEnd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Abogados</w:t>
      </w:r>
      <w:proofErr w:type="spellEnd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  <w:r w:rsidR="005E6948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(Francia)</w:t>
      </w:r>
    </w:p>
    <w:p w14:paraId="42D826D7" w14:textId="77777777" w:rsidR="00CD1B55" w:rsidRPr="00C55523" w:rsidRDefault="00CD1B55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73DF5A76" w14:textId="1120FE38" w:rsidR="00F83926" w:rsidRPr="00C55523" w:rsidRDefault="00F83926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Experto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independiente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Vicepresidente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Comité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Consejo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Unidas</w:t>
      </w:r>
      <w:proofErr w:type="spellEnd"/>
    </w:p>
    <w:p w14:paraId="38E76859" w14:textId="125FB746" w:rsidR="00F83926" w:rsidRPr="00C55523" w:rsidRDefault="00F83926" w:rsidP="00EC7B3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br/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Experto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Independiente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Presidente-Relator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Grupo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Trabajo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Unidas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sobre el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procedimiento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denuncia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violaciones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graves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sistemáticas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</w:p>
    <w:p w14:paraId="23122260" w14:textId="77777777" w:rsidR="005E6948" w:rsidRPr="00C55523" w:rsidRDefault="005E6948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09BD88A2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Principales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actividades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profesionales</w:t>
      </w:r>
      <w:proofErr w:type="spellEnd"/>
    </w:p>
    <w:p w14:paraId="472F547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2E48CE" w14:textId="10F7F4D9" w:rsidR="00707269" w:rsidRPr="00C55523" w:rsidRDefault="00707269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de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internacional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/ </w:t>
      </w:r>
      <w:proofErr w:type="spellStart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="00C5552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Experto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Abogado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. </w:t>
      </w:r>
    </w:p>
    <w:p w14:paraId="6D818863" w14:textId="77777777" w:rsidR="00707269" w:rsidRPr="00C55523" w:rsidRDefault="00707269" w:rsidP="00707269">
      <w:pPr>
        <w:pStyle w:val="Paragraphedeliste"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DC83A1C" w14:textId="77777777" w:rsidR="00CE26EA" w:rsidRPr="00C55523" w:rsidRDefault="00CE26EA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Internacional y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Bruselas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- 2009-2014)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Aix-Marseille (Francia - 2014-en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curso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</w:t>
      </w:r>
    </w:p>
    <w:p w14:paraId="056A3F0F" w14:textId="77777777" w:rsidR="005D4103" w:rsidRPr="00C55523" w:rsidRDefault="005D4103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801D1BA" w14:textId="2A711584" w:rsidR="005D4103" w:rsidRPr="00C55523" w:rsidRDefault="005D4103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Clínica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Jurídica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y </w:t>
      </w:r>
      <w:proofErr w:type="spellStart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Justicia</w:t>
      </w:r>
      <w:proofErr w:type="spellEnd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Global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</w:t>
      </w:r>
      <w:proofErr w:type="spellStart"/>
      <w:r w:rsidR="00F37226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</w:p>
    <w:p w14:paraId="12E00956" w14:textId="77777777" w:rsidR="00F37226" w:rsidRPr="00C55523" w:rsidRDefault="00F37226" w:rsidP="00F372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64C273C4" w14:textId="6B800C9F" w:rsidR="00F37226" w:rsidRPr="00C55523" w:rsidRDefault="00F37226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Máster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Acción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Humanitaria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/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/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Justicia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Global,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Aix-Marseille </w:t>
      </w:r>
    </w:p>
    <w:p w14:paraId="3637DEB0" w14:textId="77777777" w:rsidR="007230D1" w:rsidRPr="00C55523" w:rsidRDefault="007230D1" w:rsidP="007230D1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112AE8F6" w14:textId="20014164" w:rsidR="007230D1" w:rsidRPr="00C55523" w:rsidRDefault="007230D1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Director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Escuela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Verano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sobre la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Práctica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Internacional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Aix-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Marsella</w:t>
      </w:r>
      <w:proofErr w:type="spellEnd"/>
    </w:p>
    <w:p w14:paraId="58D7BE03" w14:textId="77777777" w:rsidR="00F664F7" w:rsidRPr="00C55523" w:rsidRDefault="00F664F7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2FD73386" w14:textId="596A6A62" w:rsidR="00A44679" w:rsidRPr="00C55523" w:rsidRDefault="00F664F7" w:rsidP="00EC7B3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Profesor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invitado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/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becario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r w:rsidR="00BA65BF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en Sciences Po Paris (2008-2012</w:t>
      </w:r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),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Facultad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Harvard (2011-2013),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Nueva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York (2007-2008), Corte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Interamericana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="009A21B0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(2003-2004)</w:t>
      </w:r>
    </w:p>
    <w:p w14:paraId="6DE06AA7" w14:textId="77777777" w:rsidR="005E6948" w:rsidRPr="00C55523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556873BD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Formación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académica</w:t>
      </w:r>
      <w:proofErr w:type="spellEnd"/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...</w:t>
      </w:r>
    </w:p>
    <w:p w14:paraId="232D093B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C7E1AC" w14:textId="77777777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Doctorado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F664F7" w:rsidRPr="00C55523">
        <w:rPr>
          <w:rFonts w:ascii="Times New Roman" w:hAnsi="Times New Roman" w:cs="Times New Roman"/>
          <w:sz w:val="22"/>
          <w:szCs w:val="22"/>
          <w:lang w:val="fr-BE"/>
        </w:rPr>
        <w:t>Bruselas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), 2005</w:t>
      </w:r>
    </w:p>
    <w:p w14:paraId="3C2930AB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133CD7E8" w14:textId="77777777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Diploma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Instituto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René Cassin,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Estrasburgo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(Francia), 2001</w:t>
      </w:r>
    </w:p>
    <w:p w14:paraId="20339335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5A32D5F" w14:textId="77777777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lastRenderedPageBreak/>
        <w:t>Maestría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Leicester en la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Facultad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Disertación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sobre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asistencia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humanitaria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bajo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la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dirección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Malcolm Shaw, Leicester (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Reino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Unido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), 1999</w:t>
      </w:r>
    </w:p>
    <w:p w14:paraId="10107C8B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3868AAE" w14:textId="39B0DC58" w:rsidR="001B5821" w:rsidRPr="00C55523" w:rsidRDefault="001B5821" w:rsidP="00EC7B3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Maestría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licenciatura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Universidad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>Bruselas</w:t>
      </w:r>
      <w:proofErr w:type="spellEnd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en la </w:t>
      </w:r>
      <w:proofErr w:type="spellStart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>Facultad</w:t>
      </w:r>
      <w:proofErr w:type="spellEnd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 de </w:t>
      </w:r>
      <w:proofErr w:type="spellStart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>Derecho</w:t>
      </w:r>
      <w:proofErr w:type="spellEnd"/>
      <w:r w:rsidR="001B6D83" w:rsidRPr="00C55523">
        <w:rPr>
          <w:rFonts w:ascii="Times New Roman" w:hAnsi="Times New Roman" w:cs="Times New Roman"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sz w:val="22"/>
          <w:szCs w:val="22"/>
          <w:lang w:val="fr-BE"/>
        </w:rPr>
        <w:t>Bélgica</w:t>
      </w:r>
      <w:proofErr w:type="spellEnd"/>
      <w:r w:rsidRPr="00C55523">
        <w:rPr>
          <w:rFonts w:ascii="Times New Roman" w:hAnsi="Times New Roman" w:cs="Times New Roman"/>
          <w:sz w:val="22"/>
          <w:szCs w:val="22"/>
          <w:lang w:val="fr-BE"/>
        </w:rPr>
        <w:t>, 1998</w:t>
      </w:r>
    </w:p>
    <w:p w14:paraId="3B83192A" w14:textId="77777777" w:rsidR="001B5821" w:rsidRPr="00C55523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28004B2" w14:textId="77777777" w:rsidR="00BA65BF" w:rsidRPr="00C55523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64410B5C" w14:textId="77777777" w:rsidR="00BA65BF" w:rsidRPr="00C55523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E5DBB70" w14:textId="77777777" w:rsidR="00BA65BF" w:rsidRPr="00C55523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F6945F0" w14:textId="77777777" w:rsidR="00E432E4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Otras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actividades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principales en la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esfera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pertinente al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mandato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órgano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tratado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de que se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trate</w:t>
      </w:r>
      <w:proofErr w:type="spellEnd"/>
    </w:p>
    <w:p w14:paraId="74ACCE51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212A2862" w14:textId="02D984B1" w:rsidR="00C35637" w:rsidRPr="00C55523" w:rsidRDefault="00C35637" w:rsidP="00EC7B3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En su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calidad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Comité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miembro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grupo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redacción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informes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relativos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a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políticas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nacionales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; la </w:t>
      </w:r>
      <w:proofErr w:type="spellStart"/>
      <w:r w:rsidR="00270C09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igualdad</w:t>
      </w:r>
      <w:proofErr w:type="spellEnd"/>
      <w:r w:rsidR="00270C09"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racial (</w:t>
      </w:r>
      <w:proofErr w:type="spellStart"/>
      <w:r w:rsidR="00270C09"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relator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); el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al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desarrollo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presidente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);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fondos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ilícitos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;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repercusiones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terrorismo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el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disfrute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(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especialmente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económicos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sociales y culturales); las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tecnologías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nuevas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emergentes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. </w:t>
      </w:r>
    </w:p>
    <w:p w14:paraId="35228D6E" w14:textId="77777777" w:rsidR="00C35637" w:rsidRPr="00C55523" w:rsidRDefault="00C35637" w:rsidP="00C35637">
      <w:pPr>
        <w:pStyle w:val="Paragraphedeliste"/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2473FA3B" w14:textId="0C4B1C6A" w:rsidR="001B5821" w:rsidRPr="00C55523" w:rsidRDefault="0037488D" w:rsidP="00EC7B3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Se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imparte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periódicamente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capacitación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práctica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sobre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económicos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sociales y culturales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a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jueces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activistas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estudiantes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varios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continentes.</w:t>
      </w:r>
    </w:p>
    <w:p w14:paraId="3EFC2984" w14:textId="77777777" w:rsidR="00006B36" w:rsidRPr="00C55523" w:rsidRDefault="00006B36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</w:p>
    <w:p w14:paraId="58F675CE" w14:textId="32311CC9" w:rsidR="00EC7B34" w:rsidRPr="00C55523" w:rsidRDefault="00D46240" w:rsidP="00C3563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fr-BE"/>
        </w:rPr>
      </w:pP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Asesoramiento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jurídico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pericia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como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abogado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asesorando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actuando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regularmente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en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litigios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y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casos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internacionales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relacionados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con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presuntas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violaciones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de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humanos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,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incluidos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los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derechos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económicos</w:t>
      </w:r>
      <w:proofErr w:type="spellEnd"/>
      <w:r w:rsidRPr="00C55523">
        <w:rPr>
          <w:rFonts w:ascii="Times New Roman" w:hAnsi="Times New Roman" w:cs="Times New Roman"/>
          <w:bCs/>
          <w:sz w:val="22"/>
          <w:szCs w:val="22"/>
          <w:lang w:val="fr-BE"/>
        </w:rPr>
        <w:t>, sociales y culturales.</w:t>
      </w:r>
    </w:p>
    <w:p w14:paraId="6A849847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7BD2CF41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Lista de las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publicaciones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más</w:t>
      </w:r>
      <w:proofErr w:type="spellEnd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 xml:space="preserve"> </w:t>
      </w:r>
      <w:proofErr w:type="spellStart"/>
      <w:r w:rsidRPr="00C55523">
        <w:rPr>
          <w:rFonts w:ascii="Times New Roman" w:hAnsi="Times New Roman" w:cs="Times New Roman"/>
          <w:b/>
          <w:bCs/>
          <w:sz w:val="22"/>
          <w:szCs w:val="22"/>
          <w:lang w:val="fr-BE"/>
        </w:rPr>
        <w:t>recientes</w:t>
      </w:r>
      <w:proofErr w:type="spellEnd"/>
    </w:p>
    <w:p w14:paraId="6165ED4B" w14:textId="77777777" w:rsidR="00A44679" w:rsidRPr="00C55523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</w:p>
    <w:p w14:paraId="27FD0E47" w14:textId="46E5EDC5" w:rsidR="00C97427" w:rsidRPr="00C55523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y</w:t>
      </w:r>
      <w:r w:rsidRPr="00C55523">
        <w:rPr>
          <w:rFonts w:ascii="Times New Roman" w:hAnsi="Times New Roman"/>
          <w:lang w:val="en-US"/>
        </w:rPr>
        <w:t xml:space="preserve"> Hélène </w:t>
      </w:r>
      <w:proofErr w:type="spellStart"/>
      <w:r w:rsidRPr="00C55523">
        <w:rPr>
          <w:rFonts w:ascii="Times New Roman" w:hAnsi="Times New Roman"/>
          <w:lang w:val="en-US"/>
        </w:rPr>
        <w:t>Tigroudja</w:t>
      </w:r>
      <w:proofErr w:type="spellEnd"/>
      <w:r w:rsidRPr="00C55523">
        <w:rPr>
          <w:rFonts w:ascii="Times New Roman" w:hAnsi="Times New Roman"/>
          <w:lang w:val="en-US"/>
        </w:rPr>
        <w:t xml:space="preserve">, </w:t>
      </w:r>
      <w:r w:rsidR="00C55523" w:rsidRPr="001A7C78">
        <w:rPr>
          <w:rFonts w:ascii="Times New Roman" w:hAnsi="Times New Roman"/>
          <w:lang w:val="en-US"/>
        </w:rPr>
        <w:t>Treatise of International Human Rights Law, Cambridge University Pr</w:t>
      </w:r>
      <w:r w:rsidR="00C55523">
        <w:rPr>
          <w:rFonts w:ascii="Times New Roman" w:hAnsi="Times New Roman"/>
          <w:lang w:val="en-US"/>
        </w:rPr>
        <w:t>ess: Cambridge,</w:t>
      </w:r>
      <w:r w:rsidR="00C55523">
        <w:rPr>
          <w:rFonts w:ascii="Times New Roman" w:hAnsi="Times New Roman"/>
          <w:lang w:val="en-US"/>
        </w:rPr>
        <w:t xml:space="preserve"> </w:t>
      </w:r>
      <w:r w:rsidRPr="00C55523">
        <w:rPr>
          <w:rFonts w:ascii="Times New Roman" w:hAnsi="Times New Roman"/>
          <w:lang w:val="en-US"/>
        </w:rPr>
        <w:t xml:space="preserve">de </w:t>
      </w:r>
      <w:proofErr w:type="spellStart"/>
      <w:r w:rsidRPr="00C55523">
        <w:rPr>
          <w:rFonts w:ascii="Times New Roman" w:hAnsi="Times New Roman"/>
          <w:lang w:val="en-US"/>
        </w:rPr>
        <w:t>próxima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aparición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en</w:t>
      </w:r>
      <w:proofErr w:type="spellEnd"/>
      <w:r w:rsidRPr="00C55523">
        <w:rPr>
          <w:rFonts w:ascii="Times New Roman" w:hAnsi="Times New Roman"/>
          <w:lang w:val="en-US"/>
        </w:rPr>
        <w:t xml:space="preserve"> 2021.</w:t>
      </w:r>
    </w:p>
    <w:p w14:paraId="32198B04" w14:textId="77777777" w:rsidR="00C97427" w:rsidRPr="00C55523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43683E11" w14:textId="38A878C5" w:rsidR="00AE5709" w:rsidRPr="00C55523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y</w:t>
      </w:r>
      <w:r w:rsidRPr="00C55523">
        <w:rPr>
          <w:rFonts w:ascii="Times New Roman" w:hAnsi="Times New Roman"/>
          <w:lang w:val="en-US"/>
        </w:rPr>
        <w:t xml:space="preserve"> Hélène </w:t>
      </w:r>
      <w:proofErr w:type="spellStart"/>
      <w:r w:rsidRPr="00C55523">
        <w:rPr>
          <w:rFonts w:ascii="Times New Roman" w:hAnsi="Times New Roman"/>
          <w:lang w:val="en-US"/>
        </w:rPr>
        <w:t>Tigroudja</w:t>
      </w:r>
      <w:proofErr w:type="spellEnd"/>
      <w:r w:rsidRPr="00C55523">
        <w:rPr>
          <w:rFonts w:ascii="Times New Roman" w:hAnsi="Times New Roman"/>
          <w:lang w:val="en-US"/>
        </w:rPr>
        <w:t xml:space="preserve">, </w:t>
      </w:r>
      <w:r w:rsidR="00C55523" w:rsidRPr="001A7C78">
        <w:rPr>
          <w:rFonts w:ascii="Times New Roman" w:hAnsi="Times New Roman"/>
          <w:lang w:val="en-US"/>
        </w:rPr>
        <w:t>The American Convention of Human Rights: A Commentary, Oxford University P</w:t>
      </w:r>
      <w:r w:rsidR="00C55523">
        <w:rPr>
          <w:rFonts w:ascii="Times New Roman" w:hAnsi="Times New Roman"/>
          <w:lang w:val="en-US"/>
        </w:rPr>
        <w:t xml:space="preserve">ress: New York, </w:t>
      </w:r>
      <w:r w:rsidRPr="00C55523">
        <w:rPr>
          <w:rFonts w:ascii="Times New Roman" w:hAnsi="Times New Roman"/>
          <w:lang w:val="en-US"/>
        </w:rPr>
        <w:t xml:space="preserve">de </w:t>
      </w:r>
      <w:proofErr w:type="spellStart"/>
      <w:r w:rsidRPr="00C55523">
        <w:rPr>
          <w:rFonts w:ascii="Times New Roman" w:hAnsi="Times New Roman"/>
          <w:lang w:val="en-US"/>
        </w:rPr>
        <w:t>próxima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aparición</w:t>
      </w:r>
      <w:proofErr w:type="spellEnd"/>
      <w:r w:rsidRPr="00C55523">
        <w:rPr>
          <w:rFonts w:ascii="Times New Roman" w:hAnsi="Times New Roman"/>
          <w:lang w:val="en-US"/>
        </w:rPr>
        <w:t xml:space="preserve"> </w:t>
      </w:r>
      <w:proofErr w:type="spellStart"/>
      <w:r w:rsidRPr="00C55523">
        <w:rPr>
          <w:rFonts w:ascii="Times New Roman" w:hAnsi="Times New Roman"/>
          <w:lang w:val="en-US"/>
        </w:rPr>
        <w:t>en</w:t>
      </w:r>
      <w:proofErr w:type="spellEnd"/>
      <w:r w:rsidRPr="00C55523">
        <w:rPr>
          <w:rFonts w:ascii="Times New Roman" w:hAnsi="Times New Roman"/>
          <w:lang w:val="en-US"/>
        </w:rPr>
        <w:t xml:space="preserve"> 2021.</w:t>
      </w:r>
    </w:p>
    <w:p w14:paraId="5B0C8248" w14:textId="77777777" w:rsidR="00AE5709" w:rsidRPr="00C55523" w:rsidRDefault="00AE5709" w:rsidP="00AE5709">
      <w:pPr>
        <w:pStyle w:val="Corps"/>
        <w:jc w:val="both"/>
        <w:rPr>
          <w:rFonts w:ascii="Times New Roman" w:hAnsi="Times New Roman"/>
          <w:lang w:val="en-US"/>
        </w:rPr>
      </w:pPr>
    </w:p>
    <w:p w14:paraId="2531B907" w14:textId="1A7512FE" w:rsidR="00AE5709" w:rsidRPr="00707269" w:rsidRDefault="00AE5709" w:rsidP="00C97427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 w:rsidRPr="00C55523">
        <w:rPr>
          <w:rFonts w:ascii="Times New Roman" w:eastAsia="Times New Roman" w:hAnsi="Times New Roman" w:cs="Times New Roman"/>
          <w:lang w:val="en-US"/>
        </w:rPr>
        <w:t>Ludovic</w:t>
      </w:r>
      <w:proofErr w:type="spellEnd"/>
      <w:r w:rsidRPr="00C55523">
        <w:rPr>
          <w:rFonts w:ascii="Times New Roman" w:eastAsia="Times New Roman" w:hAnsi="Times New Roman" w:cs="Times New Roman"/>
          <w:lang w:val="en-US"/>
        </w:rPr>
        <w:t xml:space="preserve"> Hennebel, </w:t>
      </w:r>
      <w:r w:rsidR="00C55523" w:rsidRPr="00AE5709">
        <w:rPr>
          <w:rFonts w:ascii="Times New Roman" w:eastAsia="Times New Roman" w:hAnsi="Times New Roman" w:cs="Times New Roman"/>
          <w:lang w:val="en-US"/>
        </w:rPr>
        <w:t xml:space="preserve">"The Human Rights Committee: A Critical Appraisal" in Ph. Alston and </w:t>
      </w:r>
      <w:r w:rsidR="00C55523">
        <w:rPr>
          <w:rFonts w:ascii="Times New Roman" w:eastAsia="Times New Roman" w:hAnsi="Times New Roman" w:cs="Times New Roman"/>
          <w:lang w:val="en-US"/>
        </w:rPr>
        <w:t>al. (Eds.</w:t>
      </w:r>
      <w:r w:rsidR="00C55523" w:rsidRPr="00AE5709">
        <w:rPr>
          <w:rFonts w:ascii="Times New Roman" w:eastAsia="Times New Roman" w:hAnsi="Times New Roman" w:cs="Times New Roman"/>
          <w:lang w:val="en-US"/>
        </w:rPr>
        <w:t>), The</w:t>
      </w:r>
      <w:r w:rsidR="00C55523">
        <w:rPr>
          <w:rFonts w:ascii="Times New Roman" w:hAnsi="Times New Roman"/>
          <w:lang w:val="en-US"/>
        </w:rPr>
        <w:t xml:space="preserve"> </w:t>
      </w:r>
      <w:r w:rsidR="00C55523" w:rsidRPr="00AE5709">
        <w:rPr>
          <w:rFonts w:ascii="Times New Roman" w:eastAsia="Times New Roman" w:hAnsi="Times New Roman" w:cs="Times New Roman"/>
          <w:lang w:val="en-US"/>
        </w:rPr>
        <w:t xml:space="preserve">United Nations and Human Rights, Oxford </w:t>
      </w:r>
      <w:r w:rsidR="00C55523">
        <w:rPr>
          <w:rFonts w:ascii="Times New Roman" w:eastAsia="Times New Roman" w:hAnsi="Times New Roman" w:cs="Times New Roman"/>
          <w:lang w:val="en-US"/>
        </w:rPr>
        <w:t xml:space="preserve">University Press, New York, </w:t>
      </w:r>
      <w:r>
        <w:rPr>
          <w:rFonts w:ascii="Times New Roman" w:eastAsia="Times New Roman" w:hAnsi="Times New Roman" w:cs="Times New Roman"/>
          <w:lang w:val="en-US"/>
        </w:rPr>
        <w:t>2020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, 63 </w:t>
      </w:r>
      <w:proofErr w:type="spellStart"/>
      <w:r w:rsidRPr="00AE5709">
        <w:rPr>
          <w:rFonts w:ascii="Times New Roman" w:eastAsia="Times New Roman" w:hAnsi="Times New Roman" w:cs="Times New Roman"/>
          <w:lang w:val="en-US"/>
        </w:rPr>
        <w:t>páginas</w:t>
      </w:r>
      <w:proofErr w:type="spellEnd"/>
    </w:p>
    <w:p w14:paraId="54247FA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1741A673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  <w:lang w:val="da-DK"/>
        </w:rPr>
        <w:t>Ludovic Hennebel y</w:t>
      </w:r>
      <w:r w:rsidRPr="00C55523">
        <w:rPr>
          <w:rFonts w:ascii="Times New Roman" w:hAnsi="Times New Roman"/>
          <w:lang w:val="fr-BE"/>
        </w:rPr>
        <w:t xml:space="preserve"> Hélène </w:t>
      </w:r>
      <w:proofErr w:type="spellStart"/>
      <w:r w:rsidRPr="00C55523">
        <w:rPr>
          <w:rFonts w:ascii="Times New Roman" w:hAnsi="Times New Roman"/>
          <w:lang w:val="fr-BE"/>
        </w:rPr>
        <w:t>Tigroudja</w:t>
      </w:r>
      <w:proofErr w:type="spellEnd"/>
      <w:r w:rsidRPr="00C55523">
        <w:rPr>
          <w:rFonts w:ascii="Times New Roman" w:hAnsi="Times New Roman"/>
          <w:lang w:val="fr-BE"/>
        </w:rPr>
        <w:t xml:space="preserve">, Traité de droit international des droits de l'homme, </w:t>
      </w:r>
      <w:proofErr w:type="spellStart"/>
      <w:r w:rsidRPr="00C55523">
        <w:rPr>
          <w:rFonts w:ascii="Times New Roman" w:hAnsi="Times New Roman"/>
          <w:lang w:val="fr-BE"/>
        </w:rPr>
        <w:t>Pédone</w:t>
      </w:r>
      <w:proofErr w:type="spellEnd"/>
      <w:r w:rsidRPr="001A7C78">
        <w:rPr>
          <w:rFonts w:ascii="Times New Roman" w:hAnsi="Times New Roman"/>
          <w:lang w:val="it-IT"/>
        </w:rPr>
        <w:t xml:space="preserve">: París, 2018, 2ª </w:t>
      </w:r>
      <w:r w:rsidRPr="001A7C78">
        <w:rPr>
          <w:rFonts w:ascii="Times New Roman" w:hAnsi="Times New Roman"/>
        </w:rPr>
        <w:t>edición, 1721 páginas.</w:t>
      </w:r>
    </w:p>
    <w:p w14:paraId="4C9B4485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7BA08BBD" w14:textId="728A3A4A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</w:t>
      </w:r>
      <w:r w:rsidR="00C55523" w:rsidRPr="001A7C78">
        <w:rPr>
          <w:rFonts w:ascii="Times New Roman" w:hAnsi="Times New Roman"/>
        </w:rPr>
        <w:t xml:space="preserve">La Convention américaine des droits de </w:t>
      </w:r>
      <w:proofErr w:type="gramStart"/>
      <w:r w:rsidR="00C55523" w:rsidRPr="001A7C78">
        <w:rPr>
          <w:rFonts w:ascii="Times New Roman" w:hAnsi="Times New Roman"/>
        </w:rPr>
        <w:t>l'homme:</w:t>
      </w:r>
      <w:proofErr w:type="gramEnd"/>
      <w:r w:rsidR="00C55523" w:rsidRPr="001A7C78">
        <w:rPr>
          <w:rFonts w:ascii="Times New Roman" w:hAnsi="Times New Roman"/>
        </w:rPr>
        <w:t xml:space="preserve"> étendue des droits et libertés et mécanismes de protection, Collection Publications de l'Institut International des Droits de l'Homme René Cassin,</w:t>
      </w:r>
      <w:r w:rsidR="00C55523">
        <w:rPr>
          <w:rFonts w:ascii="Times New Roman" w:hAnsi="Times New Roman"/>
        </w:rPr>
        <w:t xml:space="preserve"> </w:t>
      </w:r>
      <w:proofErr w:type="spellStart"/>
      <w:r w:rsidRPr="001A7C78">
        <w:rPr>
          <w:rFonts w:ascii="Times New Roman" w:hAnsi="Times New Roman"/>
        </w:rPr>
        <w:t>Prefacio</w:t>
      </w:r>
      <w:proofErr w:type="spellEnd"/>
      <w:r w:rsidRPr="001A7C78">
        <w:rPr>
          <w:rFonts w:ascii="Times New Roman" w:hAnsi="Times New Roman"/>
          <w:lang w:val="es-ES_tradnl"/>
        </w:rPr>
        <w:t xml:space="preserve"> de Antonio A. Cançado</w:t>
      </w:r>
      <w:r w:rsidRPr="001A7C78">
        <w:rPr>
          <w:rFonts w:ascii="Times New Roman" w:hAnsi="Times New Roman"/>
          <w:lang w:val="pt-PT"/>
        </w:rPr>
        <w:t xml:space="preserve"> Trindade, Bruselas, Bruylant, 2007, 732 páginas. </w:t>
      </w:r>
    </w:p>
    <w:p w14:paraId="591DC14D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658D99B0" w14:textId="6D0D5F1E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</w:t>
      </w:r>
      <w:r w:rsidR="00C55523" w:rsidRPr="001A7C78">
        <w:rPr>
          <w:rFonts w:ascii="Times New Roman" w:hAnsi="Times New Roman"/>
        </w:rPr>
        <w:t>La jurisprudence du Comité des droits de l'homme des Nations Unies, Collection Droit et Justice</w:t>
      </w:r>
      <w:r w:rsidRPr="001A7C78">
        <w:rPr>
          <w:rFonts w:ascii="Times New Roman" w:hAnsi="Times New Roman"/>
        </w:rPr>
        <w:t xml:space="preserve">, </w:t>
      </w:r>
      <w:proofErr w:type="spellStart"/>
      <w:r w:rsidRPr="001A7C78">
        <w:rPr>
          <w:rFonts w:ascii="Times New Roman" w:hAnsi="Times New Roman"/>
        </w:rPr>
        <w:t>Prefacio</w:t>
      </w:r>
      <w:proofErr w:type="spellEnd"/>
      <w:r w:rsidRPr="001A7C78">
        <w:rPr>
          <w:rFonts w:ascii="Times New Roman" w:hAnsi="Times New Roman"/>
        </w:rPr>
        <w:t xml:space="preserve"> de Manfred Nowak, Bruselas, Bruylant, 2007, 582 páginas. </w:t>
      </w:r>
    </w:p>
    <w:p w14:paraId="12371566" w14:textId="77777777" w:rsidR="00A44679" w:rsidRPr="00C55523" w:rsidRDefault="00A44679" w:rsidP="00F83926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sectPr w:rsidR="00A44679" w:rsidRPr="00C55523" w:rsidSect="00A37B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410"/>
    <w:multiLevelType w:val="hybridMultilevel"/>
    <w:tmpl w:val="D898DAE8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C29"/>
    <w:multiLevelType w:val="hybridMultilevel"/>
    <w:tmpl w:val="D7B2560E"/>
    <w:numStyleLink w:val="Liste51"/>
  </w:abstractNum>
  <w:abstractNum w:abstractNumId="2" w15:restartNumberingAfterBreak="0">
    <w:nsid w:val="200D4842"/>
    <w:multiLevelType w:val="hybridMultilevel"/>
    <w:tmpl w:val="81D2B7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45BF"/>
    <w:multiLevelType w:val="hybridMultilevel"/>
    <w:tmpl w:val="F3E2E790"/>
    <w:lvl w:ilvl="0" w:tplc="0A4666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45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6B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0F6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448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E1E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A39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CAC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E7B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38558C"/>
    <w:multiLevelType w:val="hybridMultilevel"/>
    <w:tmpl w:val="43C2E75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3E1B"/>
    <w:multiLevelType w:val="hybridMultilevel"/>
    <w:tmpl w:val="8830140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E3205"/>
    <w:multiLevelType w:val="hybridMultilevel"/>
    <w:tmpl w:val="3B1C0E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2E0A"/>
    <w:multiLevelType w:val="hybridMultilevel"/>
    <w:tmpl w:val="D7B2560E"/>
    <w:styleLink w:val="Liste51"/>
    <w:lvl w:ilvl="0" w:tplc="DE2489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B81DDA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2BA26">
      <w:start w:val="1"/>
      <w:numFmt w:val="decimal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90D11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0480F2">
      <w:start w:val="1"/>
      <w:numFmt w:val="decimal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C112C">
      <w:start w:val="1"/>
      <w:numFmt w:val="decimal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6096F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C678B4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DA93CE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A7CE2EE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2EEE96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0CA14C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4471A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B4690A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A80FC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28C07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F091B2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B8C140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33"/>
    <w:rsid w:val="00006B36"/>
    <w:rsid w:val="001B5821"/>
    <w:rsid w:val="001B6D83"/>
    <w:rsid w:val="002214BF"/>
    <w:rsid w:val="00270C09"/>
    <w:rsid w:val="00363933"/>
    <w:rsid w:val="0037488D"/>
    <w:rsid w:val="005C57F0"/>
    <w:rsid w:val="005D4103"/>
    <w:rsid w:val="005E6948"/>
    <w:rsid w:val="00707269"/>
    <w:rsid w:val="007230D1"/>
    <w:rsid w:val="009A21B0"/>
    <w:rsid w:val="00A37B22"/>
    <w:rsid w:val="00A44679"/>
    <w:rsid w:val="00A7553C"/>
    <w:rsid w:val="00AD64DE"/>
    <w:rsid w:val="00AE5709"/>
    <w:rsid w:val="00BA65BF"/>
    <w:rsid w:val="00BD5403"/>
    <w:rsid w:val="00C35637"/>
    <w:rsid w:val="00C55523"/>
    <w:rsid w:val="00C97427"/>
    <w:rsid w:val="00CB75AE"/>
    <w:rsid w:val="00CD1B55"/>
    <w:rsid w:val="00CE26EA"/>
    <w:rsid w:val="00D46240"/>
    <w:rsid w:val="00D50593"/>
    <w:rsid w:val="00E432E4"/>
    <w:rsid w:val="00EC7B34"/>
    <w:rsid w:val="00F37226"/>
    <w:rsid w:val="00F664F7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F9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51">
    <w:name w:val="Liste 51"/>
    <w:rsid w:val="00A44679"/>
    <w:pPr>
      <w:numPr>
        <w:numId w:val="1"/>
      </w:numPr>
    </w:pPr>
  </w:style>
  <w:style w:type="paragraph" w:customStyle="1" w:styleId="Corps">
    <w:name w:val="Corps"/>
    <w:rsid w:val="00C97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EC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49022-804C-40B1-81EC-F7803424EF93}"/>
</file>

<file path=customXml/itemProps2.xml><?xml version="1.0" encoding="utf-8"?>
<ds:datastoreItem xmlns:ds="http://schemas.openxmlformats.org/officeDocument/2006/customXml" ds:itemID="{F1F2F624-9EB9-4A05-9E24-6D3AF1F9956F}"/>
</file>

<file path=customXml/itemProps3.xml><?xml version="1.0" encoding="utf-8"?>
<ds:datastoreItem xmlns:ds="http://schemas.openxmlformats.org/officeDocument/2006/customXml" ds:itemID="{24D1F2B8-8180-4692-A18F-C985CBBF1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3833</Characters>
  <Application>Microsoft Office Word</Application>
  <DocSecurity>0</DocSecurity>
  <Lines>59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HENNEBEL Ludovic</dc:creator>
  <cp:keywords/>
  <dc:description/>
  <cp:lastModifiedBy>Ludovic Hennebel</cp:lastModifiedBy>
  <cp:revision>2</cp:revision>
  <cp:lastPrinted>2020-03-03T18:26:00Z</cp:lastPrinted>
  <dcterms:created xsi:type="dcterms:W3CDTF">2020-04-09T09:32:00Z</dcterms:created>
  <dcterms:modified xsi:type="dcterms:W3CDTF">2020-04-09T09:32:00Z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