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D23" w:rsidRPr="00F63D16" w:rsidRDefault="00622D23" w:rsidP="00622D23">
      <w:pPr>
        <w:pStyle w:val="NoSpacing1"/>
        <w:rPr>
          <w:rFonts w:ascii="Calibri" w:hAnsi="Calibri" w:cs="Calibri"/>
          <w:b/>
          <w:bCs/>
          <w:sz w:val="28"/>
          <w:szCs w:val="28"/>
        </w:rPr>
      </w:pPr>
      <w:r w:rsidRPr="00F63D16">
        <w:rPr>
          <w:rFonts w:ascii="Calibri" w:hAnsi="Calibri" w:cs="Calibri"/>
          <w:b/>
          <w:bCs/>
          <w:sz w:val="28"/>
          <w:szCs w:val="28"/>
        </w:rPr>
        <w:t>To the Committee on Economic, Social and Cultural Rights, Office of the United Nations High Commissioner for Human Rights</w:t>
      </w:r>
    </w:p>
    <w:p w:rsidR="00622D23" w:rsidRPr="00F63D16" w:rsidRDefault="00622D23" w:rsidP="00622D23">
      <w:pPr>
        <w:pStyle w:val="NoSpacing1"/>
        <w:rPr>
          <w:rFonts w:ascii="Calibri" w:hAnsi="Calibri" w:cs="Calibri"/>
          <w:sz w:val="22"/>
          <w:szCs w:val="22"/>
        </w:rPr>
      </w:pPr>
    </w:p>
    <w:p w:rsidR="00622D23" w:rsidRPr="00F63D16" w:rsidRDefault="00622D23" w:rsidP="00622D23">
      <w:pPr>
        <w:pStyle w:val="NoSpacing1"/>
        <w:rPr>
          <w:rFonts w:ascii="Calibri" w:hAnsi="Calibri" w:cs="Calibri"/>
          <w:sz w:val="22"/>
          <w:szCs w:val="22"/>
        </w:rPr>
      </w:pPr>
      <w:r w:rsidRPr="00F63D16">
        <w:rPr>
          <w:rFonts w:ascii="Calibri" w:hAnsi="Calibri" w:cs="Calibri"/>
          <w:sz w:val="22"/>
          <w:szCs w:val="22"/>
        </w:rPr>
        <w:t>Thank you for the opportunity to comment on the draft General comment No. 26 (2021) on land and economic, social and cultural rights. The International Council on Archives is a neutral global nongovernmental organization which is the archival profession’s official partner with UNESCO. Its membership includes governmental and nongovernmental archives in 199 countries.</w:t>
      </w:r>
    </w:p>
    <w:p w:rsidR="00622D23" w:rsidRPr="00F63D16" w:rsidRDefault="00622D23" w:rsidP="00622D23">
      <w:pPr>
        <w:pStyle w:val="NoSpacing1"/>
        <w:rPr>
          <w:rFonts w:ascii="Calibri" w:hAnsi="Calibri" w:cs="Calibri"/>
          <w:sz w:val="22"/>
          <w:szCs w:val="22"/>
        </w:rPr>
      </w:pPr>
    </w:p>
    <w:p w:rsidR="00622D23" w:rsidRPr="00F63D16" w:rsidRDefault="00622D23" w:rsidP="00622D23">
      <w:pPr>
        <w:pStyle w:val="NoSpacing1"/>
        <w:rPr>
          <w:rFonts w:ascii="Calibri" w:hAnsi="Calibri" w:cs="Calibri"/>
          <w:sz w:val="22"/>
          <w:szCs w:val="22"/>
        </w:rPr>
      </w:pPr>
      <w:r w:rsidRPr="00F63D16">
        <w:rPr>
          <w:rFonts w:ascii="Calibri" w:hAnsi="Calibri" w:cs="Calibri"/>
          <w:sz w:val="22"/>
          <w:szCs w:val="22"/>
        </w:rPr>
        <w:t xml:space="preserve">Land records are one of the most fundamental forms of </w:t>
      </w:r>
      <w:bookmarkStart w:id="0" w:name="_GoBack"/>
      <w:bookmarkEnd w:id="0"/>
      <w:r w:rsidRPr="00F63D16">
        <w:rPr>
          <w:rFonts w:ascii="Calibri" w:hAnsi="Calibri" w:cs="Calibri"/>
          <w:sz w:val="22"/>
          <w:szCs w:val="22"/>
        </w:rPr>
        <w:t>archives, with examples dating from antiquity.</w:t>
      </w:r>
    </w:p>
    <w:p w:rsidR="00622D23" w:rsidRPr="00F63D16" w:rsidRDefault="00622D23" w:rsidP="00622D23">
      <w:pPr>
        <w:pStyle w:val="NoSpacing1"/>
        <w:rPr>
          <w:rFonts w:ascii="Calibri" w:hAnsi="Calibri" w:cs="Calibri"/>
          <w:sz w:val="22"/>
          <w:szCs w:val="22"/>
        </w:rPr>
      </w:pPr>
    </w:p>
    <w:p w:rsidR="00622D23" w:rsidRPr="00F63D16" w:rsidRDefault="00622D23" w:rsidP="00622D23">
      <w:pPr>
        <w:pStyle w:val="NoSpacing1"/>
        <w:rPr>
          <w:rFonts w:ascii="Calibri" w:hAnsi="Calibri" w:cs="Calibri"/>
          <w:sz w:val="22"/>
          <w:szCs w:val="22"/>
        </w:rPr>
      </w:pPr>
      <w:r w:rsidRPr="00F63D16">
        <w:rPr>
          <w:rFonts w:ascii="Calibri" w:hAnsi="Calibri" w:cs="Calibri"/>
          <w:sz w:val="22"/>
          <w:szCs w:val="22"/>
        </w:rPr>
        <w:t xml:space="preserve">Land rights are a crucial international issue, and records are essential for understanding land rights. As the draft notes (para. 2) when land tenure is insufficiently documented conflicts are fuelled. The High Commissioner for Human Rights has recognized the linkage between transitional justice and archives in its </w:t>
      </w:r>
      <w:r w:rsidRPr="00F63D16">
        <w:rPr>
          <w:rFonts w:ascii="Calibri" w:hAnsi="Calibri" w:cs="Calibri"/>
          <w:i/>
          <w:iCs/>
          <w:sz w:val="22"/>
          <w:szCs w:val="22"/>
        </w:rPr>
        <w:t>Rule-of-Law Tools for Post-Conflict States: Archives</w:t>
      </w:r>
      <w:r w:rsidRPr="00F63D16">
        <w:rPr>
          <w:rFonts w:ascii="Calibri" w:hAnsi="Calibri" w:cs="Calibri"/>
          <w:sz w:val="22"/>
          <w:szCs w:val="22"/>
        </w:rPr>
        <w:t>, published in 2015.</w:t>
      </w:r>
      <w:r w:rsidRPr="00F63D16">
        <w:rPr>
          <w:rStyle w:val="FootnoteReference0"/>
          <w:rFonts w:ascii="Calibri" w:hAnsi="Calibri" w:cs="Calibri"/>
        </w:rPr>
        <w:footnoteReference w:id="1"/>
      </w:r>
      <w:r w:rsidRPr="00F63D16">
        <w:rPr>
          <w:rFonts w:ascii="Calibri" w:hAnsi="Calibri" w:cs="Calibri"/>
          <w:sz w:val="22"/>
          <w:szCs w:val="22"/>
        </w:rPr>
        <w:t xml:space="preserve"> </w:t>
      </w:r>
    </w:p>
    <w:p w:rsidR="00622D23" w:rsidRPr="00F63D16" w:rsidRDefault="00622D23" w:rsidP="00622D23">
      <w:pPr>
        <w:pStyle w:val="NoSpacing1"/>
        <w:rPr>
          <w:rFonts w:ascii="Calibri" w:hAnsi="Calibri" w:cs="Calibri"/>
          <w:sz w:val="22"/>
          <w:szCs w:val="22"/>
        </w:rPr>
      </w:pPr>
    </w:p>
    <w:p w:rsidR="00622D23" w:rsidRPr="00F63D16" w:rsidRDefault="00622D23" w:rsidP="00622D23">
      <w:pPr>
        <w:pStyle w:val="NoSpacing1"/>
        <w:rPr>
          <w:rFonts w:ascii="Calibri" w:hAnsi="Calibri" w:cs="Calibri"/>
          <w:sz w:val="22"/>
          <w:szCs w:val="22"/>
        </w:rPr>
      </w:pPr>
      <w:r w:rsidRPr="00F63D16">
        <w:rPr>
          <w:rFonts w:ascii="Calibri" w:hAnsi="Calibri" w:cs="Calibri"/>
          <w:sz w:val="22"/>
          <w:szCs w:val="22"/>
        </w:rPr>
        <w:t xml:space="preserve">Land is used in many ways, and records of both governments and nongovernment entities document that diversity: </w:t>
      </w:r>
    </w:p>
    <w:p w:rsidR="00622D23" w:rsidRPr="00F63D16" w:rsidRDefault="00622D23" w:rsidP="00622D23">
      <w:pPr>
        <w:pStyle w:val="NoSpacing1"/>
        <w:ind w:firstLine="720"/>
        <w:rPr>
          <w:rFonts w:ascii="Calibri" w:hAnsi="Calibri" w:cs="Calibri"/>
          <w:sz w:val="22"/>
          <w:szCs w:val="22"/>
        </w:rPr>
      </w:pPr>
    </w:p>
    <w:p w:rsidR="00622D23" w:rsidRPr="00F63D16" w:rsidRDefault="00622D23" w:rsidP="00622D23">
      <w:pPr>
        <w:pStyle w:val="NoSpacing1"/>
        <w:ind w:firstLine="720"/>
        <w:rPr>
          <w:rFonts w:ascii="Calibri" w:hAnsi="Calibri" w:cs="Calibri"/>
          <w:sz w:val="22"/>
          <w:szCs w:val="22"/>
        </w:rPr>
      </w:pPr>
      <w:r w:rsidRPr="00F63D16">
        <w:rPr>
          <w:rFonts w:ascii="Calibri" w:hAnsi="Calibri" w:cs="Calibri"/>
          <w:sz w:val="22"/>
          <w:szCs w:val="22"/>
        </w:rPr>
        <w:t xml:space="preserve">holding (occupying, traditionally using, renting, survey and boundary marking); </w:t>
      </w:r>
    </w:p>
    <w:p w:rsidR="00622D23" w:rsidRPr="00F63D16" w:rsidRDefault="00622D23" w:rsidP="00622D23">
      <w:pPr>
        <w:pStyle w:val="NoSpacing1"/>
        <w:ind w:left="720"/>
        <w:rPr>
          <w:rFonts w:ascii="Calibri" w:hAnsi="Calibri" w:cs="Calibri"/>
          <w:sz w:val="22"/>
          <w:szCs w:val="22"/>
        </w:rPr>
      </w:pPr>
    </w:p>
    <w:p w:rsidR="00622D23" w:rsidRPr="00F63D16" w:rsidRDefault="00622D23" w:rsidP="00622D23">
      <w:pPr>
        <w:pStyle w:val="NoSpacing1"/>
        <w:ind w:left="720"/>
        <w:rPr>
          <w:rFonts w:ascii="Calibri" w:hAnsi="Calibri" w:cs="Calibri"/>
          <w:sz w:val="22"/>
          <w:szCs w:val="22"/>
        </w:rPr>
      </w:pPr>
      <w:r w:rsidRPr="00F63D16">
        <w:rPr>
          <w:rFonts w:ascii="Calibri" w:hAnsi="Calibri" w:cs="Calibri"/>
          <w:sz w:val="22"/>
          <w:szCs w:val="22"/>
        </w:rPr>
        <w:t xml:space="preserve">transferring (acquiring, inheriting, disposing, separating such as granting easement or leasing, valuing); </w:t>
      </w:r>
    </w:p>
    <w:p w:rsidR="00622D23" w:rsidRPr="00F63D16" w:rsidRDefault="00622D23" w:rsidP="00622D23">
      <w:pPr>
        <w:pStyle w:val="NoSpacing1"/>
        <w:ind w:left="720"/>
        <w:rPr>
          <w:rFonts w:ascii="Calibri" w:hAnsi="Calibri" w:cs="Calibri"/>
          <w:sz w:val="22"/>
          <w:szCs w:val="22"/>
        </w:rPr>
      </w:pPr>
    </w:p>
    <w:p w:rsidR="00622D23" w:rsidRPr="00F63D16" w:rsidRDefault="00622D23" w:rsidP="00622D23">
      <w:pPr>
        <w:pStyle w:val="NoSpacing1"/>
        <w:ind w:left="720"/>
        <w:rPr>
          <w:rFonts w:ascii="Calibri" w:hAnsi="Calibri" w:cs="Calibri"/>
          <w:sz w:val="22"/>
          <w:szCs w:val="22"/>
        </w:rPr>
      </w:pPr>
      <w:r w:rsidRPr="00F63D16">
        <w:rPr>
          <w:rFonts w:ascii="Calibri" w:hAnsi="Calibri" w:cs="Calibri"/>
          <w:sz w:val="22"/>
          <w:szCs w:val="22"/>
        </w:rPr>
        <w:lastRenderedPageBreak/>
        <w:t xml:space="preserve">managing/using (cultivating, irrigating, harvesting, conserving, abandoning); </w:t>
      </w:r>
    </w:p>
    <w:p w:rsidR="00622D23" w:rsidRPr="00F63D16" w:rsidRDefault="00622D23" w:rsidP="00622D23">
      <w:pPr>
        <w:pStyle w:val="NoSpacing1"/>
        <w:ind w:left="720"/>
        <w:rPr>
          <w:rFonts w:ascii="Calibri" w:hAnsi="Calibri" w:cs="Calibri"/>
          <w:sz w:val="22"/>
          <w:szCs w:val="22"/>
        </w:rPr>
      </w:pPr>
    </w:p>
    <w:p w:rsidR="00622D23" w:rsidRPr="00F63D16" w:rsidRDefault="00622D23" w:rsidP="00622D23">
      <w:pPr>
        <w:pStyle w:val="NoSpacing1"/>
        <w:ind w:left="720"/>
        <w:rPr>
          <w:rFonts w:ascii="Calibri" w:hAnsi="Calibri" w:cs="Calibri"/>
          <w:sz w:val="22"/>
          <w:szCs w:val="22"/>
        </w:rPr>
      </w:pPr>
      <w:r w:rsidRPr="00F63D16">
        <w:rPr>
          <w:rFonts w:ascii="Calibri" w:hAnsi="Calibri" w:cs="Calibri"/>
          <w:sz w:val="22"/>
          <w:szCs w:val="22"/>
        </w:rPr>
        <w:t>regulating (controlling access);</w:t>
      </w:r>
    </w:p>
    <w:p w:rsidR="00622D23" w:rsidRPr="00F63D16" w:rsidRDefault="00622D23" w:rsidP="00622D23">
      <w:pPr>
        <w:pStyle w:val="NoSpacing1"/>
        <w:ind w:left="720"/>
        <w:rPr>
          <w:rFonts w:ascii="Calibri" w:hAnsi="Calibri" w:cs="Calibri"/>
          <w:sz w:val="22"/>
          <w:szCs w:val="22"/>
        </w:rPr>
      </w:pPr>
    </w:p>
    <w:p w:rsidR="00622D23" w:rsidRPr="00F63D16" w:rsidRDefault="00622D23" w:rsidP="00622D23">
      <w:pPr>
        <w:pStyle w:val="NoSpacing1"/>
        <w:ind w:left="720"/>
        <w:rPr>
          <w:rFonts w:ascii="Calibri" w:hAnsi="Calibri" w:cs="Calibri"/>
          <w:sz w:val="22"/>
          <w:szCs w:val="22"/>
        </w:rPr>
      </w:pPr>
      <w:r w:rsidRPr="00F63D16">
        <w:rPr>
          <w:rFonts w:ascii="Calibri" w:hAnsi="Calibri" w:cs="Calibri"/>
          <w:sz w:val="22"/>
          <w:szCs w:val="22"/>
        </w:rPr>
        <w:t xml:space="preserve">taxing (assessing and appraising, collecting, foreclosing); and </w:t>
      </w:r>
    </w:p>
    <w:p w:rsidR="00622D23" w:rsidRPr="00F63D16" w:rsidRDefault="00622D23" w:rsidP="00622D23">
      <w:pPr>
        <w:pStyle w:val="NoSpacing1"/>
        <w:ind w:left="720"/>
        <w:rPr>
          <w:rFonts w:ascii="Calibri" w:hAnsi="Calibri" w:cs="Calibri"/>
          <w:sz w:val="22"/>
          <w:szCs w:val="22"/>
        </w:rPr>
      </w:pPr>
    </w:p>
    <w:p w:rsidR="00622D23" w:rsidRPr="00F63D16" w:rsidRDefault="00622D23" w:rsidP="00622D23">
      <w:pPr>
        <w:pStyle w:val="NoSpacing1"/>
        <w:ind w:left="720"/>
        <w:rPr>
          <w:rFonts w:ascii="Calibri" w:hAnsi="Calibri" w:cs="Calibri"/>
          <w:sz w:val="22"/>
          <w:szCs w:val="22"/>
        </w:rPr>
      </w:pPr>
      <w:r w:rsidRPr="00F63D16">
        <w:rPr>
          <w:rFonts w:ascii="Calibri" w:hAnsi="Calibri" w:cs="Calibri"/>
          <w:sz w:val="22"/>
          <w:szCs w:val="22"/>
        </w:rPr>
        <w:t xml:space="preserve">expropriating (evaluating, taking, compensating, adjudicating). </w:t>
      </w:r>
    </w:p>
    <w:p w:rsidR="00622D23" w:rsidRPr="00F63D16" w:rsidRDefault="00622D23" w:rsidP="00622D23">
      <w:pPr>
        <w:pStyle w:val="NoSpacing1"/>
        <w:rPr>
          <w:rFonts w:ascii="Calibri" w:hAnsi="Calibri" w:cs="Calibri"/>
          <w:sz w:val="22"/>
          <w:szCs w:val="22"/>
        </w:rPr>
      </w:pPr>
    </w:p>
    <w:p w:rsidR="00622D23" w:rsidRPr="00F63D16" w:rsidRDefault="00622D23" w:rsidP="00622D23">
      <w:pPr>
        <w:pStyle w:val="NoSpacing1"/>
        <w:rPr>
          <w:rFonts w:ascii="Calibri" w:hAnsi="Calibri" w:cs="Calibri"/>
          <w:sz w:val="22"/>
          <w:szCs w:val="22"/>
        </w:rPr>
      </w:pPr>
      <w:r w:rsidRPr="00F63D16">
        <w:rPr>
          <w:rFonts w:ascii="Calibri" w:hAnsi="Calibri" w:cs="Calibri"/>
          <w:sz w:val="22"/>
          <w:szCs w:val="22"/>
        </w:rPr>
        <w:t>A great variety of institutions and individuals are involved in systems of landownership and use. Government land registries hold fundamental records, but so do government offices handling zoning, transportation, hydroelectric and other power utilities, relations with indigenous peoples and traditional communities, among other. Nongovernmental records creators include:</w:t>
      </w:r>
    </w:p>
    <w:p w:rsidR="00622D23" w:rsidRPr="00F63D16" w:rsidRDefault="00622D23" w:rsidP="00622D23">
      <w:pPr>
        <w:pStyle w:val="NoSpacing1"/>
        <w:ind w:left="720"/>
        <w:rPr>
          <w:rFonts w:ascii="Calibri" w:hAnsi="Calibri" w:cs="Calibri"/>
          <w:sz w:val="22"/>
          <w:szCs w:val="22"/>
        </w:rPr>
      </w:pPr>
    </w:p>
    <w:p w:rsidR="00622D23" w:rsidRPr="00F63D16" w:rsidRDefault="00622D23" w:rsidP="00622D23">
      <w:pPr>
        <w:pStyle w:val="NoSpacing1"/>
        <w:ind w:left="720"/>
        <w:rPr>
          <w:rFonts w:ascii="Calibri" w:hAnsi="Calibri" w:cs="Calibri"/>
          <w:sz w:val="22"/>
          <w:szCs w:val="22"/>
        </w:rPr>
      </w:pPr>
      <w:r w:rsidRPr="00F63D16">
        <w:rPr>
          <w:rFonts w:ascii="Calibri" w:hAnsi="Calibri" w:cs="Calibri"/>
          <w:sz w:val="22"/>
          <w:szCs w:val="22"/>
        </w:rPr>
        <w:t xml:space="preserve">rights holders (individuals, partnerships, corporations, joint stock companies, syndicates, trusts, estates); </w:t>
      </w:r>
    </w:p>
    <w:p w:rsidR="00622D23" w:rsidRPr="00F63D16" w:rsidRDefault="00622D23" w:rsidP="00622D23">
      <w:pPr>
        <w:pStyle w:val="NoSpacing1"/>
        <w:ind w:left="720"/>
        <w:rPr>
          <w:rFonts w:ascii="Calibri" w:hAnsi="Calibri" w:cs="Calibri"/>
          <w:sz w:val="22"/>
          <w:szCs w:val="22"/>
        </w:rPr>
      </w:pPr>
    </w:p>
    <w:p w:rsidR="00622D23" w:rsidRPr="00F63D16" w:rsidRDefault="00622D23" w:rsidP="00622D23">
      <w:pPr>
        <w:pStyle w:val="NoSpacing1"/>
        <w:ind w:left="720"/>
        <w:rPr>
          <w:rFonts w:ascii="Calibri" w:hAnsi="Calibri" w:cs="Calibri"/>
        </w:rPr>
      </w:pPr>
      <w:r w:rsidRPr="00F63D16">
        <w:rPr>
          <w:rFonts w:ascii="Calibri" w:hAnsi="Calibri" w:cs="Calibri"/>
          <w:sz w:val="22"/>
          <w:szCs w:val="22"/>
        </w:rPr>
        <w:t xml:space="preserve">information and private services providers (private brokers, appraisers, surveyors, lawyers including probate specialists, insurers, title search companies, notaries, media); </w:t>
      </w:r>
    </w:p>
    <w:p w:rsidR="00622D23" w:rsidRPr="00F63D16" w:rsidRDefault="00622D23" w:rsidP="00622D23">
      <w:pPr>
        <w:pStyle w:val="NoSpacing1"/>
        <w:ind w:left="720"/>
        <w:rPr>
          <w:rFonts w:ascii="Calibri" w:hAnsi="Calibri" w:cs="Calibri"/>
        </w:rPr>
      </w:pPr>
    </w:p>
    <w:p w:rsidR="00622D23" w:rsidRPr="00F63D16" w:rsidRDefault="00622D23" w:rsidP="00622D23">
      <w:pPr>
        <w:pStyle w:val="NoSpacing1"/>
        <w:ind w:left="720"/>
        <w:rPr>
          <w:rFonts w:ascii="Calibri" w:hAnsi="Calibri" w:cs="Calibri"/>
          <w:sz w:val="22"/>
          <w:szCs w:val="22"/>
        </w:rPr>
      </w:pPr>
      <w:r w:rsidRPr="00F63D16">
        <w:rPr>
          <w:rFonts w:ascii="Calibri" w:hAnsi="Calibri" w:cs="Calibri"/>
          <w:sz w:val="22"/>
          <w:szCs w:val="22"/>
        </w:rPr>
        <w:t xml:space="preserve">finance suppliers (banks, credit firms, individuals, public lenders, insurance companies); </w:t>
      </w:r>
    </w:p>
    <w:p w:rsidR="00622D23" w:rsidRPr="00F63D16" w:rsidRDefault="00622D23" w:rsidP="00622D23">
      <w:pPr>
        <w:pStyle w:val="NoSpacing1"/>
        <w:ind w:left="720"/>
        <w:rPr>
          <w:rFonts w:ascii="Calibri" w:hAnsi="Calibri" w:cs="Calibri"/>
          <w:sz w:val="22"/>
          <w:szCs w:val="22"/>
        </w:rPr>
      </w:pPr>
    </w:p>
    <w:p w:rsidR="00622D23" w:rsidRPr="00F63D16" w:rsidRDefault="00622D23" w:rsidP="00622D23">
      <w:pPr>
        <w:pStyle w:val="NoSpacing1"/>
        <w:ind w:left="720"/>
        <w:rPr>
          <w:rFonts w:ascii="Calibri" w:hAnsi="Calibri" w:cs="Calibri"/>
        </w:rPr>
      </w:pPr>
      <w:r w:rsidRPr="00F63D16">
        <w:rPr>
          <w:rFonts w:ascii="Calibri" w:hAnsi="Calibri" w:cs="Calibri"/>
          <w:sz w:val="22"/>
          <w:szCs w:val="22"/>
        </w:rPr>
        <w:t xml:space="preserve">public service providers (educational institutions such as extensions services, regulatory agencies that control uses such as for agricultural purposes, construction agencies such as roads offices); and </w:t>
      </w:r>
    </w:p>
    <w:p w:rsidR="00622D23" w:rsidRPr="00F63D16" w:rsidRDefault="00622D23" w:rsidP="00622D23">
      <w:pPr>
        <w:ind w:left="720"/>
        <w:rPr>
          <w:rFonts w:ascii="Calibri" w:hAnsi="Calibri" w:cs="Calibri"/>
        </w:rPr>
      </w:pPr>
    </w:p>
    <w:p w:rsidR="00622D23" w:rsidRPr="00F63D16" w:rsidRDefault="00622D23" w:rsidP="00622D23">
      <w:pPr>
        <w:ind w:left="720"/>
        <w:rPr>
          <w:rFonts w:ascii="Calibri" w:hAnsi="Calibri" w:cs="Calibri"/>
          <w:sz w:val="22"/>
          <w:szCs w:val="22"/>
        </w:rPr>
      </w:pPr>
      <w:r w:rsidRPr="00F63D16">
        <w:rPr>
          <w:rFonts w:ascii="Calibri" w:hAnsi="Calibri" w:cs="Calibri"/>
          <w:sz w:val="22"/>
          <w:szCs w:val="22"/>
        </w:rPr>
        <w:t>adjudicators (courts both civil for property disputes and criminal, enforcement agencies such as property protection bodies, and administrative arms for zoning control)</w:t>
      </w:r>
    </w:p>
    <w:p w:rsidR="00622D23" w:rsidRPr="00F63D16" w:rsidRDefault="00622D23" w:rsidP="00622D23">
      <w:pPr>
        <w:ind w:left="720"/>
        <w:rPr>
          <w:rFonts w:ascii="Calibri" w:hAnsi="Calibri" w:cs="Calibri"/>
          <w:sz w:val="22"/>
          <w:szCs w:val="22"/>
        </w:rPr>
      </w:pPr>
    </w:p>
    <w:p w:rsidR="00622D23" w:rsidRPr="00F63D16" w:rsidRDefault="00622D23" w:rsidP="00622D23">
      <w:pPr>
        <w:pStyle w:val="NoSpacing1"/>
        <w:rPr>
          <w:rFonts w:ascii="Calibri" w:hAnsi="Calibri" w:cs="Calibri"/>
          <w:sz w:val="22"/>
          <w:szCs w:val="22"/>
        </w:rPr>
      </w:pPr>
      <w:r w:rsidRPr="00F63D16">
        <w:rPr>
          <w:rFonts w:ascii="Calibri" w:hAnsi="Calibri" w:cs="Calibri"/>
          <w:sz w:val="22"/>
          <w:szCs w:val="22"/>
        </w:rPr>
        <w:lastRenderedPageBreak/>
        <w:t>Given the central role that all these types of archives play in the rights to the enjoyment of land, it is essential that General comment No. 26 state unequivocally the need for protection and preservation of land records, both those in State possession and those held by key nongovernment bodies. We propose the following amendments to the draft:</w:t>
      </w:r>
    </w:p>
    <w:p w:rsidR="00622D23" w:rsidRPr="00F63D16" w:rsidRDefault="00622D23" w:rsidP="00622D23">
      <w:pPr>
        <w:pStyle w:val="NoSpacing1"/>
        <w:rPr>
          <w:rFonts w:ascii="Calibri" w:hAnsi="Calibri" w:cs="Calibri"/>
          <w:sz w:val="22"/>
          <w:szCs w:val="22"/>
        </w:rPr>
      </w:pPr>
    </w:p>
    <w:p w:rsidR="00622D23" w:rsidRPr="00F63D16" w:rsidRDefault="00622D23" w:rsidP="00622D23">
      <w:pPr>
        <w:pStyle w:val="NoSpacing1"/>
        <w:rPr>
          <w:rFonts w:ascii="Calibri" w:hAnsi="Calibri" w:cs="Calibri"/>
          <w:sz w:val="22"/>
          <w:szCs w:val="22"/>
        </w:rPr>
      </w:pPr>
      <w:r w:rsidRPr="00F63D16">
        <w:rPr>
          <w:rFonts w:ascii="Calibri" w:hAnsi="Calibri" w:cs="Calibri"/>
          <w:sz w:val="22"/>
          <w:szCs w:val="22"/>
        </w:rPr>
        <w:t>Para. 18. Following sentence 7, insert: “States must ensure the protection and preservation of land title records and other tenure and use records in its custody and, through focused regulation and financial support, ensure that non-governmental records important for proving title and tenure and use rights are preserved.”</w:t>
      </w:r>
    </w:p>
    <w:p w:rsidR="00622D23" w:rsidRPr="00F63D16" w:rsidRDefault="00622D23" w:rsidP="00622D23">
      <w:pPr>
        <w:pStyle w:val="NoSpacing1"/>
        <w:rPr>
          <w:rFonts w:ascii="Calibri" w:hAnsi="Calibri" w:cs="Calibri"/>
          <w:sz w:val="22"/>
          <w:szCs w:val="22"/>
        </w:rPr>
      </w:pPr>
    </w:p>
    <w:p w:rsidR="00622D23" w:rsidRPr="00F63D16" w:rsidRDefault="00622D23" w:rsidP="00622D23">
      <w:pPr>
        <w:pStyle w:val="NoSpacing1"/>
        <w:rPr>
          <w:rFonts w:ascii="Calibri" w:hAnsi="Calibri" w:cs="Calibri"/>
          <w:sz w:val="22"/>
          <w:szCs w:val="22"/>
        </w:rPr>
      </w:pPr>
      <w:r w:rsidRPr="00F63D16">
        <w:rPr>
          <w:rFonts w:ascii="Calibri" w:hAnsi="Calibri" w:cs="Calibri"/>
          <w:sz w:val="22"/>
          <w:szCs w:val="22"/>
        </w:rPr>
        <w:t xml:space="preserve">Para. 46. Add point (e): “States should consider the possibility of relocating critical land title records from regions in which armed conflict may risk their destruction or confiscation to a safe haven within or outside the State.”  </w:t>
      </w:r>
    </w:p>
    <w:p w:rsidR="00622D23" w:rsidRPr="00F63D16" w:rsidRDefault="00622D23" w:rsidP="00622D23">
      <w:pPr>
        <w:pStyle w:val="NoSpacing1"/>
        <w:rPr>
          <w:rFonts w:ascii="Calibri" w:hAnsi="Calibri" w:cs="Calibri"/>
          <w:sz w:val="22"/>
          <w:szCs w:val="22"/>
        </w:rPr>
      </w:pPr>
    </w:p>
    <w:p w:rsidR="00622D23" w:rsidRPr="00F63D16" w:rsidRDefault="00622D23" w:rsidP="00622D23">
      <w:pPr>
        <w:pStyle w:val="NoSpacing1"/>
        <w:rPr>
          <w:rFonts w:ascii="Calibri" w:hAnsi="Calibri" w:cs="Calibri"/>
        </w:rPr>
      </w:pPr>
      <w:r w:rsidRPr="00F63D16">
        <w:rPr>
          <w:rFonts w:ascii="Calibri" w:hAnsi="Calibri" w:cs="Calibri"/>
          <w:sz w:val="22"/>
          <w:szCs w:val="22"/>
        </w:rPr>
        <w:t>Thank you again for giving the International Council on Archives the opportunity to comment on this important draft. We stand ready to provide additional information about the records of land, as you require.</w:t>
      </w:r>
    </w:p>
    <w:p w:rsidR="00AE78E5" w:rsidRPr="00622D23" w:rsidRDefault="00AE78E5" w:rsidP="00AE78E5">
      <w:pPr>
        <w:shd w:val="clear" w:color="auto" w:fill="FFFFFF"/>
        <w:spacing w:line="360" w:lineRule="auto"/>
        <w:jc w:val="both"/>
        <w:rPr>
          <w:rFonts w:ascii="Calibri" w:hAnsi="Calibri" w:cs="Calibri"/>
          <w:b/>
          <w:bCs/>
          <w:color w:val="222222"/>
          <w:sz w:val="22"/>
          <w:szCs w:val="22"/>
          <w:u w:val="single"/>
          <w:shd w:val="clear" w:color="auto" w:fill="00FFFF"/>
        </w:rPr>
      </w:pPr>
    </w:p>
    <w:p w:rsidR="008A3C34" w:rsidRPr="00DE08EB" w:rsidRDefault="008A3C34" w:rsidP="00622D23">
      <w:pPr>
        <w:shd w:val="clear" w:color="auto" w:fill="FFFFFF"/>
        <w:jc w:val="both"/>
        <w:rPr>
          <w:rFonts w:ascii="Calibri" w:hAnsi="Calibri" w:cs="Calibri"/>
          <w:color w:val="222222"/>
          <w:sz w:val="22"/>
          <w:szCs w:val="22"/>
          <w:lang w:val="en-GB"/>
        </w:rPr>
      </w:pPr>
      <w:r w:rsidRPr="00DE08EB">
        <w:rPr>
          <w:rFonts w:ascii="Calibri" w:hAnsi="Calibri" w:cs="Calibri"/>
          <w:color w:val="222222"/>
          <w:sz w:val="22"/>
          <w:szCs w:val="22"/>
          <w:lang w:val="en-GB"/>
        </w:rPr>
        <w:t>The International Council on Archives would be pleased to provide any further comment or explanation on our recommendations above.</w:t>
      </w:r>
    </w:p>
    <w:p w:rsidR="008A3C34" w:rsidRPr="00DE08EB" w:rsidRDefault="008A3C34" w:rsidP="00AE78E5">
      <w:pPr>
        <w:shd w:val="clear" w:color="auto" w:fill="FFFFFF"/>
        <w:spacing w:line="360" w:lineRule="auto"/>
        <w:jc w:val="both"/>
        <w:rPr>
          <w:rFonts w:ascii="Calibri" w:hAnsi="Calibri" w:cs="Calibri"/>
          <w:color w:val="222222"/>
          <w:sz w:val="22"/>
          <w:szCs w:val="22"/>
          <w:lang w:val="en-GB"/>
        </w:rPr>
      </w:pPr>
    </w:p>
    <w:p w:rsidR="008A3C34" w:rsidRPr="00DE08EB" w:rsidRDefault="008A3C34" w:rsidP="00AE78E5">
      <w:pPr>
        <w:shd w:val="clear" w:color="auto" w:fill="FFFFFF"/>
        <w:spacing w:line="360" w:lineRule="auto"/>
        <w:jc w:val="both"/>
        <w:rPr>
          <w:rFonts w:ascii="Calibri" w:hAnsi="Calibri" w:cs="Calibri"/>
          <w:color w:val="222222"/>
          <w:sz w:val="22"/>
          <w:szCs w:val="22"/>
          <w:lang w:val="en-GB"/>
        </w:rPr>
      </w:pPr>
      <w:r w:rsidRPr="00DE08EB">
        <w:rPr>
          <w:rFonts w:ascii="Calibri" w:hAnsi="Calibri" w:cs="Calibri"/>
          <w:color w:val="222222"/>
          <w:sz w:val="22"/>
          <w:szCs w:val="22"/>
          <w:lang w:val="en-GB"/>
        </w:rPr>
        <w:t>Our contact for this purpose is</w:t>
      </w:r>
      <w:r w:rsidR="00A34831" w:rsidRPr="00DE08EB">
        <w:rPr>
          <w:rFonts w:ascii="Calibri" w:hAnsi="Calibri" w:cs="Calibri"/>
          <w:color w:val="222222"/>
          <w:sz w:val="22"/>
          <w:szCs w:val="22"/>
          <w:lang w:val="en-GB"/>
        </w:rPr>
        <w:t xml:space="preserve"> Antonio González Quintana  at </w:t>
      </w:r>
      <w:hyperlink r:id="rId6" w:history="1">
        <w:r w:rsidR="00A34831" w:rsidRPr="00DE08EB">
          <w:rPr>
            <w:rStyle w:val="Hyperlink"/>
            <w:rFonts w:ascii="Calibri" w:hAnsi="Calibri" w:cs="Calibri"/>
            <w:sz w:val="22"/>
            <w:szCs w:val="22"/>
            <w:lang w:val="en-GB"/>
          </w:rPr>
          <w:t>agquintana@gmail.com</w:t>
        </w:r>
      </w:hyperlink>
      <w:r w:rsidR="00A34831" w:rsidRPr="00DE08EB">
        <w:rPr>
          <w:rFonts w:ascii="Calibri" w:hAnsi="Calibri" w:cs="Calibri"/>
          <w:color w:val="222222"/>
          <w:sz w:val="22"/>
          <w:szCs w:val="22"/>
          <w:lang w:val="en-GB"/>
        </w:rPr>
        <w:t xml:space="preserve"> </w:t>
      </w:r>
    </w:p>
    <w:p w:rsidR="008A3C34" w:rsidRPr="00DE08EB" w:rsidRDefault="0045603D" w:rsidP="00AE78E5">
      <w:pPr>
        <w:shd w:val="clear" w:color="auto" w:fill="FFFFFF"/>
        <w:spacing w:line="360" w:lineRule="auto"/>
        <w:jc w:val="both"/>
        <w:rPr>
          <w:rFonts w:ascii="Calibri" w:hAnsi="Calibri" w:cs="Calibri"/>
          <w:color w:val="222222"/>
          <w:sz w:val="22"/>
          <w:szCs w:val="22"/>
          <w:lang w:val="en-GB"/>
        </w:rPr>
      </w:pPr>
      <w:r w:rsidRPr="00DE08EB">
        <w:rPr>
          <w:rFonts w:ascii="Calibri" w:hAnsi="Calibri" w:cs="Calibri"/>
          <w:noProof/>
          <w:color w:val="222222"/>
          <w:sz w:val="22"/>
          <w:szCs w:val="22"/>
          <w:lang w:val="en-GB" w:eastAsia="ko-KR"/>
        </w:rPr>
        <w:drawing>
          <wp:inline distT="0" distB="0" distL="0" distR="0">
            <wp:extent cx="2019300" cy="769620"/>
            <wp:effectExtent l="0" t="0" r="0" b="0"/>
            <wp:docPr id="1" name="Picture 1" descr="David_Fricker_Signature_blue_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id_Fricker_Signature_blue_ (0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300" cy="769620"/>
                    </a:xfrm>
                    <a:prstGeom prst="rect">
                      <a:avLst/>
                    </a:prstGeom>
                    <a:noFill/>
                    <a:ln>
                      <a:noFill/>
                    </a:ln>
                  </pic:spPr>
                </pic:pic>
              </a:graphicData>
            </a:graphic>
          </wp:inline>
        </w:drawing>
      </w:r>
    </w:p>
    <w:p w:rsidR="00AE78E5" w:rsidRPr="00DE08EB" w:rsidRDefault="00AE78E5" w:rsidP="00CC7698">
      <w:pPr>
        <w:shd w:val="clear" w:color="auto" w:fill="FFFFFF"/>
        <w:jc w:val="both"/>
        <w:rPr>
          <w:rFonts w:ascii="Calibri" w:hAnsi="Calibri" w:cs="Calibri"/>
          <w:color w:val="222222"/>
          <w:sz w:val="22"/>
          <w:szCs w:val="22"/>
          <w:lang w:val="en-GB"/>
        </w:rPr>
      </w:pPr>
      <w:r w:rsidRPr="00DE08EB">
        <w:rPr>
          <w:rFonts w:ascii="Calibri" w:hAnsi="Calibri" w:cs="Calibri"/>
          <w:color w:val="222222"/>
          <w:sz w:val="22"/>
          <w:szCs w:val="22"/>
          <w:lang w:val="en-GB"/>
        </w:rPr>
        <w:t>David Fricker</w:t>
      </w:r>
    </w:p>
    <w:p w:rsidR="00AE78E5" w:rsidRPr="00DE08EB" w:rsidRDefault="00AE78E5" w:rsidP="00CC7698">
      <w:pPr>
        <w:shd w:val="clear" w:color="auto" w:fill="FFFFFF"/>
        <w:jc w:val="both"/>
        <w:rPr>
          <w:rFonts w:ascii="Calibri" w:hAnsi="Calibri" w:cs="Calibri"/>
          <w:color w:val="222222"/>
          <w:sz w:val="22"/>
          <w:szCs w:val="22"/>
          <w:lang w:val="en-GB"/>
        </w:rPr>
      </w:pPr>
      <w:r w:rsidRPr="00DE08EB">
        <w:rPr>
          <w:rFonts w:ascii="Calibri" w:hAnsi="Calibri" w:cs="Calibri"/>
          <w:color w:val="222222"/>
          <w:sz w:val="22"/>
          <w:szCs w:val="22"/>
          <w:lang w:val="en-GB"/>
        </w:rPr>
        <w:t>President of the International Council on Archives</w:t>
      </w:r>
    </w:p>
    <w:p w:rsidR="00AE78E5" w:rsidRPr="00DE08EB" w:rsidRDefault="00AE78E5" w:rsidP="00AE78E5">
      <w:pPr>
        <w:shd w:val="clear" w:color="auto" w:fill="FFFFFF"/>
        <w:spacing w:line="360" w:lineRule="auto"/>
        <w:jc w:val="both"/>
        <w:rPr>
          <w:rFonts w:ascii="Calibri" w:hAnsi="Calibri" w:cs="Calibri"/>
          <w:b/>
          <w:bCs/>
          <w:color w:val="222222"/>
          <w:sz w:val="22"/>
          <w:szCs w:val="22"/>
          <w:u w:val="single"/>
          <w:shd w:val="clear" w:color="auto" w:fill="00FFFF"/>
          <w:lang w:val="en-GB"/>
        </w:rPr>
      </w:pPr>
    </w:p>
    <w:p w:rsidR="00AE78E5" w:rsidRPr="00DE08EB" w:rsidRDefault="00AE78E5" w:rsidP="00AE78E5">
      <w:pPr>
        <w:shd w:val="clear" w:color="auto" w:fill="FFFFFF"/>
        <w:spacing w:line="360" w:lineRule="auto"/>
        <w:jc w:val="both"/>
        <w:rPr>
          <w:rFonts w:ascii="Calibri" w:hAnsi="Calibri" w:cs="Calibri"/>
          <w:sz w:val="22"/>
          <w:szCs w:val="22"/>
          <w:lang w:val="en-GB"/>
        </w:rPr>
      </w:pPr>
    </w:p>
    <w:p w:rsidR="0064762D" w:rsidRPr="00DE08EB" w:rsidRDefault="0064762D" w:rsidP="00AE78E5">
      <w:pPr>
        <w:shd w:val="clear" w:color="auto" w:fill="FFFFFF"/>
        <w:spacing w:line="360" w:lineRule="auto"/>
        <w:jc w:val="both"/>
        <w:rPr>
          <w:rFonts w:ascii="Calibri" w:hAnsi="Calibri" w:cs="Calibri"/>
          <w:sz w:val="22"/>
          <w:szCs w:val="22"/>
          <w:lang w:val="en-GB"/>
        </w:rPr>
      </w:pPr>
    </w:p>
    <w:sectPr w:rsidR="0064762D" w:rsidRPr="00DE08EB">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3B0" w:rsidRDefault="004623B0">
      <w:r>
        <w:separator/>
      </w:r>
    </w:p>
  </w:endnote>
  <w:endnote w:type="continuationSeparator" w:id="0">
    <w:p w:rsidR="004623B0" w:rsidRDefault="00462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3B0" w:rsidRDefault="004623B0">
      <w:r>
        <w:separator/>
      </w:r>
    </w:p>
  </w:footnote>
  <w:footnote w:type="continuationSeparator" w:id="0">
    <w:p w:rsidR="004623B0" w:rsidRDefault="004623B0">
      <w:r>
        <w:continuationSeparator/>
      </w:r>
    </w:p>
  </w:footnote>
  <w:footnote w:id="1">
    <w:p w:rsidR="00622D23" w:rsidRDefault="00622D23" w:rsidP="00622D23">
      <w:r>
        <w:rPr>
          <w:rStyle w:val="Caracteresdenotaalpie"/>
        </w:rPr>
        <w:footnoteRef/>
      </w:r>
      <w:r>
        <w:br w:type="page"/>
      </w:r>
      <w:r>
        <w:rPr>
          <w:rStyle w:val="footnotereference"/>
        </w:rPr>
        <w:tab/>
      </w:r>
      <w:r>
        <w:rPr>
          <w:rStyle w:val="footnotereference"/>
        </w:rPr>
        <w:t/>
      </w:r>
      <w:r>
        <w:t xml:space="preserve"> </w:t>
      </w:r>
      <w:hyperlink r:id="rId1" w:history="1">
        <w:r>
          <w:rPr>
            <w:rStyle w:val="Hyperlink"/>
          </w:rPr>
          <w:t>https://www.ohchr.org/Documents/Publications/HR_PUB_14_4_Archives_en.pdf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FF5" w:rsidRDefault="0045603D">
    <w:pPr>
      <w:pStyle w:val="Header"/>
    </w:pPr>
    <w:r>
      <w:rPr>
        <w:noProof/>
        <w:lang w:val="en-GB" w:eastAsia="ko-KR"/>
      </w:rPr>
      <w:drawing>
        <wp:inline distT="0" distB="0" distL="0" distR="0">
          <wp:extent cx="2164080" cy="1082040"/>
          <wp:effectExtent l="0" t="0" r="0" b="0"/>
          <wp:docPr id="2" name="Picture 2" descr="Logo ICA-SAHR_2020-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A-SAHR_2020-05-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108204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62D"/>
    <w:rsid w:val="000026BB"/>
    <w:rsid w:val="00043DCB"/>
    <w:rsid w:val="00063162"/>
    <w:rsid w:val="003A0491"/>
    <w:rsid w:val="0045603D"/>
    <w:rsid w:val="004623B0"/>
    <w:rsid w:val="00471FF5"/>
    <w:rsid w:val="00487951"/>
    <w:rsid w:val="00504F15"/>
    <w:rsid w:val="00622D23"/>
    <w:rsid w:val="0064762D"/>
    <w:rsid w:val="007A07CB"/>
    <w:rsid w:val="00800329"/>
    <w:rsid w:val="008A3C34"/>
    <w:rsid w:val="009E75BB"/>
    <w:rsid w:val="00A34831"/>
    <w:rsid w:val="00AE78E5"/>
    <w:rsid w:val="00BC0296"/>
    <w:rsid w:val="00CC7698"/>
    <w:rsid w:val="00DE08EB"/>
    <w:rsid w:val="00F63D16"/>
    <w:rsid w:val="00FA351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37C7265D-6497-4803-B19F-CEFCDD6A1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471FF5"/>
    <w:pPr>
      <w:tabs>
        <w:tab w:val="center" w:pos="4252"/>
        <w:tab w:val="right" w:pos="8504"/>
      </w:tabs>
    </w:pPr>
  </w:style>
  <w:style w:type="paragraph" w:styleId="Footer">
    <w:name w:val="footer"/>
    <w:basedOn w:val="Normal"/>
    <w:rsid w:val="00471FF5"/>
    <w:pPr>
      <w:tabs>
        <w:tab w:val="center" w:pos="4252"/>
        <w:tab w:val="right" w:pos="8504"/>
      </w:tabs>
    </w:pPr>
  </w:style>
  <w:style w:type="character" w:styleId="Hyperlink">
    <w:name w:val="Hyperlink"/>
    <w:rsid w:val="00A34831"/>
    <w:rPr>
      <w:color w:val="0563C1"/>
      <w:u w:val="single"/>
    </w:rPr>
  </w:style>
  <w:style w:type="character" w:customStyle="1" w:styleId="Mentionnonrsolue">
    <w:name w:val="Mention non résolue"/>
    <w:uiPriority w:val="99"/>
    <w:semiHidden/>
    <w:unhideWhenUsed/>
    <w:rsid w:val="00A34831"/>
    <w:rPr>
      <w:color w:val="605E5C"/>
      <w:shd w:val="clear" w:color="auto" w:fill="E1DFDD"/>
    </w:rPr>
  </w:style>
  <w:style w:type="character" w:customStyle="1" w:styleId="footnotereference">
    <w:name w:val="footnote reference"/>
    <w:rsid w:val="00622D23"/>
    <w:rPr>
      <w:vertAlign w:val="superscript"/>
    </w:rPr>
  </w:style>
  <w:style w:type="character" w:customStyle="1" w:styleId="Caracteresdenotaalpie">
    <w:name w:val="Caracteres de nota al pie"/>
    <w:rsid w:val="00622D23"/>
  </w:style>
  <w:style w:type="character" w:styleId="FootnoteReference0">
    <w:name w:val="footnote reference"/>
    <w:rsid w:val="00622D23"/>
    <w:rPr>
      <w:vertAlign w:val="superscript"/>
    </w:rPr>
  </w:style>
  <w:style w:type="paragraph" w:customStyle="1" w:styleId="NoSpacing1">
    <w:name w:val="No Spacing1"/>
    <w:rsid w:val="00622D23"/>
    <w:pPr>
      <w:suppressAutoHyphens/>
      <w:spacing w:line="100" w:lineRule="atLeast"/>
    </w:pPr>
    <w:rPr>
      <w:rFonts w:eastAsia="SimSun"/>
      <w:color w:val="00000A"/>
      <w:sz w:val="24"/>
      <w:szCs w:val="24"/>
      <w:lang w:val="en-US" w:eastAsia="ar-SA"/>
    </w:rPr>
  </w:style>
  <w:style w:type="paragraph" w:customStyle="1" w:styleId="footnotetext">
    <w:name w:val="footnote text"/>
    <w:basedOn w:val="Normal"/>
    <w:rsid w:val="00622D23"/>
    <w:pPr>
      <w:suppressAutoHyphens/>
      <w:spacing w:line="100" w:lineRule="atLeast"/>
    </w:pPr>
    <w:rPr>
      <w:rFonts w:eastAsia="SimSun"/>
      <w:color w:val="00000A"/>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462438">
      <w:bodyDiv w:val="1"/>
      <w:marLeft w:val="0"/>
      <w:marRight w:val="0"/>
      <w:marTop w:val="0"/>
      <w:marBottom w:val="0"/>
      <w:divBdr>
        <w:top w:val="none" w:sz="0" w:space="0" w:color="auto"/>
        <w:left w:val="none" w:sz="0" w:space="0" w:color="auto"/>
        <w:bottom w:val="none" w:sz="0" w:space="0" w:color="auto"/>
        <w:right w:val="none" w:sz="0" w:space="0" w:color="auto"/>
      </w:divBdr>
      <w:divsChild>
        <w:div w:id="145973697">
          <w:marLeft w:val="0"/>
          <w:marRight w:val="0"/>
          <w:marTop w:val="0"/>
          <w:marBottom w:val="0"/>
          <w:divBdr>
            <w:top w:val="none" w:sz="0" w:space="0" w:color="auto"/>
            <w:left w:val="none" w:sz="0" w:space="0" w:color="auto"/>
            <w:bottom w:val="none" w:sz="0" w:space="0" w:color="auto"/>
            <w:right w:val="none" w:sz="0" w:space="0" w:color="auto"/>
          </w:divBdr>
        </w:div>
        <w:div w:id="1294168677">
          <w:marLeft w:val="0"/>
          <w:marRight w:val="0"/>
          <w:marTop w:val="0"/>
          <w:marBottom w:val="0"/>
          <w:divBdr>
            <w:top w:val="none" w:sz="0" w:space="0" w:color="auto"/>
            <w:left w:val="none" w:sz="0" w:space="0" w:color="auto"/>
            <w:bottom w:val="none" w:sz="0" w:space="0" w:color="auto"/>
            <w:right w:val="none" w:sz="0" w:space="0" w:color="auto"/>
          </w:divBdr>
        </w:div>
        <w:div w:id="1427119098">
          <w:marLeft w:val="0"/>
          <w:marRight w:val="0"/>
          <w:marTop w:val="0"/>
          <w:marBottom w:val="0"/>
          <w:divBdr>
            <w:top w:val="none" w:sz="0" w:space="0" w:color="auto"/>
            <w:left w:val="none" w:sz="0" w:space="0" w:color="auto"/>
            <w:bottom w:val="none" w:sz="0" w:space="0" w:color="auto"/>
            <w:right w:val="none" w:sz="0" w:space="0" w:color="auto"/>
          </w:divBdr>
          <w:divsChild>
            <w:div w:id="1092778515">
              <w:marLeft w:val="0"/>
              <w:marRight w:val="0"/>
              <w:marTop w:val="0"/>
              <w:marBottom w:val="0"/>
              <w:divBdr>
                <w:top w:val="none" w:sz="0" w:space="0" w:color="auto"/>
                <w:left w:val="none" w:sz="0" w:space="0" w:color="auto"/>
                <w:bottom w:val="none" w:sz="0" w:space="0" w:color="auto"/>
                <w:right w:val="none" w:sz="0" w:space="0" w:color="auto"/>
              </w:divBdr>
            </w:div>
          </w:divsChild>
        </w:div>
        <w:div w:id="1493137950">
          <w:marLeft w:val="0"/>
          <w:marRight w:val="0"/>
          <w:marTop w:val="0"/>
          <w:marBottom w:val="0"/>
          <w:divBdr>
            <w:top w:val="none" w:sz="0" w:space="0" w:color="auto"/>
            <w:left w:val="none" w:sz="0" w:space="0" w:color="auto"/>
            <w:bottom w:val="none" w:sz="0" w:space="0" w:color="auto"/>
            <w:right w:val="none" w:sz="0" w:space="0" w:color="auto"/>
          </w:divBdr>
        </w:div>
        <w:div w:id="1634166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gquintana@gmail.com" TargetMode="Externa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hchr.org/Documents/Publications/HR_PUB_14_4_Archives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AF62788-3631-441B-A447-FCE40248AF2D}"/>
</file>

<file path=customXml/itemProps2.xml><?xml version="1.0" encoding="utf-8"?>
<ds:datastoreItem xmlns:ds="http://schemas.openxmlformats.org/officeDocument/2006/customXml" ds:itemID="{53C7E279-38A1-491A-AA83-5B0C88101599}"/>
</file>

<file path=customXml/itemProps3.xml><?xml version="1.0" encoding="utf-8"?>
<ds:datastoreItem xmlns:ds="http://schemas.openxmlformats.org/officeDocument/2006/customXml" ds:itemID="{FE26E95C-AEBD-40AF-9A7D-57B3E37CE09F}"/>
</file>

<file path=docProps/app.xml><?xml version="1.0" encoding="utf-8"?>
<Properties xmlns="http://schemas.openxmlformats.org/officeDocument/2006/extended-properties" xmlns:vt="http://schemas.openxmlformats.org/officeDocument/2006/docPropsVTypes">
  <Template>Normal.dotm</Template>
  <TotalTime>1</TotalTime>
  <Pages>3</Pages>
  <Words>614</Words>
  <Characters>3505</Characters>
  <Application>Microsoft Office Word</Application>
  <DocSecurity>4</DocSecurity>
  <Lines>29</Lines>
  <Paragraphs>8</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To the Prosecutor of the International Criminal Court</vt:lpstr>
      <vt:lpstr>To the Prosecutor of the International Criminal Court</vt:lpstr>
      <vt:lpstr>To the Prosecutor of the International Criminal Court</vt:lpstr>
    </vt:vector>
  </TitlesOfParts>
  <Company>MICROSOFT</Company>
  <LinksUpToDate>false</LinksUpToDate>
  <CharactersWithSpaces>4111</CharactersWithSpaces>
  <SharedDoc>false</SharedDoc>
  <HLinks>
    <vt:vector size="12" baseType="variant">
      <vt:variant>
        <vt:i4>262207</vt:i4>
      </vt:variant>
      <vt:variant>
        <vt:i4>0</vt:i4>
      </vt:variant>
      <vt:variant>
        <vt:i4>0</vt:i4>
      </vt:variant>
      <vt:variant>
        <vt:i4>5</vt:i4>
      </vt:variant>
      <vt:variant>
        <vt:lpwstr>mailto:agquintana@gmail.com</vt:lpwstr>
      </vt:variant>
      <vt:variant>
        <vt:lpwstr/>
      </vt:variant>
      <vt:variant>
        <vt:i4>3735570</vt:i4>
      </vt:variant>
      <vt:variant>
        <vt:i4>0</vt:i4>
      </vt:variant>
      <vt:variant>
        <vt:i4>0</vt:i4>
      </vt:variant>
      <vt:variant>
        <vt:i4>5</vt:i4>
      </vt:variant>
      <vt:variant>
        <vt:lpwstr>https://www.ohchr.org/Documents/Publications/HR_PUB_14_4_Archives_en.pdf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the Prosecutor of the International Criminal Court</dc:title>
  <dc:subject/>
  <dc:creator>Antonio</dc:creator>
  <cp:keywords/>
  <dc:description/>
  <cp:lastModifiedBy>KIM Jung Rin</cp:lastModifiedBy>
  <cp:revision>2</cp:revision>
  <dcterms:created xsi:type="dcterms:W3CDTF">2021-07-27T07:15:00Z</dcterms:created>
  <dcterms:modified xsi:type="dcterms:W3CDTF">2021-07-27T07:15:00Z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