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054F0" w14:textId="5E27613D" w:rsidR="00D55BB8" w:rsidRPr="00E14B43" w:rsidRDefault="00D55BB8">
      <w:pPr>
        <w:rPr>
          <w:rFonts w:asciiTheme="majorBidi" w:hAnsiTheme="majorBidi" w:cstheme="majorBidi"/>
          <w:sz w:val="24"/>
          <w:szCs w:val="24"/>
          <w:lang w:val="en-US"/>
        </w:rPr>
      </w:pPr>
    </w:p>
    <w:p w14:paraId="74C95F35" w14:textId="1FF6F995" w:rsidR="00D55BB8" w:rsidRPr="00E14B43" w:rsidRDefault="00D55BB8" w:rsidP="00D55BB8">
      <w:pPr>
        <w:pStyle w:val="paragraph"/>
        <w:spacing w:before="0" w:beforeAutospacing="0" w:after="0" w:afterAutospacing="0"/>
        <w:jc w:val="center"/>
        <w:textAlignment w:val="baseline"/>
        <w:rPr>
          <w:rStyle w:val="normaltextrun"/>
          <w:rFonts w:asciiTheme="majorBidi" w:hAnsiTheme="majorBidi" w:cstheme="majorBidi"/>
          <w:b/>
          <w:bCs/>
        </w:rPr>
      </w:pPr>
      <w:r w:rsidRPr="00E14B43">
        <w:rPr>
          <w:rStyle w:val="normaltextrun"/>
          <w:rFonts w:asciiTheme="majorBidi" w:hAnsiTheme="majorBidi" w:cstheme="majorBidi"/>
          <w:b/>
          <w:bCs/>
        </w:rPr>
        <w:t xml:space="preserve">Comments to the draft general comment on Land and Economic, Social and Cultural Rights of the Committee on Economic, Social and Cultural Rights </w:t>
      </w:r>
    </w:p>
    <w:p w14:paraId="1D086E2C" w14:textId="77777777" w:rsidR="00D55BB8" w:rsidRPr="00E14B43" w:rsidRDefault="00D55BB8" w:rsidP="00D55BB8">
      <w:pPr>
        <w:pStyle w:val="paragraph"/>
        <w:spacing w:before="0" w:beforeAutospacing="0" w:after="0" w:afterAutospacing="0"/>
        <w:jc w:val="center"/>
        <w:textAlignment w:val="baseline"/>
        <w:rPr>
          <w:rStyle w:val="normaltextrun"/>
          <w:rFonts w:asciiTheme="majorBidi" w:hAnsiTheme="majorBidi" w:cstheme="majorBidi"/>
          <w:b/>
          <w:bCs/>
          <w:lang w:val="en"/>
        </w:rPr>
      </w:pPr>
      <w:r w:rsidRPr="00E14B43">
        <w:rPr>
          <w:rStyle w:val="normaltextrun"/>
          <w:rFonts w:asciiTheme="majorBidi" w:hAnsiTheme="majorBidi" w:cstheme="majorBidi"/>
          <w:b/>
          <w:bCs/>
          <w:lang w:val="en"/>
        </w:rPr>
        <w:t>June 2021</w:t>
      </w:r>
    </w:p>
    <w:p w14:paraId="6C56676B" w14:textId="39DAE177" w:rsidR="00D55BB8" w:rsidRPr="00E14B43" w:rsidRDefault="00D55BB8" w:rsidP="00D55BB8">
      <w:pPr>
        <w:pStyle w:val="paragraph"/>
        <w:spacing w:before="0" w:beforeAutospacing="0" w:after="0" w:afterAutospacing="0"/>
        <w:jc w:val="center"/>
        <w:textAlignment w:val="baseline"/>
        <w:rPr>
          <w:rFonts w:asciiTheme="majorBidi" w:hAnsiTheme="majorBidi" w:cstheme="majorBidi"/>
        </w:rPr>
      </w:pPr>
      <w:r w:rsidRPr="00E14B43">
        <w:rPr>
          <w:rStyle w:val="eop"/>
          <w:rFonts w:asciiTheme="majorBidi" w:hAnsiTheme="majorBidi" w:cstheme="majorBidi"/>
        </w:rPr>
        <w:t> </w:t>
      </w:r>
    </w:p>
    <w:p w14:paraId="49CA54C1" w14:textId="77777777" w:rsidR="00D55BB8" w:rsidRPr="00E14B43" w:rsidRDefault="00D55BB8" w:rsidP="00D55BB8">
      <w:pPr>
        <w:pStyle w:val="paragraph"/>
        <w:spacing w:before="0" w:beforeAutospacing="0" w:after="0" w:afterAutospacing="0"/>
        <w:jc w:val="center"/>
        <w:textAlignment w:val="baseline"/>
        <w:rPr>
          <w:rFonts w:asciiTheme="majorBidi" w:hAnsiTheme="majorBidi" w:cstheme="majorBidi"/>
        </w:rPr>
      </w:pPr>
      <w:r w:rsidRPr="00E14B43">
        <w:rPr>
          <w:rStyle w:val="normaltextrun"/>
          <w:rFonts w:asciiTheme="majorBidi" w:hAnsiTheme="majorBidi" w:cstheme="majorBidi"/>
          <w:b/>
          <w:bCs/>
        </w:rPr>
        <w:t>Submitted by the Indigenous Peoples and Development Branch – Secretariat of the UN Permanent Forum on Indigenous Issues/Division for Inclusive Development/UN Department of Economic Affairs</w:t>
      </w:r>
      <w:r w:rsidRPr="00E14B43">
        <w:rPr>
          <w:rStyle w:val="eop"/>
          <w:rFonts w:asciiTheme="majorBidi" w:hAnsiTheme="majorBidi" w:cstheme="majorBidi"/>
        </w:rPr>
        <w:t> </w:t>
      </w:r>
    </w:p>
    <w:p w14:paraId="722244B4" w14:textId="77777777" w:rsidR="00D55BB8" w:rsidRPr="00E14B43" w:rsidRDefault="00D55BB8" w:rsidP="00D55BB8">
      <w:pPr>
        <w:pStyle w:val="paragraph"/>
        <w:spacing w:before="0" w:beforeAutospacing="0" w:after="0" w:afterAutospacing="0"/>
        <w:jc w:val="center"/>
        <w:textAlignment w:val="baseline"/>
        <w:rPr>
          <w:rFonts w:asciiTheme="majorBidi" w:hAnsiTheme="majorBidi" w:cstheme="majorBidi"/>
        </w:rPr>
      </w:pPr>
      <w:r w:rsidRPr="00E14B43">
        <w:rPr>
          <w:rStyle w:val="eop"/>
          <w:rFonts w:asciiTheme="majorBidi" w:hAnsiTheme="majorBidi" w:cstheme="majorBidi"/>
        </w:rPr>
        <w:t> </w:t>
      </w:r>
    </w:p>
    <w:p w14:paraId="27B2B05E" w14:textId="15FD5044" w:rsidR="00D55BB8" w:rsidRPr="00E14B43" w:rsidRDefault="00D55BB8" w:rsidP="00D55BB8">
      <w:pPr>
        <w:pStyle w:val="paragraph"/>
        <w:spacing w:before="0" w:beforeAutospacing="0" w:after="0" w:afterAutospacing="0"/>
        <w:textAlignment w:val="baseline"/>
        <w:rPr>
          <w:rFonts w:asciiTheme="majorBidi" w:hAnsiTheme="majorBidi" w:cstheme="majorBidi"/>
        </w:rPr>
      </w:pPr>
      <w:r w:rsidRPr="00E14B43">
        <w:rPr>
          <w:rStyle w:val="normaltextrun"/>
          <w:rFonts w:asciiTheme="majorBidi" w:hAnsiTheme="majorBidi" w:cstheme="majorBidi"/>
        </w:rPr>
        <w:t>The Indigenous Peoples and Development Branch/DISD/DESA offers some comments to the draft general comment on Land and Economic, Social and Cultural Rights of the Committee on Economic, Social and Cultural Rights</w:t>
      </w:r>
      <w:r w:rsidRPr="00E14B43">
        <w:rPr>
          <w:rStyle w:val="normaltextrun"/>
          <w:rFonts w:asciiTheme="majorBidi" w:hAnsiTheme="majorBidi" w:cstheme="majorBidi"/>
          <w:lang w:val="en"/>
        </w:rPr>
        <w:t>.  This draws on the </w:t>
      </w:r>
      <w:r w:rsidRPr="00E14B43">
        <w:rPr>
          <w:rStyle w:val="normaltextrun"/>
          <w:rFonts w:asciiTheme="majorBidi" w:hAnsiTheme="majorBidi" w:cstheme="majorBidi"/>
        </w:rPr>
        <w:t>recommendations of the Permanent Forum on Indigenous Issues, an ECOSOC advisory body mandated to provide expert advice and recommendations on indigenous issues to the Council, and through the Council to the UN system agencies, funds and </w:t>
      </w:r>
      <w:proofErr w:type="spellStart"/>
      <w:r w:rsidRPr="00E14B43">
        <w:rPr>
          <w:rStyle w:val="normaltextrun"/>
          <w:rFonts w:asciiTheme="majorBidi" w:hAnsiTheme="majorBidi" w:cstheme="majorBidi"/>
        </w:rPr>
        <w:t>programmes</w:t>
      </w:r>
      <w:proofErr w:type="spellEnd"/>
      <w:r w:rsidRPr="00E14B43">
        <w:rPr>
          <w:rStyle w:val="normaltextrun"/>
          <w:rFonts w:asciiTheme="majorBidi" w:hAnsiTheme="majorBidi" w:cstheme="majorBidi"/>
        </w:rPr>
        <w:t>.  </w:t>
      </w:r>
      <w:r w:rsidRPr="00E14B43">
        <w:rPr>
          <w:rStyle w:val="eop"/>
          <w:rFonts w:asciiTheme="majorBidi" w:hAnsiTheme="majorBidi" w:cstheme="majorBidi"/>
        </w:rPr>
        <w:t> </w:t>
      </w:r>
    </w:p>
    <w:p w14:paraId="0D24CD1C" w14:textId="77777777" w:rsidR="00D55BB8" w:rsidRPr="00E14B43" w:rsidRDefault="00D55BB8" w:rsidP="00D55BB8">
      <w:pPr>
        <w:pStyle w:val="paragraph"/>
        <w:spacing w:before="0" w:beforeAutospacing="0" w:after="0" w:afterAutospacing="0"/>
        <w:textAlignment w:val="baseline"/>
        <w:rPr>
          <w:rFonts w:asciiTheme="majorBidi" w:hAnsiTheme="majorBidi" w:cstheme="majorBidi"/>
        </w:rPr>
      </w:pPr>
      <w:r w:rsidRPr="00E14B43">
        <w:rPr>
          <w:rStyle w:val="eop"/>
          <w:rFonts w:asciiTheme="majorBidi" w:hAnsiTheme="majorBidi" w:cstheme="majorBidi"/>
        </w:rPr>
        <w:t> </w:t>
      </w:r>
    </w:p>
    <w:p w14:paraId="57DD5F2C" w14:textId="5BFCA30D" w:rsidR="00D55BB8" w:rsidRPr="00E14B43" w:rsidRDefault="00D55BB8" w:rsidP="00D55BB8">
      <w:pPr>
        <w:pStyle w:val="paragraph"/>
        <w:spacing w:before="0" w:beforeAutospacing="0" w:after="0" w:afterAutospacing="0"/>
        <w:textAlignment w:val="baseline"/>
        <w:rPr>
          <w:rStyle w:val="eop"/>
          <w:rFonts w:asciiTheme="majorBidi" w:hAnsiTheme="majorBidi" w:cstheme="majorBidi"/>
        </w:rPr>
      </w:pPr>
      <w:r w:rsidRPr="00E14B43">
        <w:rPr>
          <w:rStyle w:val="normaltextrun"/>
          <w:rFonts w:asciiTheme="majorBidi" w:hAnsiTheme="majorBidi" w:cstheme="majorBidi"/>
        </w:rPr>
        <w:t xml:space="preserve">The suggestions and comments </w:t>
      </w:r>
      <w:r w:rsidR="00DA3750">
        <w:rPr>
          <w:rStyle w:val="normaltextrun"/>
          <w:rFonts w:asciiTheme="majorBidi" w:hAnsiTheme="majorBidi" w:cstheme="majorBidi"/>
        </w:rPr>
        <w:t xml:space="preserve">in bold and red </w:t>
      </w:r>
      <w:r w:rsidRPr="00E14B43">
        <w:rPr>
          <w:rStyle w:val="normaltextrun"/>
          <w:rFonts w:asciiTheme="majorBidi" w:hAnsiTheme="majorBidi" w:cstheme="majorBidi"/>
        </w:rPr>
        <w:t>below follow the structure of the draft general comment for ease of reference:</w:t>
      </w:r>
      <w:r w:rsidRPr="00E14B43">
        <w:rPr>
          <w:rStyle w:val="eop"/>
          <w:rFonts w:asciiTheme="majorBidi" w:hAnsiTheme="majorBidi" w:cstheme="majorBidi"/>
        </w:rPr>
        <w:t> </w:t>
      </w:r>
    </w:p>
    <w:p w14:paraId="1453F090" w14:textId="77777777" w:rsidR="000161D2" w:rsidRPr="00DA3750" w:rsidRDefault="000161D2" w:rsidP="00D55BB8">
      <w:pPr>
        <w:pStyle w:val="paragraph"/>
        <w:spacing w:before="0" w:beforeAutospacing="0" w:after="0" w:afterAutospacing="0"/>
        <w:textAlignment w:val="baseline"/>
        <w:rPr>
          <w:rFonts w:asciiTheme="majorBidi" w:hAnsiTheme="majorBidi" w:cstheme="majorBidi"/>
          <w:b/>
          <w:bCs/>
        </w:rPr>
      </w:pPr>
    </w:p>
    <w:p w14:paraId="27CA4A23" w14:textId="4933AE61" w:rsidR="00D55BB8" w:rsidRPr="00DA3750" w:rsidRDefault="000161D2" w:rsidP="000161D2">
      <w:pPr>
        <w:pStyle w:val="ListParagraph"/>
        <w:numPr>
          <w:ilvl w:val="0"/>
          <w:numId w:val="1"/>
        </w:numPr>
        <w:rPr>
          <w:rFonts w:asciiTheme="majorBidi" w:hAnsiTheme="majorBidi" w:cstheme="majorBidi"/>
          <w:b/>
          <w:bCs/>
          <w:sz w:val="24"/>
          <w:szCs w:val="24"/>
          <w:lang w:val="en-US"/>
        </w:rPr>
      </w:pPr>
      <w:r w:rsidRPr="00DA3750">
        <w:rPr>
          <w:rFonts w:asciiTheme="majorBidi" w:hAnsiTheme="majorBidi" w:cstheme="majorBidi"/>
          <w:b/>
          <w:bCs/>
          <w:sz w:val="24"/>
          <w:szCs w:val="24"/>
          <w:lang w:val="en-US"/>
        </w:rPr>
        <w:t>Introduction</w:t>
      </w:r>
    </w:p>
    <w:p w14:paraId="1E68A501" w14:textId="0CDA4700" w:rsidR="000161D2" w:rsidRPr="00E14B43" w:rsidRDefault="000161D2" w:rsidP="000161D2">
      <w:pPr>
        <w:pStyle w:val="SingleTxtG"/>
        <w:numPr>
          <w:ilvl w:val="0"/>
          <w:numId w:val="2"/>
        </w:numPr>
        <w:rPr>
          <w:rFonts w:asciiTheme="majorBidi" w:hAnsiTheme="majorBidi" w:cstheme="majorBidi"/>
          <w:sz w:val="24"/>
          <w:szCs w:val="24"/>
        </w:rPr>
      </w:pPr>
      <w:r w:rsidRPr="00E14B43">
        <w:rPr>
          <w:rFonts w:asciiTheme="majorBidi" w:hAnsiTheme="majorBidi" w:cstheme="majorBidi"/>
          <w:sz w:val="24"/>
          <w:szCs w:val="24"/>
        </w:rPr>
        <w:t xml:space="preserve">In addition to long-term trends in the high demand for land, the rapid urbanization in most parts of the world often takes place on land that is being used by peasants, rural communities, pastoralists and indigenous </w:t>
      </w:r>
      <w:r w:rsidRPr="00DA3750">
        <w:rPr>
          <w:rFonts w:asciiTheme="majorBidi" w:hAnsiTheme="majorBidi" w:cstheme="majorBidi"/>
          <w:b/>
          <w:bCs/>
          <w:color w:val="FF0000"/>
          <w:sz w:val="24"/>
          <w:szCs w:val="24"/>
        </w:rPr>
        <w:t>peoples</w:t>
      </w:r>
      <w:r w:rsidRPr="00E14B43">
        <w:rPr>
          <w:rFonts w:asciiTheme="majorBidi" w:hAnsiTheme="majorBidi" w:cstheme="majorBidi"/>
          <w:b/>
          <w:bCs/>
          <w:sz w:val="24"/>
          <w:szCs w:val="24"/>
        </w:rPr>
        <w:t xml:space="preserve"> </w:t>
      </w:r>
      <w:r w:rsidRPr="00E14B43">
        <w:rPr>
          <w:rFonts w:asciiTheme="majorBidi" w:hAnsiTheme="majorBidi" w:cstheme="majorBidi"/>
          <w:b/>
          <w:bCs/>
          <w:strike/>
          <w:sz w:val="24"/>
          <w:szCs w:val="24"/>
        </w:rPr>
        <w:t>communities</w:t>
      </w:r>
      <w:r w:rsidRPr="00E14B43">
        <w:rPr>
          <w:rFonts w:asciiTheme="majorBidi" w:hAnsiTheme="majorBidi" w:cstheme="majorBidi"/>
          <w:sz w:val="24"/>
          <w:szCs w:val="24"/>
        </w:rPr>
        <w:t xml:space="preserve"> or as natural reserves and forests.</w:t>
      </w:r>
      <w:r w:rsidRPr="00E14B43">
        <w:rPr>
          <w:rStyle w:val="FootnoteReference"/>
          <w:rFonts w:asciiTheme="majorBidi" w:hAnsiTheme="majorBidi" w:cstheme="majorBidi"/>
          <w:sz w:val="24"/>
          <w:szCs w:val="24"/>
        </w:rPr>
        <w:footnoteReference w:id="1"/>
      </w:r>
    </w:p>
    <w:p w14:paraId="3B071FEA" w14:textId="72068F5E" w:rsidR="000161D2" w:rsidRDefault="000161D2" w:rsidP="000161D2">
      <w:pPr>
        <w:pStyle w:val="SingleTxtG"/>
        <w:rPr>
          <w:rStyle w:val="CommentReference"/>
          <w:rFonts w:asciiTheme="majorBidi" w:hAnsiTheme="majorBidi" w:cstheme="majorBidi"/>
          <w:sz w:val="24"/>
          <w:szCs w:val="24"/>
        </w:rPr>
      </w:pPr>
      <w:r w:rsidRPr="00E14B43">
        <w:rPr>
          <w:rFonts w:asciiTheme="majorBidi" w:hAnsiTheme="majorBidi" w:cstheme="majorBidi"/>
          <w:sz w:val="24"/>
          <w:szCs w:val="24"/>
        </w:rPr>
        <w:t xml:space="preserve">4. Other relevant </w:t>
      </w:r>
      <w:r w:rsidRPr="00DA3750">
        <w:rPr>
          <w:rFonts w:asciiTheme="majorBidi" w:hAnsiTheme="majorBidi" w:cstheme="majorBidi"/>
          <w:color w:val="FF0000"/>
          <w:sz w:val="24"/>
          <w:szCs w:val="24"/>
        </w:rPr>
        <w:t xml:space="preserve">soft law </w:t>
      </w:r>
      <w:r w:rsidRPr="00E14B43">
        <w:rPr>
          <w:rFonts w:asciiTheme="majorBidi" w:hAnsiTheme="majorBidi" w:cstheme="majorBidi"/>
          <w:sz w:val="24"/>
          <w:szCs w:val="24"/>
        </w:rPr>
        <w:t>instruments have been developed to describe the obligations and responsibilities of States and other actors relating to land use of specific groups.</w:t>
      </w:r>
      <w:r w:rsidRPr="00E14B43">
        <w:rPr>
          <w:rStyle w:val="FootnoteReference"/>
          <w:rFonts w:asciiTheme="majorBidi" w:hAnsiTheme="majorBidi" w:cstheme="majorBidi"/>
          <w:sz w:val="24"/>
          <w:szCs w:val="24"/>
        </w:rPr>
        <w:footnoteReference w:id="2"/>
      </w:r>
      <w:r w:rsidRPr="00E14B43">
        <w:rPr>
          <w:rFonts w:asciiTheme="majorBidi" w:hAnsiTheme="majorBidi" w:cstheme="majorBidi"/>
          <w:sz w:val="24"/>
          <w:szCs w:val="24"/>
        </w:rPr>
        <w:t xml:space="preserve"> Such soft law instruments </w:t>
      </w:r>
      <w:r w:rsidRPr="00E14B43">
        <w:rPr>
          <w:rStyle w:val="CommentReference"/>
          <w:rFonts w:asciiTheme="majorBidi" w:hAnsiTheme="majorBidi" w:cstheme="majorBidi"/>
          <w:sz w:val="24"/>
          <w:szCs w:val="24"/>
        </w:rPr>
        <w:t>provide help in the interpretation of the legally binding obligations of States parties under the Covenant and address a broad range of Covenant rights.</w:t>
      </w:r>
    </w:p>
    <w:p w14:paraId="00B70862" w14:textId="007CCEF3" w:rsidR="00DA3750" w:rsidRPr="00DA3750" w:rsidRDefault="00DA3750" w:rsidP="000161D2">
      <w:pPr>
        <w:pStyle w:val="SingleTxtG"/>
        <w:rPr>
          <w:rFonts w:asciiTheme="majorBidi" w:hAnsiTheme="majorBidi" w:cstheme="majorBidi"/>
          <w:b/>
          <w:bCs/>
          <w:color w:val="FF0000"/>
          <w:sz w:val="24"/>
          <w:szCs w:val="24"/>
        </w:rPr>
      </w:pPr>
      <w:r w:rsidRPr="00DA3750">
        <w:rPr>
          <w:b/>
          <w:bCs/>
          <w:color w:val="FF0000"/>
          <w:sz w:val="24"/>
          <w:szCs w:val="24"/>
          <w:lang w:val="en-US"/>
        </w:rPr>
        <w:t>Comment: ILO Convention 169 cannot be considered soft law as it is an international treaty signed and ratified by Member States.</w:t>
      </w:r>
    </w:p>
    <w:p w14:paraId="5EB5952E" w14:textId="1B6024EF" w:rsidR="000161D2" w:rsidRPr="00E14B43" w:rsidRDefault="000161D2" w:rsidP="000161D2">
      <w:pPr>
        <w:pStyle w:val="ListParagraph"/>
        <w:ind w:left="1080"/>
        <w:rPr>
          <w:rFonts w:asciiTheme="majorBidi" w:hAnsiTheme="majorBidi" w:cstheme="majorBidi"/>
          <w:sz w:val="24"/>
          <w:szCs w:val="24"/>
          <w:lang w:val="en-GB"/>
        </w:rPr>
      </w:pPr>
    </w:p>
    <w:p w14:paraId="77DB5657" w14:textId="04C156D8" w:rsidR="000161D2" w:rsidRPr="00E14B43" w:rsidRDefault="000161D2" w:rsidP="000161D2">
      <w:pPr>
        <w:pStyle w:val="ListParagraph"/>
        <w:numPr>
          <w:ilvl w:val="0"/>
          <w:numId w:val="1"/>
        </w:numPr>
        <w:rPr>
          <w:rFonts w:asciiTheme="majorBidi" w:hAnsiTheme="majorBidi" w:cstheme="majorBidi"/>
          <w:sz w:val="24"/>
          <w:szCs w:val="24"/>
          <w:lang w:val="en-US"/>
        </w:rPr>
      </w:pPr>
      <w:r w:rsidRPr="00E14B43">
        <w:rPr>
          <w:rFonts w:asciiTheme="majorBidi" w:hAnsiTheme="majorBidi" w:cstheme="majorBidi"/>
          <w:sz w:val="24"/>
          <w:szCs w:val="24"/>
          <w:lang w:val="en-US"/>
        </w:rPr>
        <w:t>Provisions in the Covenant relating to land</w:t>
      </w:r>
    </w:p>
    <w:p w14:paraId="082D5485" w14:textId="62BF6073" w:rsidR="000161D2" w:rsidRPr="00DA3750" w:rsidRDefault="000161D2" w:rsidP="779CFB96">
      <w:pPr>
        <w:pStyle w:val="ListParagraph"/>
        <w:ind w:left="1080"/>
        <w:rPr>
          <w:rFonts w:asciiTheme="majorBidi" w:hAnsiTheme="majorBidi" w:cstheme="majorBidi"/>
          <w:color w:val="FF0000"/>
          <w:sz w:val="24"/>
          <w:szCs w:val="24"/>
          <w:lang w:val="en-US"/>
        </w:rPr>
      </w:pPr>
      <w:r w:rsidRPr="779CFB96">
        <w:rPr>
          <w:rFonts w:asciiTheme="majorBidi" w:hAnsiTheme="majorBidi" w:cstheme="majorBidi"/>
          <w:sz w:val="24"/>
          <w:szCs w:val="24"/>
          <w:lang w:val="en-US"/>
        </w:rPr>
        <w:t>11.</w:t>
      </w:r>
      <w:r w:rsidRPr="00770ECD">
        <w:rPr>
          <w:lang w:val="en-US"/>
        </w:rPr>
        <w:tab/>
      </w:r>
      <w:r w:rsidRPr="779CFB96">
        <w:rPr>
          <w:rFonts w:asciiTheme="majorBidi" w:hAnsiTheme="majorBidi" w:cstheme="majorBidi"/>
          <w:sz w:val="24"/>
          <w:szCs w:val="24"/>
          <w:lang w:val="en-US"/>
        </w:rPr>
        <w:t>…. The right to water is infringed where communal grounds are enclosed, depriving people from access to water sources necessary to meet their daily needs. The right to health may be affected where land is cultivated by industrial means, particularly with the use of pesticides,</w:t>
      </w:r>
      <w:r w:rsidR="00770ECD" w:rsidRPr="00770ECD">
        <w:rPr>
          <w:rFonts w:asciiTheme="majorBidi" w:hAnsiTheme="majorBidi" w:cstheme="majorBidi"/>
          <w:b/>
          <w:bCs/>
          <w:color w:val="FF0000"/>
          <w:sz w:val="24"/>
          <w:szCs w:val="24"/>
          <w:lang w:val="en-US"/>
        </w:rPr>
        <w:t xml:space="preserve"> or</w:t>
      </w:r>
      <w:r w:rsidR="7DCEA7EE" w:rsidRPr="00770ECD">
        <w:rPr>
          <w:rFonts w:asciiTheme="majorBidi" w:hAnsiTheme="majorBidi" w:cstheme="majorBidi"/>
          <w:color w:val="FF0000"/>
          <w:sz w:val="24"/>
          <w:szCs w:val="24"/>
          <w:lang w:val="en-US"/>
        </w:rPr>
        <w:t xml:space="preserve"> </w:t>
      </w:r>
      <w:r w:rsidRPr="779CFB96">
        <w:rPr>
          <w:rFonts w:asciiTheme="majorBidi" w:hAnsiTheme="majorBidi" w:cstheme="majorBidi"/>
          <w:b/>
          <w:bCs/>
          <w:color w:val="FF0000"/>
          <w:sz w:val="24"/>
          <w:szCs w:val="24"/>
          <w:lang w:val="en-US"/>
        </w:rPr>
        <w:t>affected by mining activities or other extractive industries</w:t>
      </w:r>
      <w:r w:rsidRPr="779CFB96">
        <w:rPr>
          <w:rFonts w:asciiTheme="majorBidi" w:hAnsiTheme="majorBidi" w:cstheme="majorBidi"/>
          <w:color w:val="FF0000"/>
          <w:sz w:val="24"/>
          <w:szCs w:val="24"/>
          <w:lang w:val="en-US"/>
        </w:rPr>
        <w:t>.</w:t>
      </w:r>
    </w:p>
    <w:p w14:paraId="0D1DA5C8" w14:textId="456DA5D3" w:rsidR="000161D2" w:rsidRPr="00E14B43" w:rsidRDefault="000161D2" w:rsidP="000161D2">
      <w:pPr>
        <w:pStyle w:val="ListParagraph"/>
        <w:ind w:left="1080"/>
        <w:rPr>
          <w:rFonts w:asciiTheme="majorBidi" w:hAnsiTheme="majorBidi" w:cstheme="majorBidi"/>
          <w:sz w:val="24"/>
          <w:szCs w:val="24"/>
          <w:lang w:val="en-US"/>
        </w:rPr>
      </w:pPr>
    </w:p>
    <w:p w14:paraId="1A7F6406" w14:textId="0A4CC886" w:rsidR="000161D2" w:rsidRPr="00E14B43" w:rsidRDefault="000161D2" w:rsidP="000161D2">
      <w:pPr>
        <w:pStyle w:val="ListParagraph"/>
        <w:ind w:left="1080"/>
        <w:rPr>
          <w:rFonts w:asciiTheme="majorBidi" w:hAnsiTheme="majorBidi" w:cstheme="majorBidi"/>
          <w:sz w:val="24"/>
          <w:szCs w:val="24"/>
          <w:lang w:val="en-US"/>
        </w:rPr>
      </w:pPr>
      <w:r w:rsidRPr="00E14B43">
        <w:rPr>
          <w:rFonts w:asciiTheme="majorBidi" w:hAnsiTheme="majorBidi" w:cstheme="majorBidi"/>
          <w:sz w:val="24"/>
          <w:szCs w:val="24"/>
          <w:lang w:val="en-US"/>
        </w:rPr>
        <w:lastRenderedPageBreak/>
        <w:t xml:space="preserve">12. …. Furthermore, indigenous </w:t>
      </w:r>
      <w:r w:rsidRPr="00DA3750">
        <w:rPr>
          <w:rFonts w:asciiTheme="majorBidi" w:hAnsiTheme="majorBidi" w:cstheme="majorBidi"/>
          <w:b/>
          <w:bCs/>
          <w:color w:val="FF0000"/>
          <w:sz w:val="24"/>
          <w:szCs w:val="24"/>
          <w:lang w:val="en-US"/>
        </w:rPr>
        <w:t>peoples</w:t>
      </w:r>
      <w:r w:rsidRPr="00DA3750">
        <w:rPr>
          <w:rFonts w:asciiTheme="majorBidi" w:hAnsiTheme="majorBidi" w:cstheme="majorBidi"/>
          <w:color w:val="FF0000"/>
          <w:sz w:val="24"/>
          <w:szCs w:val="24"/>
          <w:lang w:val="en-US"/>
        </w:rPr>
        <w:t xml:space="preserve"> </w:t>
      </w:r>
      <w:r w:rsidRPr="00E14B43">
        <w:rPr>
          <w:rFonts w:asciiTheme="majorBidi" w:hAnsiTheme="majorBidi" w:cstheme="majorBidi"/>
          <w:sz w:val="24"/>
          <w:szCs w:val="24"/>
          <w:lang w:val="en-US"/>
        </w:rPr>
        <w:t>and other traditional communities rely on the natural resources on their lands for subsistence and the conduct of traditional cultural practices (see para. 24 below).</w:t>
      </w:r>
    </w:p>
    <w:p w14:paraId="3EB57DF1" w14:textId="53AD6868" w:rsidR="000161D2" w:rsidRPr="00E14B43" w:rsidRDefault="000161D2" w:rsidP="000161D2">
      <w:pPr>
        <w:pStyle w:val="ListParagraph"/>
        <w:ind w:left="1080"/>
        <w:rPr>
          <w:rFonts w:asciiTheme="majorBidi" w:hAnsiTheme="majorBidi" w:cstheme="majorBidi"/>
          <w:sz w:val="24"/>
          <w:szCs w:val="24"/>
          <w:lang w:val="en-US"/>
        </w:rPr>
      </w:pPr>
    </w:p>
    <w:p w14:paraId="7F2951B0" w14:textId="77777777" w:rsidR="000161D2" w:rsidRPr="00E14B43" w:rsidRDefault="000161D2" w:rsidP="000161D2">
      <w:pPr>
        <w:pStyle w:val="HChG"/>
        <w:rPr>
          <w:rFonts w:asciiTheme="majorBidi" w:hAnsiTheme="majorBidi" w:cstheme="majorBidi"/>
          <w:sz w:val="24"/>
          <w:szCs w:val="24"/>
        </w:rPr>
      </w:pPr>
      <w:r w:rsidRPr="00E14B43">
        <w:rPr>
          <w:rFonts w:asciiTheme="majorBidi" w:hAnsiTheme="majorBidi" w:cstheme="majorBidi"/>
          <w:sz w:val="24"/>
          <w:szCs w:val="24"/>
        </w:rPr>
        <w:t>III.</w:t>
      </w:r>
      <w:r w:rsidRPr="00E14B43">
        <w:rPr>
          <w:rFonts w:asciiTheme="majorBidi" w:hAnsiTheme="majorBidi" w:cstheme="majorBidi"/>
          <w:sz w:val="24"/>
          <w:szCs w:val="24"/>
        </w:rPr>
        <w:tab/>
        <w:t>Obligations of States parties under the Covenant</w:t>
      </w:r>
    </w:p>
    <w:p w14:paraId="6F2FC33F" w14:textId="2CE0DE15" w:rsidR="000161D2" w:rsidRPr="00E14B43" w:rsidRDefault="000161D2" w:rsidP="000161D2">
      <w:pPr>
        <w:pStyle w:val="H1G"/>
        <w:rPr>
          <w:rFonts w:asciiTheme="majorBidi" w:hAnsiTheme="majorBidi" w:cstheme="majorBidi"/>
          <w:szCs w:val="24"/>
        </w:rPr>
      </w:pPr>
      <w:r w:rsidRPr="00E14B43">
        <w:rPr>
          <w:rFonts w:asciiTheme="majorBidi" w:eastAsiaTheme="minorEastAsia" w:hAnsiTheme="majorBidi" w:cstheme="majorBidi"/>
          <w:noProof/>
          <w:szCs w:val="24"/>
          <w:lang w:eastAsia="fr-FR"/>
        </w:rPr>
        <w:t>A.</w:t>
      </w:r>
      <w:r w:rsidRPr="00E14B43">
        <w:rPr>
          <w:rFonts w:asciiTheme="majorBidi" w:eastAsiaTheme="minorEastAsia" w:hAnsiTheme="majorBidi" w:cstheme="majorBidi"/>
          <w:noProof/>
          <w:szCs w:val="24"/>
          <w:lang w:eastAsia="fr-FR"/>
        </w:rPr>
        <w:tab/>
      </w:r>
      <w:r w:rsidRPr="00E14B43">
        <w:rPr>
          <w:rFonts w:asciiTheme="majorBidi" w:hAnsiTheme="majorBidi" w:cstheme="majorBidi"/>
          <w:szCs w:val="24"/>
        </w:rPr>
        <w:t>Non-discrimination and equality</w:t>
      </w:r>
    </w:p>
    <w:p w14:paraId="3E8B402A" w14:textId="632EC01E" w:rsidR="000161D2" w:rsidRPr="00E14B43" w:rsidRDefault="000161D2" w:rsidP="000161D2">
      <w:pPr>
        <w:pStyle w:val="ListParagraph"/>
        <w:ind w:left="1080"/>
        <w:rPr>
          <w:rFonts w:asciiTheme="majorBidi" w:hAnsiTheme="majorBidi" w:cstheme="majorBidi"/>
          <w:sz w:val="24"/>
          <w:szCs w:val="24"/>
          <w:lang w:val="en-US"/>
        </w:rPr>
      </w:pPr>
      <w:r w:rsidRPr="00E14B43">
        <w:rPr>
          <w:rFonts w:asciiTheme="majorBidi" w:hAnsiTheme="majorBidi" w:cstheme="majorBidi"/>
          <w:sz w:val="24"/>
          <w:szCs w:val="24"/>
          <w:lang w:val="en-US"/>
        </w:rPr>
        <w:t>17.</w:t>
      </w:r>
      <w:r w:rsidRPr="00E14B43">
        <w:rPr>
          <w:rFonts w:asciiTheme="majorBidi" w:hAnsiTheme="majorBidi" w:cstheme="majorBidi"/>
          <w:sz w:val="24"/>
          <w:szCs w:val="24"/>
          <w:lang w:val="en-US"/>
        </w:rPr>
        <w:tab/>
        <w:t xml:space="preserve">For women, land is a pivotal resource for meeting subsistence needs and for accessing other goods and services, such as credit. Land is also important to enhance women’s engagement in household decision-making and for their participation in </w:t>
      </w:r>
      <w:r w:rsidRPr="00DA3750">
        <w:rPr>
          <w:rFonts w:asciiTheme="majorBidi" w:hAnsiTheme="majorBidi" w:cstheme="majorBidi"/>
          <w:b/>
          <w:bCs/>
          <w:strike/>
          <w:color w:val="FF0000"/>
          <w:sz w:val="24"/>
          <w:szCs w:val="24"/>
          <w:lang w:val="en-US"/>
        </w:rPr>
        <w:t>rural</w:t>
      </w:r>
      <w:r w:rsidRPr="00DA3750">
        <w:rPr>
          <w:rFonts w:asciiTheme="majorBidi" w:hAnsiTheme="majorBidi" w:cstheme="majorBidi"/>
          <w:strike/>
          <w:color w:val="FF0000"/>
          <w:sz w:val="24"/>
          <w:szCs w:val="24"/>
          <w:lang w:val="en-US"/>
        </w:rPr>
        <w:t xml:space="preserve"> </w:t>
      </w:r>
      <w:r w:rsidRPr="00E14B43">
        <w:rPr>
          <w:rFonts w:asciiTheme="majorBidi" w:hAnsiTheme="majorBidi" w:cstheme="majorBidi"/>
          <w:sz w:val="24"/>
          <w:szCs w:val="24"/>
          <w:lang w:val="en-US"/>
        </w:rPr>
        <w:t>institutions that could strengthen their decision-making power and leverage over collective rights and resources.</w:t>
      </w:r>
    </w:p>
    <w:p w14:paraId="138D2195" w14:textId="284E0D13" w:rsidR="000161D2" w:rsidRPr="00E14B43" w:rsidRDefault="000161D2" w:rsidP="000161D2">
      <w:pPr>
        <w:pStyle w:val="ListParagraph"/>
        <w:ind w:left="1080"/>
        <w:rPr>
          <w:rFonts w:asciiTheme="majorBidi" w:hAnsiTheme="majorBidi" w:cstheme="majorBidi"/>
          <w:sz w:val="24"/>
          <w:szCs w:val="24"/>
          <w:lang w:val="en-US"/>
        </w:rPr>
      </w:pPr>
    </w:p>
    <w:p w14:paraId="5558515E" w14:textId="49B2857D" w:rsidR="000161D2" w:rsidRPr="00E14B43" w:rsidRDefault="000161D2" w:rsidP="000161D2">
      <w:pPr>
        <w:pStyle w:val="H1G"/>
        <w:rPr>
          <w:rFonts w:asciiTheme="majorBidi" w:hAnsiTheme="majorBidi" w:cstheme="majorBidi"/>
          <w:szCs w:val="24"/>
        </w:rPr>
      </w:pPr>
      <w:r w:rsidRPr="00E14B43">
        <w:rPr>
          <w:rFonts w:asciiTheme="majorBidi" w:hAnsiTheme="majorBidi" w:cstheme="majorBidi"/>
          <w:szCs w:val="24"/>
        </w:rPr>
        <w:t xml:space="preserve">B. </w:t>
      </w:r>
      <w:r w:rsidRPr="00E14B43">
        <w:rPr>
          <w:rFonts w:asciiTheme="majorBidi" w:hAnsiTheme="majorBidi" w:cstheme="majorBidi"/>
          <w:szCs w:val="24"/>
        </w:rPr>
        <w:tab/>
        <w:t xml:space="preserve">Participation, </w:t>
      </w:r>
      <w:proofErr w:type="gramStart"/>
      <w:r w:rsidRPr="00E14B43">
        <w:rPr>
          <w:rFonts w:asciiTheme="majorBidi" w:hAnsiTheme="majorBidi" w:cstheme="majorBidi"/>
          <w:szCs w:val="24"/>
        </w:rPr>
        <w:t>consultation</w:t>
      </w:r>
      <w:proofErr w:type="gramEnd"/>
      <w:r w:rsidRPr="00E14B43">
        <w:rPr>
          <w:rFonts w:asciiTheme="majorBidi" w:hAnsiTheme="majorBidi" w:cstheme="majorBidi"/>
          <w:szCs w:val="24"/>
        </w:rPr>
        <w:t xml:space="preserve"> and transparency</w:t>
      </w:r>
    </w:p>
    <w:p w14:paraId="60B7DDC8" w14:textId="4F91EF28" w:rsidR="000161D2" w:rsidRPr="00E14B43" w:rsidRDefault="000161D2" w:rsidP="000161D2">
      <w:pPr>
        <w:rPr>
          <w:rFonts w:asciiTheme="majorBidi" w:hAnsiTheme="majorBidi" w:cstheme="majorBidi"/>
          <w:sz w:val="24"/>
          <w:szCs w:val="24"/>
          <w:lang w:val="en-GB" w:eastAsia="en-US"/>
        </w:rPr>
      </w:pPr>
      <w:r w:rsidRPr="00E14B43">
        <w:rPr>
          <w:rFonts w:asciiTheme="majorBidi" w:hAnsiTheme="majorBidi" w:cstheme="majorBidi"/>
          <w:sz w:val="24"/>
          <w:szCs w:val="24"/>
          <w:lang w:val="en-GB" w:eastAsia="en-US"/>
        </w:rPr>
        <w:t xml:space="preserve">18. … States parties must ensure, inter alia, the regular and effective production and dissemination of relevant information relating to all those processes. Such processes should be transparent, organized in the relevant languages, </w:t>
      </w:r>
      <w:r w:rsidRPr="00DA3750">
        <w:rPr>
          <w:rFonts w:asciiTheme="majorBidi" w:hAnsiTheme="majorBidi" w:cstheme="majorBidi"/>
          <w:b/>
          <w:bCs/>
          <w:color w:val="FF0000"/>
          <w:sz w:val="24"/>
          <w:szCs w:val="24"/>
          <w:lang w:val="en-GB" w:eastAsia="en-US"/>
        </w:rPr>
        <w:t>including indigenous languages</w:t>
      </w:r>
      <w:r w:rsidRPr="00E14B43">
        <w:rPr>
          <w:rFonts w:asciiTheme="majorBidi" w:hAnsiTheme="majorBidi" w:cstheme="majorBidi"/>
          <w:sz w:val="24"/>
          <w:szCs w:val="24"/>
          <w:lang w:val="en-GB" w:eastAsia="en-US"/>
        </w:rPr>
        <w:t xml:space="preserve">, widely publicized and grant access to all relevant documents. Affected persons </w:t>
      </w:r>
      <w:r w:rsidRPr="00DA3750">
        <w:rPr>
          <w:rFonts w:asciiTheme="majorBidi" w:hAnsiTheme="majorBidi" w:cstheme="majorBidi"/>
          <w:b/>
          <w:bCs/>
          <w:color w:val="FF0000"/>
          <w:sz w:val="24"/>
          <w:szCs w:val="24"/>
          <w:lang w:val="en-GB" w:eastAsia="en-US"/>
        </w:rPr>
        <w:t>or peoples</w:t>
      </w:r>
      <w:r w:rsidRPr="00DA3750">
        <w:rPr>
          <w:rFonts w:asciiTheme="majorBidi" w:hAnsiTheme="majorBidi" w:cstheme="majorBidi"/>
          <w:color w:val="FF0000"/>
          <w:sz w:val="24"/>
          <w:szCs w:val="24"/>
          <w:lang w:val="en-GB" w:eastAsia="en-US"/>
        </w:rPr>
        <w:t xml:space="preserve"> </w:t>
      </w:r>
      <w:r w:rsidRPr="00E14B43">
        <w:rPr>
          <w:rFonts w:asciiTheme="majorBidi" w:hAnsiTheme="majorBidi" w:cstheme="majorBidi"/>
          <w:sz w:val="24"/>
          <w:szCs w:val="24"/>
          <w:lang w:val="en-GB" w:eastAsia="en-US"/>
        </w:rPr>
        <w:t>need to be contacted prior to any decision that might affect their livelihood rights.</w:t>
      </w:r>
    </w:p>
    <w:p w14:paraId="435EE074" w14:textId="77777777" w:rsidR="00B17FD7" w:rsidRPr="00E14B43" w:rsidRDefault="00B17FD7" w:rsidP="00B17FD7">
      <w:pPr>
        <w:pStyle w:val="H1G"/>
        <w:rPr>
          <w:rFonts w:asciiTheme="majorBidi" w:hAnsiTheme="majorBidi" w:cstheme="majorBidi"/>
          <w:szCs w:val="24"/>
        </w:rPr>
      </w:pPr>
      <w:r w:rsidRPr="00E14B43">
        <w:rPr>
          <w:rFonts w:asciiTheme="majorBidi" w:hAnsiTheme="majorBidi" w:cstheme="majorBidi"/>
          <w:szCs w:val="24"/>
        </w:rPr>
        <w:t>C.</w:t>
      </w:r>
      <w:r w:rsidRPr="00E14B43">
        <w:rPr>
          <w:rFonts w:asciiTheme="majorBidi" w:hAnsiTheme="majorBidi" w:cstheme="majorBidi"/>
          <w:szCs w:val="24"/>
        </w:rPr>
        <w:tab/>
        <w:t>Obligations of States parties under the Covenant as relating to land</w:t>
      </w:r>
    </w:p>
    <w:p w14:paraId="29D59BC2" w14:textId="77777777" w:rsidR="00B17FD7" w:rsidRPr="00E14B43" w:rsidRDefault="00B17FD7" w:rsidP="00B17FD7">
      <w:pPr>
        <w:pStyle w:val="H4G"/>
        <w:rPr>
          <w:rFonts w:asciiTheme="majorBidi" w:hAnsiTheme="majorBidi" w:cstheme="majorBidi"/>
          <w:sz w:val="24"/>
          <w:szCs w:val="24"/>
        </w:rPr>
      </w:pPr>
      <w:r w:rsidRPr="00E14B43">
        <w:rPr>
          <w:rFonts w:asciiTheme="majorBidi" w:hAnsiTheme="majorBidi" w:cstheme="majorBidi"/>
          <w:sz w:val="24"/>
          <w:szCs w:val="24"/>
        </w:rPr>
        <w:tab/>
      </w:r>
      <w:r w:rsidRPr="00E14B43">
        <w:rPr>
          <w:rFonts w:asciiTheme="majorBidi" w:hAnsiTheme="majorBidi" w:cstheme="majorBidi"/>
          <w:sz w:val="24"/>
          <w:szCs w:val="24"/>
        </w:rPr>
        <w:tab/>
        <w:t>Obligation to respect</w:t>
      </w:r>
    </w:p>
    <w:p w14:paraId="4E46A029" w14:textId="3ECC8D65" w:rsidR="00B17FD7" w:rsidRPr="00DA3750" w:rsidRDefault="00B17FD7" w:rsidP="00B17FD7">
      <w:pPr>
        <w:pStyle w:val="SingleTxtG"/>
        <w:rPr>
          <w:rFonts w:asciiTheme="majorBidi" w:eastAsia="Times New Roman" w:hAnsiTheme="majorBidi" w:cstheme="majorBidi"/>
          <w:b/>
          <w:bCs/>
          <w:color w:val="FF0000"/>
          <w:sz w:val="24"/>
          <w:szCs w:val="24"/>
        </w:rPr>
      </w:pPr>
      <w:r w:rsidRPr="00E14B43">
        <w:rPr>
          <w:rFonts w:asciiTheme="majorBidi" w:hAnsiTheme="majorBidi" w:cstheme="majorBidi"/>
          <w:sz w:val="24"/>
          <w:szCs w:val="24"/>
        </w:rPr>
        <w:t>23.</w:t>
      </w:r>
      <w:r w:rsidRPr="00E14B43">
        <w:rPr>
          <w:rFonts w:asciiTheme="majorBidi" w:hAnsiTheme="majorBidi" w:cstheme="majorBidi"/>
          <w:sz w:val="24"/>
          <w:szCs w:val="24"/>
        </w:rPr>
        <w:tab/>
        <w:t>International law recognizes the right of indigenous peoples over the lands and territories that they have traditionally occupied.</w:t>
      </w:r>
      <w:r w:rsidRPr="00E14B43">
        <w:rPr>
          <w:rStyle w:val="FootnoteReference"/>
          <w:rFonts w:asciiTheme="majorBidi" w:hAnsiTheme="majorBidi" w:cstheme="majorBidi"/>
          <w:sz w:val="24"/>
          <w:szCs w:val="24"/>
        </w:rPr>
        <w:footnoteReference w:id="3"/>
      </w:r>
      <w:r w:rsidRPr="00E14B43">
        <w:rPr>
          <w:rFonts w:asciiTheme="majorBidi" w:hAnsiTheme="majorBidi" w:cstheme="majorBidi"/>
          <w:sz w:val="24"/>
          <w:szCs w:val="24"/>
        </w:rPr>
        <w:t xml:space="preserve"> </w:t>
      </w:r>
      <w:r w:rsidRPr="00E14B43">
        <w:rPr>
          <w:rFonts w:asciiTheme="majorBidi" w:eastAsia="Times New Roman" w:hAnsiTheme="majorBidi" w:cstheme="majorBidi"/>
          <w:sz w:val="24"/>
          <w:szCs w:val="24"/>
        </w:rPr>
        <w:t xml:space="preserve">International human rights law provides for the respect and protection of the relationship of indigenous </w:t>
      </w:r>
      <w:r w:rsidRPr="00DA3750">
        <w:rPr>
          <w:rFonts w:asciiTheme="majorBidi" w:eastAsia="Times New Roman" w:hAnsiTheme="majorBidi" w:cstheme="majorBidi"/>
          <w:b/>
          <w:bCs/>
          <w:color w:val="FF0000"/>
          <w:sz w:val="24"/>
          <w:szCs w:val="24"/>
        </w:rPr>
        <w:t xml:space="preserve">peoples </w:t>
      </w:r>
      <w:r w:rsidRPr="00DA3750">
        <w:rPr>
          <w:rFonts w:asciiTheme="majorBidi" w:eastAsia="Times New Roman" w:hAnsiTheme="majorBidi" w:cstheme="majorBidi"/>
          <w:b/>
          <w:bCs/>
          <w:strike/>
          <w:color w:val="FF0000"/>
          <w:sz w:val="24"/>
          <w:szCs w:val="24"/>
        </w:rPr>
        <w:t>communities</w:t>
      </w:r>
      <w:r w:rsidRPr="00DA3750">
        <w:rPr>
          <w:rFonts w:asciiTheme="majorBidi" w:eastAsia="Times New Roman" w:hAnsiTheme="majorBidi" w:cstheme="majorBidi"/>
          <w:strike/>
          <w:color w:val="FF0000"/>
          <w:sz w:val="24"/>
          <w:szCs w:val="24"/>
        </w:rPr>
        <w:t xml:space="preserve"> </w:t>
      </w:r>
      <w:r w:rsidRPr="00DA3750">
        <w:rPr>
          <w:rFonts w:asciiTheme="majorBidi" w:eastAsia="Times New Roman" w:hAnsiTheme="majorBidi" w:cstheme="majorBidi"/>
          <w:color w:val="FF0000"/>
          <w:sz w:val="24"/>
          <w:szCs w:val="24"/>
        </w:rPr>
        <w:t xml:space="preserve"> </w:t>
      </w:r>
      <w:r w:rsidRPr="00E14B43">
        <w:rPr>
          <w:rFonts w:asciiTheme="majorBidi" w:eastAsia="Times New Roman" w:hAnsiTheme="majorBidi" w:cstheme="majorBidi"/>
          <w:sz w:val="24"/>
          <w:szCs w:val="24"/>
        </w:rPr>
        <w:t xml:space="preserve">with their lands, territories and resources, requiring States to demarcate their lands, protect them from encroachment and respect the right of the communities concerned to manage the lands according to their internal modes of organization. </w:t>
      </w:r>
      <w:r w:rsidRPr="00E14B43">
        <w:rPr>
          <w:rFonts w:asciiTheme="majorBidi" w:hAnsiTheme="majorBidi" w:cstheme="majorBidi"/>
          <w:sz w:val="24"/>
          <w:szCs w:val="24"/>
          <w:lang w:bidi="fr-FR"/>
        </w:rPr>
        <w:t>The requirements applicable to indigenous peoples have now been extended to at least certain traditional communities that maintain a similar relationship to their ancestral lands centred on the community rather than the individual.</w:t>
      </w:r>
      <w:r w:rsidRPr="00E14B43">
        <w:rPr>
          <w:rStyle w:val="FootnoteReference"/>
          <w:rFonts w:asciiTheme="majorBidi" w:hAnsiTheme="majorBidi" w:cstheme="majorBidi"/>
          <w:sz w:val="24"/>
          <w:szCs w:val="24"/>
        </w:rPr>
        <w:footnoteReference w:id="4"/>
      </w:r>
      <w:r w:rsidRPr="00E14B43">
        <w:rPr>
          <w:rFonts w:asciiTheme="majorBidi" w:eastAsia="Malgun Gothic" w:hAnsiTheme="majorBidi" w:cstheme="majorBidi"/>
          <w:sz w:val="24"/>
          <w:szCs w:val="24"/>
          <w:lang w:eastAsia="ko-KR"/>
        </w:rPr>
        <w:t xml:space="preserve"> </w:t>
      </w:r>
      <w:r w:rsidRPr="00E14B43">
        <w:rPr>
          <w:rFonts w:asciiTheme="majorBidi" w:hAnsiTheme="majorBidi" w:cstheme="majorBidi"/>
          <w:sz w:val="24"/>
          <w:szCs w:val="24"/>
        </w:rPr>
        <w:t xml:space="preserve">Therefore, indigenous peoples have the right to have their </w:t>
      </w:r>
      <w:r w:rsidRPr="00E14B43">
        <w:rPr>
          <w:rFonts w:asciiTheme="majorBidi" w:hAnsiTheme="majorBidi" w:cstheme="majorBidi"/>
          <w:sz w:val="24"/>
          <w:szCs w:val="24"/>
        </w:rPr>
        <w:lastRenderedPageBreak/>
        <w:t xml:space="preserve">lands demarcated, and relocation is allowed only under narrowly defined circumstances and, in principle, with the prior, free and informed consent of the groups concerned </w:t>
      </w:r>
      <w:r w:rsidRPr="00DA3750">
        <w:rPr>
          <w:rFonts w:asciiTheme="majorBidi" w:hAnsiTheme="majorBidi" w:cstheme="majorBidi"/>
          <w:b/>
          <w:bCs/>
          <w:color w:val="FF0000"/>
          <w:sz w:val="24"/>
          <w:szCs w:val="24"/>
        </w:rPr>
        <w:t>and after agreement on just and fair compensation and, where possible, with the option of return (Art. 10 UNDRIP)</w:t>
      </w:r>
      <w:r w:rsidRPr="00E14B43">
        <w:rPr>
          <w:rFonts w:asciiTheme="majorBidi" w:hAnsiTheme="majorBidi" w:cstheme="majorBidi"/>
          <w:b/>
          <w:bCs/>
          <w:sz w:val="24"/>
          <w:szCs w:val="24"/>
        </w:rPr>
        <w:t>.</w:t>
      </w:r>
      <w:r w:rsidRPr="00E14B43">
        <w:rPr>
          <w:rFonts w:asciiTheme="majorBidi" w:hAnsiTheme="majorBidi" w:cstheme="majorBidi"/>
          <w:sz w:val="24"/>
          <w:szCs w:val="24"/>
        </w:rPr>
        <w:t xml:space="preserve"> Laws and policies should protect indigenous peoples from the risk of State encroachment on their land, for instance for the development of industrial projects or for large-scale investments in agricultural production.</w:t>
      </w:r>
      <w:r w:rsidRPr="00E14B43">
        <w:rPr>
          <w:rStyle w:val="FootnoteReference"/>
          <w:rFonts w:asciiTheme="majorBidi" w:hAnsiTheme="majorBidi" w:cstheme="majorBidi"/>
          <w:sz w:val="24"/>
          <w:szCs w:val="24"/>
        </w:rPr>
        <w:footnoteReference w:id="5"/>
      </w:r>
      <w:r w:rsidRPr="00E14B43">
        <w:rPr>
          <w:rFonts w:asciiTheme="majorBidi" w:hAnsiTheme="majorBidi" w:cstheme="majorBidi"/>
          <w:sz w:val="24"/>
          <w:szCs w:val="24"/>
        </w:rPr>
        <w:t xml:space="preserve"> Regional human rights courts have contributed to strengthening the rights of indigenous peoples to their lands and territories.</w:t>
      </w:r>
      <w:r w:rsidRPr="00E14B43">
        <w:rPr>
          <w:rStyle w:val="FootnoteReference"/>
          <w:rFonts w:asciiTheme="majorBidi" w:hAnsiTheme="majorBidi" w:cstheme="majorBidi"/>
          <w:sz w:val="24"/>
          <w:szCs w:val="24"/>
        </w:rPr>
        <w:footnoteReference w:id="6"/>
      </w:r>
      <w:r w:rsidRPr="00E14B43">
        <w:rPr>
          <w:rFonts w:asciiTheme="majorBidi" w:hAnsiTheme="majorBidi" w:cstheme="majorBidi"/>
          <w:sz w:val="24"/>
          <w:szCs w:val="24"/>
          <w:lang w:bidi="fr-FR"/>
        </w:rPr>
        <w:t xml:space="preserve"> </w:t>
      </w:r>
      <w:r w:rsidRPr="00E14B43">
        <w:rPr>
          <w:rFonts w:asciiTheme="majorBidi" w:hAnsiTheme="majorBidi" w:cstheme="majorBidi"/>
          <w:sz w:val="24"/>
          <w:szCs w:val="24"/>
        </w:rPr>
        <w:t>Both the Inter-American Court of Human Rights and the African Commission on Human and Peoples’ Rights have taken the view that members of indigenous communities who have unwillingly lost possession of their lands after a lawful transfer to innocent third parties “are entitled to restitution thereof or to obtain other lands of equal extension and quality”.</w:t>
      </w:r>
      <w:r w:rsidRPr="00E14B43">
        <w:rPr>
          <w:rStyle w:val="FootnoteReference"/>
          <w:rFonts w:asciiTheme="majorBidi" w:hAnsiTheme="majorBidi" w:cstheme="majorBidi"/>
          <w:sz w:val="24"/>
          <w:szCs w:val="24"/>
        </w:rPr>
        <w:footnoteReference w:id="7"/>
      </w:r>
      <w:r w:rsidRPr="00E14B43">
        <w:rPr>
          <w:rFonts w:asciiTheme="majorBidi" w:hAnsiTheme="majorBidi" w:cstheme="majorBidi"/>
          <w:sz w:val="24"/>
          <w:szCs w:val="24"/>
        </w:rPr>
        <w:t xml:space="preserve">  </w:t>
      </w:r>
      <w:r w:rsidRPr="00DA3750">
        <w:rPr>
          <w:rFonts w:asciiTheme="majorBidi" w:hAnsiTheme="majorBidi" w:cstheme="majorBidi"/>
          <w:b/>
          <w:bCs/>
          <w:color w:val="FF0000"/>
          <w:sz w:val="24"/>
          <w:szCs w:val="24"/>
        </w:rPr>
        <w:t xml:space="preserve">Other issues to be considered are: military activities on indigenous lands (Article 30 of UNDRIP); indigenous peoples right to conservation and protection of the environment and the productive capacity of their lands (Article 29.1) no storage of disposal of hazardous materials without their free, prior and informed consent (Article 29.2). </w:t>
      </w:r>
    </w:p>
    <w:p w14:paraId="7A810B10" w14:textId="77777777" w:rsidR="00B72BAE" w:rsidRPr="00E14B43" w:rsidRDefault="00B72BAE" w:rsidP="000161D2">
      <w:pPr>
        <w:rPr>
          <w:rFonts w:asciiTheme="majorBidi" w:hAnsiTheme="majorBidi" w:cstheme="majorBidi"/>
          <w:sz w:val="24"/>
          <w:szCs w:val="24"/>
          <w:lang w:val="en-US"/>
        </w:rPr>
      </w:pPr>
    </w:p>
    <w:p w14:paraId="64C26567" w14:textId="77777777" w:rsidR="00D4711F" w:rsidRDefault="00B72BAE" w:rsidP="00B72BAE">
      <w:pPr>
        <w:rPr>
          <w:rFonts w:asciiTheme="majorBidi" w:hAnsiTheme="majorBidi" w:cstheme="majorBidi"/>
          <w:sz w:val="24"/>
          <w:szCs w:val="24"/>
          <w:u w:color="000000"/>
          <w:bdr w:val="nil"/>
          <w:lang w:val="en-US" w:eastAsia="fr-CH"/>
        </w:rPr>
      </w:pPr>
      <w:r w:rsidRPr="00E14B43">
        <w:rPr>
          <w:rFonts w:asciiTheme="majorBidi" w:hAnsiTheme="majorBidi" w:cstheme="majorBidi"/>
          <w:sz w:val="24"/>
          <w:szCs w:val="24"/>
          <w:u w:color="000000"/>
          <w:bdr w:val="nil"/>
          <w:lang w:val="en-US" w:eastAsia="fr-CH"/>
        </w:rPr>
        <w:t>32.</w:t>
      </w:r>
      <w:r w:rsidRPr="00E14B43">
        <w:rPr>
          <w:rFonts w:asciiTheme="majorBidi" w:hAnsiTheme="majorBidi" w:cstheme="majorBidi"/>
          <w:sz w:val="24"/>
          <w:szCs w:val="24"/>
          <w:u w:color="000000"/>
          <w:bdr w:val="nil"/>
          <w:lang w:val="en-US" w:eastAsia="fr-CH"/>
        </w:rPr>
        <w:tab/>
        <w:t>The obligation to protect entails a positive duty to take legislative and other measures to provide clear standards for non-State actors such as business entities and private investors in the context of large-scale land acquisitions and leases at home and abroad, among others.</w:t>
      </w:r>
      <w:r w:rsidRPr="00E14B43">
        <w:rPr>
          <w:rStyle w:val="FootnoteReference"/>
          <w:rFonts w:asciiTheme="majorBidi" w:hAnsiTheme="majorBidi" w:cstheme="majorBidi"/>
          <w:sz w:val="24"/>
          <w:szCs w:val="24"/>
        </w:rPr>
        <w:footnoteReference w:id="8"/>
      </w:r>
      <w:r w:rsidRPr="00E14B43">
        <w:rPr>
          <w:rFonts w:asciiTheme="majorBidi" w:hAnsiTheme="majorBidi" w:cstheme="majorBidi"/>
          <w:sz w:val="24"/>
          <w:szCs w:val="24"/>
          <w:u w:color="000000"/>
          <w:bdr w:val="nil"/>
          <w:shd w:val="clear" w:color="auto" w:fill="FEFEFE"/>
          <w:lang w:val="en-US" w:eastAsia="fr-CH"/>
        </w:rPr>
        <w:t xml:space="preserve"> States parties should adopt a legal framework requiring</w:t>
      </w:r>
      <w:r w:rsidRPr="00E14B43">
        <w:rPr>
          <w:rFonts w:asciiTheme="majorBidi" w:hAnsiTheme="majorBidi" w:cstheme="majorBidi"/>
          <w:sz w:val="24"/>
          <w:szCs w:val="24"/>
          <w:u w:color="000000"/>
          <w:bdr w:val="nil"/>
          <w:lang w:val="en-US" w:eastAsia="fr-CH"/>
        </w:rPr>
        <w:t xml:space="preserve"> business entities to exercise human rights due diligence</w:t>
      </w:r>
      <w:r w:rsidRPr="00E14B43">
        <w:rPr>
          <w:rStyle w:val="FootnoteReference"/>
          <w:rFonts w:asciiTheme="majorBidi" w:hAnsiTheme="majorBidi" w:cstheme="majorBidi"/>
          <w:sz w:val="24"/>
          <w:szCs w:val="24"/>
        </w:rPr>
        <w:footnoteReference w:id="9"/>
      </w:r>
      <w:r w:rsidRPr="00E14B43">
        <w:rPr>
          <w:rFonts w:asciiTheme="majorBidi" w:hAnsiTheme="majorBidi" w:cstheme="majorBidi"/>
          <w:sz w:val="24"/>
          <w:szCs w:val="24"/>
          <w:u w:color="000000"/>
          <w:bdr w:val="nil"/>
          <w:lang w:val="en-US" w:eastAsia="fr-CH"/>
        </w:rPr>
        <w:t xml:space="preserve"> </w:t>
      </w:r>
    </w:p>
    <w:p w14:paraId="2C90A035" w14:textId="27C3B558" w:rsidR="00B17FD7" w:rsidRPr="00DA3750" w:rsidRDefault="00B72BAE" w:rsidP="00B72BAE">
      <w:pPr>
        <w:rPr>
          <w:rFonts w:asciiTheme="majorBidi" w:hAnsiTheme="majorBidi" w:cstheme="majorBidi"/>
          <w:b/>
          <w:bCs/>
          <w:color w:val="FF0000"/>
          <w:sz w:val="24"/>
          <w:szCs w:val="24"/>
          <w:lang w:val="en-US"/>
        </w:rPr>
      </w:pPr>
      <w:r w:rsidRPr="00DA3750">
        <w:rPr>
          <w:rFonts w:asciiTheme="majorBidi" w:hAnsiTheme="majorBidi" w:cstheme="majorBidi"/>
          <w:b/>
          <w:bCs/>
          <w:color w:val="FF0000"/>
          <w:sz w:val="24"/>
          <w:szCs w:val="24"/>
          <w:u w:color="000000"/>
          <w:bdr w:val="nil"/>
          <w:lang w:val="en-US" w:eastAsia="fr-CH"/>
        </w:rPr>
        <w:t xml:space="preserve">Suggestion </w:t>
      </w:r>
      <w:r w:rsidR="00DA3750">
        <w:rPr>
          <w:rFonts w:asciiTheme="majorBidi" w:hAnsiTheme="majorBidi" w:cstheme="majorBidi"/>
          <w:b/>
          <w:bCs/>
          <w:color w:val="FF0000"/>
          <w:sz w:val="24"/>
          <w:szCs w:val="24"/>
          <w:u w:color="000000"/>
          <w:bdr w:val="nil"/>
          <w:lang w:val="en-US" w:eastAsia="fr-CH"/>
        </w:rPr>
        <w:t xml:space="preserve">for footnote </w:t>
      </w:r>
      <w:proofErr w:type="gramStart"/>
      <w:r w:rsidRPr="00DA3750">
        <w:rPr>
          <w:rFonts w:asciiTheme="majorBidi" w:hAnsiTheme="majorBidi" w:cstheme="majorBidi"/>
          <w:b/>
          <w:bCs/>
          <w:color w:val="FF0000"/>
          <w:sz w:val="24"/>
          <w:szCs w:val="24"/>
          <w:u w:color="000000"/>
          <w:bdr w:val="nil"/>
          <w:lang w:val="en-US" w:eastAsia="fr-CH"/>
        </w:rPr>
        <w:t>m</w:t>
      </w:r>
      <w:r w:rsidRPr="00DA3750">
        <w:rPr>
          <w:rFonts w:asciiTheme="majorBidi" w:hAnsiTheme="majorBidi" w:cstheme="majorBidi"/>
          <w:b/>
          <w:bCs/>
          <w:color w:val="FF0000"/>
          <w:sz w:val="24"/>
          <w:szCs w:val="24"/>
          <w:lang w:val="en-US"/>
        </w:rPr>
        <w:t>aking reference</w:t>
      </w:r>
      <w:proofErr w:type="gramEnd"/>
      <w:r w:rsidRPr="00DA3750">
        <w:rPr>
          <w:rFonts w:asciiTheme="majorBidi" w:hAnsiTheme="majorBidi" w:cstheme="majorBidi"/>
          <w:b/>
          <w:bCs/>
          <w:color w:val="FF0000"/>
          <w:sz w:val="24"/>
          <w:szCs w:val="24"/>
          <w:lang w:val="en-US"/>
        </w:rPr>
        <w:t xml:space="preserve"> to the UN Guiding Principles on business and human rights.</w:t>
      </w:r>
    </w:p>
    <w:p w14:paraId="07ED20DB" w14:textId="2F121F57" w:rsidR="00B72BAE" w:rsidRPr="00E14B43" w:rsidRDefault="00B72BAE" w:rsidP="00B72BAE">
      <w:pPr>
        <w:rPr>
          <w:rFonts w:asciiTheme="majorBidi" w:hAnsiTheme="majorBidi" w:cstheme="majorBidi"/>
          <w:b/>
          <w:bCs/>
          <w:sz w:val="24"/>
          <w:szCs w:val="24"/>
          <w:lang w:val="en-US"/>
        </w:rPr>
      </w:pPr>
    </w:p>
    <w:p w14:paraId="7AD80071" w14:textId="77777777" w:rsidR="00B72BAE" w:rsidRPr="00E14B43" w:rsidRDefault="00B72BAE" w:rsidP="00B72BAE">
      <w:pPr>
        <w:pStyle w:val="HChG"/>
        <w:rPr>
          <w:rFonts w:asciiTheme="majorBidi" w:hAnsiTheme="majorBidi" w:cstheme="majorBidi"/>
          <w:sz w:val="24"/>
          <w:szCs w:val="24"/>
        </w:rPr>
      </w:pPr>
      <w:r w:rsidRPr="00E14B43">
        <w:rPr>
          <w:rFonts w:asciiTheme="majorBidi" w:hAnsiTheme="majorBidi" w:cstheme="majorBidi"/>
          <w:sz w:val="24"/>
          <w:szCs w:val="24"/>
        </w:rPr>
        <w:tab/>
        <w:t>IV.</w:t>
      </w:r>
      <w:r w:rsidRPr="00E14B43">
        <w:rPr>
          <w:rFonts w:asciiTheme="majorBidi" w:hAnsiTheme="majorBidi" w:cstheme="majorBidi"/>
          <w:sz w:val="24"/>
          <w:szCs w:val="24"/>
        </w:rPr>
        <w:tab/>
        <w:t>Specific topics of relevance to the implementation of Covenant rights in land-related contexts</w:t>
      </w:r>
    </w:p>
    <w:p w14:paraId="3084EC78" w14:textId="12A6017F" w:rsidR="00B72BAE" w:rsidRPr="00D4711F" w:rsidRDefault="00B72BAE" w:rsidP="00B72BAE">
      <w:pPr>
        <w:rPr>
          <w:rFonts w:asciiTheme="majorBidi" w:hAnsiTheme="majorBidi" w:cstheme="majorBidi"/>
          <w:b/>
          <w:bCs/>
          <w:color w:val="FF0000"/>
          <w:sz w:val="24"/>
          <w:szCs w:val="24"/>
          <w:lang w:val="en-GB" w:eastAsia="en-US"/>
        </w:rPr>
      </w:pPr>
      <w:r w:rsidRPr="00D4711F">
        <w:rPr>
          <w:rFonts w:asciiTheme="majorBidi" w:hAnsiTheme="majorBidi" w:cstheme="majorBidi"/>
          <w:b/>
          <w:bCs/>
          <w:color w:val="FF0000"/>
          <w:sz w:val="24"/>
          <w:szCs w:val="24"/>
          <w:lang w:val="en-GB" w:eastAsia="en-US"/>
        </w:rPr>
        <w:t>Suggested para. on Indigenous peoples’ rights</w:t>
      </w:r>
    </w:p>
    <w:p w14:paraId="654925C5" w14:textId="40CAF5CF" w:rsidR="00B72BAE" w:rsidRPr="00D4711F" w:rsidRDefault="00B72BAE" w:rsidP="008B6408">
      <w:pPr>
        <w:rPr>
          <w:rFonts w:asciiTheme="majorBidi" w:hAnsiTheme="majorBidi" w:cstheme="majorBidi"/>
          <w:b/>
          <w:bCs/>
          <w:color w:val="FF0000"/>
          <w:sz w:val="24"/>
          <w:szCs w:val="24"/>
          <w:lang w:val="en-GB" w:eastAsia="en-US"/>
        </w:rPr>
      </w:pPr>
      <w:r w:rsidRPr="00D4711F">
        <w:rPr>
          <w:rFonts w:asciiTheme="majorBidi" w:hAnsiTheme="majorBidi" w:cstheme="majorBidi"/>
          <w:b/>
          <w:bCs/>
          <w:color w:val="FF0000"/>
          <w:sz w:val="24"/>
          <w:szCs w:val="24"/>
          <w:lang w:val="en-GB" w:eastAsia="en-US"/>
        </w:rPr>
        <w:t xml:space="preserve">52.       Land is the foundation of the lives and cultures of indigenous peoples all over the world. Land rights, access to land and control over it and its resources are central for indigenous peoples’ wellbeing   throughout the world.  To survive as distinct peoples, indigenous peoples and their communities need to be able to own, preserve and manage their lands, </w:t>
      </w:r>
      <w:proofErr w:type="gramStart"/>
      <w:r w:rsidRPr="00D4711F">
        <w:rPr>
          <w:rFonts w:asciiTheme="majorBidi" w:hAnsiTheme="majorBidi" w:cstheme="majorBidi"/>
          <w:b/>
          <w:bCs/>
          <w:color w:val="FF0000"/>
          <w:sz w:val="24"/>
          <w:szCs w:val="24"/>
          <w:lang w:val="en-GB" w:eastAsia="en-US"/>
        </w:rPr>
        <w:t>territories</w:t>
      </w:r>
      <w:proofErr w:type="gramEnd"/>
      <w:r w:rsidRPr="00D4711F">
        <w:rPr>
          <w:rFonts w:asciiTheme="majorBidi" w:hAnsiTheme="majorBidi" w:cstheme="majorBidi"/>
          <w:b/>
          <w:bCs/>
          <w:color w:val="FF0000"/>
          <w:sz w:val="24"/>
          <w:szCs w:val="24"/>
          <w:lang w:val="en-GB" w:eastAsia="en-US"/>
        </w:rPr>
        <w:t xml:space="preserve"> and resources</w:t>
      </w:r>
      <w:r w:rsidR="00C00DFD" w:rsidRPr="00D4711F">
        <w:rPr>
          <w:rFonts w:asciiTheme="majorBidi" w:hAnsiTheme="majorBidi" w:cstheme="majorBidi"/>
          <w:b/>
          <w:bCs/>
          <w:color w:val="FF0000"/>
          <w:sz w:val="24"/>
          <w:szCs w:val="24"/>
          <w:lang w:val="en-GB" w:eastAsia="en-US"/>
        </w:rPr>
        <w:t xml:space="preserve"> but t</w:t>
      </w:r>
      <w:r w:rsidR="003E14AA" w:rsidRPr="00D4711F">
        <w:rPr>
          <w:rFonts w:asciiTheme="majorBidi" w:hAnsiTheme="majorBidi" w:cstheme="majorBidi"/>
          <w:b/>
          <w:bCs/>
          <w:color w:val="FF0000"/>
          <w:sz w:val="24"/>
          <w:szCs w:val="24"/>
          <w:lang w:val="en-GB" w:eastAsia="en-US"/>
        </w:rPr>
        <w:t>he intensification of natural resource</w:t>
      </w:r>
      <w:r w:rsidR="008D3659" w:rsidRPr="00D4711F">
        <w:rPr>
          <w:rFonts w:asciiTheme="majorBidi" w:hAnsiTheme="majorBidi" w:cstheme="majorBidi"/>
          <w:b/>
          <w:bCs/>
          <w:color w:val="FF0000"/>
          <w:sz w:val="24"/>
          <w:szCs w:val="24"/>
          <w:lang w:val="en-GB" w:eastAsia="en-US"/>
        </w:rPr>
        <w:t xml:space="preserve"> exploitation is adversely affecting </w:t>
      </w:r>
      <w:r w:rsidR="0079780C" w:rsidRPr="00D4711F">
        <w:rPr>
          <w:rFonts w:asciiTheme="majorBidi" w:hAnsiTheme="majorBidi" w:cstheme="majorBidi"/>
          <w:b/>
          <w:bCs/>
          <w:color w:val="FF0000"/>
          <w:sz w:val="24"/>
          <w:szCs w:val="24"/>
          <w:lang w:val="en-GB" w:eastAsia="en-US"/>
        </w:rPr>
        <w:t>their</w:t>
      </w:r>
      <w:r w:rsidR="008D3659" w:rsidRPr="00D4711F">
        <w:rPr>
          <w:rFonts w:asciiTheme="majorBidi" w:hAnsiTheme="majorBidi" w:cstheme="majorBidi"/>
          <w:b/>
          <w:bCs/>
          <w:color w:val="FF0000"/>
          <w:sz w:val="24"/>
          <w:szCs w:val="24"/>
          <w:lang w:val="en-GB" w:eastAsia="en-US"/>
        </w:rPr>
        <w:t xml:space="preserve"> land</w:t>
      </w:r>
      <w:r w:rsidR="0079780C" w:rsidRPr="00D4711F">
        <w:rPr>
          <w:rFonts w:asciiTheme="majorBidi" w:hAnsiTheme="majorBidi" w:cstheme="majorBidi"/>
          <w:b/>
          <w:bCs/>
          <w:color w:val="FF0000"/>
          <w:sz w:val="24"/>
          <w:szCs w:val="24"/>
          <w:lang w:val="en-GB" w:eastAsia="en-US"/>
        </w:rPr>
        <w:t>s</w:t>
      </w:r>
      <w:r w:rsidR="008D3659" w:rsidRPr="00D4711F">
        <w:rPr>
          <w:rFonts w:asciiTheme="majorBidi" w:hAnsiTheme="majorBidi" w:cstheme="majorBidi"/>
          <w:b/>
          <w:bCs/>
          <w:color w:val="FF0000"/>
          <w:sz w:val="24"/>
          <w:szCs w:val="24"/>
          <w:lang w:val="en-GB" w:eastAsia="en-US"/>
        </w:rPr>
        <w:t xml:space="preserve"> and territories</w:t>
      </w:r>
      <w:r w:rsidR="00C00DFD" w:rsidRPr="00D4711F">
        <w:rPr>
          <w:rFonts w:asciiTheme="majorBidi" w:hAnsiTheme="majorBidi" w:cstheme="majorBidi"/>
          <w:b/>
          <w:bCs/>
          <w:color w:val="FF0000"/>
          <w:sz w:val="24"/>
          <w:szCs w:val="24"/>
          <w:lang w:val="en-GB" w:eastAsia="en-US"/>
        </w:rPr>
        <w:t xml:space="preserve">. </w:t>
      </w:r>
      <w:r w:rsidR="003640B5" w:rsidRPr="00D4711F">
        <w:rPr>
          <w:rFonts w:asciiTheme="majorBidi" w:hAnsiTheme="majorBidi" w:cstheme="majorBidi"/>
          <w:b/>
          <w:bCs/>
          <w:color w:val="FF0000"/>
          <w:sz w:val="24"/>
          <w:szCs w:val="24"/>
          <w:lang w:val="en-GB" w:eastAsia="en-US"/>
        </w:rPr>
        <w:t>Since indigenous peoples came to the United Nations, they have em</w:t>
      </w:r>
      <w:r w:rsidR="0038135D" w:rsidRPr="00D4711F">
        <w:rPr>
          <w:rFonts w:asciiTheme="majorBidi" w:hAnsiTheme="majorBidi" w:cstheme="majorBidi"/>
          <w:b/>
          <w:bCs/>
          <w:color w:val="FF0000"/>
          <w:sz w:val="24"/>
          <w:szCs w:val="24"/>
          <w:lang w:val="en-GB" w:eastAsia="en-US"/>
        </w:rPr>
        <w:t xml:space="preserve">phasized the fundamental importance of their relationship with their lands, </w:t>
      </w:r>
      <w:proofErr w:type="gramStart"/>
      <w:r w:rsidR="0038135D" w:rsidRPr="00D4711F">
        <w:rPr>
          <w:rFonts w:asciiTheme="majorBidi" w:hAnsiTheme="majorBidi" w:cstheme="majorBidi"/>
          <w:b/>
          <w:bCs/>
          <w:color w:val="FF0000"/>
          <w:sz w:val="24"/>
          <w:szCs w:val="24"/>
          <w:lang w:val="en-GB" w:eastAsia="en-US"/>
        </w:rPr>
        <w:t>territories</w:t>
      </w:r>
      <w:proofErr w:type="gramEnd"/>
      <w:r w:rsidR="0038135D" w:rsidRPr="00D4711F">
        <w:rPr>
          <w:rFonts w:asciiTheme="majorBidi" w:hAnsiTheme="majorBidi" w:cstheme="majorBidi"/>
          <w:b/>
          <w:bCs/>
          <w:color w:val="FF0000"/>
          <w:sz w:val="24"/>
          <w:szCs w:val="24"/>
          <w:lang w:val="en-GB" w:eastAsia="en-US"/>
        </w:rPr>
        <w:t xml:space="preserve"> and resources</w:t>
      </w:r>
      <w:r w:rsidR="00761E26" w:rsidRPr="00D4711F">
        <w:rPr>
          <w:rFonts w:asciiTheme="majorBidi" w:hAnsiTheme="majorBidi" w:cstheme="majorBidi"/>
          <w:b/>
          <w:bCs/>
          <w:color w:val="FF0000"/>
          <w:sz w:val="24"/>
          <w:szCs w:val="24"/>
          <w:lang w:val="en-GB" w:eastAsia="en-US"/>
        </w:rPr>
        <w:t xml:space="preserve">. </w:t>
      </w:r>
      <w:r w:rsidR="008B5886" w:rsidRPr="00D4711F">
        <w:rPr>
          <w:rFonts w:asciiTheme="majorBidi" w:hAnsiTheme="majorBidi" w:cstheme="majorBidi"/>
          <w:b/>
          <w:bCs/>
          <w:color w:val="FF0000"/>
          <w:sz w:val="24"/>
          <w:szCs w:val="24"/>
          <w:lang w:val="en-GB" w:eastAsia="en-US"/>
        </w:rPr>
        <w:t>T</w:t>
      </w:r>
      <w:r w:rsidRPr="00D4711F">
        <w:rPr>
          <w:rFonts w:asciiTheme="majorBidi" w:hAnsiTheme="majorBidi" w:cstheme="majorBidi"/>
          <w:b/>
          <w:bCs/>
          <w:color w:val="FF0000"/>
          <w:sz w:val="24"/>
          <w:szCs w:val="24"/>
          <w:lang w:val="en-GB" w:eastAsia="en-US"/>
        </w:rPr>
        <w:t>he United Nations Declaration on the Rights of Peoples</w:t>
      </w:r>
      <w:r w:rsidR="008B5886" w:rsidRPr="00D4711F">
        <w:rPr>
          <w:rFonts w:asciiTheme="majorBidi" w:hAnsiTheme="majorBidi" w:cstheme="majorBidi"/>
          <w:b/>
          <w:bCs/>
          <w:color w:val="FF0000"/>
          <w:sz w:val="24"/>
          <w:szCs w:val="24"/>
          <w:lang w:val="en-GB" w:eastAsia="en-US"/>
        </w:rPr>
        <w:t xml:space="preserve"> adopted by the General Assembly in 2007 recognizes the </w:t>
      </w:r>
      <w:r w:rsidR="008C7BB9" w:rsidRPr="00D4711F">
        <w:rPr>
          <w:rFonts w:asciiTheme="majorBidi" w:hAnsiTheme="majorBidi" w:cstheme="majorBidi"/>
          <w:b/>
          <w:bCs/>
          <w:color w:val="FF0000"/>
          <w:sz w:val="24"/>
          <w:szCs w:val="24"/>
          <w:lang w:val="en-GB" w:eastAsia="en-US"/>
        </w:rPr>
        <w:t>right of indigenous peoples to self-determination</w:t>
      </w:r>
      <w:r w:rsidR="00E40548" w:rsidRPr="00D4711F">
        <w:rPr>
          <w:rFonts w:asciiTheme="majorBidi" w:hAnsiTheme="majorBidi" w:cstheme="majorBidi"/>
          <w:b/>
          <w:bCs/>
          <w:color w:val="FF0000"/>
          <w:sz w:val="24"/>
          <w:szCs w:val="24"/>
          <w:lang w:val="en-GB" w:eastAsia="en-US"/>
        </w:rPr>
        <w:t xml:space="preserve"> (articles 3 and 4), the collective right</w:t>
      </w:r>
      <w:r w:rsidR="00607337" w:rsidRPr="00D4711F">
        <w:rPr>
          <w:rFonts w:asciiTheme="majorBidi" w:hAnsiTheme="majorBidi" w:cstheme="majorBidi"/>
          <w:b/>
          <w:bCs/>
          <w:color w:val="FF0000"/>
          <w:sz w:val="24"/>
          <w:szCs w:val="24"/>
          <w:lang w:val="en-GB" w:eastAsia="en-US"/>
        </w:rPr>
        <w:t xml:space="preserve"> to own and control their lands and resources (articles 25-27), their right to free, prior and informed consent in relation to legislation, measures and projects that may have an impact on their rights (articles 10, 11, 19, 28, 29 and 32) and their right to participate in decision-making processes (articles 5, 18 and 27). </w:t>
      </w:r>
      <w:r w:rsidR="008B6408" w:rsidRPr="00D4711F">
        <w:rPr>
          <w:rFonts w:asciiTheme="majorBidi" w:hAnsiTheme="majorBidi" w:cstheme="majorBidi"/>
          <w:b/>
          <w:bCs/>
          <w:color w:val="FF0000"/>
          <w:sz w:val="24"/>
          <w:szCs w:val="24"/>
          <w:lang w:val="en-GB" w:eastAsia="en-US"/>
        </w:rPr>
        <w:t xml:space="preserve">Ensuring the collective rights of indigenous peoples to lands, territories and resources is important not only for their well-being, but also for addressing some of the most pressing global challenges, including climate change and environmental degradation. Strengthening and safeguarding such rights constitute an effective way to protect critical ecosystems, </w:t>
      </w:r>
      <w:proofErr w:type="gramStart"/>
      <w:r w:rsidR="008B6408" w:rsidRPr="00D4711F">
        <w:rPr>
          <w:rFonts w:asciiTheme="majorBidi" w:hAnsiTheme="majorBidi" w:cstheme="majorBidi"/>
          <w:b/>
          <w:bCs/>
          <w:color w:val="FF0000"/>
          <w:sz w:val="24"/>
          <w:szCs w:val="24"/>
          <w:lang w:val="en-GB" w:eastAsia="en-US"/>
        </w:rPr>
        <w:t>waterways</w:t>
      </w:r>
      <w:proofErr w:type="gramEnd"/>
      <w:r w:rsidR="008B6408" w:rsidRPr="00D4711F">
        <w:rPr>
          <w:rFonts w:asciiTheme="majorBidi" w:hAnsiTheme="majorBidi" w:cstheme="majorBidi"/>
          <w:b/>
          <w:bCs/>
          <w:color w:val="FF0000"/>
          <w:sz w:val="24"/>
          <w:szCs w:val="24"/>
          <w:lang w:val="en-GB" w:eastAsia="en-US"/>
        </w:rPr>
        <w:t xml:space="preserve"> and biological diversity.</w:t>
      </w:r>
      <w:r w:rsidR="00235E48" w:rsidRPr="00D4711F">
        <w:rPr>
          <w:rStyle w:val="FootnoteReference"/>
          <w:rFonts w:asciiTheme="majorBidi" w:hAnsiTheme="majorBidi" w:cstheme="majorBidi"/>
          <w:b/>
          <w:bCs/>
          <w:color w:val="FF0000"/>
          <w:sz w:val="24"/>
          <w:szCs w:val="24"/>
          <w:lang w:eastAsia="en-US"/>
        </w:rPr>
        <w:footnoteReference w:id="10"/>
      </w:r>
    </w:p>
    <w:p w14:paraId="4544EC54" w14:textId="6935C5DD" w:rsidR="00B67A96" w:rsidRPr="00E14B43" w:rsidRDefault="00B67A96" w:rsidP="00825F81">
      <w:pPr>
        <w:pStyle w:val="H1G"/>
        <w:rPr>
          <w:rFonts w:asciiTheme="majorBidi" w:hAnsiTheme="majorBidi" w:cstheme="majorBidi"/>
          <w:szCs w:val="24"/>
          <w:lang w:eastAsia="ja-JP"/>
        </w:rPr>
      </w:pPr>
      <w:r w:rsidRPr="00E14B43">
        <w:rPr>
          <w:rFonts w:asciiTheme="majorBidi" w:hAnsiTheme="majorBidi" w:cstheme="majorBidi"/>
          <w:szCs w:val="24"/>
          <w:lang w:eastAsia="ja-JP"/>
        </w:rPr>
        <w:t>E.</w:t>
      </w:r>
      <w:r w:rsidRPr="00E14B43">
        <w:rPr>
          <w:rFonts w:asciiTheme="majorBidi" w:hAnsiTheme="majorBidi" w:cstheme="majorBidi"/>
          <w:szCs w:val="24"/>
          <w:lang w:eastAsia="ja-JP"/>
        </w:rPr>
        <w:tab/>
      </w:r>
      <w:r w:rsidR="00E14B43">
        <w:rPr>
          <w:rFonts w:asciiTheme="majorBidi" w:hAnsiTheme="majorBidi" w:cstheme="majorBidi"/>
          <w:szCs w:val="24"/>
          <w:lang w:eastAsia="ja-JP"/>
        </w:rPr>
        <w:t xml:space="preserve"> </w:t>
      </w:r>
      <w:r w:rsidRPr="00E14B43">
        <w:rPr>
          <w:rFonts w:asciiTheme="majorBidi" w:hAnsiTheme="majorBidi" w:cstheme="majorBidi"/>
          <w:szCs w:val="24"/>
          <w:lang w:eastAsia="ja-JP"/>
        </w:rPr>
        <w:t>Human rights defenders</w:t>
      </w:r>
    </w:p>
    <w:p w14:paraId="3852B89E" w14:textId="1CFEE07F" w:rsidR="00CE5997" w:rsidRPr="00E14B43" w:rsidRDefault="00CE5997" w:rsidP="008B6408">
      <w:pPr>
        <w:rPr>
          <w:rFonts w:asciiTheme="majorBidi" w:hAnsiTheme="majorBidi" w:cstheme="majorBidi"/>
          <w:sz w:val="24"/>
          <w:szCs w:val="24"/>
          <w:lang w:val="en-US" w:eastAsia="en-US"/>
        </w:rPr>
      </w:pPr>
      <w:r w:rsidRPr="00E14B43">
        <w:rPr>
          <w:rFonts w:asciiTheme="majorBidi" w:hAnsiTheme="majorBidi" w:cstheme="majorBidi"/>
          <w:sz w:val="24"/>
          <w:szCs w:val="24"/>
          <w:lang w:val="en-US"/>
        </w:rPr>
        <w:t>53.</w:t>
      </w:r>
      <w:r w:rsidRPr="00E14B43">
        <w:rPr>
          <w:rFonts w:asciiTheme="majorBidi" w:hAnsiTheme="majorBidi" w:cstheme="majorBidi"/>
          <w:sz w:val="24"/>
          <w:szCs w:val="24"/>
          <w:lang w:val="en-US"/>
        </w:rPr>
        <w:tab/>
        <w:t xml:space="preserve">The situation of human rights defenders </w:t>
      </w:r>
      <w:r w:rsidRPr="00D4711F">
        <w:rPr>
          <w:rFonts w:asciiTheme="majorBidi" w:hAnsiTheme="majorBidi" w:cstheme="majorBidi"/>
          <w:b/>
          <w:bCs/>
          <w:color w:val="FF0000"/>
          <w:sz w:val="24"/>
          <w:szCs w:val="24"/>
          <w:lang w:val="en-US"/>
        </w:rPr>
        <w:t>and indigenous rights defenders</w:t>
      </w:r>
      <w:r w:rsidRPr="00D4711F">
        <w:rPr>
          <w:rFonts w:asciiTheme="majorBidi" w:hAnsiTheme="majorBidi" w:cstheme="majorBidi"/>
          <w:color w:val="FF0000"/>
          <w:sz w:val="24"/>
          <w:szCs w:val="24"/>
          <w:lang w:val="en-US"/>
        </w:rPr>
        <w:t xml:space="preserve"> </w:t>
      </w:r>
      <w:r w:rsidRPr="00E14B43">
        <w:rPr>
          <w:rFonts w:asciiTheme="majorBidi" w:hAnsiTheme="majorBidi" w:cstheme="majorBidi"/>
          <w:sz w:val="24"/>
          <w:szCs w:val="24"/>
          <w:lang w:val="en-US"/>
        </w:rPr>
        <w:t>is particularly difficult in conflicts over land</w:t>
      </w:r>
      <w:r w:rsidRPr="00E14B43">
        <w:rPr>
          <w:rFonts w:asciiTheme="majorBidi" w:hAnsiTheme="majorBidi" w:cstheme="majorBidi"/>
          <w:sz w:val="24"/>
          <w:szCs w:val="24"/>
          <w:u w:color="000000"/>
          <w:bdr w:val="nil"/>
          <w:shd w:val="clear" w:color="auto" w:fill="FEFEFE"/>
          <w:lang w:val="en-US" w:eastAsia="fr-CH"/>
        </w:rPr>
        <w:t>.</w:t>
      </w:r>
      <w:r w:rsidRPr="00E14B43">
        <w:rPr>
          <w:rStyle w:val="FootnoteReference"/>
          <w:rFonts w:asciiTheme="majorBidi" w:hAnsiTheme="majorBidi" w:cstheme="majorBidi"/>
          <w:sz w:val="24"/>
          <w:szCs w:val="24"/>
        </w:rPr>
        <w:footnoteReference w:id="11"/>
      </w:r>
      <w:r w:rsidR="00825F81" w:rsidRPr="00E14B43">
        <w:rPr>
          <w:rFonts w:asciiTheme="majorBidi" w:hAnsiTheme="majorBidi" w:cstheme="majorBidi"/>
          <w:sz w:val="24"/>
          <w:szCs w:val="24"/>
          <w:u w:color="000000"/>
          <w:bdr w:val="nil"/>
          <w:shd w:val="clear" w:color="auto" w:fill="FEFEFE"/>
          <w:lang w:val="en-US" w:eastAsia="fr-CH"/>
        </w:rPr>
        <w:t>…</w:t>
      </w:r>
    </w:p>
    <w:sectPr w:rsidR="00CE5997" w:rsidRPr="00E14B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BF9C3" w14:textId="77777777" w:rsidR="006414F1" w:rsidRDefault="006414F1" w:rsidP="000161D2">
      <w:pPr>
        <w:spacing w:after="0" w:line="240" w:lineRule="auto"/>
      </w:pPr>
      <w:r>
        <w:separator/>
      </w:r>
    </w:p>
  </w:endnote>
  <w:endnote w:type="continuationSeparator" w:id="0">
    <w:p w14:paraId="3F2D515D" w14:textId="77777777" w:rsidR="006414F1" w:rsidRDefault="006414F1" w:rsidP="0001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D0853" w14:textId="77777777" w:rsidR="006414F1" w:rsidRDefault="006414F1" w:rsidP="000161D2">
      <w:pPr>
        <w:spacing w:after="0" w:line="240" w:lineRule="auto"/>
      </w:pPr>
      <w:r>
        <w:separator/>
      </w:r>
    </w:p>
  </w:footnote>
  <w:footnote w:type="continuationSeparator" w:id="0">
    <w:p w14:paraId="56DECAE1" w14:textId="77777777" w:rsidR="006414F1" w:rsidRDefault="006414F1" w:rsidP="000161D2">
      <w:pPr>
        <w:spacing w:after="0" w:line="240" w:lineRule="auto"/>
      </w:pPr>
      <w:r>
        <w:continuationSeparator/>
      </w:r>
    </w:p>
  </w:footnote>
  <w:footnote w:id="1">
    <w:p w14:paraId="2F8EE31E" w14:textId="77777777" w:rsidR="000161D2" w:rsidRPr="00042806" w:rsidRDefault="000161D2" w:rsidP="000161D2">
      <w:pPr>
        <w:pStyle w:val="FootnoteText"/>
        <w:rPr>
          <w:i/>
          <w:iCs/>
          <w:lang w:val="en-US"/>
        </w:rPr>
      </w:pPr>
      <w:r w:rsidRPr="00042806">
        <w:rPr>
          <w:lang w:val="en-US"/>
        </w:rPr>
        <w:tab/>
      </w:r>
      <w:r w:rsidRPr="00DA067C">
        <w:rPr>
          <w:rStyle w:val="FootnoteReference"/>
        </w:rPr>
        <w:footnoteRef/>
      </w:r>
      <w:r w:rsidRPr="00042806">
        <w:rPr>
          <w:lang w:val="en-US"/>
        </w:rPr>
        <w:t xml:space="preserve"> </w:t>
      </w:r>
      <w:r w:rsidRPr="00042806">
        <w:rPr>
          <w:lang w:val="en-US"/>
        </w:rPr>
        <w:tab/>
        <w:t xml:space="preserve">See </w:t>
      </w:r>
      <w:r w:rsidR="006414F1">
        <w:fldChar w:fldCharType="begin"/>
      </w:r>
      <w:r w:rsidR="006414F1" w:rsidRPr="00770ECD">
        <w:rPr>
          <w:lang w:val="en-US"/>
        </w:rPr>
        <w:instrText xml:space="preserve"> HYPERLINK "https://ourworldindata.org/urbanization" </w:instrText>
      </w:r>
      <w:r w:rsidR="006414F1">
        <w:fldChar w:fldCharType="separate"/>
      </w:r>
      <w:r w:rsidRPr="00042806">
        <w:rPr>
          <w:rStyle w:val="Hyperlink"/>
          <w:szCs w:val="18"/>
          <w:lang w:val="en-US"/>
        </w:rPr>
        <w:t>https://ourworldindata.org/urbanization</w:t>
      </w:r>
      <w:r w:rsidR="006414F1">
        <w:rPr>
          <w:rStyle w:val="Hyperlink"/>
          <w:szCs w:val="18"/>
          <w:lang w:val="en-US"/>
        </w:rPr>
        <w:fldChar w:fldCharType="end"/>
      </w:r>
      <w:r w:rsidRPr="00042806">
        <w:rPr>
          <w:lang w:val="en-US"/>
        </w:rPr>
        <w:t>. The Department on Economic and Social Affairs has estimated that in 2050, more than two thirds of the world (more than 7 billion people) will live in urban areas. See https://population.un.org/wup.</w:t>
      </w:r>
    </w:p>
  </w:footnote>
  <w:footnote w:id="2">
    <w:p w14:paraId="055D8845" w14:textId="77777777" w:rsidR="000161D2" w:rsidRPr="005F603A" w:rsidRDefault="000161D2" w:rsidP="000161D2">
      <w:pPr>
        <w:pStyle w:val="FootnoteText"/>
        <w:tabs>
          <w:tab w:val="left" w:pos="1276"/>
        </w:tabs>
        <w:rPr>
          <w:lang w:val="de-DE"/>
        </w:rPr>
      </w:pPr>
    </w:p>
  </w:footnote>
  <w:footnote w:id="3">
    <w:p w14:paraId="5E698F65" w14:textId="77777777" w:rsidR="00B17FD7" w:rsidRPr="00042806" w:rsidRDefault="00B17FD7" w:rsidP="00B17FD7">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ILO Indigenous and Tribal Peoples Convention, 1989 (No. 169), United Nations Declaration on the Rights of Indigenous Peoples, </w:t>
      </w:r>
      <w:r w:rsidRPr="00042806">
        <w:rPr>
          <w:lang w:val="en-US"/>
        </w:rPr>
        <w:t>Voluntary Guidelines on the Responsible Governance of Tenure of Land, Fisheries and Forests in the Context of National Food Security</w:t>
      </w:r>
      <w:r w:rsidRPr="00042806">
        <w:rPr>
          <w:szCs w:val="18"/>
          <w:lang w:val="en-US"/>
        </w:rPr>
        <w:t>, guideline 9, and A/HRC/9/9, para. 41</w:t>
      </w:r>
      <w:r w:rsidRPr="00042806">
        <w:rPr>
          <w:szCs w:val="18"/>
          <w:lang w:val="en-US" w:bidi="fr-FR"/>
        </w:rPr>
        <w:t>.</w:t>
      </w:r>
    </w:p>
  </w:footnote>
  <w:footnote w:id="4">
    <w:p w14:paraId="12AEF142" w14:textId="77777777" w:rsidR="00B17FD7" w:rsidRPr="00042806" w:rsidRDefault="00B17FD7" w:rsidP="00B17FD7">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rPr>
        <w:t xml:space="preserve">, </w:t>
      </w:r>
      <w:proofErr w:type="spellStart"/>
      <w:r w:rsidRPr="00042806">
        <w:rPr>
          <w:i/>
          <w:iCs/>
          <w:szCs w:val="18"/>
          <w:lang w:val="en-US" w:bidi="fr-FR"/>
        </w:rPr>
        <w:t>Moiwana</w:t>
      </w:r>
      <w:proofErr w:type="spellEnd"/>
      <w:r w:rsidRPr="00042806">
        <w:rPr>
          <w:i/>
          <w:iCs/>
          <w:szCs w:val="18"/>
          <w:lang w:val="en-US" w:bidi="fr-FR"/>
        </w:rPr>
        <w:t xml:space="preserve"> Community v. Suriname</w:t>
      </w:r>
      <w:r w:rsidRPr="00042806">
        <w:rPr>
          <w:szCs w:val="18"/>
          <w:lang w:val="en-US" w:bidi="fr-FR"/>
        </w:rPr>
        <w:t>,</w:t>
      </w:r>
      <w:r w:rsidRPr="00042806">
        <w:rPr>
          <w:i/>
          <w:iCs/>
          <w:szCs w:val="18"/>
          <w:lang w:val="en-US" w:bidi="fr-FR"/>
        </w:rPr>
        <w:t xml:space="preserve"> </w:t>
      </w:r>
      <w:r w:rsidRPr="00042806">
        <w:rPr>
          <w:szCs w:val="18"/>
          <w:lang w:val="en-US" w:bidi="fr-FR"/>
        </w:rPr>
        <w:t xml:space="preserve">Judgment of 15 June 2005, paras. 132–133, and </w:t>
      </w:r>
      <w:proofErr w:type="spellStart"/>
      <w:r w:rsidRPr="00042806">
        <w:rPr>
          <w:i/>
          <w:iCs/>
          <w:szCs w:val="18"/>
          <w:lang w:val="en-US" w:bidi="fr-FR"/>
        </w:rPr>
        <w:t>Saramaka</w:t>
      </w:r>
      <w:proofErr w:type="spellEnd"/>
      <w:r w:rsidRPr="00042806">
        <w:rPr>
          <w:i/>
          <w:iCs/>
          <w:szCs w:val="18"/>
          <w:lang w:val="en-US" w:bidi="fr-FR"/>
        </w:rPr>
        <w:t xml:space="preserve"> People v. Suriname</w:t>
      </w:r>
      <w:r w:rsidRPr="00042806">
        <w:rPr>
          <w:szCs w:val="18"/>
          <w:lang w:val="en-US" w:bidi="fr-FR"/>
        </w:rPr>
        <w:t>,</w:t>
      </w:r>
      <w:r w:rsidRPr="00042806">
        <w:rPr>
          <w:i/>
          <w:iCs/>
          <w:szCs w:val="18"/>
          <w:lang w:val="en-US" w:bidi="fr-FR"/>
        </w:rPr>
        <w:t xml:space="preserve"> </w:t>
      </w:r>
      <w:r w:rsidRPr="00042806">
        <w:rPr>
          <w:szCs w:val="18"/>
          <w:lang w:val="en-US" w:bidi="fr-FR"/>
        </w:rPr>
        <w:t>Judgment of 28 November 2007, para. 86.</w:t>
      </w:r>
    </w:p>
  </w:footnote>
  <w:footnote w:id="5">
    <w:p w14:paraId="5C6A231A" w14:textId="77777777" w:rsidR="00B17FD7" w:rsidRPr="00CD12A7" w:rsidRDefault="00B17FD7" w:rsidP="00B17FD7">
      <w:pPr>
        <w:pStyle w:val="FootnoteText"/>
        <w:rPr>
          <w:szCs w:val="18"/>
          <w:highlight w:val="yellow"/>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United Nations Declaration on the Rights of Indigenous Peoples, arts. 28 and 32.</w:t>
      </w:r>
    </w:p>
  </w:footnote>
  <w:footnote w:id="6">
    <w:p w14:paraId="6ED18A23" w14:textId="77777777" w:rsidR="00B17FD7" w:rsidRPr="00042806" w:rsidRDefault="00B17FD7" w:rsidP="00B17FD7">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bidi="fr-FR"/>
        </w:rPr>
        <w:t xml:space="preserve">, </w:t>
      </w:r>
      <w:proofErr w:type="spellStart"/>
      <w:r w:rsidRPr="00042806">
        <w:rPr>
          <w:i/>
          <w:szCs w:val="18"/>
          <w:lang w:val="en-US" w:bidi="fr-FR"/>
        </w:rPr>
        <w:t>Mayagna</w:t>
      </w:r>
      <w:proofErr w:type="spellEnd"/>
      <w:r w:rsidRPr="00042806">
        <w:rPr>
          <w:i/>
          <w:szCs w:val="18"/>
          <w:lang w:val="en-US" w:bidi="fr-FR"/>
        </w:rPr>
        <w:t xml:space="preserve"> (Sumo) </w:t>
      </w:r>
      <w:proofErr w:type="spellStart"/>
      <w:r w:rsidRPr="00042806">
        <w:rPr>
          <w:i/>
          <w:szCs w:val="18"/>
          <w:lang w:val="en-US" w:bidi="fr-FR"/>
        </w:rPr>
        <w:t>Awas</w:t>
      </w:r>
      <w:proofErr w:type="spellEnd"/>
      <w:r w:rsidRPr="00042806">
        <w:rPr>
          <w:i/>
          <w:szCs w:val="18"/>
          <w:lang w:val="en-US" w:bidi="fr-FR"/>
        </w:rPr>
        <w:t xml:space="preserve"> </w:t>
      </w:r>
      <w:proofErr w:type="spellStart"/>
      <w:r w:rsidRPr="00042806">
        <w:rPr>
          <w:i/>
          <w:szCs w:val="18"/>
          <w:lang w:val="en-US" w:bidi="fr-FR"/>
        </w:rPr>
        <w:t>Tingni</w:t>
      </w:r>
      <w:proofErr w:type="spellEnd"/>
      <w:r w:rsidRPr="00042806">
        <w:rPr>
          <w:i/>
          <w:szCs w:val="18"/>
          <w:lang w:val="en-US" w:bidi="fr-FR"/>
        </w:rPr>
        <w:t xml:space="preserve"> Community v. Nicaragua</w:t>
      </w:r>
      <w:r w:rsidRPr="00042806">
        <w:rPr>
          <w:szCs w:val="18"/>
          <w:lang w:val="en-US" w:bidi="fr-FR"/>
        </w:rPr>
        <w:t>, Judgment of 31 August 2001, paras. 151 and 164. For a discussion of the case law of the Inter-American bodies in that area, see Fergus MacKay, “</w:t>
      </w:r>
      <w:r w:rsidRPr="00042806">
        <w:rPr>
          <w:iCs/>
          <w:szCs w:val="18"/>
          <w:lang w:val="en-US" w:bidi="fr-FR"/>
        </w:rPr>
        <w:t>From ‘sacred commitment’ to justiciable norms: indigenous peoples’ rights in the Inter-American system”</w:t>
      </w:r>
      <w:r w:rsidRPr="00042806">
        <w:rPr>
          <w:szCs w:val="18"/>
          <w:lang w:val="en-US" w:bidi="fr-FR"/>
        </w:rPr>
        <w:t xml:space="preserve">, </w:t>
      </w:r>
      <w:r w:rsidRPr="00042806">
        <w:rPr>
          <w:iCs/>
          <w:szCs w:val="18"/>
          <w:lang w:val="en-US" w:bidi="fr-FR"/>
        </w:rPr>
        <w:t>in</w:t>
      </w:r>
      <w:r w:rsidRPr="00042806">
        <w:rPr>
          <w:szCs w:val="18"/>
          <w:lang w:val="en-US" w:bidi="fr-FR"/>
        </w:rPr>
        <w:t xml:space="preserve"> </w:t>
      </w:r>
      <w:r w:rsidRPr="00042806">
        <w:rPr>
          <w:i/>
          <w:iCs/>
          <w:szCs w:val="18"/>
          <w:lang w:val="en-US" w:bidi="fr-FR"/>
        </w:rPr>
        <w:t>Casting the Net Wider: Human Rights, Development and New Duty-Bearers</w:t>
      </w:r>
      <w:r w:rsidRPr="00042806">
        <w:rPr>
          <w:szCs w:val="18"/>
          <w:lang w:val="en-US" w:bidi="fr-FR"/>
        </w:rPr>
        <w:t xml:space="preserve">, Margot E. Salomon, Arne </w:t>
      </w:r>
      <w:proofErr w:type="spellStart"/>
      <w:r w:rsidRPr="00042806">
        <w:rPr>
          <w:szCs w:val="18"/>
          <w:lang w:val="en-US" w:bidi="fr-FR"/>
        </w:rPr>
        <w:t>Tostensen</w:t>
      </w:r>
      <w:proofErr w:type="spellEnd"/>
      <w:r w:rsidRPr="00042806">
        <w:rPr>
          <w:szCs w:val="18"/>
          <w:lang w:val="en-US" w:bidi="fr-FR"/>
        </w:rPr>
        <w:t xml:space="preserve"> and Wouter </w:t>
      </w:r>
      <w:proofErr w:type="spellStart"/>
      <w:r w:rsidRPr="00042806">
        <w:rPr>
          <w:szCs w:val="18"/>
          <w:lang w:val="en-US" w:bidi="fr-FR"/>
        </w:rPr>
        <w:t>Vandenhole</w:t>
      </w:r>
      <w:proofErr w:type="spellEnd"/>
      <w:r w:rsidRPr="00042806">
        <w:rPr>
          <w:szCs w:val="18"/>
          <w:lang w:val="en-US" w:bidi="fr-FR"/>
        </w:rPr>
        <w:t xml:space="preserve">, eds. (Antwerp, </w:t>
      </w:r>
      <w:proofErr w:type="spellStart"/>
      <w:r w:rsidRPr="00042806">
        <w:rPr>
          <w:szCs w:val="18"/>
          <w:lang w:val="en-US" w:bidi="fr-FR"/>
        </w:rPr>
        <w:t>Intersentia</w:t>
      </w:r>
      <w:proofErr w:type="spellEnd"/>
      <w:r w:rsidRPr="00042806">
        <w:rPr>
          <w:szCs w:val="18"/>
          <w:lang w:val="en-US" w:bidi="fr-FR"/>
        </w:rPr>
        <w:t xml:space="preserve">, 2007); and </w:t>
      </w:r>
      <w:r w:rsidRPr="00042806">
        <w:rPr>
          <w:szCs w:val="18"/>
          <w:lang w:val="en-US"/>
        </w:rPr>
        <w:t>African Court on Human and Peoples’ Rights,</w:t>
      </w:r>
      <w:r w:rsidRPr="00042806">
        <w:rPr>
          <w:i/>
          <w:szCs w:val="18"/>
          <w:lang w:val="en-US"/>
        </w:rPr>
        <w:t xml:space="preserve"> African Commission on Human and Peoples’ Rights v. Republic of Kenya</w:t>
      </w:r>
      <w:r w:rsidRPr="00042806">
        <w:rPr>
          <w:szCs w:val="18"/>
          <w:lang w:val="en-US" w:bidi="fr-FR"/>
        </w:rPr>
        <w:t>.</w:t>
      </w:r>
    </w:p>
  </w:footnote>
  <w:footnote w:id="7">
    <w:p w14:paraId="77AD5DEB" w14:textId="77777777" w:rsidR="00B17FD7" w:rsidRPr="00042806" w:rsidRDefault="00B17FD7" w:rsidP="00B17FD7">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rPr>
        <w:t xml:space="preserve">, </w:t>
      </w:r>
      <w:proofErr w:type="spellStart"/>
      <w:r w:rsidRPr="00042806">
        <w:rPr>
          <w:i/>
          <w:szCs w:val="18"/>
          <w:lang w:val="en-US" w:bidi="fr-FR"/>
        </w:rPr>
        <w:t>Sawhoyamaxa</w:t>
      </w:r>
      <w:proofErr w:type="spellEnd"/>
      <w:r w:rsidRPr="00042806">
        <w:rPr>
          <w:i/>
          <w:szCs w:val="18"/>
          <w:lang w:val="en-US" w:bidi="fr-FR"/>
        </w:rPr>
        <w:t xml:space="preserve"> Indigenous Community v. Paraguay</w:t>
      </w:r>
      <w:r w:rsidRPr="00042806">
        <w:rPr>
          <w:szCs w:val="18"/>
          <w:lang w:val="en-US" w:bidi="fr-FR"/>
        </w:rPr>
        <w:t xml:space="preserve">, Judgment of 29 March 2006, para. 128; and </w:t>
      </w:r>
      <w:r w:rsidRPr="00042806">
        <w:rPr>
          <w:szCs w:val="18"/>
          <w:lang w:val="en-US"/>
        </w:rPr>
        <w:t>African Commission on Human and Peoples’ Rights</w:t>
      </w:r>
      <w:r w:rsidRPr="00042806">
        <w:rPr>
          <w:szCs w:val="18"/>
          <w:lang w:val="en-US" w:bidi="fr-FR"/>
        </w:rPr>
        <w:t xml:space="preserve">, </w:t>
      </w:r>
      <w:r w:rsidRPr="00042806">
        <w:rPr>
          <w:i/>
          <w:iCs/>
          <w:szCs w:val="18"/>
          <w:lang w:val="en-US" w:bidi="fr-FR"/>
        </w:rPr>
        <w:t xml:space="preserve">Centre for Minority Rights Development (Kenya) and Minority Rights Group International on behalf of </w:t>
      </w:r>
      <w:proofErr w:type="spellStart"/>
      <w:r w:rsidRPr="00042806">
        <w:rPr>
          <w:i/>
          <w:iCs/>
          <w:szCs w:val="18"/>
          <w:lang w:val="en-US" w:bidi="fr-FR"/>
        </w:rPr>
        <w:t>Endorois</w:t>
      </w:r>
      <w:proofErr w:type="spellEnd"/>
      <w:r w:rsidRPr="00042806">
        <w:rPr>
          <w:i/>
          <w:iCs/>
          <w:szCs w:val="18"/>
          <w:lang w:val="en-US" w:bidi="fr-FR"/>
        </w:rPr>
        <w:t xml:space="preserve"> Welfare Council v. Kenya</w:t>
      </w:r>
      <w:r w:rsidRPr="00042806">
        <w:rPr>
          <w:szCs w:val="18"/>
          <w:lang w:val="en-US" w:bidi="fr-FR"/>
        </w:rPr>
        <w:t>, para. 209.</w:t>
      </w:r>
    </w:p>
  </w:footnote>
  <w:footnote w:id="8">
    <w:p w14:paraId="41D0736F" w14:textId="77777777" w:rsidR="00B72BAE" w:rsidRPr="00042806" w:rsidRDefault="00B72BAE" w:rsidP="00B72BA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African Commission on Human and Peoples’ Rights, </w:t>
      </w:r>
      <w:r w:rsidRPr="00042806">
        <w:rPr>
          <w:rFonts w:cstheme="minorHAnsi"/>
          <w:i/>
          <w:iCs/>
          <w:szCs w:val="18"/>
          <w:lang w:val="en-US"/>
        </w:rPr>
        <w:t xml:space="preserve">Social and Economic Rights </w:t>
      </w:r>
      <w:r w:rsidRPr="00042806">
        <w:rPr>
          <w:i/>
          <w:iCs/>
          <w:szCs w:val="18"/>
          <w:lang w:val="en-US"/>
        </w:rPr>
        <w:t>Action Centre and the Center for Economic and Social Rights v. Nigeria</w:t>
      </w:r>
      <w:r w:rsidRPr="00042806">
        <w:rPr>
          <w:szCs w:val="18"/>
          <w:lang w:val="en-US"/>
        </w:rPr>
        <w:t xml:space="preserve">, decision, thirtieth ordinary session, </w:t>
      </w:r>
      <w:r w:rsidRPr="00042806">
        <w:rPr>
          <w:szCs w:val="18"/>
          <w:lang w:val="en-US"/>
        </w:rPr>
        <w:br/>
        <w:t>13–27 October 2001.</w:t>
      </w:r>
    </w:p>
  </w:footnote>
  <w:footnote w:id="9">
    <w:p w14:paraId="74E95272" w14:textId="77777777" w:rsidR="00B72BAE" w:rsidRPr="00CD12A7" w:rsidRDefault="00B72BAE" w:rsidP="00B72BAE">
      <w:pPr>
        <w:pStyle w:val="FootnoteText"/>
        <w:rPr>
          <w:rFonts w:asciiTheme="majorBidi" w:hAnsiTheme="majorBidi" w:cstheme="majorBidi"/>
          <w:lang w:val="en-US"/>
        </w:rPr>
      </w:pPr>
      <w:r>
        <w:rPr>
          <w:lang w:val="en-US"/>
        </w:rPr>
        <w:tab/>
      </w:r>
      <w:r w:rsidRPr="00DA067C">
        <w:rPr>
          <w:rStyle w:val="FootnoteReference"/>
        </w:rPr>
        <w:footnoteRef/>
      </w:r>
      <w:r w:rsidRPr="007A156C">
        <w:rPr>
          <w:lang w:val="en-US"/>
        </w:rPr>
        <w:t xml:space="preserve"> </w:t>
      </w:r>
      <w:r>
        <w:rPr>
          <w:lang w:val="en-US"/>
        </w:rPr>
        <w:tab/>
      </w:r>
      <w:r w:rsidRPr="00262B64">
        <w:rPr>
          <w:szCs w:val="18"/>
          <w:lang w:val="en-US"/>
        </w:rPr>
        <w:t xml:space="preserve">African Union, African Development Bank and Economic Commission for Africa, “Guiding principles on large scale </w:t>
      </w:r>
      <w:proofErr w:type="gramStart"/>
      <w:r w:rsidRPr="00262B64">
        <w:rPr>
          <w:szCs w:val="18"/>
          <w:lang w:val="en-US"/>
        </w:rPr>
        <w:t>land based</w:t>
      </w:r>
      <w:proofErr w:type="gramEnd"/>
      <w:r w:rsidRPr="00262B64">
        <w:rPr>
          <w:szCs w:val="18"/>
          <w:lang w:val="en-US"/>
        </w:rPr>
        <w:t xml:space="preserve"> investments in Africa</w:t>
      </w:r>
      <w:r>
        <w:rPr>
          <w:szCs w:val="18"/>
          <w:lang w:val="en-US"/>
        </w:rPr>
        <w:t>”</w:t>
      </w:r>
      <w:r w:rsidRPr="00F36861">
        <w:rPr>
          <w:lang w:val="en-US"/>
        </w:rPr>
        <w:t>.</w:t>
      </w:r>
      <w:r w:rsidRPr="00262B64">
        <w:rPr>
          <w:rFonts w:eastAsia="Malgun Gothic"/>
          <w:lang w:val="en-US" w:eastAsia="ko-KR"/>
        </w:rPr>
        <w:t xml:space="preserve"> </w:t>
      </w:r>
      <w:r w:rsidRPr="00042806">
        <w:rPr>
          <w:rFonts w:eastAsia="Malgun Gothic"/>
          <w:lang w:val="en-US" w:eastAsia="ko-KR"/>
        </w:rPr>
        <w:t xml:space="preserve">The Committee has also observed that such regulations should also cover the issue that certain credit/microfinancing practices might also deprive people from their land, including by leading to </w:t>
      </w:r>
      <w:proofErr w:type="spellStart"/>
      <w:r w:rsidRPr="00042806">
        <w:rPr>
          <w:rFonts w:eastAsia="Malgun Gothic"/>
          <w:lang w:val="en-US" w:eastAsia="ko-KR"/>
        </w:rPr>
        <w:t>overindebtedness</w:t>
      </w:r>
      <w:proofErr w:type="spellEnd"/>
      <w:r w:rsidRPr="00042806">
        <w:rPr>
          <w:rFonts w:eastAsia="Malgun Gothic"/>
          <w:lang w:val="en-US" w:eastAsia="ko-KR"/>
        </w:rPr>
        <w:t>.</w:t>
      </w:r>
    </w:p>
  </w:footnote>
  <w:footnote w:id="10">
    <w:p w14:paraId="79FD5541" w14:textId="6DD5531F" w:rsidR="00235E48" w:rsidRPr="00235E48" w:rsidRDefault="00235E48" w:rsidP="00D4711F">
      <w:pPr>
        <w:pStyle w:val="FootnoteText"/>
        <w:ind w:hanging="234"/>
        <w:rPr>
          <w:lang w:val="en-US"/>
        </w:rPr>
      </w:pPr>
      <w:r>
        <w:rPr>
          <w:rStyle w:val="FootnoteReference"/>
        </w:rPr>
        <w:footnoteRef/>
      </w:r>
      <w:r w:rsidRPr="00235E48">
        <w:rPr>
          <w:lang w:val="en-US"/>
        </w:rPr>
        <w:t xml:space="preserve"> </w:t>
      </w:r>
      <w:r w:rsidRPr="00D4711F">
        <w:rPr>
          <w:szCs w:val="18"/>
          <w:lang w:val="en-US"/>
        </w:rPr>
        <w:t>State of the World’s Indigenous Peoples, Rights to Lands, territories and resources</w:t>
      </w:r>
      <w:r w:rsidR="006E7C22" w:rsidRPr="00D4711F">
        <w:rPr>
          <w:szCs w:val="18"/>
          <w:lang w:val="en-US"/>
        </w:rPr>
        <w:t xml:space="preserve">, 5th </w:t>
      </w:r>
      <w:r w:rsidR="00D4711F" w:rsidRPr="00D4711F">
        <w:rPr>
          <w:szCs w:val="18"/>
          <w:lang w:val="en-US"/>
        </w:rPr>
        <w:t>Volume</w:t>
      </w:r>
      <w:r w:rsidR="006E7C22" w:rsidRPr="00D4711F">
        <w:rPr>
          <w:szCs w:val="18"/>
          <w:lang w:val="en-US"/>
        </w:rPr>
        <w:t>, available at</w:t>
      </w:r>
      <w:r w:rsidR="006E7C22">
        <w:rPr>
          <w:lang w:val="en-US"/>
        </w:rPr>
        <w:t xml:space="preserve"> </w:t>
      </w:r>
      <w:r w:rsidR="006414F1">
        <w:fldChar w:fldCharType="begin"/>
      </w:r>
      <w:r w:rsidR="006414F1" w:rsidRPr="00770ECD">
        <w:rPr>
          <w:lang w:val="en-US"/>
        </w:rPr>
        <w:instrText xml:space="preserve"> HYPERLINK "https://www.un.org/development/desa/indigenouspeoples/wp-content/uploads/sites/19/2021/03/State-of-Worlds-Indigenous-Peoples-Vol-V-Final.pdf" </w:instrText>
      </w:r>
      <w:r w:rsidR="006414F1">
        <w:fldChar w:fldCharType="separate"/>
      </w:r>
      <w:r w:rsidR="006E7C22" w:rsidRPr="0041397E">
        <w:rPr>
          <w:rStyle w:val="Hyperlink"/>
          <w:lang w:val="en-US"/>
        </w:rPr>
        <w:t>https://www.un.org/development/desa/indigenouspeoples/wp-content/uploads/sites/19/2021/03/State-of-Worlds-Indigenous-Peoples-Vol-V-Final.pdf</w:t>
      </w:r>
      <w:r w:rsidR="006414F1">
        <w:rPr>
          <w:rStyle w:val="Hyperlink"/>
          <w:lang w:val="en-US"/>
        </w:rPr>
        <w:fldChar w:fldCharType="end"/>
      </w:r>
      <w:r w:rsidR="006E7C22">
        <w:rPr>
          <w:lang w:val="en-US"/>
        </w:rPr>
        <w:t xml:space="preserve"> </w:t>
      </w:r>
    </w:p>
  </w:footnote>
  <w:footnote w:id="11">
    <w:p w14:paraId="730D7CE9" w14:textId="77777777" w:rsidR="00CE5997" w:rsidRPr="0009314F" w:rsidRDefault="00CE5997" w:rsidP="00CE5997">
      <w:pPr>
        <w:pStyle w:val="FootnoteText"/>
        <w:rPr>
          <w:lang w:val="en-US"/>
        </w:rPr>
      </w:pPr>
      <w:r>
        <w:rPr>
          <w:lang w:val="en-US"/>
        </w:rPr>
        <w:tab/>
      </w:r>
      <w:r w:rsidRPr="00DA067C">
        <w:rPr>
          <w:rStyle w:val="FootnoteReference"/>
        </w:rPr>
        <w:footnoteRef/>
      </w:r>
      <w:r w:rsidRPr="0009314F">
        <w:rPr>
          <w:lang w:val="en-US"/>
        </w:rPr>
        <w:t xml:space="preserve"> </w:t>
      </w:r>
      <w:r>
        <w:rPr>
          <w:lang w:val="en-US"/>
        </w:rPr>
        <w:tab/>
      </w:r>
      <w:r>
        <w:rPr>
          <w:lang w:val="en-US"/>
        </w:rPr>
        <w:tab/>
      </w:r>
      <w:r w:rsidRPr="0009314F">
        <w:rPr>
          <w:lang w:val="en-US"/>
        </w:rPr>
        <w:t xml:space="preserve">Protecting </w:t>
      </w:r>
      <w:r>
        <w:rPr>
          <w:lang w:val="en-US"/>
        </w:rPr>
        <w:t>h</w:t>
      </w:r>
      <w:r w:rsidRPr="0009314F">
        <w:rPr>
          <w:lang w:val="en-US"/>
        </w:rPr>
        <w:t xml:space="preserve">uman </w:t>
      </w:r>
      <w:r>
        <w:rPr>
          <w:lang w:val="en-US"/>
        </w:rPr>
        <w:t>r</w:t>
      </w:r>
      <w:r w:rsidRPr="0009314F">
        <w:rPr>
          <w:lang w:val="en-US"/>
        </w:rPr>
        <w:t xml:space="preserve">ights </w:t>
      </w:r>
      <w:r>
        <w:rPr>
          <w:lang w:val="en-US"/>
        </w:rPr>
        <w:t>d</w:t>
      </w:r>
      <w:r w:rsidRPr="0009314F">
        <w:rPr>
          <w:lang w:val="en-US"/>
        </w:rPr>
        <w:t xml:space="preserve">efenders </w:t>
      </w:r>
      <w:r>
        <w:rPr>
          <w:lang w:val="en-US"/>
        </w:rPr>
        <w:t>a</w:t>
      </w:r>
      <w:r w:rsidRPr="0009314F">
        <w:rPr>
          <w:lang w:val="en-US"/>
        </w:rPr>
        <w:t xml:space="preserve">ddressing </w:t>
      </w:r>
      <w:r>
        <w:rPr>
          <w:lang w:val="en-US"/>
        </w:rPr>
        <w:t>e</w:t>
      </w:r>
      <w:r w:rsidRPr="0009314F">
        <w:rPr>
          <w:lang w:val="en-US"/>
        </w:rPr>
        <w:t xml:space="preserve">conomic, </w:t>
      </w:r>
      <w:proofErr w:type="gramStart"/>
      <w:r>
        <w:rPr>
          <w:lang w:val="en-US"/>
        </w:rPr>
        <w:t>s</w:t>
      </w:r>
      <w:r w:rsidRPr="0009314F">
        <w:rPr>
          <w:lang w:val="en-US"/>
        </w:rPr>
        <w:t>ocial</w:t>
      </w:r>
      <w:proofErr w:type="gramEnd"/>
      <w:r w:rsidRPr="0009314F">
        <w:rPr>
          <w:lang w:val="en-US"/>
        </w:rPr>
        <w:t xml:space="preserve"> and </w:t>
      </w:r>
      <w:r>
        <w:rPr>
          <w:lang w:val="en-US"/>
        </w:rPr>
        <w:t>c</w:t>
      </w:r>
      <w:r w:rsidRPr="0009314F">
        <w:rPr>
          <w:lang w:val="en-US"/>
        </w:rPr>
        <w:t xml:space="preserve">ultural </w:t>
      </w:r>
      <w:r>
        <w:rPr>
          <w:lang w:val="en-US"/>
        </w:rPr>
        <w:t>r</w:t>
      </w:r>
      <w:r w:rsidRPr="0009314F">
        <w:rPr>
          <w:lang w:val="en-US"/>
        </w:rPr>
        <w:t>ights (A/HRC/31/L.28)</w:t>
      </w:r>
      <w:r>
        <w:rPr>
          <w:lang w:val="en-US"/>
        </w:rPr>
        <w:t>; and</w:t>
      </w:r>
      <w:r w:rsidRPr="0009314F">
        <w:rPr>
          <w:lang w:val="en-US"/>
        </w:rPr>
        <w:t xml:space="preserve"> Declaration on the Right and Responsibility of Individuals, Groups and Organs of Society to Promote and Protect Universally Recognized Human Rights and Fundamental Freedoms.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4347"/>
    <w:multiLevelType w:val="hybridMultilevel"/>
    <w:tmpl w:val="119E2FB2"/>
    <w:lvl w:ilvl="0" w:tplc="78167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206D0"/>
    <w:multiLevelType w:val="hybridMultilevel"/>
    <w:tmpl w:val="72F83776"/>
    <w:lvl w:ilvl="0" w:tplc="D03E55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tTQ3tTA3AUJLcyUdpeDU4uLM/DyQAqNaAPMPZv0sAAAA"/>
  </w:docVars>
  <w:rsids>
    <w:rsidRoot w:val="00D55BB8"/>
    <w:rsid w:val="000161D2"/>
    <w:rsid w:val="00235E48"/>
    <w:rsid w:val="003640B5"/>
    <w:rsid w:val="0038135D"/>
    <w:rsid w:val="003E14AA"/>
    <w:rsid w:val="00607337"/>
    <w:rsid w:val="006414F1"/>
    <w:rsid w:val="006E7C22"/>
    <w:rsid w:val="00761E26"/>
    <w:rsid w:val="00770ECD"/>
    <w:rsid w:val="0079780C"/>
    <w:rsid w:val="007B3948"/>
    <w:rsid w:val="00812471"/>
    <w:rsid w:val="00825F81"/>
    <w:rsid w:val="008B5886"/>
    <w:rsid w:val="008B6408"/>
    <w:rsid w:val="008C7BB9"/>
    <w:rsid w:val="008D3659"/>
    <w:rsid w:val="00B17FD7"/>
    <w:rsid w:val="00B67A96"/>
    <w:rsid w:val="00B72BAE"/>
    <w:rsid w:val="00C00DFD"/>
    <w:rsid w:val="00C4331B"/>
    <w:rsid w:val="00CE5997"/>
    <w:rsid w:val="00D4711F"/>
    <w:rsid w:val="00D55BB8"/>
    <w:rsid w:val="00DA3750"/>
    <w:rsid w:val="00E14B43"/>
    <w:rsid w:val="00E40548"/>
    <w:rsid w:val="779CFB96"/>
    <w:rsid w:val="7DCEA7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2F268"/>
  <w15:chartTrackingRefBased/>
  <w15:docId w15:val="{1C6DEF5B-09E8-4B54-9781-CC115953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BB8"/>
    <w:rPr>
      <w:rFonts w:ascii="Segoe UI" w:hAnsi="Segoe UI" w:cs="Segoe UI"/>
      <w:sz w:val="18"/>
      <w:szCs w:val="18"/>
      <w:lang w:val="es-US"/>
    </w:rPr>
  </w:style>
  <w:style w:type="paragraph" w:customStyle="1" w:styleId="paragraph">
    <w:name w:val="paragraph"/>
    <w:basedOn w:val="Normal"/>
    <w:rsid w:val="00D55B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55BB8"/>
  </w:style>
  <w:style w:type="character" w:customStyle="1" w:styleId="eop">
    <w:name w:val="eop"/>
    <w:basedOn w:val="DefaultParagraphFont"/>
    <w:rsid w:val="00D55BB8"/>
  </w:style>
  <w:style w:type="paragraph" w:styleId="Date">
    <w:name w:val="Date"/>
    <w:basedOn w:val="Normal"/>
    <w:next w:val="Normal"/>
    <w:link w:val="DateChar"/>
    <w:uiPriority w:val="99"/>
    <w:semiHidden/>
    <w:unhideWhenUsed/>
    <w:rsid w:val="00D55BB8"/>
  </w:style>
  <w:style w:type="character" w:customStyle="1" w:styleId="DateChar">
    <w:name w:val="Date Char"/>
    <w:basedOn w:val="DefaultParagraphFont"/>
    <w:link w:val="Date"/>
    <w:uiPriority w:val="99"/>
    <w:semiHidden/>
    <w:rsid w:val="00D55BB8"/>
    <w:rPr>
      <w:lang w:val="es-US"/>
    </w:rPr>
  </w:style>
  <w:style w:type="paragraph" w:styleId="ListParagraph">
    <w:name w:val="List Paragraph"/>
    <w:basedOn w:val="Normal"/>
    <w:uiPriority w:val="34"/>
    <w:qFormat/>
    <w:rsid w:val="000161D2"/>
    <w:pPr>
      <w:ind w:left="720"/>
      <w:contextualSpacing/>
    </w:pPr>
  </w:style>
  <w:style w:type="paragraph" w:customStyle="1" w:styleId="SingleTxtG">
    <w:name w:val="_ Single Txt_G"/>
    <w:basedOn w:val="Normal"/>
    <w:link w:val="SingleTxtGChar"/>
    <w:qFormat/>
    <w:rsid w:val="000161D2"/>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val="en-GB" w:eastAsia="en-US"/>
    </w:rPr>
  </w:style>
  <w:style w:type="character" w:styleId="FootnoteReference">
    <w:name w:val="footnote reference"/>
    <w:aliases w:val="4_G"/>
    <w:basedOn w:val="DefaultParagraphFont"/>
    <w:link w:val="-EFunotenzeichen"/>
    <w:qFormat/>
    <w:rsid w:val="000161D2"/>
    <w:rPr>
      <w:rFonts w:ascii="Times New Roman" w:hAnsi="Times New Roman"/>
      <w:sz w:val="18"/>
      <w:vertAlign w:val="superscript"/>
      <w:lang w:val="fr-CH"/>
    </w:rPr>
  </w:style>
  <w:style w:type="character" w:styleId="Hyperlink">
    <w:name w:val="Hyperlink"/>
    <w:basedOn w:val="DefaultParagraphFont"/>
    <w:rsid w:val="000161D2"/>
    <w:rPr>
      <w:color w:val="0000FF"/>
      <w:u w:val="none"/>
    </w:rPr>
  </w:style>
  <w:style w:type="paragraph" w:styleId="FootnoteText">
    <w:name w:val="footnote text"/>
    <w:aliases w:val="5_G"/>
    <w:basedOn w:val="Normal"/>
    <w:link w:val="FootnoteTextChar"/>
    <w:qFormat/>
    <w:rsid w:val="000161D2"/>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sz w:val="18"/>
      <w:szCs w:val="20"/>
      <w:lang w:val="fr-CH"/>
    </w:rPr>
  </w:style>
  <w:style w:type="character" w:customStyle="1" w:styleId="FootnoteTextChar">
    <w:name w:val="Footnote Text Char"/>
    <w:aliases w:val="5_G Char"/>
    <w:basedOn w:val="DefaultParagraphFont"/>
    <w:link w:val="FootnoteText"/>
    <w:rsid w:val="000161D2"/>
    <w:rPr>
      <w:rFonts w:ascii="Times New Roman" w:hAnsi="Times New Roman" w:cs="Times New Roman"/>
      <w:sz w:val="18"/>
      <w:szCs w:val="20"/>
      <w:lang w:val="fr-CH"/>
    </w:rPr>
  </w:style>
  <w:style w:type="character" w:customStyle="1" w:styleId="SingleTxtGChar">
    <w:name w:val="_ Single Txt_G Char"/>
    <w:link w:val="SingleTxtG"/>
    <w:locked/>
    <w:rsid w:val="000161D2"/>
    <w:rPr>
      <w:rFonts w:ascii="Times New Roman" w:eastAsiaTheme="minorHAnsi" w:hAnsi="Times New Roman" w:cs="Times New Roman"/>
      <w:sz w:val="20"/>
      <w:szCs w:val="20"/>
      <w:lang w:val="en-GB" w:eastAsia="en-US"/>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0161D2"/>
    <w:pPr>
      <w:spacing w:line="240" w:lineRule="exact"/>
    </w:pPr>
    <w:rPr>
      <w:rFonts w:ascii="Times New Roman" w:hAnsi="Times New Roman"/>
      <w:sz w:val="18"/>
      <w:vertAlign w:val="superscript"/>
      <w:lang w:val="fr-CH"/>
    </w:rPr>
  </w:style>
  <w:style w:type="paragraph" w:styleId="CommentText">
    <w:name w:val="annotation text"/>
    <w:basedOn w:val="Normal"/>
    <w:link w:val="CommentTextChar"/>
    <w:semiHidden/>
    <w:rsid w:val="000161D2"/>
    <w:pPr>
      <w:spacing w:after="0" w:line="240" w:lineRule="auto"/>
    </w:pPr>
    <w:rPr>
      <w:rFonts w:ascii="Times New Roman" w:eastAsia="PMingLiU" w:hAnsi="Times New Roman" w:cs="Times New Roman"/>
      <w:noProof/>
      <w:sz w:val="20"/>
      <w:szCs w:val="20"/>
      <w:lang w:val="x-none" w:eastAsia="fr-FR"/>
    </w:rPr>
  </w:style>
  <w:style w:type="character" w:customStyle="1" w:styleId="CommentTextChar">
    <w:name w:val="Comment Text Char"/>
    <w:basedOn w:val="DefaultParagraphFont"/>
    <w:link w:val="CommentText"/>
    <w:semiHidden/>
    <w:rsid w:val="000161D2"/>
    <w:rPr>
      <w:rFonts w:ascii="Times New Roman" w:eastAsia="PMingLiU" w:hAnsi="Times New Roman" w:cs="Times New Roman"/>
      <w:noProof/>
      <w:sz w:val="20"/>
      <w:szCs w:val="20"/>
      <w:lang w:val="x-none" w:eastAsia="fr-FR"/>
    </w:rPr>
  </w:style>
  <w:style w:type="character" w:styleId="CommentReference">
    <w:name w:val="annotation reference"/>
    <w:basedOn w:val="DefaultParagraphFont"/>
    <w:uiPriority w:val="99"/>
    <w:semiHidden/>
    <w:unhideWhenUsed/>
    <w:rsid w:val="000161D2"/>
    <w:rPr>
      <w:sz w:val="16"/>
      <w:szCs w:val="16"/>
    </w:rPr>
  </w:style>
  <w:style w:type="paragraph" w:customStyle="1" w:styleId="HChG">
    <w:name w:val="_ H _Ch_G"/>
    <w:basedOn w:val="Normal"/>
    <w:next w:val="Normal"/>
    <w:qFormat/>
    <w:rsid w:val="000161D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ascii="Times New Roman" w:eastAsiaTheme="minorHAnsi" w:hAnsi="Times New Roman" w:cs="Times New Roman"/>
      <w:b/>
      <w:sz w:val="28"/>
      <w:szCs w:val="20"/>
      <w:lang w:val="en-GB" w:eastAsia="en-US"/>
    </w:rPr>
  </w:style>
  <w:style w:type="paragraph" w:customStyle="1" w:styleId="H1G">
    <w:name w:val="_ H_1_G"/>
    <w:basedOn w:val="Normal"/>
    <w:next w:val="Normal"/>
    <w:qFormat/>
    <w:rsid w:val="000161D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eastAsiaTheme="minorHAnsi" w:hAnsi="Times New Roman" w:cs="Times New Roman"/>
      <w:b/>
      <w:sz w:val="24"/>
      <w:szCs w:val="20"/>
      <w:lang w:val="en-GB" w:eastAsia="en-US"/>
    </w:rPr>
  </w:style>
  <w:style w:type="paragraph" w:customStyle="1" w:styleId="H4G">
    <w:name w:val="_ H_4_G"/>
    <w:basedOn w:val="Normal"/>
    <w:next w:val="Normal"/>
    <w:qFormat/>
    <w:rsid w:val="00B17FD7"/>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4"/>
    </w:pPr>
    <w:rPr>
      <w:rFonts w:ascii="Times New Roman" w:eastAsiaTheme="minorHAnsi" w:hAnsi="Times New Roman" w:cs="Times New Roman"/>
      <w:i/>
      <w:sz w:val="20"/>
      <w:szCs w:val="20"/>
      <w:lang w:val="en-GB" w:eastAsia="en-US"/>
    </w:rPr>
  </w:style>
  <w:style w:type="character" w:styleId="UnresolvedMention">
    <w:name w:val="Unresolved Mention"/>
    <w:basedOn w:val="DefaultParagraphFont"/>
    <w:uiPriority w:val="99"/>
    <w:semiHidden/>
    <w:unhideWhenUsed/>
    <w:rsid w:val="006E7C22"/>
    <w:rPr>
      <w:color w:val="605E5C"/>
      <w:shd w:val="clear" w:color="auto" w:fill="E1DFDD"/>
    </w:rPr>
  </w:style>
  <w:style w:type="paragraph" w:styleId="Header">
    <w:name w:val="header"/>
    <w:basedOn w:val="Normal"/>
    <w:link w:val="HeaderChar"/>
    <w:uiPriority w:val="99"/>
    <w:unhideWhenUsed/>
    <w:rsid w:val="0077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CD"/>
    <w:rPr>
      <w:lang w:val="es-US"/>
    </w:rPr>
  </w:style>
  <w:style w:type="paragraph" w:styleId="Footer">
    <w:name w:val="footer"/>
    <w:basedOn w:val="Normal"/>
    <w:link w:val="FooterChar"/>
    <w:uiPriority w:val="99"/>
    <w:unhideWhenUsed/>
    <w:rsid w:val="0077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CD"/>
    <w:rPr>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645286">
      <w:bodyDiv w:val="1"/>
      <w:marLeft w:val="0"/>
      <w:marRight w:val="0"/>
      <w:marTop w:val="0"/>
      <w:marBottom w:val="0"/>
      <w:divBdr>
        <w:top w:val="none" w:sz="0" w:space="0" w:color="auto"/>
        <w:left w:val="none" w:sz="0" w:space="0" w:color="auto"/>
        <w:bottom w:val="none" w:sz="0" w:space="0" w:color="auto"/>
        <w:right w:val="none" w:sz="0" w:space="0" w:color="auto"/>
      </w:divBdr>
      <w:divsChild>
        <w:div w:id="1450054934">
          <w:marLeft w:val="0"/>
          <w:marRight w:val="0"/>
          <w:marTop w:val="0"/>
          <w:marBottom w:val="0"/>
          <w:divBdr>
            <w:top w:val="none" w:sz="0" w:space="0" w:color="auto"/>
            <w:left w:val="none" w:sz="0" w:space="0" w:color="auto"/>
            <w:bottom w:val="none" w:sz="0" w:space="0" w:color="auto"/>
            <w:right w:val="none" w:sz="0" w:space="0" w:color="auto"/>
          </w:divBdr>
        </w:div>
        <w:div w:id="1905796067">
          <w:marLeft w:val="0"/>
          <w:marRight w:val="0"/>
          <w:marTop w:val="0"/>
          <w:marBottom w:val="0"/>
          <w:divBdr>
            <w:top w:val="none" w:sz="0" w:space="0" w:color="auto"/>
            <w:left w:val="none" w:sz="0" w:space="0" w:color="auto"/>
            <w:bottom w:val="none" w:sz="0" w:space="0" w:color="auto"/>
            <w:right w:val="none" w:sz="0" w:space="0" w:color="auto"/>
          </w:divBdr>
        </w:div>
        <w:div w:id="1075401298">
          <w:marLeft w:val="0"/>
          <w:marRight w:val="0"/>
          <w:marTop w:val="0"/>
          <w:marBottom w:val="0"/>
          <w:divBdr>
            <w:top w:val="none" w:sz="0" w:space="0" w:color="auto"/>
            <w:left w:val="none" w:sz="0" w:space="0" w:color="auto"/>
            <w:bottom w:val="none" w:sz="0" w:space="0" w:color="auto"/>
            <w:right w:val="none" w:sz="0" w:space="0" w:color="auto"/>
          </w:divBdr>
        </w:div>
        <w:div w:id="832183911">
          <w:marLeft w:val="0"/>
          <w:marRight w:val="0"/>
          <w:marTop w:val="0"/>
          <w:marBottom w:val="0"/>
          <w:divBdr>
            <w:top w:val="none" w:sz="0" w:space="0" w:color="auto"/>
            <w:left w:val="none" w:sz="0" w:space="0" w:color="auto"/>
            <w:bottom w:val="none" w:sz="0" w:space="0" w:color="auto"/>
            <w:right w:val="none" w:sz="0" w:space="0" w:color="auto"/>
          </w:divBdr>
        </w:div>
        <w:div w:id="1910119053">
          <w:marLeft w:val="0"/>
          <w:marRight w:val="0"/>
          <w:marTop w:val="0"/>
          <w:marBottom w:val="0"/>
          <w:divBdr>
            <w:top w:val="none" w:sz="0" w:space="0" w:color="auto"/>
            <w:left w:val="none" w:sz="0" w:space="0" w:color="auto"/>
            <w:bottom w:val="none" w:sz="0" w:space="0" w:color="auto"/>
            <w:right w:val="none" w:sz="0" w:space="0" w:color="auto"/>
          </w:divBdr>
        </w:div>
        <w:div w:id="391780156">
          <w:marLeft w:val="0"/>
          <w:marRight w:val="0"/>
          <w:marTop w:val="0"/>
          <w:marBottom w:val="0"/>
          <w:divBdr>
            <w:top w:val="none" w:sz="0" w:space="0" w:color="auto"/>
            <w:left w:val="none" w:sz="0" w:space="0" w:color="auto"/>
            <w:bottom w:val="none" w:sz="0" w:space="0" w:color="auto"/>
            <w:right w:val="none" w:sz="0" w:space="0" w:color="auto"/>
          </w:divBdr>
        </w:div>
        <w:div w:id="169372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2A131-D342-4BF9-B326-1C3220F414C0}">
  <ds:schemaRefs>
    <ds:schemaRef ds:uri="http://schemas.microsoft.com/office/2006/metadata/properties"/>
    <ds:schemaRef ds:uri="http://schemas.microsoft.com/office/infopath/2007/PartnerControls"/>
    <ds:schemaRef ds:uri="b49397d3-2376-4764-9b34-2b39112a7e40"/>
  </ds:schemaRefs>
</ds:datastoreItem>
</file>

<file path=customXml/itemProps2.xml><?xml version="1.0" encoding="utf-8"?>
<ds:datastoreItem xmlns:ds="http://schemas.openxmlformats.org/officeDocument/2006/customXml" ds:itemID="{68AC17BD-F14B-4E6D-BCA0-0295B5F73D7F}">
  <ds:schemaRefs>
    <ds:schemaRef ds:uri="http://schemas.openxmlformats.org/officeDocument/2006/bibliography"/>
  </ds:schemaRefs>
</ds:datastoreItem>
</file>

<file path=customXml/itemProps3.xml><?xml version="1.0" encoding="utf-8"?>
<ds:datastoreItem xmlns:ds="http://schemas.openxmlformats.org/officeDocument/2006/customXml" ds:itemID="{18DE2FE9-BD17-42FC-9920-59198B578897}">
  <ds:schemaRefs>
    <ds:schemaRef ds:uri="http://schemas.microsoft.com/sharepoint/v3/contenttype/forms"/>
  </ds:schemaRefs>
</ds:datastoreItem>
</file>

<file path=customXml/itemProps4.xml><?xml version="1.0" encoding="utf-8"?>
<ds:datastoreItem xmlns:ds="http://schemas.openxmlformats.org/officeDocument/2006/customXml" ds:itemID="{D03A84DB-F78D-461D-B298-C7F081920DFA}"/>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 Masaquiza Jerez</dc:creator>
  <cp:keywords/>
  <dc:description/>
  <cp:lastModifiedBy>Mirian Masaquiza Jerez</cp:lastModifiedBy>
  <cp:revision>24</cp:revision>
  <dcterms:created xsi:type="dcterms:W3CDTF">2021-06-14T15:55:00Z</dcterms:created>
  <dcterms:modified xsi:type="dcterms:W3CDTF">2021-06-14T18:17:00Z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