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F4171" w14:textId="68958B52" w:rsidR="00A90EE4" w:rsidRPr="00FC4D68" w:rsidRDefault="001A200E">
      <w:pPr>
        <w:pStyle w:val="BodyA"/>
        <w:spacing w:after="240"/>
        <w:jc w:val="center"/>
        <w:rPr>
          <w:rFonts w:ascii="Verdana" w:eastAsia="Sarabun Regular" w:hAnsi="Verdana" w:cs="Sarabun Regular"/>
          <w:b/>
          <w:bCs/>
          <w:sz w:val="20"/>
          <w:szCs w:val="20"/>
        </w:rPr>
      </w:pPr>
      <w:r w:rsidRPr="00FC4D68">
        <w:rPr>
          <w:rFonts w:ascii="Verdana" w:hAnsi="Verdana"/>
          <w:b/>
          <w:bCs/>
          <w:sz w:val="20"/>
          <w:szCs w:val="20"/>
        </w:rPr>
        <w:t xml:space="preserve">Joint Submission to the </w:t>
      </w:r>
      <w:r w:rsidR="007A2325" w:rsidRPr="00FC4D68">
        <w:rPr>
          <w:rFonts w:ascii="Verdana" w:hAnsi="Verdana"/>
          <w:b/>
          <w:bCs/>
          <w:sz w:val="20"/>
          <w:szCs w:val="20"/>
        </w:rPr>
        <w:t>Committee on Economic, Social and Cultural Rights</w:t>
      </w:r>
      <w:r w:rsidRPr="00FC4D68">
        <w:rPr>
          <w:rFonts w:ascii="Verdana" w:hAnsi="Verdana"/>
          <w:b/>
          <w:bCs/>
          <w:sz w:val="20"/>
          <w:szCs w:val="20"/>
        </w:rPr>
        <w:t xml:space="preserve"> </w:t>
      </w:r>
      <w:r w:rsidR="007A2325" w:rsidRPr="00FC4D68">
        <w:rPr>
          <w:rFonts w:ascii="Verdana" w:hAnsi="Verdana"/>
          <w:b/>
          <w:bCs/>
          <w:sz w:val="20"/>
          <w:szCs w:val="20"/>
        </w:rPr>
        <w:t>regarding</w:t>
      </w:r>
      <w:r w:rsidRPr="00FC4D68">
        <w:rPr>
          <w:rFonts w:ascii="Verdana" w:hAnsi="Verdana"/>
          <w:b/>
          <w:bCs/>
          <w:sz w:val="20"/>
          <w:szCs w:val="20"/>
        </w:rPr>
        <w:t xml:space="preserve"> the draft General </w:t>
      </w:r>
      <w:r w:rsidRPr="00FC4D68">
        <w:rPr>
          <w:rFonts w:ascii="Verdana" w:hAnsi="Verdana"/>
          <w:b/>
          <w:bCs/>
          <w:sz w:val="20"/>
          <w:szCs w:val="20"/>
          <w:lang w:val="fr-FR"/>
        </w:rPr>
        <w:t>Comment No.</w:t>
      </w:r>
      <w:r w:rsidRPr="00FC4D68">
        <w:rPr>
          <w:rFonts w:ascii="Verdana" w:hAnsi="Verdana"/>
          <w:b/>
          <w:bCs/>
          <w:sz w:val="20"/>
          <w:szCs w:val="20"/>
        </w:rPr>
        <w:t>26 (2021) on land and economic, social and cultural rights</w:t>
      </w:r>
    </w:p>
    <w:p w14:paraId="51C51E7F" w14:textId="08A96D32" w:rsidR="00A90EE4" w:rsidRPr="00FC4D68" w:rsidRDefault="001A200E" w:rsidP="00214A60">
      <w:pPr>
        <w:pStyle w:val="BodyA"/>
        <w:spacing w:after="240"/>
        <w:jc w:val="center"/>
        <w:rPr>
          <w:rFonts w:ascii="Verdana" w:eastAsia="Sarabun Regular" w:hAnsi="Verdana" w:cs="Sarabun Regular"/>
          <w:sz w:val="20"/>
          <w:szCs w:val="20"/>
        </w:rPr>
      </w:pPr>
      <w:r w:rsidRPr="00FC4D68">
        <w:rPr>
          <w:rFonts w:ascii="Verdana" w:hAnsi="Verdana"/>
          <w:sz w:val="20"/>
          <w:szCs w:val="20"/>
        </w:rPr>
        <w:t>27 July 2021</w:t>
      </w:r>
    </w:p>
    <w:p w14:paraId="122FDC36" w14:textId="77777777" w:rsidR="00A90EE4" w:rsidRPr="00FC4D68" w:rsidRDefault="001A200E">
      <w:pPr>
        <w:pStyle w:val="BodyA"/>
        <w:spacing w:after="240"/>
        <w:jc w:val="both"/>
        <w:rPr>
          <w:rFonts w:ascii="Verdana" w:eastAsia="Sarabun Bold" w:hAnsi="Verdana" w:cs="Sarabun Bold"/>
          <w:b/>
          <w:bCs/>
          <w:sz w:val="20"/>
          <w:szCs w:val="20"/>
        </w:rPr>
      </w:pPr>
      <w:r w:rsidRPr="00FC4D68">
        <w:rPr>
          <w:rFonts w:ascii="Verdana" w:hAnsi="Verdana"/>
          <w:b/>
          <w:bCs/>
          <w:sz w:val="20"/>
          <w:szCs w:val="20"/>
        </w:rPr>
        <w:t>Background</w:t>
      </w:r>
    </w:p>
    <w:p w14:paraId="521D0F37" w14:textId="3E69E1D5" w:rsidR="00237563" w:rsidRPr="00FC4D68" w:rsidRDefault="001A200E" w:rsidP="00237563">
      <w:pPr>
        <w:pStyle w:val="ListParagraph"/>
        <w:numPr>
          <w:ilvl w:val="0"/>
          <w:numId w:val="2"/>
        </w:numPr>
        <w:spacing w:after="240"/>
        <w:jc w:val="both"/>
        <w:rPr>
          <w:rFonts w:ascii="Verdana" w:hAnsi="Verdana"/>
          <w:sz w:val="20"/>
          <w:szCs w:val="20"/>
        </w:rPr>
      </w:pPr>
      <w:r w:rsidRPr="00FC4D68">
        <w:rPr>
          <w:rFonts w:ascii="Verdana" w:hAnsi="Verdana"/>
          <w:sz w:val="20"/>
          <w:szCs w:val="20"/>
        </w:rPr>
        <w:t xml:space="preserve">This document was compiled by </w:t>
      </w:r>
      <w:r w:rsidR="000B1163" w:rsidRPr="00FC4D68">
        <w:rPr>
          <w:rFonts w:ascii="Verdana" w:hAnsi="Verdana"/>
          <w:sz w:val="20"/>
          <w:szCs w:val="20"/>
        </w:rPr>
        <w:t>1</w:t>
      </w:r>
      <w:r w:rsidR="00237563" w:rsidRPr="00FC4D68">
        <w:rPr>
          <w:rFonts w:ascii="Verdana" w:hAnsi="Verdana"/>
          <w:sz w:val="20"/>
          <w:szCs w:val="20"/>
        </w:rPr>
        <w:t>7</w:t>
      </w:r>
      <w:r w:rsidRPr="00FC4D68">
        <w:rPr>
          <w:rFonts w:ascii="Verdana" w:hAnsi="Verdana"/>
          <w:sz w:val="20"/>
          <w:szCs w:val="20"/>
        </w:rPr>
        <w:t xml:space="preserve"> Thai civil society organisations</w:t>
      </w:r>
      <w:r w:rsidR="007A2325" w:rsidRPr="00FC4D68">
        <w:rPr>
          <w:rFonts w:ascii="Verdana" w:hAnsi="Verdana"/>
          <w:sz w:val="20"/>
          <w:szCs w:val="20"/>
        </w:rPr>
        <w:t>, namely</w:t>
      </w:r>
      <w:r w:rsidRPr="00FC4D68">
        <w:rPr>
          <w:rFonts w:ascii="Verdana" w:hAnsi="Verdana"/>
          <w:sz w:val="20"/>
          <w:szCs w:val="20"/>
        </w:rPr>
        <w:t xml:space="preserve">: </w:t>
      </w:r>
      <w:r w:rsidR="00237563" w:rsidRPr="00FC4D68">
        <w:rPr>
          <w:rFonts w:ascii="Verdana" w:hAnsi="Verdana"/>
          <w:sz w:val="20"/>
          <w:szCs w:val="20"/>
        </w:rPr>
        <w:t>Cross-Cultural Foundation; Chumchonthai Foundation; Center for Protection and Revival of Local Community Rights; Area-based-Social Innovation Research Center, Mae Fah Luang University; C</w:t>
      </w:r>
      <w:bookmarkStart w:id="0" w:name="_GoBack"/>
      <w:bookmarkEnd w:id="0"/>
      <w:r w:rsidR="00237563" w:rsidRPr="00FC4D68">
        <w:rPr>
          <w:rFonts w:ascii="Verdana" w:hAnsi="Verdana"/>
          <w:sz w:val="20"/>
          <w:szCs w:val="20"/>
        </w:rPr>
        <w:t>ommunity Resource Centre Foundation; College of Social Innovation, Rangsit University; ETOs Watch Coalition; Northern Development Foundation; the Mekong Butterfly; ActionAid Thailand; Land Watch THAI; ENLAWTHAI Foundation; Local Development Institute; Princess Maha Chakri Sirindhorn Anthropology Centre (Public Organisation); Food Security of Andaman Association; Prorights Foundation; and Union for Civil Liberty.</w:t>
      </w:r>
    </w:p>
    <w:p w14:paraId="47C5D0A4" w14:textId="05A8ED82" w:rsidR="00A90EE4" w:rsidRPr="00FC4D68" w:rsidRDefault="001A200E">
      <w:pPr>
        <w:pStyle w:val="ListParagraph"/>
        <w:numPr>
          <w:ilvl w:val="0"/>
          <w:numId w:val="2"/>
        </w:numPr>
        <w:spacing w:after="240"/>
        <w:jc w:val="both"/>
        <w:rPr>
          <w:rFonts w:ascii="Verdana" w:hAnsi="Verdana"/>
          <w:sz w:val="20"/>
          <w:szCs w:val="20"/>
        </w:rPr>
      </w:pPr>
      <w:r w:rsidRPr="00FC4D68">
        <w:rPr>
          <w:rFonts w:ascii="Verdana" w:hAnsi="Verdana"/>
          <w:sz w:val="20"/>
          <w:szCs w:val="20"/>
        </w:rPr>
        <w:t>The recommendation</w:t>
      </w:r>
      <w:r w:rsidR="007A2325" w:rsidRPr="00FC4D68">
        <w:rPr>
          <w:rFonts w:ascii="Verdana" w:hAnsi="Verdana"/>
          <w:sz w:val="20"/>
          <w:szCs w:val="20"/>
        </w:rPr>
        <w:t>s</w:t>
      </w:r>
      <w:r w:rsidRPr="00FC4D68">
        <w:rPr>
          <w:rFonts w:ascii="Verdana" w:hAnsi="Verdana"/>
          <w:sz w:val="20"/>
          <w:szCs w:val="20"/>
        </w:rPr>
        <w:t xml:space="preserve"> </w:t>
      </w:r>
      <w:r w:rsidR="007A2325" w:rsidRPr="00FC4D68">
        <w:rPr>
          <w:rFonts w:ascii="Verdana" w:hAnsi="Verdana"/>
          <w:sz w:val="20"/>
          <w:szCs w:val="20"/>
        </w:rPr>
        <w:t xml:space="preserve">made </w:t>
      </w:r>
      <w:r w:rsidRPr="00FC4D68">
        <w:rPr>
          <w:rFonts w:ascii="Verdana" w:hAnsi="Verdana"/>
          <w:sz w:val="20"/>
          <w:szCs w:val="20"/>
        </w:rPr>
        <w:t>in th</w:t>
      </w:r>
      <w:r w:rsidR="007A2325" w:rsidRPr="00FC4D68">
        <w:rPr>
          <w:rFonts w:ascii="Verdana" w:hAnsi="Verdana" w:cs="Browallia New"/>
          <w:sz w:val="20"/>
          <w:szCs w:val="20"/>
        </w:rPr>
        <w:t>is</w:t>
      </w:r>
      <w:r w:rsidRPr="00FC4D68">
        <w:rPr>
          <w:rFonts w:ascii="Verdana" w:hAnsi="Verdana"/>
          <w:sz w:val="20"/>
          <w:szCs w:val="20"/>
        </w:rPr>
        <w:t xml:space="preserve"> submission </w:t>
      </w:r>
      <w:r w:rsidR="000B1163" w:rsidRPr="00FC4D68">
        <w:rPr>
          <w:rFonts w:ascii="Verdana" w:hAnsi="Verdana"/>
          <w:sz w:val="20"/>
          <w:szCs w:val="20"/>
        </w:rPr>
        <w:t>have been complied through an</w:t>
      </w:r>
      <w:r w:rsidRPr="00FC4D68">
        <w:rPr>
          <w:rFonts w:ascii="Verdana" w:hAnsi="Verdana"/>
          <w:sz w:val="20"/>
          <w:szCs w:val="20"/>
        </w:rPr>
        <w:t xml:space="preserve"> online seminar entitled “Land rights: International </w:t>
      </w:r>
      <w:r w:rsidR="007A2325" w:rsidRPr="00FC4D68">
        <w:rPr>
          <w:rFonts w:ascii="Verdana" w:hAnsi="Verdana" w:cs="Browallia New"/>
          <w:sz w:val="20"/>
          <w:szCs w:val="20"/>
        </w:rPr>
        <w:t>P</w:t>
      </w:r>
      <w:r w:rsidRPr="00FC4D68">
        <w:rPr>
          <w:rFonts w:ascii="Verdana" w:hAnsi="Verdana"/>
          <w:sz w:val="20"/>
          <w:szCs w:val="20"/>
        </w:rPr>
        <w:t xml:space="preserve">rinciples and </w:t>
      </w:r>
      <w:r w:rsidR="007A2325" w:rsidRPr="00FC4D68">
        <w:rPr>
          <w:rFonts w:ascii="Verdana" w:hAnsi="Verdana"/>
          <w:sz w:val="20"/>
          <w:szCs w:val="20"/>
        </w:rPr>
        <w:t>S</w:t>
      </w:r>
      <w:r w:rsidRPr="00FC4D68">
        <w:rPr>
          <w:rFonts w:ascii="Verdana" w:hAnsi="Verdana"/>
          <w:sz w:val="20"/>
          <w:szCs w:val="20"/>
        </w:rPr>
        <w:t>ituation in Thailand”</w:t>
      </w:r>
      <w:r w:rsidR="007A2325" w:rsidRPr="00FC4D68">
        <w:rPr>
          <w:rFonts w:ascii="Verdana" w:hAnsi="Verdana"/>
          <w:sz w:val="20"/>
          <w:szCs w:val="20"/>
        </w:rPr>
        <w:t>, organized</w:t>
      </w:r>
      <w:r w:rsidRPr="00FC4D68">
        <w:rPr>
          <w:rFonts w:ascii="Verdana" w:hAnsi="Verdana"/>
          <w:sz w:val="20"/>
          <w:szCs w:val="20"/>
        </w:rPr>
        <w:t xml:space="preserve"> on 28 May 2021. </w:t>
      </w:r>
      <w:r w:rsidR="00020C43" w:rsidRPr="00FC4D68">
        <w:rPr>
          <w:rFonts w:ascii="Verdana" w:hAnsi="Verdana"/>
          <w:sz w:val="20"/>
          <w:szCs w:val="20"/>
        </w:rPr>
        <w:t xml:space="preserve">Participants included representatives of the </w:t>
      </w:r>
      <w:r w:rsidR="000B1163" w:rsidRPr="00FC4D68">
        <w:rPr>
          <w:rFonts w:ascii="Verdana" w:hAnsi="Verdana"/>
          <w:sz w:val="20"/>
          <w:szCs w:val="20"/>
        </w:rPr>
        <w:t xml:space="preserve">above-mentioned </w:t>
      </w:r>
      <w:r w:rsidRPr="00FC4D68">
        <w:rPr>
          <w:rFonts w:ascii="Verdana" w:hAnsi="Verdana"/>
          <w:sz w:val="20"/>
          <w:szCs w:val="20"/>
        </w:rPr>
        <w:t>civil society organisations</w:t>
      </w:r>
      <w:r w:rsidR="00020C43" w:rsidRPr="00FC4D68">
        <w:rPr>
          <w:rFonts w:ascii="Verdana" w:hAnsi="Verdana"/>
          <w:sz w:val="20"/>
          <w:szCs w:val="20"/>
        </w:rPr>
        <w:t>. The event was organized</w:t>
      </w:r>
      <w:r w:rsidRPr="00FC4D68">
        <w:rPr>
          <w:rFonts w:ascii="Verdana" w:hAnsi="Verdana"/>
          <w:sz w:val="20"/>
          <w:szCs w:val="20"/>
        </w:rPr>
        <w:t xml:space="preserve"> with</w:t>
      </w:r>
      <w:r w:rsidR="00020C43" w:rsidRPr="00FC4D68">
        <w:rPr>
          <w:rFonts w:ascii="Verdana" w:hAnsi="Verdana"/>
          <w:sz w:val="20"/>
          <w:szCs w:val="20"/>
        </w:rPr>
        <w:t xml:space="preserve"> the</w:t>
      </w:r>
      <w:r w:rsidRPr="00FC4D68">
        <w:rPr>
          <w:rFonts w:ascii="Verdana" w:hAnsi="Verdana"/>
          <w:sz w:val="20"/>
          <w:szCs w:val="20"/>
        </w:rPr>
        <w:t xml:space="preserve"> support </w:t>
      </w:r>
      <w:r w:rsidR="00020C43" w:rsidRPr="00FC4D68">
        <w:rPr>
          <w:rFonts w:ascii="Verdana" w:hAnsi="Verdana"/>
          <w:sz w:val="20"/>
          <w:szCs w:val="20"/>
        </w:rPr>
        <w:t xml:space="preserve">of </w:t>
      </w:r>
      <w:r w:rsidRPr="00FC4D68">
        <w:rPr>
          <w:rFonts w:ascii="Verdana" w:hAnsi="Verdana"/>
          <w:sz w:val="20"/>
          <w:szCs w:val="20"/>
        </w:rPr>
        <w:t>Dr</w:t>
      </w:r>
      <w:r w:rsidR="00497687" w:rsidRPr="00FC4D68">
        <w:rPr>
          <w:rFonts w:ascii="Verdana" w:hAnsi="Verdana" w:cs="Browallia New"/>
          <w:sz w:val="20"/>
          <w:szCs w:val="20"/>
        </w:rPr>
        <w:t>.</w:t>
      </w:r>
      <w:r w:rsidRPr="00FC4D68">
        <w:rPr>
          <w:rFonts w:ascii="Verdana" w:hAnsi="Verdana"/>
          <w:sz w:val="20"/>
          <w:szCs w:val="20"/>
        </w:rPr>
        <w:t> Seree Nonthasoot, member of the UN Committee on Economic, Social and Cultural Rights (CESCR). Th</w:t>
      </w:r>
      <w:r w:rsidR="00020C43" w:rsidRPr="00FC4D68">
        <w:rPr>
          <w:rFonts w:ascii="Verdana" w:hAnsi="Verdana"/>
          <w:sz w:val="20"/>
          <w:szCs w:val="20"/>
        </w:rPr>
        <w:t xml:space="preserve">is submission and the seminar were coordinated by the </w:t>
      </w:r>
      <w:r w:rsidRPr="00FC4D68">
        <w:rPr>
          <w:rFonts w:ascii="Verdana" w:hAnsi="Verdana"/>
          <w:sz w:val="20"/>
          <w:szCs w:val="20"/>
        </w:rPr>
        <w:t>International Commission of Jurists</w:t>
      </w:r>
      <w:r w:rsidR="00020C43" w:rsidRPr="00FC4D68">
        <w:rPr>
          <w:rFonts w:ascii="Verdana" w:hAnsi="Verdana"/>
          <w:sz w:val="20"/>
          <w:szCs w:val="20"/>
        </w:rPr>
        <w:t xml:space="preserve"> (ICJ)</w:t>
      </w:r>
      <w:r w:rsidRPr="00FC4D68">
        <w:rPr>
          <w:rFonts w:ascii="Verdana" w:hAnsi="Verdana"/>
          <w:sz w:val="20"/>
          <w:szCs w:val="20"/>
        </w:rPr>
        <w:t>.</w:t>
      </w:r>
      <w:r w:rsidRPr="00FC4D68">
        <w:rPr>
          <w:rFonts w:ascii="Verdana" w:eastAsia="Sarabun Regular" w:hAnsi="Verdana" w:cs="Sarabun Regular"/>
          <w:sz w:val="20"/>
          <w:szCs w:val="20"/>
          <w:vertAlign w:val="superscript"/>
        </w:rPr>
        <w:footnoteReference w:id="2"/>
      </w:r>
    </w:p>
    <w:p w14:paraId="0AE20A3C" w14:textId="3CAF3A6B" w:rsidR="00A90EE4" w:rsidRPr="00FC4D68" w:rsidRDefault="000B1163">
      <w:pPr>
        <w:pStyle w:val="ListParagraph"/>
        <w:numPr>
          <w:ilvl w:val="0"/>
          <w:numId w:val="2"/>
        </w:numPr>
        <w:spacing w:after="240"/>
        <w:jc w:val="both"/>
        <w:rPr>
          <w:rFonts w:ascii="Verdana" w:hAnsi="Verdana"/>
          <w:sz w:val="20"/>
          <w:szCs w:val="20"/>
        </w:rPr>
      </w:pPr>
      <w:r w:rsidRPr="00FC4D68">
        <w:rPr>
          <w:rStyle w:val="None"/>
          <w:rFonts w:ascii="Verdana" w:hAnsi="Verdana"/>
          <w:sz w:val="20"/>
          <w:szCs w:val="20"/>
        </w:rPr>
        <w:t>This submission focuses on land rights issues in Thailand and our r</w:t>
      </w:r>
      <w:r w:rsidR="001A200E" w:rsidRPr="00FC4D68">
        <w:rPr>
          <w:rStyle w:val="None"/>
          <w:rFonts w:ascii="Verdana" w:hAnsi="Verdana"/>
          <w:sz w:val="20"/>
          <w:szCs w:val="20"/>
        </w:rPr>
        <w:t>ecommendation</w:t>
      </w:r>
      <w:r w:rsidR="00020C43" w:rsidRPr="00FC4D68">
        <w:rPr>
          <w:rStyle w:val="None"/>
          <w:rFonts w:ascii="Verdana" w:hAnsi="Verdana"/>
          <w:sz w:val="20"/>
          <w:szCs w:val="20"/>
        </w:rPr>
        <w:t>s</w:t>
      </w:r>
      <w:r w:rsidR="001A200E" w:rsidRPr="00FC4D68">
        <w:rPr>
          <w:rStyle w:val="None"/>
          <w:rFonts w:ascii="Verdana" w:hAnsi="Verdana"/>
          <w:sz w:val="20"/>
          <w:szCs w:val="20"/>
        </w:rPr>
        <w:t xml:space="preserve"> to the </w:t>
      </w:r>
      <w:r w:rsidR="00D94DA0" w:rsidRPr="00FC4D68">
        <w:rPr>
          <w:rStyle w:val="None"/>
          <w:rFonts w:ascii="Verdana" w:hAnsi="Verdana"/>
          <w:sz w:val="20"/>
          <w:szCs w:val="20"/>
        </w:rPr>
        <w:t xml:space="preserve">draft </w:t>
      </w:r>
      <w:r w:rsidR="001A200E" w:rsidRPr="00FC4D68">
        <w:rPr>
          <w:rStyle w:val="None"/>
          <w:rFonts w:ascii="Verdana" w:hAnsi="Verdana"/>
          <w:sz w:val="20"/>
          <w:szCs w:val="20"/>
        </w:rPr>
        <w:t xml:space="preserve">General </w:t>
      </w:r>
      <w:r w:rsidR="00D94DA0" w:rsidRPr="00FC4D68">
        <w:rPr>
          <w:rStyle w:val="None"/>
          <w:rFonts w:ascii="Verdana" w:hAnsi="Verdana"/>
          <w:sz w:val="20"/>
          <w:szCs w:val="20"/>
        </w:rPr>
        <w:t>C</w:t>
      </w:r>
      <w:r w:rsidR="001A200E" w:rsidRPr="00FC4D68">
        <w:rPr>
          <w:rStyle w:val="None"/>
          <w:rFonts w:ascii="Verdana" w:hAnsi="Verdana"/>
          <w:sz w:val="20"/>
          <w:szCs w:val="20"/>
        </w:rPr>
        <w:t xml:space="preserve">omment No. 26 </w:t>
      </w:r>
      <w:r w:rsidR="00D94DA0" w:rsidRPr="00FC4D68">
        <w:rPr>
          <w:rStyle w:val="None"/>
          <w:rFonts w:ascii="Verdana" w:hAnsi="Verdana"/>
          <w:sz w:val="20"/>
          <w:szCs w:val="20"/>
        </w:rPr>
        <w:t>(2021) on land and economic, social and cultural rights (</w:t>
      </w:r>
      <w:r w:rsidR="0053092A" w:rsidRPr="00FC4D68">
        <w:rPr>
          <w:rStyle w:val="None"/>
          <w:rFonts w:ascii="Verdana" w:hAnsi="Verdana"/>
          <w:sz w:val="20"/>
          <w:szCs w:val="20"/>
        </w:rPr>
        <w:t>‘</w:t>
      </w:r>
      <w:r w:rsidR="00D94DA0" w:rsidRPr="00FC4D68">
        <w:rPr>
          <w:rStyle w:val="None"/>
          <w:rFonts w:ascii="Verdana" w:hAnsi="Verdana"/>
          <w:sz w:val="20"/>
          <w:szCs w:val="20"/>
        </w:rPr>
        <w:t>draft General Comment No. 26</w:t>
      </w:r>
      <w:r w:rsidR="0053092A" w:rsidRPr="00FC4D68">
        <w:rPr>
          <w:rStyle w:val="None"/>
          <w:rFonts w:ascii="Verdana" w:hAnsi="Verdana"/>
          <w:sz w:val="20"/>
          <w:szCs w:val="20"/>
        </w:rPr>
        <w:t>’</w:t>
      </w:r>
      <w:r w:rsidR="00D94DA0" w:rsidRPr="00FC4D68">
        <w:rPr>
          <w:rStyle w:val="None"/>
          <w:rFonts w:ascii="Verdana" w:hAnsi="Verdana"/>
          <w:sz w:val="20"/>
          <w:szCs w:val="20"/>
        </w:rPr>
        <w:t xml:space="preserve">) </w:t>
      </w:r>
      <w:r w:rsidR="0053092A" w:rsidRPr="00FC4D68">
        <w:rPr>
          <w:rStyle w:val="None"/>
          <w:rFonts w:ascii="Verdana" w:hAnsi="Verdana"/>
          <w:sz w:val="20"/>
          <w:szCs w:val="20"/>
        </w:rPr>
        <w:t>on the following areas</w:t>
      </w:r>
      <w:r w:rsidR="001A200E" w:rsidRPr="00FC4D68">
        <w:rPr>
          <w:rStyle w:val="None"/>
          <w:rFonts w:ascii="Verdana" w:hAnsi="Verdana"/>
          <w:sz w:val="20"/>
          <w:szCs w:val="20"/>
        </w:rPr>
        <w:t xml:space="preserve">: (a) participation, consultation, </w:t>
      </w:r>
      <w:r w:rsidR="001A200E" w:rsidRPr="00FC4D68">
        <w:rPr>
          <w:rStyle w:val="None"/>
          <w:rFonts w:ascii="Verdana" w:hAnsi="Verdana"/>
          <w:sz w:val="20"/>
          <w:szCs w:val="20"/>
        </w:rPr>
        <w:lastRenderedPageBreak/>
        <w:t xml:space="preserve">and transparency; (b) </w:t>
      </w:r>
      <w:r w:rsidRPr="00FC4D68">
        <w:rPr>
          <w:rStyle w:val="None"/>
          <w:rFonts w:ascii="Verdana" w:hAnsi="Verdana"/>
          <w:sz w:val="20"/>
          <w:szCs w:val="20"/>
        </w:rPr>
        <w:t>o</w:t>
      </w:r>
      <w:r w:rsidR="001A200E" w:rsidRPr="00FC4D68">
        <w:rPr>
          <w:rStyle w:val="None"/>
          <w:rFonts w:ascii="Verdana" w:hAnsi="Verdana"/>
          <w:sz w:val="20"/>
          <w:szCs w:val="20"/>
        </w:rPr>
        <w:t>bligations of States parties under the ICESCR</w:t>
      </w:r>
      <w:r w:rsidRPr="00FC4D68">
        <w:rPr>
          <w:rStyle w:val="None"/>
          <w:rFonts w:ascii="Verdana" w:hAnsi="Verdana"/>
          <w:sz w:val="20"/>
          <w:szCs w:val="20"/>
        </w:rPr>
        <w:t xml:space="preserve"> (o</w:t>
      </w:r>
      <w:r w:rsidR="001A200E" w:rsidRPr="00FC4D68">
        <w:rPr>
          <w:rStyle w:val="None"/>
          <w:rFonts w:ascii="Verdana" w:hAnsi="Verdana"/>
          <w:sz w:val="20"/>
          <w:szCs w:val="20"/>
        </w:rPr>
        <w:t>bligation to respect</w:t>
      </w:r>
      <w:r w:rsidRPr="00FC4D68">
        <w:rPr>
          <w:rStyle w:val="None"/>
          <w:rFonts w:ascii="Verdana" w:hAnsi="Verdana"/>
          <w:sz w:val="20"/>
          <w:szCs w:val="20"/>
        </w:rPr>
        <w:t>)</w:t>
      </w:r>
      <w:r w:rsidR="001A200E" w:rsidRPr="00FC4D68">
        <w:rPr>
          <w:rStyle w:val="None"/>
          <w:rFonts w:ascii="Verdana" w:hAnsi="Verdana"/>
          <w:sz w:val="20"/>
          <w:szCs w:val="20"/>
        </w:rPr>
        <w:t xml:space="preserve">; (c) </w:t>
      </w:r>
      <w:r w:rsidRPr="00FC4D68">
        <w:rPr>
          <w:rStyle w:val="None"/>
          <w:rFonts w:ascii="Verdana" w:hAnsi="Verdana"/>
          <w:sz w:val="20"/>
          <w:szCs w:val="20"/>
        </w:rPr>
        <w:t>o</w:t>
      </w:r>
      <w:r w:rsidR="001A200E" w:rsidRPr="00FC4D68">
        <w:rPr>
          <w:rStyle w:val="None"/>
          <w:rFonts w:ascii="Verdana" w:hAnsi="Verdana"/>
          <w:sz w:val="20"/>
          <w:szCs w:val="20"/>
        </w:rPr>
        <w:t>bligations of States parties under the ICESC</w:t>
      </w:r>
      <w:r w:rsidRPr="00FC4D68">
        <w:rPr>
          <w:rStyle w:val="None"/>
          <w:rFonts w:ascii="Verdana" w:hAnsi="Verdana"/>
          <w:sz w:val="20"/>
          <w:szCs w:val="20"/>
        </w:rPr>
        <w:t>R (o</w:t>
      </w:r>
      <w:r w:rsidR="001A200E" w:rsidRPr="00FC4D68">
        <w:rPr>
          <w:rStyle w:val="None"/>
          <w:rFonts w:ascii="Verdana" w:hAnsi="Verdana"/>
          <w:sz w:val="20"/>
          <w:szCs w:val="20"/>
        </w:rPr>
        <w:t>bligation to protect</w:t>
      </w:r>
      <w:r w:rsidRPr="00FC4D68">
        <w:rPr>
          <w:rStyle w:val="None"/>
          <w:rFonts w:ascii="Verdana" w:hAnsi="Verdana"/>
          <w:sz w:val="20"/>
          <w:szCs w:val="20"/>
        </w:rPr>
        <w:t>)</w:t>
      </w:r>
      <w:r w:rsidR="001A200E" w:rsidRPr="00FC4D68">
        <w:rPr>
          <w:rStyle w:val="None"/>
          <w:rFonts w:ascii="Verdana" w:hAnsi="Verdana"/>
          <w:sz w:val="20"/>
          <w:szCs w:val="20"/>
        </w:rPr>
        <w:t xml:space="preserve">; (d) </w:t>
      </w:r>
      <w:r w:rsidRPr="00FC4D68">
        <w:rPr>
          <w:rStyle w:val="None"/>
          <w:rFonts w:ascii="Verdana" w:hAnsi="Verdana"/>
          <w:sz w:val="20"/>
          <w:szCs w:val="20"/>
        </w:rPr>
        <w:t>e</w:t>
      </w:r>
      <w:r w:rsidR="001A200E" w:rsidRPr="00FC4D68">
        <w:rPr>
          <w:rStyle w:val="None"/>
          <w:rFonts w:ascii="Verdana" w:hAnsi="Verdana"/>
          <w:sz w:val="20"/>
          <w:szCs w:val="20"/>
        </w:rPr>
        <w:t>xtraterritorial obligations; (</w:t>
      </w:r>
      <w:r w:rsidRPr="00FC4D68">
        <w:rPr>
          <w:rStyle w:val="None"/>
          <w:rFonts w:ascii="Verdana" w:hAnsi="Verdana"/>
          <w:sz w:val="20"/>
          <w:szCs w:val="20"/>
        </w:rPr>
        <w:t>e</w:t>
      </w:r>
      <w:r w:rsidR="001A200E" w:rsidRPr="00FC4D68">
        <w:rPr>
          <w:rStyle w:val="None"/>
          <w:rFonts w:ascii="Verdana" w:hAnsi="Verdana"/>
          <w:sz w:val="20"/>
          <w:szCs w:val="20"/>
        </w:rPr>
        <w:t xml:space="preserve">) </w:t>
      </w:r>
      <w:r w:rsidRPr="00FC4D68">
        <w:rPr>
          <w:rStyle w:val="None"/>
          <w:rFonts w:ascii="Verdana" w:hAnsi="Verdana"/>
          <w:sz w:val="20"/>
          <w:szCs w:val="20"/>
        </w:rPr>
        <w:t>s</w:t>
      </w:r>
      <w:r w:rsidR="001A200E" w:rsidRPr="00FC4D68">
        <w:rPr>
          <w:rStyle w:val="None"/>
          <w:rFonts w:ascii="Verdana" w:hAnsi="Verdana"/>
          <w:sz w:val="20"/>
          <w:szCs w:val="20"/>
        </w:rPr>
        <w:t xml:space="preserve">pecific topics; and (f) </w:t>
      </w:r>
      <w:r w:rsidRPr="00FC4D68">
        <w:rPr>
          <w:rStyle w:val="None"/>
          <w:rFonts w:ascii="Verdana" w:hAnsi="Verdana"/>
          <w:sz w:val="20"/>
          <w:szCs w:val="20"/>
        </w:rPr>
        <w:t>r</w:t>
      </w:r>
      <w:r w:rsidR="001A200E" w:rsidRPr="00FC4D68">
        <w:rPr>
          <w:rStyle w:val="None"/>
          <w:rFonts w:ascii="Verdana" w:hAnsi="Verdana"/>
          <w:sz w:val="20"/>
          <w:szCs w:val="20"/>
        </w:rPr>
        <w:t xml:space="preserve">emedies. </w:t>
      </w:r>
    </w:p>
    <w:p w14:paraId="1CAF4D6E" w14:textId="77777777" w:rsidR="00A90EE4" w:rsidRPr="00FC4D68" w:rsidRDefault="001A200E">
      <w:pPr>
        <w:pStyle w:val="BodyA"/>
        <w:spacing w:after="240"/>
        <w:jc w:val="both"/>
        <w:rPr>
          <w:rStyle w:val="None"/>
          <w:rFonts w:ascii="Verdana" w:eastAsia="Sarabun Regular" w:hAnsi="Verdana" w:cs="Sarabun Regular"/>
          <w:b/>
          <w:bCs/>
          <w:sz w:val="20"/>
          <w:szCs w:val="20"/>
        </w:rPr>
      </w:pPr>
      <w:bookmarkStart w:id="1" w:name="_Hlk77793267"/>
      <w:r w:rsidRPr="00FC4D68">
        <w:rPr>
          <w:rStyle w:val="None"/>
          <w:rFonts w:ascii="Verdana" w:hAnsi="Verdana"/>
          <w:b/>
          <w:bCs/>
          <w:sz w:val="20"/>
          <w:szCs w:val="20"/>
        </w:rPr>
        <w:t>Participation, consultation and transparency</w:t>
      </w:r>
      <w:bookmarkEnd w:id="1"/>
    </w:p>
    <w:p w14:paraId="061DABAA" w14:textId="3032F32A" w:rsidR="009A2B1D" w:rsidRPr="00FC4D68" w:rsidRDefault="00834E47">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T</w:t>
      </w:r>
      <w:r w:rsidR="001A200E" w:rsidRPr="00FC4D68">
        <w:rPr>
          <w:rStyle w:val="None"/>
          <w:rFonts w:ascii="Verdana" w:hAnsi="Verdana"/>
          <w:sz w:val="20"/>
          <w:szCs w:val="20"/>
        </w:rPr>
        <w:t xml:space="preserve">he </w:t>
      </w:r>
      <w:r w:rsidR="0053161B" w:rsidRPr="00FC4D68">
        <w:rPr>
          <w:rStyle w:val="None"/>
          <w:rFonts w:ascii="Verdana" w:hAnsi="Verdana"/>
          <w:sz w:val="20"/>
          <w:szCs w:val="20"/>
        </w:rPr>
        <w:t xml:space="preserve">draft </w:t>
      </w:r>
      <w:r w:rsidR="001A200E" w:rsidRPr="00FC4D68">
        <w:rPr>
          <w:rStyle w:val="None"/>
          <w:rFonts w:ascii="Verdana" w:hAnsi="Verdana"/>
          <w:sz w:val="20"/>
          <w:szCs w:val="20"/>
        </w:rPr>
        <w:t xml:space="preserve">General </w:t>
      </w:r>
      <w:r w:rsidR="0053161B" w:rsidRPr="00FC4D68">
        <w:rPr>
          <w:rStyle w:val="None"/>
          <w:rFonts w:ascii="Verdana" w:hAnsi="Verdana"/>
          <w:sz w:val="20"/>
          <w:szCs w:val="20"/>
        </w:rPr>
        <w:t>C</w:t>
      </w:r>
      <w:r w:rsidR="001A200E" w:rsidRPr="00FC4D68">
        <w:rPr>
          <w:rStyle w:val="None"/>
          <w:rFonts w:ascii="Verdana" w:hAnsi="Verdana"/>
          <w:sz w:val="20"/>
          <w:szCs w:val="20"/>
        </w:rPr>
        <w:t>omment No. 26</w:t>
      </w:r>
      <w:r w:rsidR="0053161B" w:rsidRPr="00FC4D68">
        <w:rPr>
          <w:rStyle w:val="None"/>
          <w:rFonts w:ascii="Verdana" w:hAnsi="Verdana"/>
          <w:sz w:val="20"/>
          <w:szCs w:val="20"/>
        </w:rPr>
        <w:t xml:space="preserve"> </w:t>
      </w:r>
      <w:r w:rsidR="001A200E" w:rsidRPr="00FC4D68">
        <w:rPr>
          <w:rStyle w:val="None"/>
          <w:rFonts w:ascii="Verdana" w:hAnsi="Verdana"/>
          <w:sz w:val="20"/>
          <w:szCs w:val="20"/>
        </w:rPr>
        <w:t>recognize</w:t>
      </w:r>
      <w:r w:rsidR="0053161B" w:rsidRPr="00FC4D68">
        <w:rPr>
          <w:rStyle w:val="None"/>
          <w:rFonts w:ascii="Verdana" w:hAnsi="Verdana"/>
          <w:sz w:val="20"/>
          <w:szCs w:val="20"/>
        </w:rPr>
        <w:t>s that the</w:t>
      </w:r>
      <w:r w:rsidR="001A200E" w:rsidRPr="00FC4D68">
        <w:rPr>
          <w:rStyle w:val="None"/>
          <w:rFonts w:ascii="Verdana" w:hAnsi="Verdana"/>
          <w:sz w:val="20"/>
          <w:szCs w:val="20"/>
        </w:rPr>
        <w:t xml:space="preserve"> governance of land tenure is linked to access to and management of other natural resources, such as water and mineral resources (</w:t>
      </w:r>
      <w:r w:rsidR="0053161B" w:rsidRPr="00FC4D68">
        <w:rPr>
          <w:rStyle w:val="None"/>
          <w:rFonts w:ascii="Verdana" w:hAnsi="Verdana"/>
          <w:sz w:val="20"/>
          <w:szCs w:val="20"/>
        </w:rPr>
        <w:t>p</w:t>
      </w:r>
      <w:r w:rsidR="001A200E" w:rsidRPr="00FC4D68">
        <w:rPr>
          <w:rStyle w:val="None"/>
          <w:rFonts w:ascii="Verdana" w:hAnsi="Verdana"/>
          <w:sz w:val="20"/>
          <w:szCs w:val="20"/>
        </w:rPr>
        <w:t>ara</w:t>
      </w:r>
      <w:r w:rsidR="0053161B" w:rsidRPr="00FC4D68">
        <w:rPr>
          <w:rStyle w:val="None"/>
          <w:rFonts w:ascii="Verdana" w:hAnsi="Verdana"/>
          <w:sz w:val="20"/>
          <w:szCs w:val="20"/>
        </w:rPr>
        <w:t>graph</w:t>
      </w:r>
      <w:r w:rsidR="001A200E" w:rsidRPr="00FC4D68">
        <w:rPr>
          <w:rStyle w:val="None"/>
          <w:rFonts w:ascii="Verdana" w:hAnsi="Verdana"/>
          <w:sz w:val="20"/>
          <w:szCs w:val="20"/>
        </w:rPr>
        <w:t xml:space="preserve"> 6) and </w:t>
      </w:r>
      <w:r w:rsidR="0053161B" w:rsidRPr="00FC4D68">
        <w:rPr>
          <w:rStyle w:val="None"/>
          <w:rFonts w:ascii="Verdana" w:hAnsi="Verdana"/>
          <w:sz w:val="20"/>
          <w:szCs w:val="20"/>
        </w:rPr>
        <w:t xml:space="preserve">the importance of the </w:t>
      </w:r>
      <w:r w:rsidR="001A200E" w:rsidRPr="00FC4D68">
        <w:rPr>
          <w:rStyle w:val="None"/>
          <w:rFonts w:ascii="Verdana" w:hAnsi="Verdana"/>
          <w:sz w:val="20"/>
          <w:szCs w:val="20"/>
        </w:rPr>
        <w:t xml:space="preserve">informed and meaningful participation and consultation </w:t>
      </w:r>
      <w:r w:rsidR="0053161B" w:rsidRPr="00FC4D68">
        <w:rPr>
          <w:rStyle w:val="None"/>
          <w:rFonts w:ascii="Verdana" w:hAnsi="Verdana"/>
          <w:sz w:val="20"/>
          <w:szCs w:val="20"/>
        </w:rPr>
        <w:t xml:space="preserve">of individuals and communities </w:t>
      </w:r>
      <w:r w:rsidR="001A200E" w:rsidRPr="00FC4D68">
        <w:rPr>
          <w:rStyle w:val="None"/>
          <w:rFonts w:ascii="Verdana" w:hAnsi="Verdana"/>
          <w:sz w:val="20"/>
          <w:szCs w:val="20"/>
        </w:rPr>
        <w:t>in all land-related policies (para</w:t>
      </w:r>
      <w:r w:rsidR="0053161B" w:rsidRPr="00FC4D68">
        <w:rPr>
          <w:rStyle w:val="None"/>
          <w:rFonts w:ascii="Verdana" w:hAnsi="Verdana"/>
          <w:sz w:val="20"/>
          <w:szCs w:val="20"/>
        </w:rPr>
        <w:t>graph</w:t>
      </w:r>
      <w:r w:rsidR="001A200E" w:rsidRPr="00FC4D68">
        <w:rPr>
          <w:rStyle w:val="None"/>
          <w:rFonts w:ascii="Verdana" w:hAnsi="Verdana"/>
          <w:sz w:val="20"/>
          <w:szCs w:val="20"/>
        </w:rPr>
        <w:t xml:space="preserve"> 18). </w:t>
      </w:r>
      <w:r w:rsidR="0053161B" w:rsidRPr="00FC4D68">
        <w:rPr>
          <w:rStyle w:val="None"/>
          <w:rFonts w:ascii="Verdana" w:hAnsi="Verdana"/>
          <w:sz w:val="20"/>
          <w:szCs w:val="20"/>
        </w:rPr>
        <w:t xml:space="preserve">However, </w:t>
      </w:r>
      <w:r w:rsidR="00414E36" w:rsidRPr="00FC4D68">
        <w:rPr>
          <w:rStyle w:val="None"/>
          <w:rFonts w:ascii="Verdana" w:hAnsi="Verdana"/>
          <w:sz w:val="20"/>
          <w:szCs w:val="20"/>
        </w:rPr>
        <w:t>we</w:t>
      </w:r>
      <w:r w:rsidR="0053161B" w:rsidRPr="00FC4D68">
        <w:rPr>
          <w:rStyle w:val="None"/>
          <w:rFonts w:ascii="Verdana" w:hAnsi="Verdana"/>
          <w:sz w:val="20"/>
          <w:szCs w:val="20"/>
        </w:rPr>
        <w:t xml:space="preserve"> are of the </w:t>
      </w:r>
      <w:r w:rsidR="00F321DF" w:rsidRPr="00FC4D68">
        <w:rPr>
          <w:rStyle w:val="None"/>
          <w:rFonts w:ascii="Verdana" w:hAnsi="Verdana"/>
          <w:sz w:val="20"/>
          <w:szCs w:val="20"/>
        </w:rPr>
        <w:t>opinion</w:t>
      </w:r>
      <w:r w:rsidR="0053161B" w:rsidRPr="00FC4D68">
        <w:rPr>
          <w:rStyle w:val="None"/>
          <w:rFonts w:ascii="Verdana" w:hAnsi="Verdana"/>
          <w:sz w:val="20"/>
          <w:szCs w:val="20"/>
        </w:rPr>
        <w:t xml:space="preserve"> that </w:t>
      </w:r>
      <w:r w:rsidR="00F321DF" w:rsidRPr="00FC4D68">
        <w:rPr>
          <w:rStyle w:val="None"/>
          <w:rFonts w:ascii="Verdana" w:hAnsi="Verdana"/>
          <w:sz w:val="20"/>
          <w:szCs w:val="20"/>
        </w:rPr>
        <w:t xml:space="preserve">the above noted “land-related policies” </w:t>
      </w:r>
      <w:r w:rsidR="001E2A55" w:rsidRPr="00FC4D68">
        <w:rPr>
          <w:rStyle w:val="None"/>
          <w:rFonts w:ascii="Verdana" w:hAnsi="Verdana"/>
          <w:sz w:val="20"/>
          <w:szCs w:val="20"/>
        </w:rPr>
        <w:t>(</w:t>
      </w:r>
      <w:r w:rsidR="00F321DF" w:rsidRPr="00FC4D68">
        <w:rPr>
          <w:rStyle w:val="None"/>
          <w:rFonts w:ascii="Verdana" w:hAnsi="Verdana"/>
          <w:sz w:val="20"/>
          <w:szCs w:val="20"/>
        </w:rPr>
        <w:t>paragraph 18</w:t>
      </w:r>
      <w:r w:rsidR="001E2A55" w:rsidRPr="00FC4D68">
        <w:rPr>
          <w:rStyle w:val="None"/>
          <w:rFonts w:ascii="Verdana" w:hAnsi="Verdana"/>
          <w:sz w:val="20"/>
          <w:szCs w:val="20"/>
        </w:rPr>
        <w:t xml:space="preserve">, </w:t>
      </w:r>
      <w:r w:rsidR="00F321DF" w:rsidRPr="00FC4D68">
        <w:rPr>
          <w:rStyle w:val="None"/>
          <w:rFonts w:ascii="Verdana" w:hAnsi="Verdana"/>
          <w:sz w:val="20"/>
          <w:szCs w:val="20"/>
        </w:rPr>
        <w:t xml:space="preserve">draft </w:t>
      </w:r>
      <w:r w:rsidR="001A200E" w:rsidRPr="00FC4D68">
        <w:rPr>
          <w:rStyle w:val="None"/>
          <w:rFonts w:ascii="Verdana" w:hAnsi="Verdana"/>
          <w:sz w:val="20"/>
          <w:szCs w:val="20"/>
        </w:rPr>
        <w:t>General Comment No. 26</w:t>
      </w:r>
      <w:r w:rsidR="001E2A55" w:rsidRPr="00FC4D68">
        <w:rPr>
          <w:rStyle w:val="None"/>
          <w:rFonts w:ascii="Verdana" w:hAnsi="Verdana"/>
          <w:sz w:val="20"/>
          <w:szCs w:val="20"/>
        </w:rPr>
        <w:t>)</w:t>
      </w:r>
      <w:r w:rsidR="00F321DF" w:rsidRPr="00FC4D68">
        <w:rPr>
          <w:rStyle w:val="None"/>
          <w:rFonts w:ascii="Verdana" w:hAnsi="Verdana"/>
          <w:sz w:val="20"/>
          <w:szCs w:val="20"/>
        </w:rPr>
        <w:t xml:space="preserve"> should </w:t>
      </w:r>
      <w:r w:rsidR="00F95CF9" w:rsidRPr="00FC4D68">
        <w:rPr>
          <w:rStyle w:val="None"/>
          <w:rFonts w:ascii="Verdana" w:hAnsi="Verdana"/>
          <w:sz w:val="20"/>
          <w:szCs w:val="20"/>
        </w:rPr>
        <w:t xml:space="preserve">explicitly </w:t>
      </w:r>
      <w:r w:rsidR="009A2B1D" w:rsidRPr="00FC4D68">
        <w:rPr>
          <w:rStyle w:val="None"/>
          <w:rFonts w:ascii="Verdana" w:hAnsi="Verdana"/>
          <w:sz w:val="20"/>
          <w:szCs w:val="20"/>
        </w:rPr>
        <w:t>includ</w:t>
      </w:r>
      <w:r w:rsidR="00C22FF1" w:rsidRPr="00FC4D68">
        <w:rPr>
          <w:rStyle w:val="None"/>
          <w:rFonts w:ascii="Verdana" w:hAnsi="Verdana"/>
          <w:sz w:val="20"/>
          <w:szCs w:val="20"/>
        </w:rPr>
        <w:t>e</w:t>
      </w:r>
      <w:r w:rsidR="00414E36" w:rsidRPr="00FC4D68">
        <w:rPr>
          <w:rStyle w:val="None"/>
          <w:rFonts w:ascii="Verdana" w:hAnsi="Verdana"/>
          <w:sz w:val="20"/>
          <w:szCs w:val="20"/>
        </w:rPr>
        <w:t xml:space="preserve"> </w:t>
      </w:r>
      <w:r w:rsidR="00F95CF9" w:rsidRPr="00FC4D68">
        <w:rPr>
          <w:rStyle w:val="None"/>
          <w:rFonts w:ascii="Verdana" w:hAnsi="Verdana"/>
          <w:sz w:val="20"/>
          <w:szCs w:val="20"/>
        </w:rPr>
        <w:t>policies</w:t>
      </w:r>
      <w:r w:rsidR="00414E36" w:rsidRPr="00FC4D68">
        <w:rPr>
          <w:rStyle w:val="None"/>
          <w:rFonts w:ascii="Verdana" w:hAnsi="Verdana"/>
          <w:sz w:val="20"/>
          <w:szCs w:val="20"/>
        </w:rPr>
        <w:t xml:space="preserve"> related to</w:t>
      </w:r>
      <w:r w:rsidR="009A2B1D" w:rsidRPr="00FC4D68">
        <w:rPr>
          <w:rStyle w:val="None"/>
          <w:rFonts w:ascii="Verdana" w:hAnsi="Verdana"/>
          <w:sz w:val="20"/>
          <w:szCs w:val="20"/>
        </w:rPr>
        <w:t xml:space="preserve"> minerals and natural resources underground </w:t>
      </w:r>
      <w:r w:rsidR="005F756E" w:rsidRPr="00FC4D68">
        <w:rPr>
          <w:rStyle w:val="None"/>
          <w:rFonts w:ascii="Verdana" w:hAnsi="Verdana"/>
          <w:sz w:val="20"/>
          <w:szCs w:val="20"/>
        </w:rPr>
        <w:t>and</w:t>
      </w:r>
      <w:r w:rsidR="009A2B1D" w:rsidRPr="00FC4D68">
        <w:rPr>
          <w:rStyle w:val="None"/>
          <w:rFonts w:ascii="Verdana" w:hAnsi="Verdana"/>
          <w:sz w:val="20"/>
          <w:szCs w:val="20"/>
        </w:rPr>
        <w:t xml:space="preserve"> underwater</w:t>
      </w:r>
      <w:r w:rsidRPr="00FC4D68">
        <w:rPr>
          <w:rStyle w:val="None"/>
          <w:rFonts w:ascii="Verdana" w:hAnsi="Verdana"/>
          <w:sz w:val="20"/>
          <w:szCs w:val="20"/>
        </w:rPr>
        <w:t xml:space="preserve">. </w:t>
      </w:r>
      <w:r w:rsidR="00CA0C01" w:rsidRPr="00FC4D68">
        <w:rPr>
          <w:rStyle w:val="None"/>
          <w:rFonts w:ascii="Verdana" w:hAnsi="Verdana"/>
          <w:sz w:val="20"/>
          <w:szCs w:val="20"/>
        </w:rPr>
        <w:t>While ensuring the sustainable use of natural resources</w:t>
      </w:r>
      <w:r w:rsidR="00CA0C01" w:rsidRPr="00FC4D68">
        <w:rPr>
          <w:rStyle w:val="None"/>
          <w:rFonts w:ascii="Verdana" w:hAnsi="Verdana" w:cs="Browallia New"/>
          <w:sz w:val="20"/>
          <w:szCs w:val="25"/>
        </w:rPr>
        <w:t>, pa</w:t>
      </w:r>
      <w:r w:rsidRPr="00FC4D68">
        <w:rPr>
          <w:rStyle w:val="None"/>
          <w:rFonts w:ascii="Verdana" w:hAnsi="Verdana"/>
          <w:sz w:val="20"/>
          <w:szCs w:val="20"/>
        </w:rPr>
        <w:t xml:space="preserve">rticipation and consultation should be guaranteed </w:t>
      </w:r>
      <w:r w:rsidR="009A2B1D" w:rsidRPr="00FC4D68">
        <w:rPr>
          <w:rStyle w:val="None"/>
          <w:rFonts w:ascii="Verdana" w:hAnsi="Verdana"/>
          <w:sz w:val="20"/>
          <w:szCs w:val="20"/>
        </w:rPr>
        <w:t>before the concession</w:t>
      </w:r>
      <w:r w:rsidR="005F756E" w:rsidRPr="00FC4D68">
        <w:rPr>
          <w:rStyle w:val="None"/>
          <w:rFonts w:ascii="Verdana" w:hAnsi="Verdana"/>
          <w:sz w:val="20"/>
          <w:szCs w:val="20"/>
        </w:rPr>
        <w:t>s</w:t>
      </w:r>
      <w:r w:rsidR="009A2B1D" w:rsidRPr="00FC4D68">
        <w:rPr>
          <w:rStyle w:val="None"/>
          <w:rFonts w:ascii="Verdana" w:hAnsi="Verdana"/>
          <w:sz w:val="20"/>
          <w:szCs w:val="20"/>
        </w:rPr>
        <w:t xml:space="preserve"> granted to any entities or </w:t>
      </w:r>
      <w:r w:rsidR="00414E36" w:rsidRPr="00FC4D68">
        <w:rPr>
          <w:rStyle w:val="None"/>
          <w:rFonts w:ascii="Verdana" w:hAnsi="Verdana"/>
          <w:sz w:val="20"/>
          <w:szCs w:val="20"/>
        </w:rPr>
        <w:t xml:space="preserve">such resources be utilized </w:t>
      </w:r>
      <w:r w:rsidR="009A2B1D" w:rsidRPr="00FC4D68">
        <w:rPr>
          <w:rStyle w:val="None"/>
          <w:rFonts w:ascii="Verdana" w:hAnsi="Verdana"/>
          <w:sz w:val="20"/>
          <w:szCs w:val="20"/>
        </w:rPr>
        <w:t>for any purposes.</w:t>
      </w:r>
    </w:p>
    <w:p w14:paraId="31BD595D" w14:textId="15E6ECA3" w:rsidR="00A90EE4" w:rsidRPr="00FC4D68" w:rsidRDefault="005F756E" w:rsidP="000471BA">
      <w:pPr>
        <w:pStyle w:val="ListParagraph"/>
        <w:numPr>
          <w:ilvl w:val="0"/>
          <w:numId w:val="2"/>
        </w:numPr>
        <w:spacing w:after="240"/>
        <w:jc w:val="both"/>
        <w:rPr>
          <w:rFonts w:ascii="Verdana" w:hAnsi="Verdana"/>
          <w:sz w:val="20"/>
          <w:szCs w:val="20"/>
        </w:rPr>
      </w:pPr>
      <w:r w:rsidRPr="00FC4D68">
        <w:rPr>
          <w:rStyle w:val="None"/>
          <w:rFonts w:ascii="Verdana" w:hAnsi="Verdana"/>
          <w:sz w:val="20"/>
          <w:szCs w:val="20"/>
        </w:rPr>
        <w:t xml:space="preserve">Regarding the participation and consultation of individuals and communities in all land-related policies as </w:t>
      </w:r>
      <w:r w:rsidR="00D72E76" w:rsidRPr="00FC4D68">
        <w:rPr>
          <w:rStyle w:val="None"/>
          <w:rFonts w:ascii="Verdana" w:hAnsi="Verdana"/>
          <w:sz w:val="20"/>
          <w:szCs w:val="20"/>
        </w:rPr>
        <w:t>stated</w:t>
      </w:r>
      <w:r w:rsidRPr="00FC4D68">
        <w:rPr>
          <w:rStyle w:val="None"/>
          <w:rFonts w:ascii="Verdana" w:hAnsi="Verdana"/>
          <w:sz w:val="20"/>
          <w:szCs w:val="20"/>
        </w:rPr>
        <w:t xml:space="preserve"> in paragraph 18, based on o</w:t>
      </w:r>
      <w:r w:rsidR="001A200E" w:rsidRPr="00FC4D68">
        <w:rPr>
          <w:rStyle w:val="None"/>
          <w:rFonts w:ascii="Verdana" w:hAnsi="Verdana"/>
          <w:sz w:val="20"/>
          <w:szCs w:val="20"/>
        </w:rPr>
        <w:t xml:space="preserve">ur experience </w:t>
      </w:r>
      <w:r w:rsidR="00A06FFF" w:rsidRPr="00FC4D68">
        <w:rPr>
          <w:rStyle w:val="None"/>
          <w:rFonts w:ascii="Verdana" w:hAnsi="Verdana"/>
          <w:sz w:val="20"/>
          <w:szCs w:val="20"/>
        </w:rPr>
        <w:t>in</w:t>
      </w:r>
      <w:r w:rsidR="001A200E" w:rsidRPr="00FC4D68">
        <w:rPr>
          <w:rStyle w:val="None"/>
          <w:rFonts w:ascii="Verdana" w:hAnsi="Verdana"/>
          <w:sz w:val="20"/>
          <w:szCs w:val="20"/>
        </w:rPr>
        <w:t xml:space="preserve"> Thailand</w:t>
      </w:r>
      <w:r w:rsidRPr="00FC4D68">
        <w:rPr>
          <w:rStyle w:val="None"/>
          <w:rFonts w:ascii="Verdana" w:hAnsi="Verdana"/>
          <w:sz w:val="20"/>
          <w:szCs w:val="20"/>
        </w:rPr>
        <w:t xml:space="preserve">, we are of the view that the </w:t>
      </w:r>
      <w:r w:rsidR="00A06FFF" w:rsidRPr="00FC4D68">
        <w:rPr>
          <w:rStyle w:val="None"/>
          <w:rFonts w:ascii="Verdana" w:hAnsi="Verdana"/>
          <w:sz w:val="20"/>
          <w:szCs w:val="20"/>
        </w:rPr>
        <w:t>CESCR</w:t>
      </w:r>
      <w:r w:rsidRPr="00FC4D68">
        <w:rPr>
          <w:rStyle w:val="None"/>
          <w:rFonts w:ascii="Verdana" w:hAnsi="Verdana"/>
          <w:sz w:val="20"/>
          <w:szCs w:val="20"/>
        </w:rPr>
        <w:t xml:space="preserve"> should also address</w:t>
      </w:r>
      <w:r w:rsidR="001A200E" w:rsidRPr="00FC4D68">
        <w:rPr>
          <w:rStyle w:val="None"/>
          <w:rFonts w:ascii="Verdana" w:hAnsi="Verdana"/>
          <w:sz w:val="20"/>
          <w:szCs w:val="20"/>
        </w:rPr>
        <w:t xml:space="preserve"> </w:t>
      </w:r>
      <w:r w:rsidRPr="00FC4D68">
        <w:rPr>
          <w:rStyle w:val="None"/>
          <w:rFonts w:ascii="Verdana" w:hAnsi="Verdana"/>
          <w:sz w:val="20"/>
          <w:szCs w:val="20"/>
        </w:rPr>
        <w:t>the</w:t>
      </w:r>
      <w:r w:rsidR="002441A6" w:rsidRPr="00FC4D68">
        <w:rPr>
          <w:rStyle w:val="None"/>
          <w:rFonts w:ascii="Verdana" w:hAnsi="Verdana"/>
          <w:sz w:val="20"/>
          <w:szCs w:val="20"/>
        </w:rPr>
        <w:t xml:space="preserve"> </w:t>
      </w:r>
      <w:r w:rsidR="001A200E" w:rsidRPr="00FC4D68">
        <w:rPr>
          <w:rStyle w:val="None"/>
          <w:rFonts w:ascii="Verdana" w:hAnsi="Verdana"/>
          <w:sz w:val="20"/>
          <w:szCs w:val="20"/>
        </w:rPr>
        <w:t xml:space="preserve">practice of </w:t>
      </w:r>
      <w:r w:rsidRPr="00FC4D68">
        <w:rPr>
          <w:rStyle w:val="None"/>
          <w:rFonts w:ascii="Verdana" w:hAnsi="Verdana"/>
          <w:sz w:val="20"/>
          <w:szCs w:val="20"/>
        </w:rPr>
        <w:t>conducting</w:t>
      </w:r>
      <w:r w:rsidR="001A200E" w:rsidRPr="00FC4D68">
        <w:rPr>
          <w:rStyle w:val="None"/>
          <w:rFonts w:ascii="Verdana" w:hAnsi="Verdana"/>
          <w:sz w:val="20"/>
          <w:szCs w:val="20"/>
        </w:rPr>
        <w:t xml:space="preserve"> public consultations </w:t>
      </w:r>
      <w:r w:rsidR="002441A6" w:rsidRPr="00FC4D68">
        <w:rPr>
          <w:rStyle w:val="None"/>
          <w:rFonts w:ascii="Verdana" w:hAnsi="Verdana"/>
          <w:sz w:val="20"/>
          <w:szCs w:val="20"/>
        </w:rPr>
        <w:t>via online platforms</w:t>
      </w:r>
      <w:r w:rsidR="000471BA" w:rsidRPr="00FC4D68">
        <w:rPr>
          <w:rStyle w:val="None"/>
          <w:rFonts w:ascii="Verdana" w:hAnsi="Verdana"/>
          <w:sz w:val="20"/>
          <w:szCs w:val="20"/>
        </w:rPr>
        <w:t xml:space="preserve"> that has been increasingly adopted, d</w:t>
      </w:r>
      <w:r w:rsidR="001A200E" w:rsidRPr="00FC4D68">
        <w:rPr>
          <w:rStyle w:val="None"/>
          <w:rFonts w:ascii="Verdana" w:hAnsi="Verdana"/>
          <w:sz w:val="20"/>
          <w:szCs w:val="20"/>
        </w:rPr>
        <w:t>espite the</w:t>
      </w:r>
      <w:r w:rsidR="000471BA" w:rsidRPr="00FC4D68">
        <w:rPr>
          <w:rStyle w:val="None"/>
          <w:rFonts w:ascii="Verdana" w:hAnsi="Verdana"/>
          <w:sz w:val="20"/>
          <w:szCs w:val="20"/>
        </w:rPr>
        <w:t xml:space="preserve"> fac</w:t>
      </w:r>
      <w:r w:rsidR="00A06FFF" w:rsidRPr="00FC4D68">
        <w:rPr>
          <w:rStyle w:val="None"/>
          <w:rFonts w:ascii="Verdana" w:hAnsi="Verdana"/>
          <w:sz w:val="20"/>
          <w:szCs w:val="20"/>
        </w:rPr>
        <w:t>t</w:t>
      </w:r>
      <w:r w:rsidR="000471BA" w:rsidRPr="00FC4D68">
        <w:rPr>
          <w:rStyle w:val="None"/>
          <w:rFonts w:ascii="Verdana" w:hAnsi="Verdana"/>
          <w:sz w:val="20"/>
          <w:szCs w:val="20"/>
        </w:rPr>
        <w:t xml:space="preserve"> that individuals and communities in </w:t>
      </w:r>
      <w:r w:rsidR="00A06FFF" w:rsidRPr="00FC4D68">
        <w:rPr>
          <w:rStyle w:val="None"/>
          <w:rFonts w:ascii="Verdana" w:hAnsi="Verdana"/>
          <w:sz w:val="20"/>
          <w:szCs w:val="20"/>
        </w:rPr>
        <w:t>many</w:t>
      </w:r>
      <w:r w:rsidR="000471BA" w:rsidRPr="00FC4D68">
        <w:rPr>
          <w:rStyle w:val="None"/>
          <w:rFonts w:ascii="Verdana" w:hAnsi="Verdana"/>
          <w:sz w:val="20"/>
          <w:szCs w:val="20"/>
        </w:rPr>
        <w:t xml:space="preserve"> areas still has no access or means to participate in such online consultation</w:t>
      </w:r>
      <w:r w:rsidR="00A06FFF" w:rsidRPr="00FC4D68">
        <w:rPr>
          <w:rStyle w:val="None"/>
          <w:rFonts w:ascii="Verdana" w:hAnsi="Verdana"/>
          <w:sz w:val="20"/>
          <w:szCs w:val="20"/>
        </w:rPr>
        <w:t>s</w:t>
      </w:r>
      <w:r w:rsidR="000471BA" w:rsidRPr="00FC4D68">
        <w:rPr>
          <w:rStyle w:val="None"/>
          <w:rFonts w:ascii="Verdana" w:hAnsi="Verdana"/>
          <w:sz w:val="20"/>
          <w:szCs w:val="20"/>
        </w:rPr>
        <w:t xml:space="preserve">. </w:t>
      </w:r>
      <w:r w:rsidR="00CC703C" w:rsidRPr="00FC4D68">
        <w:rPr>
          <w:rStyle w:val="None"/>
          <w:rFonts w:ascii="Verdana" w:hAnsi="Verdana" w:cs="Browallia New"/>
          <w:sz w:val="20"/>
          <w:szCs w:val="25"/>
        </w:rPr>
        <w:t>Contributing</w:t>
      </w:r>
      <w:r w:rsidR="00093109" w:rsidRPr="00FC4D68">
        <w:rPr>
          <w:rStyle w:val="None"/>
          <w:rFonts w:ascii="Verdana" w:hAnsi="Verdana"/>
          <w:sz w:val="20"/>
          <w:szCs w:val="20"/>
        </w:rPr>
        <w:t xml:space="preserve"> organisations</w:t>
      </w:r>
      <w:r w:rsidR="000471BA" w:rsidRPr="00FC4D68">
        <w:rPr>
          <w:rStyle w:val="None"/>
          <w:rFonts w:ascii="Verdana" w:hAnsi="Verdana"/>
          <w:sz w:val="20"/>
          <w:szCs w:val="20"/>
        </w:rPr>
        <w:t xml:space="preserve"> are of the view that</w:t>
      </w:r>
      <w:r w:rsidR="001A200E" w:rsidRPr="00FC4D68">
        <w:rPr>
          <w:rStyle w:val="None"/>
          <w:rFonts w:ascii="Verdana" w:hAnsi="Verdana"/>
          <w:sz w:val="20"/>
          <w:szCs w:val="20"/>
        </w:rPr>
        <w:t>, present</w:t>
      </w:r>
      <w:r w:rsidR="000471BA" w:rsidRPr="00FC4D68">
        <w:rPr>
          <w:rStyle w:val="None"/>
          <w:rFonts w:ascii="Verdana" w:hAnsi="Verdana"/>
          <w:sz w:val="20"/>
          <w:szCs w:val="20"/>
        </w:rPr>
        <w:t>ly</w:t>
      </w:r>
      <w:r w:rsidR="001A200E" w:rsidRPr="00FC4D68">
        <w:rPr>
          <w:rStyle w:val="None"/>
          <w:rFonts w:ascii="Verdana" w:hAnsi="Verdana"/>
          <w:sz w:val="20"/>
          <w:szCs w:val="20"/>
        </w:rPr>
        <w:t xml:space="preserve">, the online consultation should not entirely replace </w:t>
      </w:r>
      <w:r w:rsidR="00E86F7B" w:rsidRPr="00FC4D68">
        <w:rPr>
          <w:rStyle w:val="None"/>
          <w:rFonts w:ascii="Verdana" w:hAnsi="Verdana"/>
          <w:sz w:val="20"/>
          <w:szCs w:val="20"/>
        </w:rPr>
        <w:t xml:space="preserve">an </w:t>
      </w:r>
      <w:r w:rsidR="001A200E" w:rsidRPr="00FC4D68">
        <w:rPr>
          <w:rStyle w:val="None"/>
          <w:rFonts w:ascii="Verdana" w:hAnsi="Verdana"/>
          <w:sz w:val="20"/>
          <w:szCs w:val="20"/>
        </w:rPr>
        <w:t xml:space="preserve">on-site consultation with affected individuals. The online consultation should </w:t>
      </w:r>
      <w:r w:rsidR="000471BA" w:rsidRPr="00FC4D68">
        <w:rPr>
          <w:rStyle w:val="None"/>
          <w:rFonts w:ascii="Verdana" w:hAnsi="Verdana"/>
          <w:sz w:val="20"/>
          <w:szCs w:val="20"/>
        </w:rPr>
        <w:t xml:space="preserve">also </w:t>
      </w:r>
      <w:r w:rsidR="001A200E" w:rsidRPr="00FC4D68">
        <w:rPr>
          <w:rStyle w:val="None"/>
          <w:rFonts w:ascii="Verdana" w:hAnsi="Verdana"/>
          <w:sz w:val="20"/>
          <w:szCs w:val="20"/>
        </w:rPr>
        <w:t xml:space="preserve">not be the only available platform for </w:t>
      </w:r>
      <w:r w:rsidR="00666056" w:rsidRPr="00FC4D68">
        <w:rPr>
          <w:rStyle w:val="None"/>
          <w:rFonts w:ascii="Verdana" w:hAnsi="Verdana"/>
          <w:sz w:val="20"/>
          <w:szCs w:val="20"/>
        </w:rPr>
        <w:t>consultations</w:t>
      </w:r>
      <w:r w:rsidR="001A200E" w:rsidRPr="00FC4D68">
        <w:rPr>
          <w:rStyle w:val="None"/>
          <w:rFonts w:ascii="Verdana" w:hAnsi="Verdana"/>
          <w:sz w:val="20"/>
          <w:szCs w:val="20"/>
        </w:rPr>
        <w:t>.</w:t>
      </w:r>
    </w:p>
    <w:p w14:paraId="59A67875" w14:textId="5710D50C" w:rsidR="00E228E3" w:rsidRPr="00FC4D68" w:rsidRDefault="001A200E" w:rsidP="00A93E6D">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 xml:space="preserve">We </w:t>
      </w:r>
      <w:r w:rsidR="00E228E3" w:rsidRPr="00FC4D68">
        <w:rPr>
          <w:rStyle w:val="None"/>
          <w:rFonts w:ascii="Verdana" w:hAnsi="Verdana"/>
          <w:sz w:val="20"/>
          <w:szCs w:val="20"/>
        </w:rPr>
        <w:t>are of the opinion that Part B of the</w:t>
      </w:r>
      <w:r w:rsidRPr="00FC4D68">
        <w:rPr>
          <w:rStyle w:val="None"/>
          <w:rFonts w:ascii="Verdana" w:hAnsi="Verdana"/>
          <w:sz w:val="20"/>
          <w:szCs w:val="20"/>
        </w:rPr>
        <w:t xml:space="preserve"> </w:t>
      </w:r>
      <w:r w:rsidR="009A7973" w:rsidRPr="00FC4D68">
        <w:rPr>
          <w:rStyle w:val="None"/>
          <w:rFonts w:ascii="Verdana" w:hAnsi="Verdana"/>
          <w:sz w:val="20"/>
          <w:szCs w:val="20"/>
        </w:rPr>
        <w:t>G</w:t>
      </w:r>
      <w:r w:rsidRPr="00FC4D68">
        <w:rPr>
          <w:rStyle w:val="None"/>
          <w:rFonts w:ascii="Verdana" w:hAnsi="Verdana"/>
          <w:sz w:val="20"/>
          <w:szCs w:val="20"/>
        </w:rPr>
        <w:t xml:space="preserve">eneral </w:t>
      </w:r>
      <w:r w:rsidR="00E228E3" w:rsidRPr="00FC4D68">
        <w:rPr>
          <w:rStyle w:val="None"/>
          <w:rFonts w:ascii="Verdana" w:hAnsi="Verdana"/>
          <w:sz w:val="20"/>
          <w:szCs w:val="20"/>
        </w:rPr>
        <w:t>C</w:t>
      </w:r>
      <w:r w:rsidRPr="00FC4D68">
        <w:rPr>
          <w:rStyle w:val="None"/>
          <w:rFonts w:ascii="Verdana" w:hAnsi="Verdana"/>
          <w:sz w:val="20"/>
          <w:szCs w:val="20"/>
        </w:rPr>
        <w:t>omment No. 26 should</w:t>
      </w:r>
      <w:r w:rsidR="00E228E3" w:rsidRPr="00FC4D68">
        <w:rPr>
          <w:rStyle w:val="None"/>
          <w:rFonts w:ascii="Verdana" w:hAnsi="Verdana"/>
          <w:sz w:val="20"/>
          <w:szCs w:val="20"/>
        </w:rPr>
        <w:t xml:space="preserve"> </w:t>
      </w:r>
      <w:r w:rsidR="009A7973" w:rsidRPr="00FC4D68">
        <w:rPr>
          <w:rStyle w:val="None"/>
          <w:rFonts w:ascii="Verdana" w:hAnsi="Verdana"/>
          <w:sz w:val="20"/>
          <w:szCs w:val="20"/>
        </w:rPr>
        <w:t>also highlight</w:t>
      </w:r>
      <w:r w:rsidR="00E228E3" w:rsidRPr="00FC4D68">
        <w:rPr>
          <w:rStyle w:val="None"/>
          <w:rFonts w:ascii="Verdana" w:hAnsi="Verdana"/>
          <w:sz w:val="20"/>
          <w:szCs w:val="20"/>
        </w:rPr>
        <w:t xml:space="preserve"> </w:t>
      </w:r>
      <w:r w:rsidRPr="00FC4D68">
        <w:rPr>
          <w:rStyle w:val="None"/>
          <w:rFonts w:ascii="Verdana" w:hAnsi="Verdana"/>
          <w:sz w:val="20"/>
          <w:szCs w:val="20"/>
        </w:rPr>
        <w:t xml:space="preserve">the </w:t>
      </w:r>
      <w:r w:rsidR="001F3967" w:rsidRPr="00FC4D68">
        <w:rPr>
          <w:rStyle w:val="None"/>
          <w:rFonts w:ascii="Verdana" w:hAnsi="Verdana"/>
          <w:sz w:val="20"/>
          <w:szCs w:val="20"/>
        </w:rPr>
        <w:t>importance</w:t>
      </w:r>
      <w:r w:rsidRPr="00FC4D68">
        <w:rPr>
          <w:rStyle w:val="None"/>
          <w:rFonts w:ascii="Verdana" w:hAnsi="Verdana"/>
          <w:sz w:val="20"/>
          <w:szCs w:val="20"/>
        </w:rPr>
        <w:t xml:space="preserve"> of </w:t>
      </w:r>
      <w:r w:rsidR="00E228E3" w:rsidRPr="00FC4D68">
        <w:rPr>
          <w:rStyle w:val="None"/>
          <w:rFonts w:ascii="Verdana" w:hAnsi="Verdana"/>
          <w:sz w:val="20"/>
          <w:szCs w:val="20"/>
        </w:rPr>
        <w:t>town</w:t>
      </w:r>
      <w:r w:rsidRPr="00FC4D68">
        <w:rPr>
          <w:rStyle w:val="None"/>
          <w:rFonts w:ascii="Verdana" w:hAnsi="Verdana"/>
          <w:sz w:val="20"/>
          <w:szCs w:val="20"/>
        </w:rPr>
        <w:t xml:space="preserve"> planning</w:t>
      </w:r>
      <w:r w:rsidR="00E228E3" w:rsidRPr="00FC4D68">
        <w:rPr>
          <w:rStyle w:val="None"/>
          <w:rFonts w:ascii="Verdana" w:hAnsi="Verdana"/>
          <w:sz w:val="20"/>
          <w:szCs w:val="20"/>
        </w:rPr>
        <w:t xml:space="preserve"> process</w:t>
      </w:r>
      <w:r w:rsidRPr="00FC4D68">
        <w:rPr>
          <w:rStyle w:val="None"/>
          <w:rFonts w:ascii="Verdana" w:hAnsi="Verdana"/>
          <w:sz w:val="20"/>
          <w:szCs w:val="20"/>
        </w:rPr>
        <w:t xml:space="preserve">. </w:t>
      </w:r>
      <w:r w:rsidR="00E228E3" w:rsidRPr="00FC4D68">
        <w:rPr>
          <w:rStyle w:val="None"/>
          <w:rFonts w:ascii="Verdana" w:hAnsi="Verdana"/>
          <w:sz w:val="20"/>
          <w:szCs w:val="20"/>
        </w:rPr>
        <w:t>Such</w:t>
      </w:r>
      <w:r w:rsidRPr="00FC4D68">
        <w:rPr>
          <w:rStyle w:val="None"/>
          <w:rFonts w:ascii="Verdana" w:hAnsi="Verdana"/>
          <w:sz w:val="20"/>
          <w:szCs w:val="20"/>
        </w:rPr>
        <w:t xml:space="preserve"> processes should ensure participation, consultation, transparency</w:t>
      </w:r>
      <w:r w:rsidR="00E228E3" w:rsidRPr="00FC4D68">
        <w:rPr>
          <w:rStyle w:val="None"/>
          <w:rFonts w:ascii="Verdana" w:hAnsi="Verdana"/>
          <w:sz w:val="20"/>
          <w:szCs w:val="20"/>
        </w:rPr>
        <w:t>,</w:t>
      </w:r>
      <w:r w:rsidR="00A93E6D" w:rsidRPr="00FC4D68">
        <w:rPr>
          <w:rStyle w:val="None"/>
          <w:rFonts w:ascii="Verdana" w:hAnsi="Verdana"/>
          <w:sz w:val="20"/>
          <w:szCs w:val="20"/>
        </w:rPr>
        <w:t xml:space="preserve"> respect the plan</w:t>
      </w:r>
      <w:r w:rsidR="00F46CAE" w:rsidRPr="00FC4D68">
        <w:rPr>
          <w:rStyle w:val="None"/>
          <w:rFonts w:ascii="Verdana" w:hAnsi="Verdana"/>
          <w:sz w:val="20"/>
          <w:szCs w:val="20"/>
        </w:rPr>
        <w:t>s</w:t>
      </w:r>
      <w:r w:rsidR="00A93E6D" w:rsidRPr="00FC4D68">
        <w:rPr>
          <w:rStyle w:val="None"/>
          <w:rFonts w:ascii="Verdana" w:hAnsi="Verdana"/>
          <w:sz w:val="20"/>
          <w:szCs w:val="20"/>
        </w:rPr>
        <w:t xml:space="preserve"> that w</w:t>
      </w:r>
      <w:r w:rsidR="00F46CAE" w:rsidRPr="00FC4D68">
        <w:rPr>
          <w:rStyle w:val="None"/>
          <w:rFonts w:ascii="Verdana" w:hAnsi="Verdana"/>
          <w:sz w:val="20"/>
          <w:szCs w:val="20"/>
        </w:rPr>
        <w:t>ere</w:t>
      </w:r>
      <w:r w:rsidR="00A93E6D" w:rsidRPr="00FC4D68">
        <w:rPr>
          <w:rStyle w:val="None"/>
          <w:rFonts w:ascii="Verdana" w:hAnsi="Verdana"/>
          <w:sz w:val="20"/>
          <w:szCs w:val="20"/>
        </w:rPr>
        <w:t xml:space="preserve"> prepare</w:t>
      </w:r>
      <w:r w:rsidR="00F46CAE" w:rsidRPr="00FC4D68">
        <w:rPr>
          <w:rStyle w:val="None"/>
          <w:rFonts w:ascii="Verdana" w:hAnsi="Verdana"/>
          <w:sz w:val="20"/>
          <w:szCs w:val="20"/>
        </w:rPr>
        <w:t>d</w:t>
      </w:r>
      <w:r w:rsidR="00A93E6D" w:rsidRPr="00FC4D68">
        <w:rPr>
          <w:rStyle w:val="None"/>
          <w:rFonts w:ascii="Verdana" w:hAnsi="Verdana"/>
          <w:sz w:val="20"/>
          <w:szCs w:val="20"/>
        </w:rPr>
        <w:t xml:space="preserve"> by local communities</w:t>
      </w:r>
      <w:r w:rsidR="001F3967" w:rsidRPr="00FC4D68">
        <w:rPr>
          <w:rStyle w:val="None"/>
          <w:rFonts w:ascii="Verdana" w:hAnsi="Verdana"/>
          <w:sz w:val="20"/>
          <w:szCs w:val="20"/>
        </w:rPr>
        <w:t>, and</w:t>
      </w:r>
      <w:r w:rsidR="00A93E6D" w:rsidRPr="00FC4D68">
        <w:rPr>
          <w:rStyle w:val="None"/>
          <w:rFonts w:ascii="Verdana" w:hAnsi="Verdana"/>
          <w:sz w:val="20"/>
          <w:szCs w:val="20"/>
        </w:rPr>
        <w:t xml:space="preserve"> </w:t>
      </w:r>
      <w:r w:rsidR="001F3967" w:rsidRPr="00FC4D68">
        <w:rPr>
          <w:rStyle w:val="None"/>
          <w:rFonts w:ascii="Verdana" w:hAnsi="Verdana"/>
          <w:sz w:val="20"/>
          <w:szCs w:val="20"/>
        </w:rPr>
        <w:t xml:space="preserve">aim to </w:t>
      </w:r>
      <w:r w:rsidR="00A93E6D" w:rsidRPr="00FC4D68">
        <w:rPr>
          <w:rStyle w:val="None"/>
          <w:rFonts w:ascii="Verdana" w:hAnsi="Verdana"/>
          <w:sz w:val="20"/>
          <w:szCs w:val="20"/>
        </w:rPr>
        <w:t>identify land use</w:t>
      </w:r>
      <w:r w:rsidR="00F46CAE" w:rsidRPr="00FC4D68">
        <w:rPr>
          <w:rStyle w:val="None"/>
          <w:rFonts w:ascii="Verdana" w:hAnsi="Verdana"/>
          <w:sz w:val="20"/>
          <w:szCs w:val="20"/>
        </w:rPr>
        <w:t>s</w:t>
      </w:r>
      <w:r w:rsidR="00A93E6D" w:rsidRPr="00FC4D68">
        <w:rPr>
          <w:rStyle w:val="None"/>
          <w:rFonts w:ascii="Verdana" w:hAnsi="Verdana"/>
          <w:sz w:val="20"/>
          <w:szCs w:val="20"/>
        </w:rPr>
        <w:t xml:space="preserve"> that </w:t>
      </w:r>
      <w:r w:rsidR="00F46CAE" w:rsidRPr="00FC4D68">
        <w:rPr>
          <w:rStyle w:val="None"/>
          <w:rFonts w:ascii="Verdana" w:hAnsi="Verdana"/>
          <w:sz w:val="20"/>
          <w:szCs w:val="20"/>
        </w:rPr>
        <w:t>are</w:t>
      </w:r>
      <w:r w:rsidR="00A93E6D" w:rsidRPr="00FC4D68">
        <w:rPr>
          <w:rStyle w:val="None"/>
          <w:rFonts w:ascii="Verdana" w:hAnsi="Verdana"/>
          <w:sz w:val="20"/>
          <w:szCs w:val="20"/>
        </w:rPr>
        <w:t xml:space="preserve"> suitable to the conditions and potential of the areas</w:t>
      </w:r>
      <w:r w:rsidR="00F46CAE" w:rsidRPr="00FC4D68">
        <w:rPr>
          <w:rStyle w:val="None"/>
          <w:rFonts w:ascii="Verdana" w:hAnsi="Verdana"/>
          <w:sz w:val="20"/>
          <w:szCs w:val="20"/>
        </w:rPr>
        <w:t>. Town plan</w:t>
      </w:r>
      <w:r w:rsidR="003940AA" w:rsidRPr="00FC4D68">
        <w:rPr>
          <w:rStyle w:val="None"/>
          <w:rFonts w:ascii="Verdana" w:hAnsi="Verdana"/>
          <w:sz w:val="20"/>
          <w:szCs w:val="20"/>
        </w:rPr>
        <w:t>ning</w:t>
      </w:r>
      <w:r w:rsidR="00F46CAE" w:rsidRPr="00FC4D68">
        <w:rPr>
          <w:rStyle w:val="None"/>
          <w:rFonts w:ascii="Verdana" w:hAnsi="Verdana"/>
          <w:sz w:val="20"/>
          <w:szCs w:val="20"/>
        </w:rPr>
        <w:t xml:space="preserve"> </w:t>
      </w:r>
      <w:r w:rsidR="003940AA" w:rsidRPr="00FC4D68">
        <w:rPr>
          <w:rStyle w:val="None"/>
          <w:rFonts w:ascii="Verdana" w:hAnsi="Verdana"/>
          <w:sz w:val="20"/>
          <w:szCs w:val="20"/>
        </w:rPr>
        <w:t xml:space="preserve">can </w:t>
      </w:r>
      <w:r w:rsidR="00F46CAE" w:rsidRPr="00FC4D68">
        <w:rPr>
          <w:rStyle w:val="None"/>
          <w:rFonts w:ascii="Verdana" w:hAnsi="Verdana"/>
          <w:sz w:val="20"/>
          <w:szCs w:val="20"/>
        </w:rPr>
        <w:t>be a vital tool in ensuring appropriate land management practices.</w:t>
      </w:r>
    </w:p>
    <w:p w14:paraId="2CB6D611" w14:textId="0647D500" w:rsidR="00A90EE4" w:rsidRPr="00FC4D68" w:rsidRDefault="001A200E">
      <w:pPr>
        <w:pStyle w:val="ListParagraph"/>
        <w:numPr>
          <w:ilvl w:val="0"/>
          <w:numId w:val="2"/>
        </w:numPr>
        <w:spacing w:after="240"/>
        <w:jc w:val="both"/>
        <w:rPr>
          <w:rFonts w:ascii="Verdana" w:hAnsi="Verdana"/>
          <w:sz w:val="20"/>
          <w:szCs w:val="20"/>
        </w:rPr>
      </w:pPr>
      <w:r w:rsidRPr="00FC4D68">
        <w:rPr>
          <w:rStyle w:val="None"/>
          <w:rFonts w:ascii="Verdana" w:hAnsi="Verdana"/>
          <w:sz w:val="20"/>
          <w:szCs w:val="20"/>
        </w:rPr>
        <w:lastRenderedPageBreak/>
        <w:t xml:space="preserve">We </w:t>
      </w:r>
      <w:r w:rsidR="00366A15" w:rsidRPr="00FC4D68">
        <w:rPr>
          <w:rStyle w:val="None"/>
          <w:rFonts w:ascii="Verdana" w:hAnsi="Verdana"/>
          <w:sz w:val="20"/>
          <w:szCs w:val="20"/>
        </w:rPr>
        <w:t xml:space="preserve">are also of the </w:t>
      </w:r>
      <w:r w:rsidR="002271FD" w:rsidRPr="00FC4D68">
        <w:rPr>
          <w:rStyle w:val="None"/>
          <w:rFonts w:ascii="Verdana" w:hAnsi="Verdana"/>
          <w:sz w:val="20"/>
          <w:szCs w:val="20"/>
        </w:rPr>
        <w:t>view</w:t>
      </w:r>
      <w:r w:rsidR="00366A15" w:rsidRPr="00FC4D68">
        <w:rPr>
          <w:rStyle w:val="None"/>
          <w:rFonts w:ascii="Verdana" w:hAnsi="Verdana"/>
          <w:sz w:val="20"/>
          <w:szCs w:val="20"/>
        </w:rPr>
        <w:t xml:space="preserve"> that</w:t>
      </w:r>
      <w:r w:rsidRPr="00FC4D68">
        <w:rPr>
          <w:rStyle w:val="None"/>
          <w:rFonts w:ascii="Verdana" w:hAnsi="Verdana"/>
          <w:sz w:val="20"/>
          <w:szCs w:val="20"/>
        </w:rPr>
        <w:t xml:space="preserve"> the Strategic Environmental Assessment (</w:t>
      </w:r>
      <w:r w:rsidR="00B45E58" w:rsidRPr="00FC4D68">
        <w:rPr>
          <w:rStyle w:val="None"/>
          <w:rFonts w:ascii="Verdana" w:hAnsi="Verdana"/>
          <w:sz w:val="20"/>
          <w:szCs w:val="20"/>
        </w:rPr>
        <w:t>‘</w:t>
      </w:r>
      <w:r w:rsidRPr="00FC4D68">
        <w:rPr>
          <w:rStyle w:val="None"/>
          <w:rFonts w:ascii="Verdana" w:hAnsi="Verdana"/>
          <w:sz w:val="20"/>
          <w:szCs w:val="20"/>
        </w:rPr>
        <w:t>SEA</w:t>
      </w:r>
      <w:r w:rsidR="00B45E58" w:rsidRPr="00FC4D68">
        <w:rPr>
          <w:rStyle w:val="None"/>
          <w:rFonts w:ascii="Verdana" w:hAnsi="Verdana"/>
          <w:sz w:val="20"/>
          <w:szCs w:val="20"/>
        </w:rPr>
        <w:t>’</w:t>
      </w:r>
      <w:r w:rsidRPr="00FC4D68">
        <w:rPr>
          <w:rStyle w:val="None"/>
          <w:rFonts w:ascii="Verdana" w:hAnsi="Verdana"/>
          <w:sz w:val="20"/>
          <w:szCs w:val="20"/>
        </w:rPr>
        <w:t xml:space="preserve">) </w:t>
      </w:r>
      <w:r w:rsidR="00366A15" w:rsidRPr="00FC4D68">
        <w:rPr>
          <w:rStyle w:val="None"/>
          <w:rFonts w:ascii="Verdana" w:hAnsi="Verdana"/>
          <w:sz w:val="20"/>
          <w:szCs w:val="20"/>
        </w:rPr>
        <w:t>is</w:t>
      </w:r>
      <w:r w:rsidRPr="00FC4D68">
        <w:rPr>
          <w:rStyle w:val="None"/>
          <w:rFonts w:ascii="Verdana" w:hAnsi="Verdana"/>
          <w:sz w:val="20"/>
          <w:szCs w:val="20"/>
        </w:rPr>
        <w:t xml:space="preserve"> a</w:t>
      </w:r>
      <w:r w:rsidR="00366A15" w:rsidRPr="00FC4D68">
        <w:rPr>
          <w:rStyle w:val="None"/>
          <w:rFonts w:ascii="Verdana" w:hAnsi="Verdana"/>
          <w:sz w:val="20"/>
          <w:szCs w:val="20"/>
        </w:rPr>
        <w:t>nother</w:t>
      </w:r>
      <w:r w:rsidRPr="00FC4D68">
        <w:rPr>
          <w:rStyle w:val="None"/>
          <w:rFonts w:ascii="Verdana" w:hAnsi="Verdana"/>
          <w:sz w:val="20"/>
          <w:szCs w:val="20"/>
        </w:rPr>
        <w:t xml:space="preserve"> vital </w:t>
      </w:r>
      <w:r w:rsidR="00B45E58" w:rsidRPr="00FC4D68">
        <w:rPr>
          <w:rStyle w:val="None"/>
          <w:rFonts w:ascii="Verdana" w:hAnsi="Verdana"/>
          <w:sz w:val="20"/>
          <w:szCs w:val="20"/>
        </w:rPr>
        <w:t>tool</w:t>
      </w:r>
      <w:r w:rsidR="00366A15" w:rsidRPr="00FC4D68">
        <w:rPr>
          <w:rStyle w:val="None"/>
          <w:rFonts w:ascii="Verdana" w:hAnsi="Verdana"/>
          <w:sz w:val="20"/>
          <w:szCs w:val="20"/>
        </w:rPr>
        <w:t xml:space="preserve"> in</w:t>
      </w:r>
      <w:r w:rsidRPr="00FC4D68">
        <w:rPr>
          <w:rStyle w:val="None"/>
          <w:rFonts w:ascii="Verdana" w:hAnsi="Verdana"/>
          <w:sz w:val="20"/>
          <w:szCs w:val="20"/>
        </w:rPr>
        <w:t xml:space="preserve"> ensuring </w:t>
      </w:r>
      <w:r w:rsidR="00B45E58" w:rsidRPr="00FC4D68">
        <w:rPr>
          <w:rStyle w:val="None"/>
          <w:rFonts w:ascii="Verdana" w:hAnsi="Verdana"/>
          <w:sz w:val="20"/>
          <w:szCs w:val="20"/>
        </w:rPr>
        <w:t xml:space="preserve">the </w:t>
      </w:r>
      <w:r w:rsidRPr="00FC4D68">
        <w:rPr>
          <w:rStyle w:val="None"/>
          <w:rFonts w:ascii="Verdana" w:hAnsi="Verdana"/>
          <w:sz w:val="20"/>
          <w:szCs w:val="20"/>
        </w:rPr>
        <w:t xml:space="preserve">participation and consultation </w:t>
      </w:r>
      <w:r w:rsidR="002271FD" w:rsidRPr="00FC4D68">
        <w:rPr>
          <w:rStyle w:val="None"/>
          <w:rFonts w:ascii="Verdana" w:hAnsi="Verdana"/>
          <w:sz w:val="20"/>
          <w:szCs w:val="20"/>
        </w:rPr>
        <w:t>of</w:t>
      </w:r>
      <w:r w:rsidRPr="00FC4D68">
        <w:rPr>
          <w:rStyle w:val="None"/>
          <w:rFonts w:ascii="Verdana" w:hAnsi="Verdana"/>
          <w:sz w:val="20"/>
          <w:szCs w:val="20"/>
        </w:rPr>
        <w:t xml:space="preserve"> </w:t>
      </w:r>
      <w:r w:rsidR="00366A15" w:rsidRPr="00FC4D68">
        <w:rPr>
          <w:rStyle w:val="None"/>
          <w:rFonts w:ascii="Verdana" w:hAnsi="Verdana"/>
          <w:sz w:val="20"/>
          <w:szCs w:val="20"/>
        </w:rPr>
        <w:t xml:space="preserve">the </w:t>
      </w:r>
      <w:r w:rsidRPr="00FC4D68">
        <w:rPr>
          <w:rStyle w:val="None"/>
          <w:rFonts w:ascii="Verdana" w:hAnsi="Verdana"/>
          <w:sz w:val="20"/>
          <w:szCs w:val="20"/>
        </w:rPr>
        <w:t xml:space="preserve">affected individuals or </w:t>
      </w:r>
      <w:r w:rsidR="00B45E58" w:rsidRPr="00FC4D68">
        <w:rPr>
          <w:rStyle w:val="None"/>
          <w:rFonts w:ascii="Verdana" w:hAnsi="Verdana"/>
          <w:sz w:val="20"/>
          <w:szCs w:val="20"/>
        </w:rPr>
        <w:t>communities</w:t>
      </w:r>
      <w:r w:rsidR="00366A15" w:rsidRPr="00FC4D68">
        <w:rPr>
          <w:rStyle w:val="None"/>
          <w:rFonts w:ascii="Verdana" w:hAnsi="Verdana"/>
          <w:sz w:val="20"/>
          <w:szCs w:val="20"/>
        </w:rPr>
        <w:t xml:space="preserve"> at the policy</w:t>
      </w:r>
      <w:r w:rsidR="00B45E58" w:rsidRPr="00FC4D68">
        <w:rPr>
          <w:rStyle w:val="None"/>
          <w:rFonts w:ascii="Verdana" w:hAnsi="Verdana"/>
          <w:sz w:val="20"/>
          <w:szCs w:val="20"/>
        </w:rPr>
        <w:t>-</w:t>
      </w:r>
      <w:r w:rsidR="00366A15" w:rsidRPr="00FC4D68">
        <w:rPr>
          <w:rStyle w:val="None"/>
          <w:rFonts w:ascii="Verdana" w:hAnsi="Verdana"/>
          <w:sz w:val="20"/>
          <w:szCs w:val="20"/>
        </w:rPr>
        <w:t>making process</w:t>
      </w:r>
      <w:r w:rsidRPr="00FC4D68">
        <w:rPr>
          <w:rStyle w:val="None"/>
          <w:rFonts w:ascii="Verdana" w:hAnsi="Verdana"/>
          <w:sz w:val="20"/>
          <w:szCs w:val="20"/>
        </w:rPr>
        <w:t>. We would appreciate</w:t>
      </w:r>
      <w:r w:rsidR="00816133" w:rsidRPr="00FC4D68">
        <w:rPr>
          <w:rStyle w:val="None"/>
          <w:rFonts w:ascii="Verdana" w:hAnsi="Verdana"/>
          <w:sz w:val="20"/>
          <w:szCs w:val="20"/>
        </w:rPr>
        <w:t xml:space="preserve"> it</w:t>
      </w:r>
      <w:r w:rsidRPr="00FC4D68">
        <w:rPr>
          <w:rStyle w:val="None"/>
          <w:rFonts w:ascii="Verdana" w:hAnsi="Verdana"/>
          <w:sz w:val="20"/>
          <w:szCs w:val="20"/>
        </w:rPr>
        <w:t xml:space="preserve"> </w:t>
      </w:r>
      <w:r w:rsidR="00366A15" w:rsidRPr="00FC4D68">
        <w:rPr>
          <w:rStyle w:val="None"/>
          <w:rFonts w:ascii="Verdana" w:hAnsi="Verdana"/>
          <w:sz w:val="20"/>
          <w:szCs w:val="20"/>
        </w:rPr>
        <w:t>if the General Comment may explicitly refer to the SEA</w:t>
      </w:r>
      <w:r w:rsidR="00B45E58" w:rsidRPr="00FC4D68">
        <w:rPr>
          <w:rStyle w:val="None"/>
          <w:rFonts w:ascii="Verdana" w:hAnsi="Verdana"/>
          <w:sz w:val="20"/>
          <w:szCs w:val="20"/>
        </w:rPr>
        <w:t>, which will help</w:t>
      </w:r>
      <w:r w:rsidR="00366A15" w:rsidRPr="00FC4D68">
        <w:rPr>
          <w:rStyle w:val="None"/>
          <w:rFonts w:ascii="Verdana" w:hAnsi="Verdana"/>
          <w:sz w:val="20"/>
          <w:szCs w:val="20"/>
        </w:rPr>
        <w:t xml:space="preserve"> </w:t>
      </w:r>
      <w:r w:rsidR="00496997" w:rsidRPr="00FC4D68">
        <w:rPr>
          <w:rStyle w:val="None"/>
          <w:rFonts w:ascii="Verdana" w:hAnsi="Verdana"/>
          <w:sz w:val="20"/>
          <w:szCs w:val="20"/>
        </w:rPr>
        <w:t>raise awareness of</w:t>
      </w:r>
      <w:r w:rsidR="00366A15" w:rsidRPr="00FC4D68">
        <w:rPr>
          <w:rStyle w:val="None"/>
          <w:rFonts w:ascii="Verdana" w:hAnsi="Verdana"/>
          <w:sz w:val="20"/>
          <w:szCs w:val="20"/>
        </w:rPr>
        <w:t xml:space="preserve"> </w:t>
      </w:r>
      <w:r w:rsidR="00816133" w:rsidRPr="00FC4D68">
        <w:rPr>
          <w:rStyle w:val="None"/>
          <w:rFonts w:ascii="Verdana" w:hAnsi="Verdana"/>
          <w:sz w:val="20"/>
          <w:szCs w:val="20"/>
        </w:rPr>
        <w:t>the ICESCR</w:t>
      </w:r>
      <w:r w:rsidR="002271FD" w:rsidRPr="00FC4D68">
        <w:rPr>
          <w:rStyle w:val="None"/>
          <w:rFonts w:ascii="Verdana" w:hAnsi="Verdana"/>
          <w:sz w:val="20"/>
          <w:szCs w:val="20"/>
        </w:rPr>
        <w:t xml:space="preserve"> </w:t>
      </w:r>
      <w:r w:rsidR="00366A15" w:rsidRPr="00FC4D68">
        <w:rPr>
          <w:rStyle w:val="None"/>
          <w:rFonts w:ascii="Verdana" w:hAnsi="Verdana"/>
          <w:sz w:val="20"/>
          <w:szCs w:val="20"/>
        </w:rPr>
        <w:t>State</w:t>
      </w:r>
      <w:r w:rsidR="002271FD" w:rsidRPr="00FC4D68">
        <w:rPr>
          <w:rStyle w:val="None"/>
          <w:rFonts w:ascii="Verdana" w:hAnsi="Verdana"/>
          <w:sz w:val="20"/>
          <w:szCs w:val="20"/>
        </w:rPr>
        <w:t xml:space="preserve"> partie</w:t>
      </w:r>
      <w:r w:rsidR="00366A15" w:rsidRPr="00FC4D68">
        <w:rPr>
          <w:rStyle w:val="None"/>
          <w:rFonts w:ascii="Verdana" w:hAnsi="Verdana"/>
          <w:sz w:val="20"/>
          <w:szCs w:val="20"/>
        </w:rPr>
        <w:t xml:space="preserve">s </w:t>
      </w:r>
      <w:r w:rsidR="00B45E58" w:rsidRPr="00FC4D68">
        <w:rPr>
          <w:rStyle w:val="None"/>
          <w:rFonts w:ascii="Verdana" w:hAnsi="Verdana"/>
          <w:sz w:val="20"/>
          <w:szCs w:val="20"/>
        </w:rPr>
        <w:t>on</w:t>
      </w:r>
      <w:r w:rsidR="00496997" w:rsidRPr="00FC4D68">
        <w:rPr>
          <w:rStyle w:val="None"/>
          <w:rFonts w:ascii="Verdana" w:hAnsi="Verdana"/>
          <w:sz w:val="20"/>
          <w:szCs w:val="20"/>
        </w:rPr>
        <w:t xml:space="preserve"> the importance of</w:t>
      </w:r>
      <w:r w:rsidR="00B45E58" w:rsidRPr="00FC4D68">
        <w:rPr>
          <w:rStyle w:val="None"/>
          <w:rFonts w:ascii="Verdana" w:hAnsi="Verdana"/>
          <w:sz w:val="20"/>
          <w:szCs w:val="20"/>
        </w:rPr>
        <w:t xml:space="preserve"> such process.</w:t>
      </w:r>
    </w:p>
    <w:p w14:paraId="7D3F121B" w14:textId="0AA1C175" w:rsidR="00A90EE4" w:rsidRPr="00FC4D68" w:rsidRDefault="001A200E">
      <w:pPr>
        <w:pStyle w:val="BodyA"/>
        <w:spacing w:after="240"/>
        <w:jc w:val="both"/>
        <w:rPr>
          <w:rStyle w:val="None"/>
          <w:rFonts w:ascii="Verdana" w:eastAsia="Sarabun Bold" w:hAnsi="Verdana" w:cs="Sarabun Bold"/>
          <w:b/>
          <w:bCs/>
          <w:sz w:val="20"/>
          <w:szCs w:val="20"/>
        </w:rPr>
      </w:pPr>
      <w:r w:rsidRPr="00FC4D68">
        <w:rPr>
          <w:rStyle w:val="None"/>
          <w:rFonts w:ascii="Verdana" w:hAnsi="Verdana"/>
          <w:b/>
          <w:bCs/>
          <w:sz w:val="20"/>
          <w:szCs w:val="20"/>
          <w:lang w:val="fr-FR"/>
        </w:rPr>
        <w:t>Obligations</w:t>
      </w:r>
      <w:r w:rsidRPr="00FC4D68">
        <w:rPr>
          <w:rStyle w:val="None"/>
          <w:rFonts w:ascii="Verdana" w:hAnsi="Verdana"/>
          <w:b/>
          <w:bCs/>
          <w:sz w:val="20"/>
          <w:szCs w:val="20"/>
        </w:rPr>
        <w:t xml:space="preserve"> to respect under the ICESCR relating to land</w:t>
      </w:r>
    </w:p>
    <w:p w14:paraId="77A67E08" w14:textId="62F0EB59" w:rsidR="00A90EE4" w:rsidRPr="00FC4D68" w:rsidRDefault="001A200E">
      <w:pPr>
        <w:pStyle w:val="ListParagraph"/>
        <w:numPr>
          <w:ilvl w:val="0"/>
          <w:numId w:val="2"/>
        </w:numPr>
        <w:spacing w:after="240"/>
        <w:jc w:val="both"/>
        <w:rPr>
          <w:rFonts w:ascii="Verdana" w:hAnsi="Verdana"/>
          <w:sz w:val="20"/>
          <w:szCs w:val="20"/>
        </w:rPr>
      </w:pPr>
      <w:r w:rsidRPr="00FC4D68">
        <w:rPr>
          <w:rStyle w:val="None"/>
          <w:rFonts w:ascii="Verdana" w:hAnsi="Verdana"/>
          <w:sz w:val="20"/>
          <w:szCs w:val="20"/>
        </w:rPr>
        <w:t>The</w:t>
      </w:r>
      <w:r w:rsidR="00150F17" w:rsidRPr="00FC4D68">
        <w:rPr>
          <w:rStyle w:val="None"/>
          <w:rFonts w:ascii="Verdana" w:hAnsi="Verdana"/>
          <w:sz w:val="20"/>
          <w:szCs w:val="20"/>
          <w:cs/>
        </w:rPr>
        <w:t xml:space="preserve"> </w:t>
      </w:r>
      <w:r w:rsidR="00150F17" w:rsidRPr="00FC4D68">
        <w:rPr>
          <w:rStyle w:val="None"/>
          <w:rFonts w:ascii="Verdana" w:hAnsi="Verdana" w:cs="Browallia New"/>
          <w:sz w:val="20"/>
          <w:szCs w:val="20"/>
        </w:rPr>
        <w:t>draft</w:t>
      </w:r>
      <w:r w:rsidRPr="00FC4D68">
        <w:rPr>
          <w:rStyle w:val="None"/>
          <w:rFonts w:ascii="Verdana" w:hAnsi="Verdana"/>
          <w:sz w:val="20"/>
          <w:szCs w:val="20"/>
        </w:rPr>
        <w:t xml:space="preserve"> General </w:t>
      </w:r>
      <w:r w:rsidR="00150F17" w:rsidRPr="00FC4D68">
        <w:rPr>
          <w:rStyle w:val="None"/>
          <w:rFonts w:ascii="Verdana" w:hAnsi="Verdana"/>
          <w:sz w:val="20"/>
          <w:szCs w:val="20"/>
        </w:rPr>
        <w:t>C</w:t>
      </w:r>
      <w:r w:rsidRPr="00FC4D68">
        <w:rPr>
          <w:rStyle w:val="None"/>
          <w:rFonts w:ascii="Verdana" w:hAnsi="Verdana"/>
          <w:sz w:val="20"/>
          <w:szCs w:val="20"/>
        </w:rPr>
        <w:t>omment No. 26 emphasises</w:t>
      </w:r>
      <w:r w:rsidR="00150F17" w:rsidRPr="00FC4D68">
        <w:rPr>
          <w:rStyle w:val="None"/>
          <w:rFonts w:ascii="Verdana" w:hAnsi="Verdana"/>
          <w:sz w:val="20"/>
          <w:szCs w:val="20"/>
        </w:rPr>
        <w:t xml:space="preserve"> that</w:t>
      </w:r>
      <w:r w:rsidRPr="00FC4D68">
        <w:rPr>
          <w:rStyle w:val="None"/>
          <w:rFonts w:ascii="Verdana" w:hAnsi="Verdana"/>
          <w:sz w:val="20"/>
          <w:szCs w:val="20"/>
        </w:rPr>
        <w:t xml:space="preserve"> States parties should recognise the social, cultural, spiritual, economic, environmental and political value of land for communities and to recognise </w:t>
      </w:r>
      <w:r w:rsidR="00BB24A6" w:rsidRPr="00FC4D68">
        <w:rPr>
          <w:rStyle w:val="None"/>
          <w:rFonts w:ascii="Verdana" w:hAnsi="Verdana"/>
          <w:sz w:val="20"/>
          <w:szCs w:val="20"/>
        </w:rPr>
        <w:t xml:space="preserve">customary, collective or traditional tenure rights </w:t>
      </w:r>
      <w:r w:rsidRPr="00FC4D68">
        <w:rPr>
          <w:rStyle w:val="None"/>
          <w:rFonts w:ascii="Verdana" w:hAnsi="Verdana"/>
          <w:sz w:val="20"/>
          <w:szCs w:val="20"/>
        </w:rPr>
        <w:t>(e.g. para</w:t>
      </w:r>
      <w:r w:rsidR="00EE0E65" w:rsidRPr="00FC4D68">
        <w:rPr>
          <w:rStyle w:val="None"/>
          <w:rFonts w:ascii="Verdana" w:hAnsi="Verdana"/>
          <w:sz w:val="20"/>
          <w:szCs w:val="20"/>
        </w:rPr>
        <w:t>graphs</w:t>
      </w:r>
      <w:r w:rsidRPr="00FC4D68">
        <w:rPr>
          <w:rStyle w:val="None"/>
          <w:rFonts w:ascii="Verdana" w:hAnsi="Verdana"/>
          <w:sz w:val="20"/>
          <w:szCs w:val="20"/>
        </w:rPr>
        <w:t xml:space="preserve"> 19-21 and 24). </w:t>
      </w:r>
      <w:r w:rsidR="00E77D98" w:rsidRPr="00FC4D68">
        <w:rPr>
          <w:rStyle w:val="None"/>
          <w:rFonts w:ascii="Verdana" w:hAnsi="Verdana"/>
          <w:sz w:val="20"/>
          <w:szCs w:val="20"/>
        </w:rPr>
        <w:t>Contributing</w:t>
      </w:r>
      <w:r w:rsidR="00093109" w:rsidRPr="00FC4D68">
        <w:rPr>
          <w:rStyle w:val="None"/>
          <w:rFonts w:ascii="Verdana" w:hAnsi="Verdana"/>
          <w:sz w:val="20"/>
          <w:szCs w:val="20"/>
        </w:rPr>
        <w:t xml:space="preserve"> organisations</w:t>
      </w:r>
      <w:r w:rsidR="001006ED" w:rsidRPr="00FC4D68">
        <w:rPr>
          <w:rStyle w:val="None"/>
          <w:rFonts w:ascii="Verdana" w:hAnsi="Verdana"/>
          <w:sz w:val="20"/>
          <w:szCs w:val="20"/>
        </w:rPr>
        <w:t xml:space="preserve"> </w:t>
      </w:r>
      <w:r w:rsidR="00EE0E65" w:rsidRPr="00FC4D68">
        <w:rPr>
          <w:rStyle w:val="None"/>
          <w:rFonts w:ascii="Verdana" w:hAnsi="Verdana"/>
          <w:sz w:val="20"/>
          <w:szCs w:val="20"/>
        </w:rPr>
        <w:t>are of the view that</w:t>
      </w:r>
      <w:r w:rsidRPr="00FC4D68">
        <w:rPr>
          <w:rStyle w:val="None"/>
          <w:rFonts w:ascii="Verdana" w:hAnsi="Verdana"/>
          <w:sz w:val="20"/>
          <w:szCs w:val="20"/>
        </w:rPr>
        <w:t xml:space="preserve"> General </w:t>
      </w:r>
      <w:r w:rsidR="00EE0E65" w:rsidRPr="00FC4D68">
        <w:rPr>
          <w:rStyle w:val="None"/>
          <w:rFonts w:ascii="Verdana" w:hAnsi="Verdana"/>
          <w:sz w:val="20"/>
          <w:szCs w:val="20"/>
        </w:rPr>
        <w:t>C</w:t>
      </w:r>
      <w:r w:rsidRPr="00FC4D68">
        <w:rPr>
          <w:rStyle w:val="None"/>
          <w:rFonts w:ascii="Verdana" w:hAnsi="Verdana"/>
          <w:sz w:val="20"/>
          <w:szCs w:val="20"/>
        </w:rPr>
        <w:t xml:space="preserve">omment No. 26 should </w:t>
      </w:r>
      <w:r w:rsidR="00EE0E65" w:rsidRPr="00FC4D68">
        <w:rPr>
          <w:rStyle w:val="None"/>
          <w:rFonts w:ascii="Verdana" w:hAnsi="Verdana"/>
          <w:sz w:val="20"/>
          <w:szCs w:val="20"/>
        </w:rPr>
        <w:t>explicitly requi</w:t>
      </w:r>
      <w:r w:rsidR="003634FC" w:rsidRPr="00FC4D68">
        <w:rPr>
          <w:rStyle w:val="None"/>
          <w:rFonts w:ascii="Verdana" w:hAnsi="Verdana"/>
          <w:sz w:val="20"/>
          <w:szCs w:val="20"/>
        </w:rPr>
        <w:t>r</w:t>
      </w:r>
      <w:r w:rsidR="00EE0E65" w:rsidRPr="00FC4D68">
        <w:rPr>
          <w:rStyle w:val="None"/>
          <w:rFonts w:ascii="Verdana" w:hAnsi="Verdana"/>
          <w:sz w:val="20"/>
          <w:szCs w:val="20"/>
        </w:rPr>
        <w:t>e</w:t>
      </w:r>
      <w:r w:rsidRPr="00FC4D68">
        <w:rPr>
          <w:rStyle w:val="None"/>
          <w:rFonts w:ascii="Verdana" w:hAnsi="Verdana"/>
          <w:sz w:val="20"/>
          <w:szCs w:val="20"/>
        </w:rPr>
        <w:t xml:space="preserve"> States parties to </w:t>
      </w:r>
      <w:r w:rsidR="003634FC" w:rsidRPr="00FC4D68">
        <w:rPr>
          <w:rStyle w:val="None"/>
          <w:rFonts w:ascii="Verdana" w:hAnsi="Verdana"/>
          <w:sz w:val="20"/>
          <w:szCs w:val="20"/>
        </w:rPr>
        <w:t>reflect</w:t>
      </w:r>
      <w:r w:rsidRPr="00FC4D68">
        <w:rPr>
          <w:rStyle w:val="None"/>
          <w:rFonts w:ascii="Verdana" w:hAnsi="Verdana"/>
          <w:sz w:val="20"/>
          <w:szCs w:val="20"/>
        </w:rPr>
        <w:t xml:space="preserve"> </w:t>
      </w:r>
      <w:r w:rsidR="00EE0E65" w:rsidRPr="00FC4D68">
        <w:rPr>
          <w:rStyle w:val="None"/>
          <w:rFonts w:ascii="Verdana" w:hAnsi="Verdana"/>
          <w:sz w:val="20"/>
          <w:szCs w:val="20"/>
        </w:rPr>
        <w:t xml:space="preserve">the recognition of </w:t>
      </w:r>
      <w:r w:rsidRPr="00FC4D68">
        <w:rPr>
          <w:rStyle w:val="None"/>
          <w:rFonts w:ascii="Verdana" w:hAnsi="Verdana"/>
          <w:sz w:val="20"/>
          <w:szCs w:val="20"/>
        </w:rPr>
        <w:t xml:space="preserve">such </w:t>
      </w:r>
      <w:r w:rsidR="003634FC" w:rsidRPr="00FC4D68">
        <w:rPr>
          <w:rStyle w:val="None"/>
          <w:rFonts w:ascii="Verdana" w:hAnsi="Verdana"/>
          <w:sz w:val="20"/>
          <w:szCs w:val="20"/>
        </w:rPr>
        <w:t xml:space="preserve">customary, collective or traditional tenure rights </w:t>
      </w:r>
      <w:r w:rsidRPr="00FC4D68">
        <w:rPr>
          <w:rStyle w:val="None"/>
          <w:rFonts w:ascii="Verdana" w:hAnsi="Verdana"/>
          <w:sz w:val="20"/>
          <w:szCs w:val="20"/>
        </w:rPr>
        <w:t>in their domestic legislation</w:t>
      </w:r>
      <w:r w:rsidR="003634FC" w:rsidRPr="00FC4D68">
        <w:rPr>
          <w:rStyle w:val="None"/>
          <w:rFonts w:ascii="Verdana" w:hAnsi="Verdana"/>
          <w:sz w:val="20"/>
          <w:szCs w:val="20"/>
        </w:rPr>
        <w:t>s</w:t>
      </w:r>
      <w:r w:rsidR="00EE0E65" w:rsidRPr="00FC4D68">
        <w:rPr>
          <w:rStyle w:val="None"/>
          <w:rFonts w:ascii="Verdana" w:hAnsi="Verdana"/>
          <w:sz w:val="20"/>
          <w:szCs w:val="20"/>
        </w:rPr>
        <w:t>, including their Constitutions</w:t>
      </w:r>
      <w:r w:rsidRPr="00FC4D68">
        <w:rPr>
          <w:rStyle w:val="None"/>
          <w:rFonts w:ascii="Verdana" w:hAnsi="Verdana"/>
          <w:sz w:val="20"/>
          <w:szCs w:val="20"/>
        </w:rPr>
        <w:t>.</w:t>
      </w:r>
      <w:r w:rsidR="00EE0E65" w:rsidRPr="00FC4D68">
        <w:rPr>
          <w:rStyle w:val="None"/>
          <w:rFonts w:ascii="Verdana" w:hAnsi="Verdana"/>
          <w:sz w:val="20"/>
          <w:szCs w:val="20"/>
        </w:rPr>
        <w:t xml:space="preserve"> For example, by</w:t>
      </w:r>
      <w:r w:rsidRPr="00FC4D68">
        <w:rPr>
          <w:rStyle w:val="None"/>
          <w:rFonts w:ascii="Verdana" w:hAnsi="Verdana"/>
          <w:sz w:val="20"/>
          <w:szCs w:val="20"/>
        </w:rPr>
        <w:t xml:space="preserve"> defini</w:t>
      </w:r>
      <w:r w:rsidR="00EE0E65" w:rsidRPr="00FC4D68">
        <w:rPr>
          <w:rStyle w:val="None"/>
          <w:rFonts w:ascii="Verdana" w:hAnsi="Verdana"/>
          <w:sz w:val="20"/>
          <w:szCs w:val="20"/>
        </w:rPr>
        <w:t>ng the term ‘</w:t>
      </w:r>
      <w:r w:rsidRPr="00FC4D68">
        <w:rPr>
          <w:rStyle w:val="None"/>
          <w:rFonts w:ascii="Verdana" w:hAnsi="Verdana"/>
          <w:sz w:val="20"/>
          <w:szCs w:val="20"/>
        </w:rPr>
        <w:t>land</w:t>
      </w:r>
      <w:r w:rsidR="00EE0E65" w:rsidRPr="00FC4D68">
        <w:rPr>
          <w:rStyle w:val="None"/>
          <w:rFonts w:ascii="Verdana" w:hAnsi="Verdana"/>
          <w:sz w:val="20"/>
          <w:szCs w:val="20"/>
        </w:rPr>
        <w:t xml:space="preserve">’ in the above noted legislations to </w:t>
      </w:r>
      <w:r w:rsidR="00535A44" w:rsidRPr="00FC4D68">
        <w:rPr>
          <w:rStyle w:val="None"/>
          <w:rFonts w:ascii="Verdana" w:hAnsi="Verdana"/>
          <w:sz w:val="20"/>
          <w:szCs w:val="20"/>
        </w:rPr>
        <w:t>embrace</w:t>
      </w:r>
      <w:r w:rsidR="00EE0E65" w:rsidRPr="00FC4D68">
        <w:rPr>
          <w:rStyle w:val="None"/>
          <w:rFonts w:ascii="Verdana" w:hAnsi="Verdana"/>
          <w:sz w:val="20"/>
          <w:szCs w:val="20"/>
        </w:rPr>
        <w:t xml:space="preserve"> </w:t>
      </w:r>
      <w:r w:rsidRPr="00FC4D68">
        <w:rPr>
          <w:rStyle w:val="None"/>
          <w:rFonts w:ascii="Verdana" w:hAnsi="Verdana"/>
          <w:sz w:val="20"/>
          <w:szCs w:val="20"/>
        </w:rPr>
        <w:t>the</w:t>
      </w:r>
      <w:r w:rsidR="00EE0E65" w:rsidRPr="00FC4D68">
        <w:rPr>
          <w:rStyle w:val="None"/>
          <w:rFonts w:ascii="Verdana" w:hAnsi="Verdana"/>
          <w:sz w:val="20"/>
          <w:szCs w:val="20"/>
        </w:rPr>
        <w:t>ir</w:t>
      </w:r>
      <w:r w:rsidRPr="00FC4D68">
        <w:rPr>
          <w:rStyle w:val="None"/>
          <w:rFonts w:ascii="Verdana" w:hAnsi="Verdana"/>
          <w:sz w:val="20"/>
          <w:szCs w:val="20"/>
        </w:rPr>
        <w:t xml:space="preserve"> social, cultural, spiritual, economic, environmental, and political </w:t>
      </w:r>
      <w:r w:rsidR="00EE0E65" w:rsidRPr="00FC4D68">
        <w:rPr>
          <w:rStyle w:val="None"/>
          <w:rFonts w:ascii="Verdana" w:hAnsi="Verdana"/>
          <w:sz w:val="20"/>
          <w:szCs w:val="20"/>
        </w:rPr>
        <w:t>value</w:t>
      </w:r>
      <w:r w:rsidRPr="00FC4D68">
        <w:rPr>
          <w:rStyle w:val="None"/>
          <w:rFonts w:ascii="Verdana" w:hAnsi="Verdana"/>
          <w:sz w:val="20"/>
          <w:szCs w:val="20"/>
        </w:rPr>
        <w:t xml:space="preserve"> </w:t>
      </w:r>
      <w:r w:rsidR="00EE0E65" w:rsidRPr="00FC4D68">
        <w:rPr>
          <w:rStyle w:val="None"/>
          <w:rFonts w:ascii="Verdana" w:hAnsi="Verdana"/>
          <w:sz w:val="20"/>
          <w:szCs w:val="20"/>
        </w:rPr>
        <w:t>to communities, so it</w:t>
      </w:r>
      <w:r w:rsidRPr="00FC4D68">
        <w:rPr>
          <w:rStyle w:val="None"/>
          <w:rFonts w:ascii="Verdana" w:hAnsi="Verdana"/>
          <w:sz w:val="20"/>
          <w:szCs w:val="20"/>
        </w:rPr>
        <w:t xml:space="preserve"> will be implemented broadly by</w:t>
      </w:r>
      <w:r w:rsidR="00D36A11" w:rsidRPr="00FC4D68">
        <w:rPr>
          <w:rStyle w:val="None"/>
          <w:rFonts w:ascii="Verdana" w:hAnsi="Verdana"/>
          <w:sz w:val="20"/>
          <w:szCs w:val="20"/>
        </w:rPr>
        <w:t xml:space="preserve"> relevant</w:t>
      </w:r>
      <w:r w:rsidRPr="00FC4D68">
        <w:rPr>
          <w:rStyle w:val="None"/>
          <w:rFonts w:ascii="Verdana" w:hAnsi="Verdana"/>
          <w:sz w:val="20"/>
          <w:szCs w:val="20"/>
        </w:rPr>
        <w:t xml:space="preserve"> officials and </w:t>
      </w:r>
      <w:r w:rsidR="00D36A11" w:rsidRPr="00FC4D68">
        <w:rPr>
          <w:rStyle w:val="None"/>
          <w:rFonts w:ascii="Verdana" w:hAnsi="Verdana"/>
          <w:sz w:val="20"/>
          <w:szCs w:val="20"/>
        </w:rPr>
        <w:t>a</w:t>
      </w:r>
      <w:r w:rsidRPr="00FC4D68">
        <w:rPr>
          <w:rStyle w:val="None"/>
          <w:rFonts w:ascii="Verdana" w:hAnsi="Verdana"/>
          <w:sz w:val="20"/>
          <w:szCs w:val="20"/>
        </w:rPr>
        <w:t xml:space="preserve">gencies. </w:t>
      </w:r>
    </w:p>
    <w:p w14:paraId="46D9B26A" w14:textId="17F984EE" w:rsidR="00796AE6" w:rsidRPr="00FC4D68" w:rsidRDefault="001A200E" w:rsidP="002C34B5">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We welcome that</w:t>
      </w:r>
      <w:r w:rsidR="00442CE7" w:rsidRPr="00FC4D68">
        <w:rPr>
          <w:rStyle w:val="None"/>
          <w:rFonts w:ascii="Verdana" w:hAnsi="Verdana"/>
          <w:sz w:val="20"/>
          <w:szCs w:val="20"/>
        </w:rPr>
        <w:t xml:space="preserve"> </w:t>
      </w:r>
      <w:r w:rsidR="002C34B5" w:rsidRPr="00FC4D68">
        <w:rPr>
          <w:rStyle w:val="None"/>
          <w:rFonts w:ascii="Verdana" w:hAnsi="Verdana"/>
          <w:sz w:val="20"/>
          <w:szCs w:val="20"/>
        </w:rPr>
        <w:t xml:space="preserve">paragragh 22 of </w:t>
      </w:r>
      <w:r w:rsidR="00442CE7" w:rsidRPr="00FC4D68">
        <w:rPr>
          <w:rStyle w:val="None"/>
          <w:rFonts w:ascii="Verdana" w:hAnsi="Verdana"/>
          <w:sz w:val="20"/>
          <w:szCs w:val="20"/>
        </w:rPr>
        <w:t>the draft</w:t>
      </w:r>
      <w:r w:rsidRPr="00FC4D68">
        <w:rPr>
          <w:rStyle w:val="None"/>
          <w:rFonts w:ascii="Verdana" w:hAnsi="Verdana"/>
          <w:sz w:val="20"/>
          <w:szCs w:val="20"/>
        </w:rPr>
        <w:t xml:space="preserve"> General </w:t>
      </w:r>
      <w:r w:rsidR="00442CE7" w:rsidRPr="00FC4D68">
        <w:rPr>
          <w:rStyle w:val="None"/>
          <w:rFonts w:ascii="Verdana" w:hAnsi="Verdana"/>
          <w:sz w:val="20"/>
          <w:szCs w:val="20"/>
        </w:rPr>
        <w:t>C</w:t>
      </w:r>
      <w:r w:rsidRPr="00FC4D68">
        <w:rPr>
          <w:rStyle w:val="None"/>
          <w:rFonts w:ascii="Verdana" w:hAnsi="Verdana"/>
          <w:sz w:val="20"/>
          <w:szCs w:val="20"/>
        </w:rPr>
        <w:t>omment No. 26 affirms</w:t>
      </w:r>
      <w:r w:rsidR="002C34B5" w:rsidRPr="00FC4D68">
        <w:rPr>
          <w:rStyle w:val="None"/>
          <w:rFonts w:ascii="Verdana" w:hAnsi="Verdana"/>
          <w:sz w:val="20"/>
          <w:szCs w:val="20"/>
        </w:rPr>
        <w:t xml:space="preserve"> that</w:t>
      </w:r>
      <w:r w:rsidRPr="00FC4D68">
        <w:rPr>
          <w:rStyle w:val="None"/>
          <w:rFonts w:ascii="Verdana" w:hAnsi="Verdana"/>
          <w:sz w:val="20"/>
          <w:szCs w:val="20"/>
        </w:rPr>
        <w:t xml:space="preserve"> land administration should be based on accessible and non-discriminatory services implemented by accountable agencies whose actions are reviewed by judicial bodies. </w:t>
      </w:r>
      <w:r w:rsidR="004F25B7" w:rsidRPr="00FC4D68">
        <w:rPr>
          <w:rStyle w:val="None"/>
          <w:rFonts w:ascii="Verdana" w:hAnsi="Verdana"/>
          <w:sz w:val="20"/>
          <w:szCs w:val="20"/>
        </w:rPr>
        <w:t>Additionally</w:t>
      </w:r>
      <w:r w:rsidR="00426094" w:rsidRPr="00FC4D68">
        <w:rPr>
          <w:rStyle w:val="None"/>
          <w:rFonts w:ascii="Verdana" w:hAnsi="Verdana"/>
          <w:sz w:val="20"/>
          <w:szCs w:val="20"/>
        </w:rPr>
        <w:t>, w</w:t>
      </w:r>
      <w:r w:rsidRPr="00FC4D68">
        <w:rPr>
          <w:rStyle w:val="None"/>
          <w:rFonts w:ascii="Verdana" w:hAnsi="Verdana"/>
          <w:sz w:val="20"/>
          <w:szCs w:val="20"/>
        </w:rPr>
        <w:t>e</w:t>
      </w:r>
      <w:r w:rsidR="002C34B5" w:rsidRPr="00FC4D68">
        <w:rPr>
          <w:rStyle w:val="None"/>
          <w:rFonts w:ascii="Verdana" w:hAnsi="Verdana"/>
          <w:sz w:val="20"/>
          <w:szCs w:val="20"/>
        </w:rPr>
        <w:t>, however,</w:t>
      </w:r>
      <w:r w:rsidRPr="00FC4D68">
        <w:rPr>
          <w:rStyle w:val="None"/>
          <w:rFonts w:ascii="Verdana" w:hAnsi="Verdana"/>
          <w:sz w:val="20"/>
          <w:szCs w:val="20"/>
        </w:rPr>
        <w:t xml:space="preserve"> </w:t>
      </w:r>
      <w:r w:rsidR="00796AE6" w:rsidRPr="00FC4D68">
        <w:rPr>
          <w:rStyle w:val="None"/>
          <w:rFonts w:ascii="Verdana" w:hAnsi="Verdana"/>
          <w:sz w:val="20"/>
          <w:szCs w:val="20"/>
        </w:rPr>
        <w:t xml:space="preserve">would like to </w:t>
      </w:r>
      <w:r w:rsidRPr="00FC4D68">
        <w:rPr>
          <w:rStyle w:val="None"/>
          <w:rFonts w:ascii="Verdana" w:hAnsi="Verdana"/>
          <w:sz w:val="20"/>
          <w:szCs w:val="20"/>
        </w:rPr>
        <w:t>recommend</w:t>
      </w:r>
      <w:r w:rsidR="002C34B5" w:rsidRPr="00FC4D68">
        <w:rPr>
          <w:rStyle w:val="None"/>
          <w:rFonts w:ascii="Verdana" w:hAnsi="Verdana"/>
          <w:sz w:val="20"/>
          <w:szCs w:val="20"/>
        </w:rPr>
        <w:t xml:space="preserve"> that</w:t>
      </w:r>
      <w:r w:rsidRPr="00FC4D68">
        <w:rPr>
          <w:rStyle w:val="None"/>
          <w:rFonts w:ascii="Verdana" w:hAnsi="Verdana"/>
          <w:sz w:val="20"/>
          <w:szCs w:val="20"/>
        </w:rPr>
        <w:t xml:space="preserve"> </w:t>
      </w:r>
      <w:r w:rsidR="00796AE6" w:rsidRPr="00FC4D68">
        <w:rPr>
          <w:rStyle w:val="None"/>
          <w:rFonts w:ascii="Verdana" w:hAnsi="Verdana"/>
          <w:sz w:val="20"/>
          <w:szCs w:val="20"/>
        </w:rPr>
        <w:t xml:space="preserve">there should be a single agency governing land administration or, if there are several agencies, they should coordinate with each other in order to avoid any possible </w:t>
      </w:r>
      <w:r w:rsidR="00BA473C" w:rsidRPr="00FC4D68">
        <w:rPr>
          <w:rStyle w:val="None"/>
          <w:rFonts w:ascii="Verdana" w:hAnsi="Verdana"/>
          <w:sz w:val="20"/>
          <w:szCs w:val="20"/>
        </w:rPr>
        <w:t>“</w:t>
      </w:r>
      <w:r w:rsidR="00796AE6" w:rsidRPr="00FC4D68">
        <w:rPr>
          <w:rStyle w:val="None"/>
          <w:rFonts w:ascii="Verdana" w:hAnsi="Verdana"/>
          <w:sz w:val="20"/>
          <w:szCs w:val="20"/>
        </w:rPr>
        <w:t xml:space="preserve">overlapping” by many agencies' regulatory jurisdictions. Land </w:t>
      </w:r>
      <w:r w:rsidR="00796AE6" w:rsidRPr="00FC4D68">
        <w:rPr>
          <w:rStyle w:val="None"/>
          <w:rFonts w:ascii="Verdana" w:hAnsi="Verdana" w:cs="Browallia New"/>
          <w:sz w:val="20"/>
          <w:szCs w:val="20"/>
        </w:rPr>
        <w:t>administration services</w:t>
      </w:r>
      <w:r w:rsidR="00796AE6" w:rsidRPr="00FC4D68">
        <w:rPr>
          <w:rStyle w:val="None"/>
          <w:rFonts w:ascii="Verdana" w:hAnsi="Verdana"/>
          <w:sz w:val="20"/>
          <w:szCs w:val="20"/>
        </w:rPr>
        <w:t xml:space="preserve"> should also be carried out by </w:t>
      </w:r>
      <w:r w:rsidR="00BA473C" w:rsidRPr="00FC4D68">
        <w:rPr>
          <w:rStyle w:val="None"/>
          <w:rFonts w:ascii="Verdana" w:hAnsi="Verdana"/>
          <w:sz w:val="20"/>
          <w:szCs w:val="20"/>
        </w:rPr>
        <w:t>“</w:t>
      </w:r>
      <w:r w:rsidR="00796AE6" w:rsidRPr="00FC4D68">
        <w:rPr>
          <w:rStyle w:val="None"/>
          <w:rFonts w:ascii="Verdana" w:hAnsi="Verdana"/>
          <w:sz w:val="20"/>
          <w:szCs w:val="20"/>
        </w:rPr>
        <w:t>specialized” administrative authorities that have been trained on economic, social, and cultural rights, not security forces.</w:t>
      </w:r>
    </w:p>
    <w:p w14:paraId="5D0EAF58" w14:textId="10227180" w:rsidR="00255F19" w:rsidRPr="00FC4D68" w:rsidRDefault="007103DB" w:rsidP="00255F19">
      <w:pPr>
        <w:pStyle w:val="ListParagraph"/>
        <w:numPr>
          <w:ilvl w:val="0"/>
          <w:numId w:val="2"/>
        </w:numPr>
        <w:spacing w:after="240"/>
        <w:jc w:val="both"/>
        <w:rPr>
          <w:rFonts w:ascii="Verdana" w:hAnsi="Verdana"/>
          <w:sz w:val="20"/>
          <w:szCs w:val="20"/>
        </w:rPr>
      </w:pPr>
      <w:r w:rsidRPr="00FC4D68">
        <w:rPr>
          <w:rStyle w:val="None"/>
          <w:rFonts w:ascii="Verdana" w:hAnsi="Verdana"/>
          <w:sz w:val="20"/>
          <w:szCs w:val="20"/>
        </w:rPr>
        <w:lastRenderedPageBreak/>
        <w:t>P</w:t>
      </w:r>
      <w:r w:rsidR="00561D68" w:rsidRPr="00FC4D68">
        <w:rPr>
          <w:rStyle w:val="None"/>
          <w:rFonts w:ascii="Verdana" w:hAnsi="Verdana"/>
          <w:sz w:val="20"/>
          <w:szCs w:val="20"/>
        </w:rPr>
        <w:t xml:space="preserve">aragraph 23 of </w:t>
      </w:r>
      <w:r w:rsidR="001A200E" w:rsidRPr="00FC4D68">
        <w:rPr>
          <w:rStyle w:val="None"/>
          <w:rFonts w:ascii="Verdana" w:hAnsi="Verdana"/>
          <w:sz w:val="20"/>
          <w:szCs w:val="20"/>
        </w:rPr>
        <w:t>the</w:t>
      </w:r>
      <w:r w:rsidR="003838CC" w:rsidRPr="00FC4D68">
        <w:rPr>
          <w:rStyle w:val="None"/>
          <w:rFonts w:ascii="Verdana" w:hAnsi="Verdana"/>
          <w:sz w:val="20"/>
          <w:szCs w:val="20"/>
        </w:rPr>
        <w:t xml:space="preserve"> draft</w:t>
      </w:r>
      <w:r w:rsidR="001A200E" w:rsidRPr="00FC4D68">
        <w:rPr>
          <w:rStyle w:val="None"/>
          <w:rFonts w:ascii="Verdana" w:hAnsi="Verdana"/>
          <w:sz w:val="20"/>
          <w:szCs w:val="20"/>
        </w:rPr>
        <w:t xml:space="preserve"> General </w:t>
      </w:r>
      <w:r w:rsidR="003838CC" w:rsidRPr="00FC4D68">
        <w:rPr>
          <w:rStyle w:val="None"/>
          <w:rFonts w:ascii="Verdana" w:hAnsi="Verdana"/>
          <w:sz w:val="20"/>
          <w:szCs w:val="20"/>
        </w:rPr>
        <w:t>C</w:t>
      </w:r>
      <w:r w:rsidR="001A200E" w:rsidRPr="00FC4D68">
        <w:rPr>
          <w:rStyle w:val="None"/>
          <w:rFonts w:ascii="Verdana" w:hAnsi="Verdana"/>
          <w:sz w:val="20"/>
          <w:szCs w:val="20"/>
        </w:rPr>
        <w:t xml:space="preserve">omment No. 26 guarantees the right of the indigenous </w:t>
      </w:r>
      <w:r w:rsidR="00D12733" w:rsidRPr="00FC4D68">
        <w:rPr>
          <w:rStyle w:val="None"/>
          <w:rFonts w:ascii="Verdana" w:hAnsi="Verdana" w:cs="Browallia New"/>
          <w:sz w:val="20"/>
          <w:szCs w:val="20"/>
        </w:rPr>
        <w:t>peoples</w:t>
      </w:r>
      <w:r w:rsidR="007B489E" w:rsidRPr="00FC4D68">
        <w:rPr>
          <w:rStyle w:val="FootnoteReference"/>
          <w:rFonts w:ascii="Verdana" w:hAnsi="Verdana" w:cs="Browallia New"/>
          <w:sz w:val="20"/>
          <w:szCs w:val="20"/>
        </w:rPr>
        <w:footnoteReference w:id="3"/>
      </w:r>
      <w:r w:rsidR="001A200E" w:rsidRPr="00FC4D68">
        <w:rPr>
          <w:rStyle w:val="None"/>
          <w:rFonts w:ascii="Verdana" w:hAnsi="Verdana"/>
          <w:sz w:val="20"/>
          <w:szCs w:val="20"/>
        </w:rPr>
        <w:t xml:space="preserve"> over </w:t>
      </w:r>
      <w:r w:rsidR="005931DA" w:rsidRPr="00FC4D68">
        <w:rPr>
          <w:rStyle w:val="None"/>
          <w:rFonts w:ascii="Verdana" w:hAnsi="Verdana"/>
          <w:sz w:val="20"/>
          <w:szCs w:val="20"/>
        </w:rPr>
        <w:t>the lands and territories that they have traditionally occupied</w:t>
      </w:r>
      <w:r w:rsidR="00561D68" w:rsidRPr="00FC4D68">
        <w:rPr>
          <w:rStyle w:val="None"/>
          <w:rFonts w:ascii="Verdana" w:hAnsi="Verdana"/>
          <w:sz w:val="20"/>
          <w:szCs w:val="20"/>
        </w:rPr>
        <w:t xml:space="preserve"> and the right of the communities concerned to manage the lands according to their internal modes of organization</w:t>
      </w:r>
      <w:r w:rsidR="001A200E" w:rsidRPr="00FC4D68">
        <w:rPr>
          <w:rStyle w:val="None"/>
          <w:rFonts w:ascii="Verdana" w:hAnsi="Verdana"/>
          <w:sz w:val="20"/>
          <w:szCs w:val="20"/>
        </w:rPr>
        <w:t xml:space="preserve">. </w:t>
      </w:r>
      <w:r w:rsidR="007144D0" w:rsidRPr="00FC4D68">
        <w:rPr>
          <w:rStyle w:val="None"/>
          <w:rFonts w:ascii="Verdana" w:hAnsi="Verdana"/>
          <w:sz w:val="20"/>
          <w:szCs w:val="20"/>
        </w:rPr>
        <w:t>In this regard</w:t>
      </w:r>
      <w:r w:rsidR="001A200E" w:rsidRPr="00FC4D68">
        <w:rPr>
          <w:rStyle w:val="None"/>
          <w:rFonts w:ascii="Verdana" w:hAnsi="Verdana"/>
          <w:sz w:val="20"/>
          <w:szCs w:val="20"/>
        </w:rPr>
        <w:t xml:space="preserve">, we </w:t>
      </w:r>
      <w:r w:rsidR="007144D0" w:rsidRPr="00FC4D68">
        <w:rPr>
          <w:rStyle w:val="None"/>
          <w:rFonts w:ascii="Verdana" w:hAnsi="Verdana"/>
          <w:sz w:val="20"/>
          <w:szCs w:val="20"/>
        </w:rPr>
        <w:t xml:space="preserve">would appreciate it if the CESCR </w:t>
      </w:r>
      <w:r w:rsidR="00376454" w:rsidRPr="00FC4D68">
        <w:rPr>
          <w:rStyle w:val="None"/>
          <w:rFonts w:ascii="Verdana" w:hAnsi="Verdana"/>
          <w:sz w:val="20"/>
          <w:szCs w:val="20"/>
        </w:rPr>
        <w:t xml:space="preserve">may </w:t>
      </w:r>
      <w:r w:rsidR="001A200E" w:rsidRPr="00FC4D68">
        <w:rPr>
          <w:rStyle w:val="None"/>
          <w:rFonts w:ascii="Verdana" w:hAnsi="Verdana"/>
          <w:sz w:val="20"/>
          <w:szCs w:val="20"/>
        </w:rPr>
        <w:t xml:space="preserve">consider adding the </w:t>
      </w:r>
      <w:r w:rsidR="007144D0" w:rsidRPr="00FC4D68">
        <w:rPr>
          <w:rStyle w:val="None"/>
          <w:rFonts w:ascii="Verdana" w:hAnsi="Verdana"/>
          <w:sz w:val="20"/>
          <w:szCs w:val="20"/>
        </w:rPr>
        <w:t>the</w:t>
      </w:r>
      <w:r w:rsidR="001A200E" w:rsidRPr="00FC4D68">
        <w:rPr>
          <w:rStyle w:val="None"/>
          <w:rFonts w:ascii="Verdana" w:hAnsi="Verdana"/>
          <w:sz w:val="20"/>
          <w:szCs w:val="20"/>
        </w:rPr>
        <w:t xml:space="preserve"> </w:t>
      </w:r>
      <w:r w:rsidR="00376454" w:rsidRPr="00FC4D68">
        <w:rPr>
          <w:rStyle w:val="None"/>
          <w:rFonts w:ascii="Verdana" w:hAnsi="Verdana"/>
          <w:sz w:val="20"/>
          <w:szCs w:val="20"/>
        </w:rPr>
        <w:t xml:space="preserve">term </w:t>
      </w:r>
      <w:r w:rsidR="00502FE9" w:rsidRPr="00FC4D68">
        <w:rPr>
          <w:rStyle w:val="None"/>
          <w:rFonts w:ascii="Verdana" w:hAnsi="Verdana"/>
          <w:sz w:val="20"/>
          <w:szCs w:val="20"/>
        </w:rPr>
        <w:t>“</w:t>
      </w:r>
      <w:r w:rsidR="007144D0" w:rsidRPr="00FC4D68">
        <w:rPr>
          <w:rStyle w:val="None"/>
          <w:rFonts w:ascii="Verdana" w:hAnsi="Verdana"/>
          <w:sz w:val="20"/>
          <w:szCs w:val="20"/>
        </w:rPr>
        <w:t>indigenous peoples' traditional livelihood practices</w:t>
      </w:r>
      <w:r w:rsidR="001A200E" w:rsidRPr="00FC4D68">
        <w:rPr>
          <w:rStyle w:val="None"/>
          <w:rFonts w:ascii="Verdana" w:hAnsi="Verdana"/>
          <w:sz w:val="20"/>
          <w:szCs w:val="20"/>
        </w:rPr>
        <w:t xml:space="preserve">, such as </w:t>
      </w:r>
      <w:r w:rsidR="00730F84" w:rsidRPr="00FC4D68">
        <w:rPr>
          <w:rStyle w:val="None"/>
          <w:rFonts w:ascii="Verdana" w:hAnsi="Verdana"/>
          <w:sz w:val="20"/>
          <w:szCs w:val="20"/>
        </w:rPr>
        <w:t>traditional rotation farming system</w:t>
      </w:r>
      <w:r w:rsidR="001A200E" w:rsidRPr="00FC4D68">
        <w:rPr>
          <w:rStyle w:val="None"/>
          <w:rFonts w:ascii="Verdana" w:hAnsi="Verdana"/>
          <w:sz w:val="20"/>
          <w:szCs w:val="20"/>
        </w:rPr>
        <w:t xml:space="preserve"> or</w:t>
      </w:r>
      <w:r w:rsidR="00730F84" w:rsidRPr="00FC4D68">
        <w:rPr>
          <w:rStyle w:val="None"/>
          <w:rFonts w:ascii="Verdana" w:hAnsi="Verdana"/>
          <w:sz w:val="20"/>
          <w:szCs w:val="20"/>
        </w:rPr>
        <w:t xml:space="preserve"> </w:t>
      </w:r>
      <w:r w:rsidR="00DC6796" w:rsidRPr="00FC4D68">
        <w:rPr>
          <w:rStyle w:val="None"/>
          <w:rFonts w:ascii="Verdana" w:hAnsi="Verdana"/>
          <w:sz w:val="20"/>
          <w:szCs w:val="20"/>
        </w:rPr>
        <w:t xml:space="preserve">traditional </w:t>
      </w:r>
      <w:r w:rsidR="00730F84" w:rsidRPr="00FC4D68">
        <w:rPr>
          <w:rStyle w:val="None"/>
          <w:rFonts w:ascii="Verdana" w:hAnsi="Verdana"/>
          <w:sz w:val="20"/>
          <w:szCs w:val="20"/>
        </w:rPr>
        <w:t xml:space="preserve">fishing </w:t>
      </w:r>
      <w:r w:rsidR="00DC6796" w:rsidRPr="00FC4D68">
        <w:rPr>
          <w:rStyle w:val="None"/>
          <w:rFonts w:ascii="Verdana" w:hAnsi="Verdana"/>
          <w:sz w:val="20"/>
          <w:szCs w:val="20"/>
        </w:rPr>
        <w:t>practices</w:t>
      </w:r>
      <w:r w:rsidR="001A200E" w:rsidRPr="00FC4D68">
        <w:rPr>
          <w:rStyle w:val="None"/>
          <w:rFonts w:ascii="Verdana" w:hAnsi="Verdana"/>
          <w:sz w:val="20"/>
          <w:szCs w:val="20"/>
        </w:rPr>
        <w:t>” in the said paragraph</w:t>
      </w:r>
      <w:r w:rsidR="007144D0" w:rsidRPr="00FC4D68">
        <w:rPr>
          <w:rStyle w:val="None"/>
          <w:rFonts w:ascii="Verdana" w:hAnsi="Verdana"/>
          <w:sz w:val="20"/>
          <w:szCs w:val="20"/>
        </w:rPr>
        <w:t xml:space="preserve"> in order to </w:t>
      </w:r>
      <w:r w:rsidR="001A200E" w:rsidRPr="00FC4D68">
        <w:rPr>
          <w:rStyle w:val="None"/>
          <w:rFonts w:ascii="Verdana" w:hAnsi="Verdana"/>
          <w:sz w:val="20"/>
          <w:szCs w:val="20"/>
        </w:rPr>
        <w:t>guarantee th</w:t>
      </w:r>
      <w:r w:rsidR="007144D0" w:rsidRPr="00FC4D68">
        <w:rPr>
          <w:rStyle w:val="None"/>
          <w:rFonts w:ascii="Verdana" w:hAnsi="Verdana"/>
          <w:sz w:val="20"/>
          <w:szCs w:val="20"/>
        </w:rPr>
        <w:t xml:space="preserve">at such practices will be </w:t>
      </w:r>
      <w:r w:rsidR="001A200E" w:rsidRPr="00FC4D68">
        <w:rPr>
          <w:rStyle w:val="None"/>
          <w:rFonts w:ascii="Verdana" w:hAnsi="Verdana"/>
          <w:sz w:val="20"/>
          <w:szCs w:val="20"/>
        </w:rPr>
        <w:t>duly protected</w:t>
      </w:r>
      <w:r w:rsidR="007144D0" w:rsidRPr="00FC4D68">
        <w:rPr>
          <w:rStyle w:val="None"/>
          <w:rFonts w:ascii="Verdana" w:hAnsi="Verdana"/>
          <w:sz w:val="20"/>
          <w:szCs w:val="20"/>
        </w:rPr>
        <w:t>, particularly crop rotation farming practice that</w:t>
      </w:r>
      <w:r w:rsidR="001A200E" w:rsidRPr="00FC4D68">
        <w:rPr>
          <w:rStyle w:val="None"/>
          <w:rFonts w:ascii="Verdana" w:hAnsi="Verdana"/>
          <w:sz w:val="20"/>
          <w:szCs w:val="20"/>
        </w:rPr>
        <w:t xml:space="preserve"> </w:t>
      </w:r>
      <w:r w:rsidR="00F26B7A" w:rsidRPr="00FC4D68">
        <w:rPr>
          <w:rStyle w:val="None"/>
          <w:rFonts w:ascii="Verdana" w:hAnsi="Verdana"/>
          <w:sz w:val="20"/>
          <w:szCs w:val="20"/>
        </w:rPr>
        <w:t xml:space="preserve">that has been unfairly </w:t>
      </w:r>
      <w:r w:rsidR="002265B8" w:rsidRPr="00FC4D68">
        <w:rPr>
          <w:rStyle w:val="None"/>
          <w:rFonts w:ascii="Verdana" w:hAnsi="Verdana"/>
          <w:sz w:val="20"/>
          <w:szCs w:val="20"/>
        </w:rPr>
        <w:t>stigmatized</w:t>
      </w:r>
      <w:r w:rsidR="001A200E" w:rsidRPr="00FC4D68">
        <w:rPr>
          <w:rStyle w:val="None"/>
          <w:rFonts w:ascii="Verdana" w:hAnsi="Verdana"/>
          <w:sz w:val="20"/>
          <w:szCs w:val="20"/>
        </w:rPr>
        <w:t xml:space="preserve"> </w:t>
      </w:r>
      <w:r w:rsidR="00F26B7A" w:rsidRPr="00FC4D68">
        <w:rPr>
          <w:rStyle w:val="None"/>
          <w:rFonts w:ascii="Verdana" w:hAnsi="Verdana"/>
          <w:sz w:val="20"/>
          <w:szCs w:val="20"/>
        </w:rPr>
        <w:t xml:space="preserve">as the culprit of </w:t>
      </w:r>
      <w:r w:rsidR="001A200E" w:rsidRPr="00FC4D68">
        <w:rPr>
          <w:rStyle w:val="None"/>
          <w:rFonts w:ascii="Verdana" w:hAnsi="Verdana"/>
          <w:sz w:val="20"/>
          <w:szCs w:val="20"/>
        </w:rPr>
        <w:t xml:space="preserve">deforestation </w:t>
      </w:r>
      <w:r w:rsidR="00F26B7A" w:rsidRPr="00FC4D68">
        <w:rPr>
          <w:rStyle w:val="None"/>
          <w:rFonts w:ascii="Verdana" w:hAnsi="Verdana"/>
          <w:sz w:val="20"/>
          <w:szCs w:val="20"/>
        </w:rPr>
        <w:t>in</w:t>
      </w:r>
      <w:r w:rsidR="002265B8" w:rsidRPr="00FC4D68">
        <w:rPr>
          <w:rStyle w:val="None"/>
          <w:rFonts w:ascii="Verdana" w:hAnsi="Verdana"/>
          <w:sz w:val="20"/>
          <w:szCs w:val="20"/>
        </w:rPr>
        <w:t xml:space="preserve"> Thailand.</w:t>
      </w:r>
      <w:r w:rsidR="00F26B7A" w:rsidRPr="00FC4D68">
        <w:rPr>
          <w:rStyle w:val="None"/>
          <w:rFonts w:ascii="Verdana" w:hAnsi="Verdana"/>
          <w:sz w:val="20"/>
          <w:szCs w:val="20"/>
        </w:rPr>
        <w:t xml:space="preserve"> </w:t>
      </w:r>
      <w:r w:rsidR="002265B8" w:rsidRPr="00FC4D68">
        <w:rPr>
          <w:rStyle w:val="None"/>
          <w:rFonts w:ascii="Verdana" w:hAnsi="Verdana"/>
          <w:sz w:val="20"/>
          <w:szCs w:val="20"/>
        </w:rPr>
        <w:t xml:space="preserve">Several </w:t>
      </w:r>
      <w:r w:rsidR="00F26B7A" w:rsidRPr="00FC4D68">
        <w:rPr>
          <w:rStyle w:val="None"/>
          <w:rFonts w:ascii="Verdana" w:hAnsi="Verdana"/>
          <w:sz w:val="20"/>
          <w:szCs w:val="20"/>
        </w:rPr>
        <w:t xml:space="preserve">indigenous peoples in Thailand </w:t>
      </w:r>
      <w:r w:rsidR="002265B8" w:rsidRPr="00FC4D68">
        <w:rPr>
          <w:rStyle w:val="None"/>
          <w:rFonts w:ascii="Verdana" w:hAnsi="Verdana"/>
          <w:sz w:val="20"/>
          <w:szCs w:val="20"/>
        </w:rPr>
        <w:t>were</w:t>
      </w:r>
      <w:r w:rsidR="001A200E" w:rsidRPr="00FC4D68">
        <w:rPr>
          <w:rStyle w:val="None"/>
          <w:rFonts w:ascii="Verdana" w:hAnsi="Verdana"/>
          <w:sz w:val="20"/>
          <w:szCs w:val="20"/>
        </w:rPr>
        <w:t xml:space="preserve"> criminally prosecuted</w:t>
      </w:r>
      <w:r w:rsidR="00F26B7A" w:rsidRPr="00FC4D68">
        <w:rPr>
          <w:rStyle w:val="None"/>
          <w:rFonts w:ascii="Verdana" w:hAnsi="Verdana"/>
          <w:sz w:val="20"/>
          <w:szCs w:val="20"/>
        </w:rPr>
        <w:t xml:space="preserve"> for engaging into such practices</w:t>
      </w:r>
      <w:r w:rsidR="001A200E" w:rsidRPr="00FC4D68">
        <w:rPr>
          <w:rStyle w:val="None"/>
          <w:rFonts w:ascii="Verdana" w:hAnsi="Verdana"/>
          <w:sz w:val="20"/>
          <w:szCs w:val="20"/>
        </w:rPr>
        <w:t>.</w:t>
      </w:r>
      <w:r w:rsidR="00502FE9" w:rsidRPr="00FC4D68">
        <w:rPr>
          <w:rStyle w:val="FootnoteReference"/>
          <w:rFonts w:ascii="Verdana" w:hAnsi="Verdana"/>
          <w:sz w:val="20"/>
          <w:szCs w:val="20"/>
        </w:rPr>
        <w:footnoteReference w:id="4"/>
      </w:r>
      <w:r w:rsidR="001A200E" w:rsidRPr="00FC4D68">
        <w:rPr>
          <w:rStyle w:val="None"/>
          <w:rFonts w:ascii="Verdana" w:hAnsi="Verdana"/>
          <w:sz w:val="20"/>
          <w:szCs w:val="20"/>
        </w:rPr>
        <w:t xml:space="preserve"> </w:t>
      </w:r>
    </w:p>
    <w:p w14:paraId="68FE8A88" w14:textId="7FD88755" w:rsidR="00A90EE4" w:rsidRPr="00FC4D68" w:rsidRDefault="0005147A" w:rsidP="00AD7667">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In addition</w:t>
      </w:r>
      <w:r w:rsidR="001A200E" w:rsidRPr="00FC4D68">
        <w:rPr>
          <w:rStyle w:val="None"/>
          <w:rFonts w:ascii="Verdana" w:hAnsi="Verdana"/>
          <w:sz w:val="20"/>
          <w:szCs w:val="20"/>
        </w:rPr>
        <w:t xml:space="preserve">, </w:t>
      </w:r>
      <w:r w:rsidR="00BB0FE3" w:rsidRPr="00FC4D68">
        <w:rPr>
          <w:rStyle w:val="None"/>
          <w:rFonts w:ascii="Verdana" w:hAnsi="Verdana"/>
          <w:sz w:val="20"/>
          <w:szCs w:val="20"/>
        </w:rPr>
        <w:t xml:space="preserve">the draft </w:t>
      </w:r>
      <w:r w:rsidR="001A200E" w:rsidRPr="00FC4D68">
        <w:rPr>
          <w:rStyle w:val="None"/>
          <w:rFonts w:ascii="Verdana" w:hAnsi="Verdana"/>
          <w:sz w:val="20"/>
          <w:szCs w:val="20"/>
        </w:rPr>
        <w:t xml:space="preserve">General </w:t>
      </w:r>
      <w:r w:rsidR="00BB0FE3" w:rsidRPr="00FC4D68">
        <w:rPr>
          <w:rStyle w:val="None"/>
          <w:rFonts w:ascii="Verdana" w:hAnsi="Verdana"/>
          <w:sz w:val="20"/>
          <w:szCs w:val="20"/>
        </w:rPr>
        <w:t>C</w:t>
      </w:r>
      <w:r w:rsidR="001A200E" w:rsidRPr="00FC4D68">
        <w:rPr>
          <w:rStyle w:val="None"/>
          <w:rFonts w:ascii="Verdana" w:hAnsi="Verdana"/>
          <w:sz w:val="20"/>
          <w:szCs w:val="20"/>
        </w:rPr>
        <w:t xml:space="preserve">omment No. 26 </w:t>
      </w:r>
      <w:r w:rsidR="002E3995" w:rsidRPr="00FC4D68">
        <w:rPr>
          <w:rStyle w:val="None"/>
          <w:rFonts w:ascii="Verdana" w:hAnsi="Verdana"/>
          <w:sz w:val="20"/>
          <w:szCs w:val="20"/>
        </w:rPr>
        <w:t>also</w:t>
      </w:r>
      <w:r w:rsidR="001A200E" w:rsidRPr="00FC4D68">
        <w:rPr>
          <w:rStyle w:val="None"/>
          <w:rFonts w:ascii="Verdana" w:hAnsi="Verdana"/>
          <w:sz w:val="20"/>
          <w:szCs w:val="20"/>
        </w:rPr>
        <w:t xml:space="preserve"> </w:t>
      </w:r>
      <w:r w:rsidR="00BB0FE3" w:rsidRPr="00FC4D68">
        <w:rPr>
          <w:rStyle w:val="None"/>
          <w:rFonts w:ascii="Verdana" w:hAnsi="Verdana"/>
          <w:sz w:val="20"/>
          <w:szCs w:val="20"/>
        </w:rPr>
        <w:t>refer</w:t>
      </w:r>
      <w:r w:rsidR="002E3995" w:rsidRPr="00FC4D68">
        <w:rPr>
          <w:rStyle w:val="None"/>
          <w:rFonts w:ascii="Verdana" w:hAnsi="Verdana"/>
          <w:sz w:val="20"/>
          <w:szCs w:val="20"/>
        </w:rPr>
        <w:t>s</w:t>
      </w:r>
      <w:r w:rsidR="00BB0FE3" w:rsidRPr="00FC4D68">
        <w:rPr>
          <w:rStyle w:val="None"/>
          <w:rFonts w:ascii="Verdana" w:hAnsi="Verdana"/>
          <w:sz w:val="20"/>
          <w:szCs w:val="20"/>
        </w:rPr>
        <w:t xml:space="preserve"> to</w:t>
      </w:r>
      <w:r w:rsidR="001A200E" w:rsidRPr="00FC4D68">
        <w:rPr>
          <w:rStyle w:val="None"/>
          <w:rFonts w:ascii="Verdana" w:hAnsi="Verdana"/>
          <w:sz w:val="20"/>
          <w:szCs w:val="20"/>
        </w:rPr>
        <w:t xml:space="preserve"> States parties’ obligation to protect </w:t>
      </w:r>
      <w:r w:rsidR="002E3995" w:rsidRPr="00FC4D68">
        <w:rPr>
          <w:rStyle w:val="None"/>
          <w:rFonts w:ascii="Verdana" w:hAnsi="Verdana"/>
          <w:sz w:val="20"/>
          <w:szCs w:val="20"/>
        </w:rPr>
        <w:t>the access to the sea or to rivers, fishing grounds, and</w:t>
      </w:r>
      <w:r w:rsidR="00DC6796" w:rsidRPr="00FC4D68">
        <w:rPr>
          <w:rStyle w:val="None"/>
          <w:rFonts w:ascii="Verdana" w:hAnsi="Verdana"/>
          <w:sz w:val="20"/>
          <w:szCs w:val="20"/>
        </w:rPr>
        <w:t xml:space="preserve"> the access to</w:t>
      </w:r>
      <w:r w:rsidR="002E3995" w:rsidRPr="00FC4D68">
        <w:rPr>
          <w:rStyle w:val="None"/>
          <w:rFonts w:ascii="Verdana" w:hAnsi="Verdana"/>
          <w:sz w:val="20"/>
          <w:szCs w:val="20"/>
        </w:rPr>
        <w:t xml:space="preserve"> </w:t>
      </w:r>
      <w:r w:rsidR="009C7D26" w:rsidRPr="00FC4D68">
        <w:rPr>
          <w:rStyle w:val="None"/>
          <w:rFonts w:ascii="Verdana" w:hAnsi="Verdana"/>
          <w:sz w:val="20"/>
          <w:szCs w:val="20"/>
        </w:rPr>
        <w:t>land of legitimate tenure rights holders,</w:t>
      </w:r>
      <w:r w:rsidR="005B63D2" w:rsidRPr="00FC4D68">
        <w:rPr>
          <w:rStyle w:val="None"/>
          <w:rFonts w:ascii="Verdana" w:hAnsi="Verdana"/>
          <w:sz w:val="20"/>
          <w:szCs w:val="20"/>
        </w:rPr>
        <w:t xml:space="preserve"> </w:t>
      </w:r>
      <w:r w:rsidR="002E3995" w:rsidRPr="00FC4D68">
        <w:rPr>
          <w:rStyle w:val="None"/>
          <w:rFonts w:ascii="Verdana" w:hAnsi="Verdana"/>
          <w:sz w:val="20"/>
          <w:szCs w:val="20"/>
        </w:rPr>
        <w:t xml:space="preserve">including </w:t>
      </w:r>
      <w:r w:rsidR="005B63D2" w:rsidRPr="00FC4D68">
        <w:rPr>
          <w:rStyle w:val="None"/>
          <w:rFonts w:ascii="Verdana" w:hAnsi="Verdana"/>
          <w:sz w:val="20"/>
          <w:szCs w:val="20"/>
        </w:rPr>
        <w:t>those that depend on the commons</w:t>
      </w:r>
      <w:r w:rsidR="002E3995" w:rsidRPr="00FC4D68">
        <w:rPr>
          <w:rStyle w:val="None"/>
          <w:rFonts w:ascii="Verdana" w:hAnsi="Verdana"/>
          <w:sz w:val="20"/>
          <w:szCs w:val="20"/>
        </w:rPr>
        <w:t>. These include by e</w:t>
      </w:r>
      <w:r w:rsidR="009C7D26" w:rsidRPr="00FC4D68">
        <w:rPr>
          <w:rStyle w:val="None"/>
          <w:rFonts w:ascii="Verdana" w:hAnsi="Verdana"/>
          <w:sz w:val="20"/>
          <w:szCs w:val="20"/>
        </w:rPr>
        <w:t>nsuring that they are not otherwise extinguished or infringed by third parties</w:t>
      </w:r>
      <w:r w:rsidR="002E3995" w:rsidRPr="00FC4D68">
        <w:rPr>
          <w:rStyle w:val="None"/>
          <w:rFonts w:ascii="Verdana" w:hAnsi="Verdana"/>
          <w:sz w:val="20"/>
          <w:szCs w:val="20"/>
        </w:rPr>
        <w:t xml:space="preserve"> </w:t>
      </w:r>
      <w:r w:rsidR="005B63D2" w:rsidRPr="00FC4D68">
        <w:rPr>
          <w:rStyle w:val="None"/>
          <w:rFonts w:ascii="Verdana" w:hAnsi="Verdana"/>
          <w:sz w:val="20"/>
          <w:szCs w:val="20"/>
        </w:rPr>
        <w:t>(paragraphs 15, 24</w:t>
      </w:r>
      <w:r w:rsidR="001456C0" w:rsidRPr="00FC4D68">
        <w:rPr>
          <w:rStyle w:val="None"/>
          <w:rFonts w:ascii="Verdana" w:hAnsi="Verdana"/>
          <w:sz w:val="20"/>
          <w:szCs w:val="20"/>
        </w:rPr>
        <w:t xml:space="preserve"> and</w:t>
      </w:r>
      <w:r w:rsidR="005B63D2" w:rsidRPr="00FC4D68">
        <w:rPr>
          <w:rStyle w:val="None"/>
          <w:rFonts w:ascii="Verdana" w:hAnsi="Verdana"/>
          <w:sz w:val="20"/>
          <w:szCs w:val="20"/>
        </w:rPr>
        <w:t xml:space="preserve"> 29-32).</w:t>
      </w:r>
      <w:r w:rsidR="00D17727" w:rsidRPr="00FC4D68">
        <w:rPr>
          <w:rStyle w:val="None"/>
          <w:rFonts w:ascii="Verdana" w:hAnsi="Verdana"/>
          <w:sz w:val="20"/>
          <w:szCs w:val="20"/>
        </w:rPr>
        <w:t xml:space="preserve"> </w:t>
      </w:r>
      <w:r w:rsidR="00F87EAA" w:rsidRPr="00FC4D68">
        <w:rPr>
          <w:rStyle w:val="None"/>
          <w:rFonts w:ascii="Verdana" w:hAnsi="Verdana"/>
          <w:sz w:val="20"/>
          <w:szCs w:val="20"/>
        </w:rPr>
        <w:t xml:space="preserve">In </w:t>
      </w:r>
      <w:r w:rsidR="001A200E" w:rsidRPr="00FC4D68">
        <w:rPr>
          <w:rStyle w:val="None"/>
          <w:rFonts w:ascii="Verdana" w:hAnsi="Verdana"/>
          <w:sz w:val="20"/>
          <w:szCs w:val="20"/>
        </w:rPr>
        <w:t>Thailand</w:t>
      </w:r>
      <w:r w:rsidR="00F87EAA" w:rsidRPr="00FC4D68">
        <w:rPr>
          <w:rStyle w:val="None"/>
          <w:rFonts w:ascii="Verdana" w:hAnsi="Verdana"/>
          <w:sz w:val="20"/>
          <w:szCs w:val="20"/>
        </w:rPr>
        <w:t>,</w:t>
      </w:r>
      <w:r w:rsidR="005B63D2" w:rsidRPr="00FC4D68">
        <w:rPr>
          <w:rStyle w:val="None"/>
          <w:rFonts w:ascii="Verdana" w:hAnsi="Verdana"/>
          <w:sz w:val="20"/>
          <w:szCs w:val="20"/>
        </w:rPr>
        <w:t xml:space="preserve"> </w:t>
      </w:r>
      <w:r w:rsidR="001456C0" w:rsidRPr="00FC4D68">
        <w:rPr>
          <w:rStyle w:val="None"/>
          <w:rFonts w:ascii="Verdana" w:hAnsi="Verdana"/>
          <w:sz w:val="20"/>
          <w:szCs w:val="20"/>
        </w:rPr>
        <w:t xml:space="preserve">there </w:t>
      </w:r>
      <w:r w:rsidR="008B4F62" w:rsidRPr="00FC4D68">
        <w:rPr>
          <w:rStyle w:val="None"/>
          <w:rFonts w:ascii="Verdana" w:hAnsi="Verdana"/>
          <w:sz w:val="20"/>
          <w:szCs w:val="20"/>
        </w:rPr>
        <w:t>we</w:t>
      </w:r>
      <w:r w:rsidR="001456C0" w:rsidRPr="00FC4D68">
        <w:rPr>
          <w:rStyle w:val="None"/>
          <w:rFonts w:ascii="Verdana" w:hAnsi="Verdana"/>
          <w:sz w:val="20"/>
          <w:szCs w:val="20"/>
        </w:rPr>
        <w:t xml:space="preserve">re a number of instances where </w:t>
      </w:r>
      <w:r w:rsidR="004524E0" w:rsidRPr="00FC4D68">
        <w:rPr>
          <w:rStyle w:val="None"/>
          <w:rFonts w:ascii="Verdana" w:hAnsi="Verdana"/>
          <w:sz w:val="20"/>
          <w:szCs w:val="20"/>
        </w:rPr>
        <w:t xml:space="preserve">forests and resources-dependent </w:t>
      </w:r>
      <w:r w:rsidR="005B63D2" w:rsidRPr="00FC4D68">
        <w:rPr>
          <w:rStyle w:val="None"/>
          <w:rFonts w:ascii="Verdana" w:hAnsi="Verdana"/>
          <w:sz w:val="20"/>
          <w:szCs w:val="20"/>
        </w:rPr>
        <w:t>communities</w:t>
      </w:r>
      <w:r w:rsidR="0027275B" w:rsidRPr="00FC4D68">
        <w:rPr>
          <w:rStyle w:val="None"/>
          <w:rFonts w:ascii="Verdana" w:hAnsi="Verdana"/>
          <w:sz w:val="20"/>
          <w:szCs w:val="20"/>
        </w:rPr>
        <w:t xml:space="preserve"> --</w:t>
      </w:r>
      <w:r w:rsidR="001B12DA" w:rsidRPr="00FC4D68">
        <w:rPr>
          <w:rStyle w:val="None"/>
          <w:rFonts w:ascii="Verdana" w:hAnsi="Verdana"/>
          <w:sz w:val="20"/>
          <w:szCs w:val="20"/>
        </w:rPr>
        <w:t xml:space="preserve"> </w:t>
      </w:r>
      <w:r w:rsidR="0027275B" w:rsidRPr="00FC4D68">
        <w:rPr>
          <w:rStyle w:val="None"/>
          <w:rFonts w:ascii="Verdana" w:hAnsi="Verdana"/>
          <w:sz w:val="20"/>
          <w:szCs w:val="20"/>
        </w:rPr>
        <w:t>e.g.</w:t>
      </w:r>
      <w:r w:rsidR="001B12DA" w:rsidRPr="00FC4D68">
        <w:rPr>
          <w:rStyle w:val="None"/>
          <w:rFonts w:ascii="Verdana" w:hAnsi="Verdana"/>
          <w:sz w:val="20"/>
          <w:szCs w:val="20"/>
        </w:rPr>
        <w:t xml:space="preserve"> Moken ethnic group</w:t>
      </w:r>
      <w:r w:rsidR="001B12DA" w:rsidRPr="00FC4D68">
        <w:rPr>
          <w:rFonts w:ascii="Verdana" w:hAnsi="Verdana"/>
          <w:sz w:val="20"/>
          <w:szCs w:val="20"/>
        </w:rPr>
        <w:t xml:space="preserve"> - a</w:t>
      </w:r>
      <w:r w:rsidR="001B12DA" w:rsidRPr="00FC4D68">
        <w:rPr>
          <w:rStyle w:val="None"/>
          <w:rFonts w:ascii="Verdana" w:hAnsi="Verdana"/>
          <w:sz w:val="20"/>
          <w:szCs w:val="20"/>
        </w:rPr>
        <w:t xml:space="preserve">lso known as the "sea gypsies" or </w:t>
      </w:r>
      <w:r w:rsidR="0027275B" w:rsidRPr="00FC4D68">
        <w:rPr>
          <w:rStyle w:val="None"/>
          <w:rFonts w:ascii="Verdana" w:hAnsi="Verdana"/>
          <w:sz w:val="20"/>
          <w:szCs w:val="20"/>
        </w:rPr>
        <w:t>“</w:t>
      </w:r>
      <w:r w:rsidR="001B12DA" w:rsidRPr="00FC4D68">
        <w:rPr>
          <w:rStyle w:val="None"/>
          <w:rFonts w:ascii="Verdana" w:hAnsi="Verdana"/>
          <w:sz w:val="20"/>
          <w:szCs w:val="20"/>
        </w:rPr>
        <w:t>chao ley</w:t>
      </w:r>
      <w:r w:rsidR="0027275B" w:rsidRPr="00FC4D68">
        <w:rPr>
          <w:rStyle w:val="None"/>
          <w:rFonts w:ascii="Verdana" w:hAnsi="Verdana"/>
          <w:sz w:val="20"/>
          <w:szCs w:val="20"/>
        </w:rPr>
        <w:t>”</w:t>
      </w:r>
      <w:r w:rsidR="001B12DA" w:rsidRPr="00FC4D68">
        <w:rPr>
          <w:rStyle w:val="None"/>
          <w:rFonts w:ascii="Verdana" w:hAnsi="Verdana"/>
          <w:sz w:val="20"/>
          <w:szCs w:val="20"/>
        </w:rPr>
        <w:t>, an indigenous group whose livelihoods depend on the Andaman Sea for around 300 years</w:t>
      </w:r>
      <w:r w:rsidR="0027275B" w:rsidRPr="00FC4D68">
        <w:rPr>
          <w:rStyle w:val="None"/>
          <w:rFonts w:ascii="Verdana" w:hAnsi="Verdana"/>
          <w:sz w:val="20"/>
          <w:szCs w:val="20"/>
        </w:rPr>
        <w:t xml:space="preserve"> --</w:t>
      </w:r>
      <w:r w:rsidR="001456C0" w:rsidRPr="00FC4D68">
        <w:rPr>
          <w:rStyle w:val="None"/>
          <w:rFonts w:ascii="Verdana" w:hAnsi="Verdana"/>
          <w:sz w:val="20"/>
          <w:szCs w:val="20"/>
        </w:rPr>
        <w:t xml:space="preserve"> </w:t>
      </w:r>
      <w:r w:rsidR="0027275B" w:rsidRPr="00FC4D68">
        <w:rPr>
          <w:rStyle w:val="None"/>
          <w:rFonts w:ascii="Verdana" w:hAnsi="Verdana"/>
          <w:sz w:val="20"/>
          <w:szCs w:val="20"/>
        </w:rPr>
        <w:t>whose</w:t>
      </w:r>
      <w:r w:rsidR="004524E0" w:rsidRPr="00FC4D68">
        <w:rPr>
          <w:rStyle w:val="None"/>
          <w:rFonts w:ascii="Verdana" w:hAnsi="Verdana"/>
          <w:sz w:val="20"/>
          <w:szCs w:val="20"/>
        </w:rPr>
        <w:t xml:space="preserve"> economic, social and cultural rights related to lands </w:t>
      </w:r>
      <w:r w:rsidR="001456C0" w:rsidRPr="00FC4D68">
        <w:rPr>
          <w:rStyle w:val="None"/>
          <w:rFonts w:ascii="Verdana" w:hAnsi="Verdana"/>
          <w:sz w:val="20"/>
          <w:szCs w:val="20"/>
        </w:rPr>
        <w:t xml:space="preserve">were affected by tourism industry and the declaration of </w:t>
      </w:r>
      <w:r w:rsidR="00DC6796" w:rsidRPr="00FC4D68">
        <w:rPr>
          <w:rStyle w:val="None"/>
          <w:rFonts w:ascii="Verdana" w:hAnsi="Verdana"/>
          <w:sz w:val="20"/>
          <w:szCs w:val="20"/>
        </w:rPr>
        <w:t xml:space="preserve">marine </w:t>
      </w:r>
      <w:r w:rsidR="001456C0" w:rsidRPr="00FC4D68">
        <w:rPr>
          <w:rStyle w:val="None"/>
          <w:rFonts w:ascii="Verdana" w:hAnsi="Verdana"/>
          <w:sz w:val="20"/>
          <w:szCs w:val="20"/>
        </w:rPr>
        <w:t xml:space="preserve">national </w:t>
      </w:r>
      <w:r w:rsidR="004524E0" w:rsidRPr="00FC4D68">
        <w:rPr>
          <w:rStyle w:val="None"/>
          <w:rFonts w:ascii="Verdana" w:hAnsi="Verdana"/>
          <w:sz w:val="20"/>
          <w:szCs w:val="20"/>
        </w:rPr>
        <w:t>park</w:t>
      </w:r>
      <w:r w:rsidR="00AD7667" w:rsidRPr="00FC4D68">
        <w:rPr>
          <w:rStyle w:val="None"/>
          <w:rFonts w:ascii="Verdana" w:hAnsi="Verdana"/>
          <w:sz w:val="20"/>
          <w:szCs w:val="20"/>
        </w:rPr>
        <w:t xml:space="preserve"> on the areas that </w:t>
      </w:r>
      <w:r w:rsidR="003929A8" w:rsidRPr="00FC4D68">
        <w:rPr>
          <w:rStyle w:val="None"/>
          <w:rFonts w:ascii="Verdana" w:hAnsi="Verdana"/>
          <w:sz w:val="20"/>
          <w:szCs w:val="20"/>
        </w:rPr>
        <w:t>they</w:t>
      </w:r>
      <w:r w:rsidR="0027275B" w:rsidRPr="00FC4D68">
        <w:rPr>
          <w:rStyle w:val="None"/>
          <w:rFonts w:ascii="Verdana" w:hAnsi="Verdana"/>
          <w:sz w:val="20"/>
          <w:szCs w:val="20"/>
        </w:rPr>
        <w:t xml:space="preserve"> had</w:t>
      </w:r>
      <w:r w:rsidR="003929A8" w:rsidRPr="00FC4D68">
        <w:rPr>
          <w:rStyle w:val="None"/>
          <w:rFonts w:ascii="Verdana" w:hAnsi="Verdana"/>
          <w:sz w:val="20"/>
          <w:szCs w:val="20"/>
        </w:rPr>
        <w:t xml:space="preserve"> lived or relied upon</w:t>
      </w:r>
      <w:r w:rsidR="001A200E" w:rsidRPr="00FC4D68">
        <w:rPr>
          <w:rStyle w:val="None"/>
          <w:rFonts w:ascii="Verdana" w:hAnsi="Verdana"/>
          <w:sz w:val="20"/>
          <w:szCs w:val="20"/>
        </w:rPr>
        <w:t xml:space="preserve">. </w:t>
      </w:r>
      <w:r w:rsidR="001B12DA" w:rsidRPr="00FC4D68">
        <w:rPr>
          <w:rStyle w:val="None"/>
          <w:rFonts w:ascii="Verdana" w:hAnsi="Verdana"/>
          <w:sz w:val="20"/>
          <w:szCs w:val="20"/>
        </w:rPr>
        <w:t>As a result,</w:t>
      </w:r>
      <w:r w:rsidR="001A200E" w:rsidRPr="00FC4D68">
        <w:rPr>
          <w:rStyle w:val="None"/>
          <w:rFonts w:ascii="Verdana" w:hAnsi="Verdana"/>
          <w:sz w:val="20"/>
          <w:szCs w:val="20"/>
        </w:rPr>
        <w:t xml:space="preserve"> </w:t>
      </w:r>
      <w:r w:rsidR="001B12DA" w:rsidRPr="00FC4D68">
        <w:rPr>
          <w:rStyle w:val="None"/>
          <w:rFonts w:ascii="Verdana" w:hAnsi="Verdana"/>
          <w:sz w:val="20"/>
          <w:szCs w:val="20"/>
        </w:rPr>
        <w:t>t</w:t>
      </w:r>
      <w:r w:rsidR="001A200E" w:rsidRPr="00FC4D68">
        <w:rPr>
          <w:rStyle w:val="None"/>
          <w:rFonts w:ascii="Verdana" w:hAnsi="Verdana"/>
          <w:sz w:val="20"/>
          <w:szCs w:val="20"/>
        </w:rPr>
        <w:t>hey c</w:t>
      </w:r>
      <w:r w:rsidR="001B12DA" w:rsidRPr="00FC4D68">
        <w:rPr>
          <w:rStyle w:val="None"/>
          <w:rFonts w:ascii="Verdana" w:hAnsi="Verdana"/>
          <w:sz w:val="20"/>
          <w:szCs w:val="20"/>
        </w:rPr>
        <w:t xml:space="preserve">ould </w:t>
      </w:r>
      <w:r w:rsidR="001A200E" w:rsidRPr="00FC4D68">
        <w:rPr>
          <w:rStyle w:val="None"/>
          <w:rFonts w:ascii="Verdana" w:hAnsi="Verdana"/>
          <w:sz w:val="20"/>
          <w:szCs w:val="20"/>
        </w:rPr>
        <w:t xml:space="preserve">not </w:t>
      </w:r>
      <w:r w:rsidR="001B12DA" w:rsidRPr="00FC4D68">
        <w:rPr>
          <w:rStyle w:val="None"/>
          <w:rFonts w:ascii="Verdana" w:hAnsi="Verdana"/>
          <w:sz w:val="20"/>
          <w:szCs w:val="20"/>
        </w:rPr>
        <w:t xml:space="preserve">access </w:t>
      </w:r>
      <w:r w:rsidR="0027275B" w:rsidRPr="00FC4D68">
        <w:rPr>
          <w:rStyle w:val="None"/>
          <w:rFonts w:ascii="Verdana" w:hAnsi="Verdana"/>
          <w:sz w:val="20"/>
          <w:szCs w:val="20"/>
        </w:rPr>
        <w:t xml:space="preserve">to </w:t>
      </w:r>
      <w:r w:rsidR="001B12DA" w:rsidRPr="00FC4D68">
        <w:rPr>
          <w:rStyle w:val="None"/>
          <w:rFonts w:ascii="Verdana" w:hAnsi="Verdana"/>
          <w:sz w:val="20"/>
          <w:szCs w:val="20"/>
        </w:rPr>
        <w:t>their traditional fishing grounds for fish</w:t>
      </w:r>
      <w:r w:rsidR="00DC6796" w:rsidRPr="00FC4D68">
        <w:rPr>
          <w:rStyle w:val="None"/>
          <w:rFonts w:ascii="Verdana" w:hAnsi="Verdana"/>
          <w:sz w:val="20"/>
          <w:szCs w:val="20"/>
        </w:rPr>
        <w:t>ing</w:t>
      </w:r>
      <w:r w:rsidR="001B12DA" w:rsidRPr="00FC4D68">
        <w:rPr>
          <w:rStyle w:val="None"/>
          <w:rFonts w:ascii="Verdana" w:hAnsi="Verdana"/>
          <w:sz w:val="20"/>
          <w:szCs w:val="20"/>
        </w:rPr>
        <w:t xml:space="preserve"> or to support their livelihood</w:t>
      </w:r>
      <w:r w:rsidR="001A200E" w:rsidRPr="00FC4D68">
        <w:rPr>
          <w:rStyle w:val="None"/>
          <w:rFonts w:ascii="Verdana" w:hAnsi="Verdana"/>
          <w:sz w:val="20"/>
          <w:szCs w:val="20"/>
        </w:rPr>
        <w:t>.</w:t>
      </w:r>
      <w:r w:rsidR="00CD01DE" w:rsidRPr="00FC4D68">
        <w:rPr>
          <w:rStyle w:val="None"/>
          <w:rFonts w:ascii="Verdana" w:hAnsi="Verdana"/>
          <w:sz w:val="20"/>
          <w:szCs w:val="20"/>
        </w:rPr>
        <w:t xml:space="preserve"> Communities were forced to relocate.</w:t>
      </w:r>
      <w:r w:rsidR="000C5784" w:rsidRPr="00FC4D68">
        <w:rPr>
          <w:rStyle w:val="FootnoteReference"/>
          <w:rFonts w:ascii="Verdana" w:hAnsi="Verdana"/>
          <w:sz w:val="20"/>
          <w:szCs w:val="20"/>
        </w:rPr>
        <w:footnoteReference w:id="5"/>
      </w:r>
      <w:r w:rsidR="001A200E" w:rsidRPr="00FC4D68">
        <w:rPr>
          <w:rStyle w:val="None"/>
          <w:rFonts w:ascii="Verdana" w:hAnsi="Verdana"/>
          <w:sz w:val="20"/>
          <w:szCs w:val="20"/>
        </w:rPr>
        <w:t xml:space="preserve"> We </w:t>
      </w:r>
      <w:r w:rsidR="001B12DA" w:rsidRPr="00FC4D68">
        <w:rPr>
          <w:rStyle w:val="None"/>
          <w:rFonts w:ascii="Verdana" w:hAnsi="Verdana"/>
          <w:sz w:val="20"/>
          <w:szCs w:val="20"/>
        </w:rPr>
        <w:t>are of the view</w:t>
      </w:r>
      <w:r w:rsidR="001A200E" w:rsidRPr="00FC4D68">
        <w:rPr>
          <w:rStyle w:val="None"/>
          <w:rFonts w:ascii="Verdana" w:hAnsi="Verdana"/>
          <w:sz w:val="20"/>
          <w:szCs w:val="20"/>
        </w:rPr>
        <w:t xml:space="preserve"> that</w:t>
      </w:r>
      <w:r w:rsidR="001B12DA" w:rsidRPr="00FC4D68">
        <w:rPr>
          <w:rStyle w:val="None"/>
          <w:rFonts w:ascii="Verdana" w:hAnsi="Verdana"/>
          <w:sz w:val="20"/>
          <w:szCs w:val="20"/>
        </w:rPr>
        <w:t xml:space="preserve"> the</w:t>
      </w:r>
      <w:r w:rsidR="001A200E" w:rsidRPr="00FC4D68">
        <w:rPr>
          <w:rStyle w:val="None"/>
          <w:rFonts w:ascii="Verdana" w:hAnsi="Verdana"/>
          <w:sz w:val="20"/>
          <w:szCs w:val="20"/>
        </w:rPr>
        <w:t xml:space="preserve"> </w:t>
      </w:r>
      <w:r w:rsidR="001A200E" w:rsidRPr="00FC4D68">
        <w:rPr>
          <w:rStyle w:val="None"/>
          <w:rFonts w:ascii="Verdana" w:hAnsi="Verdana"/>
          <w:sz w:val="20"/>
          <w:szCs w:val="20"/>
        </w:rPr>
        <w:lastRenderedPageBreak/>
        <w:t xml:space="preserve">General </w:t>
      </w:r>
      <w:r w:rsidR="001B12DA" w:rsidRPr="00FC4D68">
        <w:rPr>
          <w:rStyle w:val="None"/>
          <w:rFonts w:ascii="Verdana" w:hAnsi="Verdana"/>
          <w:sz w:val="20"/>
          <w:szCs w:val="20"/>
        </w:rPr>
        <w:t>C</w:t>
      </w:r>
      <w:r w:rsidR="001A200E" w:rsidRPr="00FC4D68">
        <w:rPr>
          <w:rStyle w:val="None"/>
          <w:rFonts w:ascii="Verdana" w:hAnsi="Verdana"/>
          <w:sz w:val="20"/>
          <w:szCs w:val="20"/>
        </w:rPr>
        <w:t>omment No. 26 should address</w:t>
      </w:r>
      <w:r w:rsidR="001B12DA" w:rsidRPr="00FC4D68">
        <w:rPr>
          <w:rStyle w:val="None"/>
          <w:rFonts w:ascii="Verdana" w:hAnsi="Verdana"/>
          <w:sz w:val="20"/>
          <w:szCs w:val="20"/>
        </w:rPr>
        <w:t xml:space="preserve"> the</w:t>
      </w:r>
      <w:r w:rsidR="001A200E" w:rsidRPr="00FC4D68">
        <w:rPr>
          <w:rStyle w:val="None"/>
          <w:rFonts w:ascii="Verdana" w:hAnsi="Verdana"/>
          <w:sz w:val="20"/>
          <w:szCs w:val="20"/>
        </w:rPr>
        <w:t xml:space="preserve"> impacts</w:t>
      </w:r>
      <w:r w:rsidR="001B12DA" w:rsidRPr="00FC4D68">
        <w:rPr>
          <w:rStyle w:val="None"/>
          <w:rFonts w:ascii="Verdana" w:hAnsi="Verdana"/>
          <w:sz w:val="20"/>
          <w:szCs w:val="20"/>
        </w:rPr>
        <w:t xml:space="preserve"> of tourism </w:t>
      </w:r>
      <w:r w:rsidR="00220964" w:rsidRPr="00FC4D68">
        <w:rPr>
          <w:rStyle w:val="None"/>
          <w:rFonts w:ascii="Verdana" w:hAnsi="Verdana"/>
          <w:sz w:val="20"/>
          <w:szCs w:val="20"/>
        </w:rPr>
        <w:t xml:space="preserve">promotion </w:t>
      </w:r>
      <w:r w:rsidR="001B12DA" w:rsidRPr="00FC4D68">
        <w:rPr>
          <w:rStyle w:val="None"/>
          <w:rFonts w:ascii="Verdana" w:hAnsi="Verdana"/>
          <w:sz w:val="20"/>
          <w:szCs w:val="20"/>
        </w:rPr>
        <w:t>policies</w:t>
      </w:r>
      <w:r w:rsidR="001A200E" w:rsidRPr="00FC4D68">
        <w:rPr>
          <w:rStyle w:val="None"/>
          <w:rFonts w:ascii="Verdana" w:hAnsi="Verdana"/>
          <w:sz w:val="20"/>
          <w:szCs w:val="20"/>
        </w:rPr>
        <w:t xml:space="preserve"> on economic, social, and cultural rights</w:t>
      </w:r>
      <w:r w:rsidR="001B12DA" w:rsidRPr="00FC4D68">
        <w:rPr>
          <w:rStyle w:val="None"/>
          <w:rFonts w:ascii="Verdana" w:hAnsi="Verdana"/>
          <w:sz w:val="20"/>
          <w:szCs w:val="20"/>
        </w:rPr>
        <w:t xml:space="preserve"> relating to land</w:t>
      </w:r>
      <w:r w:rsidR="001A200E" w:rsidRPr="00FC4D68">
        <w:rPr>
          <w:rStyle w:val="None"/>
          <w:rFonts w:ascii="Verdana" w:hAnsi="Verdana"/>
          <w:sz w:val="20"/>
          <w:szCs w:val="20"/>
        </w:rPr>
        <w:t xml:space="preserve">. States parties should </w:t>
      </w:r>
      <w:r w:rsidR="00220964" w:rsidRPr="00FC4D68">
        <w:rPr>
          <w:rStyle w:val="None"/>
          <w:rFonts w:ascii="Verdana" w:hAnsi="Verdana"/>
          <w:sz w:val="20"/>
          <w:szCs w:val="20"/>
        </w:rPr>
        <w:t>pay</w:t>
      </w:r>
      <w:r w:rsidR="001A200E" w:rsidRPr="00FC4D68">
        <w:rPr>
          <w:rStyle w:val="None"/>
          <w:rFonts w:ascii="Verdana" w:hAnsi="Verdana"/>
          <w:sz w:val="20"/>
          <w:szCs w:val="20"/>
        </w:rPr>
        <w:t xml:space="preserve"> attention to custom, cultur</w:t>
      </w:r>
      <w:r w:rsidR="00220964" w:rsidRPr="00FC4D68">
        <w:rPr>
          <w:rStyle w:val="None"/>
          <w:rFonts w:ascii="Verdana" w:hAnsi="Verdana"/>
          <w:sz w:val="20"/>
          <w:szCs w:val="20"/>
        </w:rPr>
        <w:t>e</w:t>
      </w:r>
      <w:r w:rsidR="001A200E" w:rsidRPr="00FC4D68">
        <w:rPr>
          <w:rStyle w:val="None"/>
          <w:rFonts w:ascii="Verdana" w:hAnsi="Verdana"/>
          <w:sz w:val="20"/>
          <w:szCs w:val="20"/>
        </w:rPr>
        <w:t xml:space="preserve">, and </w:t>
      </w:r>
      <w:r w:rsidR="00220964" w:rsidRPr="00FC4D68">
        <w:rPr>
          <w:rStyle w:val="None"/>
          <w:rFonts w:ascii="Verdana" w:hAnsi="Verdana"/>
          <w:sz w:val="20"/>
          <w:szCs w:val="20"/>
        </w:rPr>
        <w:t>traditional</w:t>
      </w:r>
      <w:r w:rsidR="001A200E" w:rsidRPr="00FC4D68">
        <w:rPr>
          <w:rStyle w:val="None"/>
          <w:rFonts w:ascii="Verdana" w:hAnsi="Verdana"/>
          <w:sz w:val="20"/>
          <w:szCs w:val="20"/>
        </w:rPr>
        <w:t xml:space="preserve"> way of life</w:t>
      </w:r>
      <w:r w:rsidR="00220964" w:rsidRPr="00FC4D68">
        <w:rPr>
          <w:rStyle w:val="None"/>
          <w:rFonts w:ascii="Verdana" w:hAnsi="Verdana"/>
          <w:sz w:val="20"/>
          <w:szCs w:val="20"/>
        </w:rPr>
        <w:t xml:space="preserve"> of the </w:t>
      </w:r>
      <w:r w:rsidR="0027275B" w:rsidRPr="00FC4D68">
        <w:rPr>
          <w:rStyle w:val="None"/>
          <w:rFonts w:ascii="Verdana" w:hAnsi="Verdana"/>
          <w:sz w:val="20"/>
          <w:szCs w:val="20"/>
        </w:rPr>
        <w:t xml:space="preserve">local </w:t>
      </w:r>
      <w:r w:rsidR="00220964" w:rsidRPr="00FC4D68">
        <w:rPr>
          <w:rStyle w:val="None"/>
          <w:rFonts w:ascii="Verdana" w:hAnsi="Verdana"/>
          <w:sz w:val="20"/>
          <w:szCs w:val="20"/>
        </w:rPr>
        <w:t>residents before</w:t>
      </w:r>
      <w:r w:rsidR="001A200E" w:rsidRPr="00FC4D68">
        <w:rPr>
          <w:rStyle w:val="None"/>
          <w:rFonts w:ascii="Verdana" w:hAnsi="Verdana"/>
          <w:sz w:val="20"/>
          <w:szCs w:val="20"/>
        </w:rPr>
        <w:t xml:space="preserve"> determining a</w:t>
      </w:r>
      <w:r w:rsidR="00220964" w:rsidRPr="00FC4D68">
        <w:rPr>
          <w:rStyle w:val="None"/>
          <w:rFonts w:ascii="Verdana" w:hAnsi="Verdana"/>
          <w:sz w:val="20"/>
          <w:szCs w:val="20"/>
        </w:rPr>
        <w:t>ny</w:t>
      </w:r>
      <w:r w:rsidR="001A200E" w:rsidRPr="00FC4D68">
        <w:rPr>
          <w:rStyle w:val="None"/>
          <w:rFonts w:ascii="Verdana" w:hAnsi="Verdana"/>
          <w:sz w:val="20"/>
          <w:szCs w:val="20"/>
        </w:rPr>
        <w:t xml:space="preserve"> tourism promotion</w:t>
      </w:r>
      <w:r w:rsidR="00220964" w:rsidRPr="00FC4D68">
        <w:rPr>
          <w:rStyle w:val="None"/>
          <w:rFonts w:ascii="Verdana" w:hAnsi="Verdana"/>
          <w:sz w:val="20"/>
          <w:szCs w:val="20"/>
        </w:rPr>
        <w:t xml:space="preserve"> </w:t>
      </w:r>
      <w:r w:rsidR="001A200E" w:rsidRPr="00FC4D68">
        <w:rPr>
          <w:rStyle w:val="None"/>
          <w:rFonts w:ascii="Verdana" w:hAnsi="Verdana"/>
          <w:sz w:val="20"/>
          <w:szCs w:val="20"/>
        </w:rPr>
        <w:t>polic</w:t>
      </w:r>
      <w:r w:rsidR="0027275B" w:rsidRPr="00FC4D68">
        <w:rPr>
          <w:rStyle w:val="None"/>
          <w:rFonts w:ascii="Verdana" w:hAnsi="Verdana"/>
          <w:sz w:val="20"/>
          <w:szCs w:val="20"/>
        </w:rPr>
        <w:t>ies</w:t>
      </w:r>
      <w:r w:rsidR="001A200E" w:rsidRPr="00FC4D68">
        <w:rPr>
          <w:rStyle w:val="None"/>
          <w:rFonts w:ascii="Verdana" w:hAnsi="Verdana"/>
          <w:sz w:val="20"/>
          <w:szCs w:val="20"/>
        </w:rPr>
        <w:t xml:space="preserve">, or </w:t>
      </w:r>
      <w:r w:rsidR="00220964" w:rsidRPr="00FC4D68">
        <w:rPr>
          <w:rStyle w:val="None"/>
          <w:rFonts w:ascii="Verdana" w:hAnsi="Verdana"/>
          <w:sz w:val="20"/>
          <w:szCs w:val="20"/>
        </w:rPr>
        <w:t xml:space="preserve">before </w:t>
      </w:r>
      <w:r w:rsidR="001A200E" w:rsidRPr="00FC4D68">
        <w:rPr>
          <w:rStyle w:val="None"/>
          <w:rFonts w:ascii="Verdana" w:hAnsi="Verdana"/>
          <w:sz w:val="20"/>
          <w:szCs w:val="20"/>
        </w:rPr>
        <w:t xml:space="preserve">granting </w:t>
      </w:r>
      <w:r w:rsidR="00220964" w:rsidRPr="00FC4D68">
        <w:rPr>
          <w:rStyle w:val="None"/>
          <w:rFonts w:ascii="Verdana" w:hAnsi="Verdana"/>
          <w:sz w:val="20"/>
          <w:szCs w:val="20"/>
        </w:rPr>
        <w:t>tourism sector investors any benefits</w:t>
      </w:r>
      <w:r w:rsidR="001A200E" w:rsidRPr="00FC4D68">
        <w:rPr>
          <w:rStyle w:val="None"/>
          <w:rFonts w:ascii="Verdana" w:hAnsi="Verdana"/>
          <w:sz w:val="20"/>
          <w:szCs w:val="20"/>
        </w:rPr>
        <w:t>.</w:t>
      </w:r>
    </w:p>
    <w:p w14:paraId="0815802A" w14:textId="0CA61E1C" w:rsidR="00A90EE4" w:rsidRPr="00FC4D68" w:rsidRDefault="001A200E">
      <w:pPr>
        <w:pStyle w:val="ListParagraph"/>
        <w:numPr>
          <w:ilvl w:val="0"/>
          <w:numId w:val="2"/>
        </w:numPr>
        <w:spacing w:after="240"/>
        <w:jc w:val="both"/>
        <w:rPr>
          <w:rFonts w:ascii="Verdana" w:hAnsi="Verdana"/>
          <w:sz w:val="20"/>
          <w:szCs w:val="20"/>
        </w:rPr>
      </w:pPr>
      <w:r w:rsidRPr="00FC4D68">
        <w:rPr>
          <w:rStyle w:val="None"/>
          <w:rFonts w:ascii="Verdana" w:hAnsi="Verdana"/>
          <w:sz w:val="20"/>
          <w:szCs w:val="20"/>
        </w:rPr>
        <w:t xml:space="preserve">General </w:t>
      </w:r>
      <w:r w:rsidR="00525F42" w:rsidRPr="00FC4D68">
        <w:rPr>
          <w:rStyle w:val="None"/>
          <w:rFonts w:ascii="Verdana" w:hAnsi="Verdana"/>
          <w:sz w:val="20"/>
          <w:szCs w:val="20"/>
        </w:rPr>
        <w:t>C</w:t>
      </w:r>
      <w:r w:rsidRPr="00FC4D68">
        <w:rPr>
          <w:rStyle w:val="None"/>
          <w:rFonts w:ascii="Verdana" w:hAnsi="Verdana"/>
          <w:sz w:val="20"/>
          <w:szCs w:val="20"/>
        </w:rPr>
        <w:t>omment No. 26 recognises</w:t>
      </w:r>
      <w:r w:rsidR="00BB24A6" w:rsidRPr="00FC4D68">
        <w:rPr>
          <w:rStyle w:val="None"/>
          <w:rFonts w:ascii="Verdana" w:hAnsi="Verdana"/>
          <w:sz w:val="20"/>
          <w:szCs w:val="20"/>
        </w:rPr>
        <w:t xml:space="preserve"> the right of</w:t>
      </w:r>
      <w:r w:rsidRPr="00FC4D68">
        <w:rPr>
          <w:rStyle w:val="None"/>
          <w:rFonts w:ascii="Verdana" w:hAnsi="Verdana"/>
          <w:sz w:val="20"/>
          <w:szCs w:val="20"/>
        </w:rPr>
        <w:t xml:space="preserve"> all legitimate tenure right holders</w:t>
      </w:r>
      <w:r w:rsidR="00663D36" w:rsidRPr="00FC4D68">
        <w:rPr>
          <w:rStyle w:val="None"/>
          <w:rFonts w:ascii="Verdana" w:hAnsi="Verdana"/>
          <w:sz w:val="20"/>
          <w:szCs w:val="20"/>
        </w:rPr>
        <w:t xml:space="preserve"> - </w:t>
      </w:r>
      <w:r w:rsidRPr="00FC4D68">
        <w:rPr>
          <w:rStyle w:val="None"/>
          <w:rFonts w:ascii="Verdana" w:hAnsi="Verdana"/>
          <w:sz w:val="20"/>
          <w:szCs w:val="20"/>
        </w:rPr>
        <w:t>not only those with formal land titles</w:t>
      </w:r>
      <w:r w:rsidR="00BB24A6" w:rsidRPr="00FC4D68">
        <w:rPr>
          <w:rStyle w:val="None"/>
          <w:rFonts w:ascii="Verdana" w:hAnsi="Verdana"/>
          <w:sz w:val="20"/>
          <w:szCs w:val="20"/>
        </w:rPr>
        <w:t>,</w:t>
      </w:r>
      <w:r w:rsidRPr="00FC4D68">
        <w:rPr>
          <w:rStyle w:val="None"/>
          <w:rFonts w:ascii="Verdana" w:hAnsi="Verdana"/>
          <w:sz w:val="20"/>
          <w:szCs w:val="20"/>
        </w:rPr>
        <w:t xml:space="preserve"> but also those with customary, collective or traditional tenure rights that might not be recognized by law (para</w:t>
      </w:r>
      <w:r w:rsidR="00BB24A6" w:rsidRPr="00FC4D68">
        <w:rPr>
          <w:rStyle w:val="None"/>
          <w:rFonts w:ascii="Verdana" w:hAnsi="Verdana"/>
          <w:sz w:val="20"/>
          <w:szCs w:val="20"/>
        </w:rPr>
        <w:t>graph</w:t>
      </w:r>
      <w:r w:rsidR="00663D36" w:rsidRPr="00FC4D68">
        <w:rPr>
          <w:rStyle w:val="None"/>
          <w:rFonts w:ascii="Verdana" w:hAnsi="Verdana"/>
          <w:sz w:val="20"/>
          <w:szCs w:val="20"/>
        </w:rPr>
        <w:t>s</w:t>
      </w:r>
      <w:r w:rsidRPr="00FC4D68">
        <w:rPr>
          <w:rStyle w:val="None"/>
          <w:rFonts w:ascii="Verdana" w:hAnsi="Verdana"/>
          <w:sz w:val="20"/>
          <w:szCs w:val="20"/>
        </w:rPr>
        <w:t xml:space="preserve"> 19-22). </w:t>
      </w:r>
      <w:r w:rsidR="00093109" w:rsidRPr="00FC4D68">
        <w:rPr>
          <w:rStyle w:val="None"/>
          <w:rFonts w:ascii="Verdana" w:hAnsi="Verdana"/>
          <w:sz w:val="20"/>
          <w:szCs w:val="20"/>
        </w:rPr>
        <w:t>C</w:t>
      </w:r>
      <w:r w:rsidR="00485DDC" w:rsidRPr="00FC4D68">
        <w:rPr>
          <w:rStyle w:val="None"/>
          <w:rFonts w:ascii="Verdana" w:hAnsi="Verdana"/>
          <w:sz w:val="20"/>
          <w:szCs w:val="20"/>
        </w:rPr>
        <w:t>ontributing</w:t>
      </w:r>
      <w:r w:rsidR="00093109" w:rsidRPr="00FC4D68">
        <w:rPr>
          <w:rStyle w:val="None"/>
          <w:rFonts w:ascii="Verdana" w:hAnsi="Verdana"/>
          <w:sz w:val="20"/>
          <w:szCs w:val="20"/>
        </w:rPr>
        <w:t xml:space="preserve"> organisations</w:t>
      </w:r>
      <w:r w:rsidR="00D17727" w:rsidRPr="00FC4D68">
        <w:rPr>
          <w:rStyle w:val="None"/>
          <w:rFonts w:ascii="Verdana" w:hAnsi="Verdana"/>
          <w:sz w:val="20"/>
          <w:szCs w:val="20"/>
        </w:rPr>
        <w:t xml:space="preserve"> are of the</w:t>
      </w:r>
      <w:r w:rsidRPr="00FC4D68">
        <w:rPr>
          <w:rStyle w:val="None"/>
          <w:rFonts w:ascii="Verdana" w:hAnsi="Verdana"/>
          <w:sz w:val="20"/>
          <w:szCs w:val="20"/>
        </w:rPr>
        <w:t xml:space="preserve"> </w:t>
      </w:r>
      <w:r w:rsidR="00D17727" w:rsidRPr="00FC4D68">
        <w:rPr>
          <w:rStyle w:val="None"/>
          <w:rFonts w:ascii="Verdana" w:hAnsi="Verdana"/>
          <w:sz w:val="20"/>
          <w:szCs w:val="20"/>
        </w:rPr>
        <w:t>opinion that</w:t>
      </w:r>
      <w:r w:rsidRPr="00FC4D68">
        <w:rPr>
          <w:rStyle w:val="None"/>
          <w:rFonts w:ascii="Verdana" w:hAnsi="Verdana"/>
          <w:sz w:val="20"/>
          <w:szCs w:val="20"/>
        </w:rPr>
        <w:t xml:space="preserve"> </w:t>
      </w:r>
      <w:r w:rsidR="00985127" w:rsidRPr="00FC4D68">
        <w:rPr>
          <w:rStyle w:val="None"/>
          <w:rFonts w:ascii="Verdana" w:hAnsi="Verdana"/>
          <w:sz w:val="20"/>
          <w:szCs w:val="20"/>
        </w:rPr>
        <w:t xml:space="preserve">the </w:t>
      </w:r>
      <w:r w:rsidRPr="00FC4D68">
        <w:rPr>
          <w:rStyle w:val="None"/>
          <w:rFonts w:ascii="Verdana" w:hAnsi="Verdana"/>
          <w:sz w:val="20"/>
          <w:szCs w:val="20"/>
        </w:rPr>
        <w:t xml:space="preserve">General Comment should </w:t>
      </w:r>
      <w:r w:rsidR="00D17727" w:rsidRPr="00FC4D68">
        <w:rPr>
          <w:rStyle w:val="None"/>
          <w:rFonts w:ascii="Verdana" w:hAnsi="Verdana"/>
          <w:sz w:val="20"/>
          <w:szCs w:val="20"/>
        </w:rPr>
        <w:t>clearly</w:t>
      </w:r>
      <w:r w:rsidRPr="00FC4D68">
        <w:rPr>
          <w:rStyle w:val="None"/>
          <w:rFonts w:ascii="Verdana" w:hAnsi="Verdana"/>
          <w:sz w:val="20"/>
          <w:szCs w:val="20"/>
        </w:rPr>
        <w:t xml:space="preserve"> indicate</w:t>
      </w:r>
      <w:r w:rsidR="00D17727" w:rsidRPr="00FC4D68">
        <w:rPr>
          <w:rStyle w:val="None"/>
          <w:rFonts w:ascii="Verdana" w:hAnsi="Verdana"/>
          <w:sz w:val="20"/>
          <w:szCs w:val="20"/>
        </w:rPr>
        <w:t>s that, in identifying the legitimate tenure right holders,</w:t>
      </w:r>
      <w:r w:rsidRPr="00FC4D68">
        <w:rPr>
          <w:rStyle w:val="None"/>
          <w:rFonts w:ascii="Verdana" w:hAnsi="Verdana"/>
          <w:sz w:val="20"/>
          <w:szCs w:val="20"/>
        </w:rPr>
        <w:t xml:space="preserve"> Stat</w:t>
      </w:r>
      <w:r w:rsidR="00D17727" w:rsidRPr="00FC4D68">
        <w:rPr>
          <w:rStyle w:val="None"/>
          <w:rFonts w:ascii="Verdana" w:hAnsi="Verdana"/>
          <w:sz w:val="20"/>
          <w:szCs w:val="20"/>
        </w:rPr>
        <w:t>e</w:t>
      </w:r>
      <w:r w:rsidRPr="00FC4D68">
        <w:rPr>
          <w:rStyle w:val="None"/>
          <w:rFonts w:ascii="Verdana" w:hAnsi="Verdana"/>
          <w:sz w:val="20"/>
          <w:szCs w:val="20"/>
        </w:rPr>
        <w:t xml:space="preserve"> parties’ administrative and judicial authorities should admit historical or customary </w:t>
      </w:r>
      <w:r w:rsidR="00D17727" w:rsidRPr="00FC4D68">
        <w:rPr>
          <w:rStyle w:val="None"/>
          <w:rFonts w:ascii="Verdana" w:hAnsi="Verdana"/>
          <w:sz w:val="20"/>
          <w:szCs w:val="20"/>
        </w:rPr>
        <w:t>evidences</w:t>
      </w:r>
      <w:r w:rsidRPr="00FC4D68">
        <w:rPr>
          <w:rStyle w:val="None"/>
          <w:rFonts w:ascii="Verdana" w:hAnsi="Verdana"/>
          <w:sz w:val="20"/>
          <w:szCs w:val="20"/>
        </w:rPr>
        <w:t xml:space="preserve">, for example, remains from </w:t>
      </w:r>
      <w:r w:rsidR="00782CA6" w:rsidRPr="00FC4D68">
        <w:rPr>
          <w:rStyle w:val="None"/>
          <w:rFonts w:ascii="Verdana" w:hAnsi="Verdana"/>
          <w:sz w:val="20"/>
          <w:szCs w:val="20"/>
        </w:rPr>
        <w:t>the</w:t>
      </w:r>
      <w:r w:rsidRPr="00FC4D68">
        <w:rPr>
          <w:rStyle w:val="None"/>
          <w:rFonts w:ascii="Verdana" w:hAnsi="Verdana"/>
          <w:sz w:val="20"/>
          <w:szCs w:val="20"/>
        </w:rPr>
        <w:t xml:space="preserve"> ancestral cemetery</w:t>
      </w:r>
      <w:r w:rsidR="00782CA6" w:rsidRPr="00FC4D68">
        <w:rPr>
          <w:rStyle w:val="None"/>
          <w:rFonts w:ascii="Verdana" w:hAnsi="Verdana"/>
          <w:sz w:val="20"/>
          <w:szCs w:val="20"/>
        </w:rPr>
        <w:t xml:space="preserve"> in the area</w:t>
      </w:r>
      <w:r w:rsidRPr="00FC4D68">
        <w:rPr>
          <w:rStyle w:val="None"/>
          <w:rFonts w:ascii="Verdana" w:hAnsi="Verdana"/>
          <w:sz w:val="20"/>
          <w:szCs w:val="20"/>
        </w:rPr>
        <w:t xml:space="preserve">, </w:t>
      </w:r>
      <w:r w:rsidR="00782CA6" w:rsidRPr="00FC4D68">
        <w:rPr>
          <w:rStyle w:val="None"/>
          <w:rFonts w:ascii="Verdana" w:hAnsi="Verdana"/>
          <w:sz w:val="20"/>
          <w:szCs w:val="20"/>
        </w:rPr>
        <w:t xml:space="preserve">customary land maps, </w:t>
      </w:r>
      <w:r w:rsidRPr="00FC4D68">
        <w:rPr>
          <w:rStyle w:val="None"/>
          <w:rFonts w:ascii="Verdana" w:hAnsi="Verdana"/>
          <w:sz w:val="20"/>
          <w:szCs w:val="20"/>
        </w:rPr>
        <w:t xml:space="preserve">and oral testimonies </w:t>
      </w:r>
      <w:r w:rsidR="00985127" w:rsidRPr="00FC4D68">
        <w:rPr>
          <w:rStyle w:val="None"/>
          <w:rFonts w:ascii="Verdana" w:hAnsi="Verdana"/>
          <w:sz w:val="20"/>
          <w:szCs w:val="20"/>
        </w:rPr>
        <w:t>of the</w:t>
      </w:r>
      <w:r w:rsidRPr="00FC4D68">
        <w:rPr>
          <w:rStyle w:val="None"/>
          <w:rFonts w:ascii="Verdana" w:hAnsi="Verdana"/>
          <w:sz w:val="20"/>
          <w:szCs w:val="20"/>
        </w:rPr>
        <w:t xml:space="preserve"> </w:t>
      </w:r>
      <w:r w:rsidR="00782CA6" w:rsidRPr="00FC4D68">
        <w:rPr>
          <w:rStyle w:val="None"/>
          <w:rFonts w:ascii="Verdana" w:hAnsi="Verdana"/>
          <w:sz w:val="20"/>
          <w:szCs w:val="20"/>
        </w:rPr>
        <w:t>residents</w:t>
      </w:r>
      <w:r w:rsidRPr="00FC4D68">
        <w:rPr>
          <w:rStyle w:val="None"/>
          <w:rFonts w:ascii="Verdana" w:hAnsi="Verdana"/>
          <w:sz w:val="20"/>
          <w:szCs w:val="20"/>
        </w:rPr>
        <w:t xml:space="preserve"> living in the </w:t>
      </w:r>
      <w:r w:rsidR="00782CA6" w:rsidRPr="00FC4D68">
        <w:rPr>
          <w:rStyle w:val="None"/>
          <w:rFonts w:ascii="Verdana" w:hAnsi="Verdana"/>
          <w:sz w:val="20"/>
          <w:szCs w:val="20"/>
        </w:rPr>
        <w:t xml:space="preserve">disputed </w:t>
      </w:r>
      <w:r w:rsidRPr="00FC4D68">
        <w:rPr>
          <w:rStyle w:val="None"/>
          <w:rFonts w:ascii="Verdana" w:hAnsi="Verdana"/>
          <w:sz w:val="20"/>
          <w:szCs w:val="20"/>
        </w:rPr>
        <w:t>lands.</w:t>
      </w:r>
      <w:r w:rsidR="00485DDC" w:rsidRPr="00FC4D68">
        <w:rPr>
          <w:rStyle w:val="FootnoteReference"/>
          <w:rFonts w:ascii="Verdana" w:hAnsi="Verdana"/>
          <w:sz w:val="20"/>
          <w:szCs w:val="20"/>
        </w:rPr>
        <w:footnoteReference w:id="6"/>
      </w:r>
      <w:r w:rsidR="00C81923" w:rsidRPr="00FC4D68">
        <w:rPr>
          <w:rStyle w:val="None"/>
          <w:rFonts w:ascii="Verdana" w:hAnsi="Verdana"/>
          <w:sz w:val="20"/>
          <w:szCs w:val="20"/>
        </w:rPr>
        <w:t xml:space="preserve"> </w:t>
      </w:r>
    </w:p>
    <w:p w14:paraId="0A811F65" w14:textId="76E020FC" w:rsidR="00D7200B" w:rsidRPr="00FC4D68" w:rsidRDefault="00135218" w:rsidP="00694E1B">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P</w:t>
      </w:r>
      <w:r w:rsidR="002F637E" w:rsidRPr="00FC4D68">
        <w:rPr>
          <w:rStyle w:val="None"/>
          <w:rFonts w:ascii="Verdana" w:hAnsi="Verdana"/>
          <w:sz w:val="20"/>
          <w:szCs w:val="20"/>
        </w:rPr>
        <w:t>aragraph 25 of the</w:t>
      </w:r>
      <w:r w:rsidR="001A200E" w:rsidRPr="00FC4D68">
        <w:rPr>
          <w:rStyle w:val="None"/>
          <w:rFonts w:ascii="Verdana" w:hAnsi="Verdana"/>
          <w:sz w:val="20"/>
          <w:szCs w:val="20"/>
        </w:rPr>
        <w:t xml:space="preserve"> General </w:t>
      </w:r>
      <w:r w:rsidR="002F637E" w:rsidRPr="00FC4D68">
        <w:rPr>
          <w:rStyle w:val="None"/>
          <w:rFonts w:ascii="Verdana" w:hAnsi="Verdana"/>
          <w:sz w:val="20"/>
          <w:szCs w:val="20"/>
        </w:rPr>
        <w:t>C</w:t>
      </w:r>
      <w:r w:rsidR="001A200E" w:rsidRPr="00FC4D68">
        <w:rPr>
          <w:rStyle w:val="None"/>
          <w:rFonts w:ascii="Verdana" w:hAnsi="Verdana"/>
          <w:sz w:val="20"/>
          <w:szCs w:val="20"/>
        </w:rPr>
        <w:t>omment No. 26 underli</w:t>
      </w:r>
      <w:r w:rsidR="00B90DC0" w:rsidRPr="00FC4D68">
        <w:rPr>
          <w:rStyle w:val="None"/>
          <w:rFonts w:ascii="Verdana" w:hAnsi="Verdana"/>
          <w:sz w:val="20"/>
          <w:szCs w:val="20"/>
        </w:rPr>
        <w:t>n</w:t>
      </w:r>
      <w:r w:rsidR="001A200E" w:rsidRPr="00FC4D68">
        <w:rPr>
          <w:rStyle w:val="None"/>
          <w:rFonts w:ascii="Verdana" w:hAnsi="Verdana"/>
          <w:sz w:val="20"/>
          <w:szCs w:val="20"/>
        </w:rPr>
        <w:t>es the</w:t>
      </w:r>
      <w:r w:rsidR="002F637E" w:rsidRPr="00FC4D68">
        <w:rPr>
          <w:rStyle w:val="None"/>
          <w:rFonts w:ascii="Verdana" w:hAnsi="Verdana"/>
          <w:sz w:val="20"/>
          <w:szCs w:val="20"/>
        </w:rPr>
        <w:t xml:space="preserve"> right to</w:t>
      </w:r>
      <w:r w:rsidR="001A200E" w:rsidRPr="00FC4D68">
        <w:rPr>
          <w:rStyle w:val="None"/>
          <w:rFonts w:ascii="Verdana" w:hAnsi="Verdana"/>
          <w:sz w:val="20"/>
          <w:szCs w:val="20"/>
        </w:rPr>
        <w:t xml:space="preserve"> </w:t>
      </w:r>
      <w:r w:rsidR="002F637E" w:rsidRPr="00FC4D68">
        <w:rPr>
          <w:rStyle w:val="None"/>
          <w:rFonts w:ascii="Verdana" w:hAnsi="Verdana"/>
          <w:sz w:val="20"/>
          <w:szCs w:val="20"/>
        </w:rPr>
        <w:t>a reasonable degree of tenure security that guarantees legal protection against forced evictions</w:t>
      </w:r>
      <w:r w:rsidR="001A200E" w:rsidRPr="00FC4D68">
        <w:rPr>
          <w:rStyle w:val="None"/>
          <w:rFonts w:ascii="Verdana" w:hAnsi="Verdana"/>
          <w:sz w:val="20"/>
          <w:szCs w:val="20"/>
        </w:rPr>
        <w:t>.  However, we note</w:t>
      </w:r>
      <w:r w:rsidR="00B90DC0" w:rsidRPr="00FC4D68">
        <w:rPr>
          <w:rStyle w:val="None"/>
          <w:rFonts w:ascii="Verdana" w:hAnsi="Verdana"/>
          <w:sz w:val="20"/>
          <w:szCs w:val="20"/>
        </w:rPr>
        <w:t xml:space="preserve"> that the draft</w:t>
      </w:r>
      <w:r w:rsidR="001A200E" w:rsidRPr="00FC4D68">
        <w:rPr>
          <w:rStyle w:val="None"/>
          <w:rFonts w:ascii="Verdana" w:hAnsi="Verdana"/>
          <w:sz w:val="20"/>
          <w:szCs w:val="20"/>
        </w:rPr>
        <w:t xml:space="preserve"> General </w:t>
      </w:r>
      <w:r w:rsidR="00B04242" w:rsidRPr="00FC4D68">
        <w:rPr>
          <w:rStyle w:val="None"/>
          <w:rFonts w:ascii="Verdana" w:hAnsi="Verdana"/>
          <w:sz w:val="20"/>
          <w:szCs w:val="20"/>
        </w:rPr>
        <w:t>C</w:t>
      </w:r>
      <w:r w:rsidR="001A200E" w:rsidRPr="00FC4D68">
        <w:rPr>
          <w:rStyle w:val="None"/>
          <w:rFonts w:ascii="Verdana" w:hAnsi="Verdana"/>
          <w:sz w:val="20"/>
          <w:szCs w:val="20"/>
        </w:rPr>
        <w:t>omment No. 26</w:t>
      </w:r>
      <w:r w:rsidR="00B04242" w:rsidRPr="00FC4D68">
        <w:rPr>
          <w:rStyle w:val="None"/>
          <w:rFonts w:ascii="Verdana" w:hAnsi="Verdana"/>
          <w:sz w:val="20"/>
          <w:szCs w:val="20"/>
        </w:rPr>
        <w:t xml:space="preserve"> only addressed forest conservation-related evictions to a limited extent</w:t>
      </w:r>
      <w:r w:rsidR="001A200E" w:rsidRPr="00FC4D68">
        <w:rPr>
          <w:rStyle w:val="None"/>
          <w:rFonts w:ascii="Verdana" w:hAnsi="Verdana"/>
          <w:sz w:val="20"/>
          <w:szCs w:val="20"/>
        </w:rPr>
        <w:t xml:space="preserve">. </w:t>
      </w:r>
      <w:r w:rsidR="00BB74B0" w:rsidRPr="00FC4D68">
        <w:rPr>
          <w:rStyle w:val="None"/>
          <w:rFonts w:ascii="Verdana" w:hAnsi="Verdana"/>
          <w:sz w:val="20"/>
          <w:szCs w:val="20"/>
        </w:rPr>
        <w:t>In several occasions</w:t>
      </w:r>
      <w:r w:rsidR="00CC2893" w:rsidRPr="00FC4D68">
        <w:rPr>
          <w:rStyle w:val="None"/>
          <w:rFonts w:ascii="Verdana" w:hAnsi="Verdana"/>
          <w:sz w:val="20"/>
          <w:szCs w:val="20"/>
        </w:rPr>
        <w:t>, f</w:t>
      </w:r>
      <w:r w:rsidR="00D7200B" w:rsidRPr="00FC4D68">
        <w:rPr>
          <w:rStyle w:val="None"/>
          <w:rFonts w:ascii="Verdana" w:hAnsi="Verdana"/>
          <w:sz w:val="20"/>
          <w:szCs w:val="20"/>
        </w:rPr>
        <w:t>orest conservation</w:t>
      </w:r>
      <w:r w:rsidR="00CC2893" w:rsidRPr="00FC4D68">
        <w:rPr>
          <w:rStyle w:val="None"/>
          <w:rFonts w:ascii="Verdana" w:hAnsi="Verdana"/>
          <w:sz w:val="20"/>
          <w:szCs w:val="20"/>
        </w:rPr>
        <w:t xml:space="preserve"> policies</w:t>
      </w:r>
      <w:r w:rsidR="00D7200B" w:rsidRPr="00FC4D68">
        <w:rPr>
          <w:rStyle w:val="None"/>
          <w:rFonts w:ascii="Verdana" w:hAnsi="Verdana"/>
          <w:sz w:val="20"/>
          <w:szCs w:val="20"/>
        </w:rPr>
        <w:t xml:space="preserve"> in Thailand </w:t>
      </w:r>
      <w:r w:rsidR="00BB74B0" w:rsidRPr="00FC4D68">
        <w:rPr>
          <w:rStyle w:val="None"/>
          <w:rFonts w:ascii="Verdana" w:hAnsi="Verdana"/>
          <w:sz w:val="20"/>
          <w:szCs w:val="20"/>
        </w:rPr>
        <w:t>led to</w:t>
      </w:r>
      <w:r w:rsidR="00D7200B" w:rsidRPr="00FC4D68">
        <w:rPr>
          <w:rStyle w:val="None"/>
          <w:rFonts w:ascii="Verdana" w:hAnsi="Verdana"/>
          <w:sz w:val="20"/>
          <w:szCs w:val="20"/>
        </w:rPr>
        <w:t xml:space="preserve"> forced evictions </w:t>
      </w:r>
      <w:r w:rsidR="00CC2893" w:rsidRPr="00FC4D68">
        <w:rPr>
          <w:rStyle w:val="None"/>
          <w:rFonts w:ascii="Verdana" w:hAnsi="Verdana"/>
          <w:sz w:val="20"/>
          <w:szCs w:val="20"/>
        </w:rPr>
        <w:t>and prosecutions</w:t>
      </w:r>
      <w:r w:rsidR="00686960" w:rsidRPr="00FC4D68">
        <w:rPr>
          <w:rFonts w:ascii="Verdana" w:hAnsi="Verdana"/>
          <w:sz w:val="20"/>
          <w:szCs w:val="20"/>
        </w:rPr>
        <w:t xml:space="preserve"> for </w:t>
      </w:r>
      <w:r w:rsidR="00686960" w:rsidRPr="00FC4D68">
        <w:rPr>
          <w:rFonts w:ascii="Verdana" w:hAnsi="Verdana"/>
          <w:sz w:val="20"/>
          <w:szCs w:val="20"/>
        </w:rPr>
        <w:lastRenderedPageBreak/>
        <w:t>criminal trespassing</w:t>
      </w:r>
      <w:r w:rsidR="00CC2893" w:rsidRPr="00FC4D68">
        <w:rPr>
          <w:rStyle w:val="None"/>
          <w:rFonts w:ascii="Verdana" w:hAnsi="Verdana"/>
          <w:sz w:val="20"/>
          <w:szCs w:val="20"/>
        </w:rPr>
        <w:t xml:space="preserve"> against</w:t>
      </w:r>
      <w:r w:rsidR="00D7200B" w:rsidRPr="00FC4D68">
        <w:rPr>
          <w:rStyle w:val="None"/>
          <w:rFonts w:ascii="Verdana" w:hAnsi="Verdana"/>
          <w:sz w:val="20"/>
          <w:szCs w:val="20"/>
        </w:rPr>
        <w:t xml:space="preserve"> forest-dependent individuals and communities</w:t>
      </w:r>
      <w:r w:rsidR="00CC2893" w:rsidRPr="00FC4D68">
        <w:rPr>
          <w:rStyle w:val="None"/>
          <w:rFonts w:ascii="Verdana" w:hAnsi="Verdana"/>
          <w:sz w:val="20"/>
          <w:szCs w:val="20"/>
        </w:rPr>
        <w:t>,</w:t>
      </w:r>
      <w:r w:rsidR="00CB328D" w:rsidRPr="00FC4D68">
        <w:rPr>
          <w:rStyle w:val="FootnoteReference"/>
          <w:rFonts w:ascii="Verdana" w:hAnsi="Verdana"/>
          <w:sz w:val="20"/>
          <w:szCs w:val="20"/>
        </w:rPr>
        <w:footnoteReference w:id="7"/>
      </w:r>
      <w:r w:rsidR="00CC2893" w:rsidRPr="00FC4D68">
        <w:rPr>
          <w:rStyle w:val="None"/>
          <w:rFonts w:ascii="Verdana" w:hAnsi="Verdana"/>
          <w:sz w:val="20"/>
          <w:szCs w:val="20"/>
        </w:rPr>
        <w:t xml:space="preserve"> </w:t>
      </w:r>
      <w:r w:rsidR="00BB74B0" w:rsidRPr="00FC4D68">
        <w:rPr>
          <w:rStyle w:val="None"/>
          <w:rFonts w:ascii="Verdana" w:hAnsi="Verdana"/>
          <w:sz w:val="20"/>
          <w:szCs w:val="20"/>
        </w:rPr>
        <w:t>who</w:t>
      </w:r>
      <w:r w:rsidR="00CC2893" w:rsidRPr="00FC4D68">
        <w:rPr>
          <w:rStyle w:val="None"/>
          <w:rFonts w:ascii="Verdana" w:hAnsi="Verdana"/>
          <w:sz w:val="20"/>
          <w:szCs w:val="20"/>
        </w:rPr>
        <w:t xml:space="preserve"> had occupied or relied on</w:t>
      </w:r>
      <w:r w:rsidR="00FC314C" w:rsidRPr="00FC4D68">
        <w:rPr>
          <w:rStyle w:val="None"/>
          <w:rFonts w:ascii="Verdana" w:hAnsi="Verdana"/>
          <w:sz w:val="20"/>
          <w:szCs w:val="20"/>
        </w:rPr>
        <w:t xml:space="preserve"> such lands</w:t>
      </w:r>
      <w:r w:rsidR="00CC2893" w:rsidRPr="00FC4D68">
        <w:rPr>
          <w:rStyle w:val="None"/>
          <w:rFonts w:ascii="Verdana" w:hAnsi="Verdana"/>
          <w:sz w:val="20"/>
          <w:szCs w:val="20"/>
        </w:rPr>
        <w:t xml:space="preserve"> for generations before </w:t>
      </w:r>
      <w:r w:rsidR="00FC314C" w:rsidRPr="00FC4D68">
        <w:rPr>
          <w:rStyle w:val="None"/>
          <w:rFonts w:ascii="Verdana" w:hAnsi="Verdana"/>
          <w:sz w:val="20"/>
          <w:szCs w:val="20"/>
        </w:rPr>
        <w:t>they were</w:t>
      </w:r>
      <w:r w:rsidR="00CC2893" w:rsidRPr="00FC4D68">
        <w:rPr>
          <w:rStyle w:val="None"/>
          <w:rFonts w:ascii="Verdana" w:hAnsi="Verdana"/>
          <w:sz w:val="20"/>
          <w:szCs w:val="20"/>
        </w:rPr>
        <w:t xml:space="preserve"> declared as national parks, national reserved forests</w:t>
      </w:r>
      <w:r w:rsidR="00686960" w:rsidRPr="00FC4D68">
        <w:rPr>
          <w:rStyle w:val="None"/>
          <w:rFonts w:ascii="Verdana" w:hAnsi="Verdana"/>
          <w:sz w:val="20"/>
          <w:szCs w:val="20"/>
        </w:rPr>
        <w:t>, wildlife sanctuaries, forest sanctuaries</w:t>
      </w:r>
      <w:r w:rsidR="00CC2893" w:rsidRPr="00FC4D68">
        <w:rPr>
          <w:rStyle w:val="None"/>
          <w:rFonts w:ascii="Verdana" w:hAnsi="Verdana"/>
          <w:sz w:val="20"/>
          <w:szCs w:val="20"/>
        </w:rPr>
        <w:t xml:space="preserve"> or other protected areas</w:t>
      </w:r>
      <w:r w:rsidR="00D7200B" w:rsidRPr="00FC4D68">
        <w:rPr>
          <w:rStyle w:val="None"/>
          <w:rFonts w:ascii="Verdana" w:hAnsi="Verdana"/>
          <w:sz w:val="20"/>
          <w:szCs w:val="20"/>
        </w:rPr>
        <w:t>.</w:t>
      </w:r>
      <w:r w:rsidR="00C81923" w:rsidRPr="00FC4D68">
        <w:rPr>
          <w:rStyle w:val="None"/>
          <w:rFonts w:ascii="Verdana" w:hAnsi="Verdana"/>
          <w:sz w:val="20"/>
          <w:szCs w:val="20"/>
        </w:rPr>
        <w:t xml:space="preserve"> </w:t>
      </w:r>
      <w:r w:rsidR="00D7200B" w:rsidRPr="00FC4D68">
        <w:rPr>
          <w:rStyle w:val="None"/>
          <w:rFonts w:ascii="Verdana" w:hAnsi="Verdana"/>
          <w:sz w:val="20"/>
          <w:szCs w:val="20"/>
        </w:rPr>
        <w:t>Forest dwellers are stigmatised as criminals and threats to national security. We</w:t>
      </w:r>
      <w:r w:rsidR="00686960" w:rsidRPr="00FC4D68">
        <w:rPr>
          <w:rStyle w:val="None"/>
          <w:rFonts w:ascii="Verdana" w:hAnsi="Verdana"/>
          <w:sz w:val="20"/>
          <w:szCs w:val="20"/>
        </w:rPr>
        <w:t>, therefore,</w:t>
      </w:r>
      <w:r w:rsidR="00D7200B" w:rsidRPr="00FC4D68">
        <w:rPr>
          <w:rStyle w:val="None"/>
          <w:rFonts w:ascii="Verdana" w:hAnsi="Verdana"/>
          <w:sz w:val="20"/>
          <w:szCs w:val="20"/>
        </w:rPr>
        <w:t xml:space="preserve"> would appreciate it </w:t>
      </w:r>
      <w:r w:rsidR="00C81923" w:rsidRPr="00FC4D68">
        <w:rPr>
          <w:rStyle w:val="None"/>
          <w:rFonts w:ascii="Verdana" w:hAnsi="Verdana"/>
          <w:sz w:val="20"/>
          <w:szCs w:val="20"/>
        </w:rPr>
        <w:t xml:space="preserve">if </w:t>
      </w:r>
      <w:r w:rsidR="00D7200B" w:rsidRPr="00FC4D68">
        <w:rPr>
          <w:rStyle w:val="None"/>
          <w:rFonts w:ascii="Verdana" w:hAnsi="Verdana"/>
          <w:sz w:val="20"/>
          <w:szCs w:val="20"/>
        </w:rPr>
        <w:t xml:space="preserve">the </w:t>
      </w:r>
      <w:r w:rsidR="00DA1B08" w:rsidRPr="00FC4D68">
        <w:rPr>
          <w:rStyle w:val="None"/>
          <w:rFonts w:ascii="Verdana" w:hAnsi="Verdana"/>
          <w:sz w:val="20"/>
          <w:szCs w:val="20"/>
        </w:rPr>
        <w:t>CESCR</w:t>
      </w:r>
      <w:r w:rsidR="00D7200B" w:rsidRPr="00FC4D68">
        <w:rPr>
          <w:rStyle w:val="None"/>
          <w:rFonts w:ascii="Verdana" w:hAnsi="Verdana"/>
          <w:sz w:val="20"/>
          <w:szCs w:val="20"/>
        </w:rPr>
        <w:t xml:space="preserve"> </w:t>
      </w:r>
      <w:r w:rsidR="00686960" w:rsidRPr="00FC4D68">
        <w:rPr>
          <w:rStyle w:val="None"/>
          <w:rFonts w:ascii="Verdana" w:hAnsi="Verdana"/>
          <w:sz w:val="20"/>
          <w:szCs w:val="20"/>
        </w:rPr>
        <w:t xml:space="preserve">may </w:t>
      </w:r>
      <w:r w:rsidR="00D7200B" w:rsidRPr="00FC4D68">
        <w:rPr>
          <w:rStyle w:val="None"/>
          <w:rFonts w:ascii="Verdana" w:hAnsi="Verdana"/>
          <w:sz w:val="20"/>
          <w:szCs w:val="20"/>
        </w:rPr>
        <w:t>highlight</w:t>
      </w:r>
      <w:r w:rsidR="00686960" w:rsidRPr="00FC4D68">
        <w:rPr>
          <w:rStyle w:val="None"/>
          <w:rFonts w:ascii="Verdana" w:hAnsi="Verdana"/>
          <w:sz w:val="20"/>
          <w:szCs w:val="20"/>
        </w:rPr>
        <w:t xml:space="preserve"> in the General Comment</w:t>
      </w:r>
      <w:r w:rsidR="00C81923" w:rsidRPr="00FC4D68">
        <w:rPr>
          <w:rStyle w:val="None"/>
          <w:rFonts w:ascii="Verdana" w:hAnsi="Verdana"/>
          <w:sz w:val="20"/>
          <w:szCs w:val="20"/>
        </w:rPr>
        <w:t xml:space="preserve"> that the protection of environment and of human rights, including in relation to land, are "interdependent priorities" as opposed to competing goals. It is thus crucial that State parties’ conservation policies integrate these human rights, including the ICESCR.</w:t>
      </w:r>
      <w:r w:rsidR="00694E1B" w:rsidRPr="00FC4D68">
        <w:rPr>
          <w:rStyle w:val="None"/>
          <w:rFonts w:ascii="Verdana" w:hAnsi="Verdana"/>
          <w:sz w:val="20"/>
          <w:szCs w:val="20"/>
        </w:rPr>
        <w:t xml:space="preserve"> </w:t>
      </w:r>
      <w:r w:rsidR="00C81923" w:rsidRPr="00FC4D68">
        <w:rPr>
          <w:rStyle w:val="None"/>
          <w:rFonts w:ascii="Verdana" w:hAnsi="Verdana"/>
          <w:sz w:val="20"/>
          <w:szCs w:val="20"/>
        </w:rPr>
        <w:t>In addition,</w:t>
      </w:r>
      <w:r w:rsidR="00D7200B" w:rsidRPr="00FC4D68">
        <w:rPr>
          <w:rStyle w:val="None"/>
          <w:rFonts w:ascii="Verdana" w:hAnsi="Verdana"/>
          <w:sz w:val="20"/>
          <w:szCs w:val="20"/>
        </w:rPr>
        <w:t xml:space="preserve"> human rights dimensions must </w:t>
      </w:r>
      <w:r w:rsidR="00A53804" w:rsidRPr="00FC4D68">
        <w:rPr>
          <w:rStyle w:val="None"/>
          <w:rFonts w:ascii="Verdana" w:hAnsi="Verdana"/>
          <w:sz w:val="20"/>
          <w:szCs w:val="20"/>
        </w:rPr>
        <w:t xml:space="preserve">always </w:t>
      </w:r>
      <w:r w:rsidR="00D7200B" w:rsidRPr="00FC4D68">
        <w:rPr>
          <w:rStyle w:val="None"/>
          <w:rFonts w:ascii="Verdana" w:hAnsi="Verdana"/>
          <w:sz w:val="20"/>
          <w:szCs w:val="20"/>
        </w:rPr>
        <w:t>be considered before forcibly remov</w:t>
      </w:r>
      <w:r w:rsidR="00453453" w:rsidRPr="00FC4D68">
        <w:rPr>
          <w:rStyle w:val="None"/>
          <w:rFonts w:ascii="Verdana" w:hAnsi="Verdana"/>
          <w:sz w:val="20"/>
          <w:szCs w:val="20"/>
        </w:rPr>
        <w:t>ing</w:t>
      </w:r>
      <w:r w:rsidR="00694E1B" w:rsidRPr="00FC4D68">
        <w:rPr>
          <w:rStyle w:val="None"/>
          <w:rFonts w:ascii="Verdana" w:hAnsi="Verdana"/>
          <w:sz w:val="20"/>
          <w:szCs w:val="20"/>
        </w:rPr>
        <w:t xml:space="preserve"> </w:t>
      </w:r>
      <w:r w:rsidR="003145F8" w:rsidRPr="00FC4D68">
        <w:rPr>
          <w:rStyle w:val="None"/>
          <w:rFonts w:ascii="Verdana" w:hAnsi="Verdana"/>
          <w:sz w:val="20"/>
          <w:szCs w:val="20"/>
        </w:rPr>
        <w:t>forest-dependent individuals</w:t>
      </w:r>
      <w:r w:rsidR="00D7200B" w:rsidRPr="00FC4D68">
        <w:rPr>
          <w:rStyle w:val="None"/>
          <w:rFonts w:ascii="Verdana" w:hAnsi="Verdana"/>
          <w:sz w:val="20"/>
          <w:szCs w:val="20"/>
        </w:rPr>
        <w:t xml:space="preserve"> from the lands or territories </w:t>
      </w:r>
      <w:r w:rsidR="00694E1B" w:rsidRPr="00FC4D68">
        <w:rPr>
          <w:rStyle w:val="None"/>
          <w:rFonts w:ascii="Verdana" w:hAnsi="Verdana"/>
          <w:sz w:val="20"/>
          <w:szCs w:val="20"/>
        </w:rPr>
        <w:t>they had occupied or relied on</w:t>
      </w:r>
      <w:r w:rsidR="00A53804" w:rsidRPr="00FC4D68">
        <w:rPr>
          <w:rStyle w:val="None"/>
          <w:rFonts w:ascii="Verdana" w:hAnsi="Verdana"/>
          <w:sz w:val="20"/>
          <w:szCs w:val="20"/>
        </w:rPr>
        <w:t>. These notions were</w:t>
      </w:r>
      <w:r w:rsidR="003145F8" w:rsidRPr="00FC4D68">
        <w:rPr>
          <w:rStyle w:val="None"/>
          <w:rFonts w:ascii="Verdana" w:hAnsi="Verdana"/>
          <w:sz w:val="20"/>
          <w:szCs w:val="20"/>
        </w:rPr>
        <w:t xml:space="preserve"> also</w:t>
      </w:r>
      <w:r w:rsidR="00A53804" w:rsidRPr="00FC4D68">
        <w:rPr>
          <w:rStyle w:val="None"/>
          <w:rFonts w:ascii="Verdana" w:hAnsi="Verdana"/>
          <w:sz w:val="20"/>
          <w:szCs w:val="20"/>
        </w:rPr>
        <w:t xml:space="preserve"> highlighted </w:t>
      </w:r>
      <w:r w:rsidR="00694E1B" w:rsidRPr="00FC4D68">
        <w:rPr>
          <w:rStyle w:val="None"/>
          <w:rFonts w:ascii="Verdana" w:hAnsi="Verdana"/>
          <w:sz w:val="20"/>
          <w:szCs w:val="20"/>
        </w:rPr>
        <w:t>by the UN special procedures</w:t>
      </w:r>
      <w:r w:rsidR="00126837" w:rsidRPr="00FC4D68">
        <w:rPr>
          <w:rStyle w:val="None"/>
          <w:rFonts w:ascii="Verdana" w:hAnsi="Verdana"/>
          <w:sz w:val="20"/>
          <w:szCs w:val="20"/>
        </w:rPr>
        <w:t xml:space="preserve"> in several occasions</w:t>
      </w:r>
      <w:r w:rsidR="00694E1B" w:rsidRPr="00FC4D68">
        <w:rPr>
          <w:rStyle w:val="None"/>
          <w:rFonts w:ascii="Verdana" w:hAnsi="Verdana"/>
          <w:sz w:val="20"/>
          <w:szCs w:val="20"/>
        </w:rPr>
        <w:t>.</w:t>
      </w:r>
      <w:r w:rsidR="00D7200B" w:rsidRPr="00FC4D68">
        <w:rPr>
          <w:rStyle w:val="None"/>
          <w:rFonts w:ascii="Verdana" w:eastAsia="Sarabun Regular" w:hAnsi="Verdana" w:cs="Sarabun Regular"/>
          <w:sz w:val="20"/>
          <w:szCs w:val="20"/>
          <w:vertAlign w:val="superscript"/>
        </w:rPr>
        <w:t xml:space="preserve"> </w:t>
      </w:r>
      <w:r w:rsidR="00D7200B" w:rsidRPr="00FC4D68">
        <w:rPr>
          <w:rStyle w:val="None"/>
          <w:rFonts w:ascii="Verdana" w:eastAsia="Sarabun Regular" w:hAnsi="Verdana" w:cs="Sarabun Regular"/>
          <w:sz w:val="20"/>
          <w:szCs w:val="20"/>
          <w:vertAlign w:val="superscript"/>
        </w:rPr>
        <w:footnoteReference w:id="8"/>
      </w:r>
    </w:p>
    <w:p w14:paraId="5B3F8962" w14:textId="31FF5D88" w:rsidR="002C0788" w:rsidRPr="00FC4D68" w:rsidRDefault="002C0788" w:rsidP="00B870C2">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 xml:space="preserve">Aside from those stated in the preceding paragraph, in Thailand, there </w:t>
      </w:r>
      <w:r w:rsidR="003B2CF3" w:rsidRPr="00FC4D68">
        <w:rPr>
          <w:rStyle w:val="None"/>
          <w:rFonts w:ascii="Verdana" w:hAnsi="Verdana"/>
          <w:sz w:val="20"/>
          <w:szCs w:val="20"/>
        </w:rPr>
        <w:t>was</w:t>
      </w:r>
      <w:r w:rsidRPr="00FC4D68">
        <w:rPr>
          <w:rStyle w:val="None"/>
          <w:rFonts w:ascii="Verdana" w:hAnsi="Verdana"/>
          <w:sz w:val="20"/>
          <w:szCs w:val="20"/>
        </w:rPr>
        <w:t xml:space="preserve"> an instance </w:t>
      </w:r>
      <w:r w:rsidR="003B2CF3" w:rsidRPr="00FC4D68">
        <w:rPr>
          <w:rStyle w:val="None"/>
          <w:rFonts w:ascii="Verdana" w:hAnsi="Verdana"/>
          <w:sz w:val="20"/>
          <w:szCs w:val="20"/>
        </w:rPr>
        <w:t xml:space="preserve">where </w:t>
      </w:r>
      <w:r w:rsidRPr="00FC4D68">
        <w:rPr>
          <w:rStyle w:val="None"/>
          <w:rFonts w:ascii="Verdana" w:hAnsi="Verdana"/>
          <w:sz w:val="20"/>
          <w:szCs w:val="20"/>
        </w:rPr>
        <w:t xml:space="preserve">indigenous peoples </w:t>
      </w:r>
      <w:r w:rsidR="003B2CF3" w:rsidRPr="00FC4D68">
        <w:rPr>
          <w:rStyle w:val="None"/>
          <w:rFonts w:ascii="Verdana" w:hAnsi="Verdana"/>
          <w:sz w:val="20"/>
          <w:szCs w:val="20"/>
        </w:rPr>
        <w:t xml:space="preserve">were </w:t>
      </w:r>
      <w:r w:rsidRPr="00FC4D68">
        <w:rPr>
          <w:rStyle w:val="None"/>
          <w:rFonts w:ascii="Verdana" w:hAnsi="Verdana"/>
          <w:sz w:val="20"/>
          <w:szCs w:val="20"/>
        </w:rPr>
        <w:t xml:space="preserve">forcibly </w:t>
      </w:r>
      <w:r w:rsidRPr="00FC4D68">
        <w:rPr>
          <w:rStyle w:val="None"/>
          <w:rFonts w:ascii="Verdana" w:hAnsi="Verdana"/>
          <w:sz w:val="20"/>
          <w:szCs w:val="20"/>
        </w:rPr>
        <w:lastRenderedPageBreak/>
        <w:t xml:space="preserve">evicted from their traditional land because the relevant authorities would like such forest sanctuary to be recognized as a natural world heritage site. Due to this, </w:t>
      </w:r>
      <w:r w:rsidR="00B870C2" w:rsidRPr="00FC4D68">
        <w:rPr>
          <w:rStyle w:val="None"/>
          <w:rFonts w:ascii="Verdana" w:hAnsi="Verdana"/>
          <w:sz w:val="20"/>
          <w:szCs w:val="20"/>
        </w:rPr>
        <w:t xml:space="preserve">we are of the opinion that </w:t>
      </w:r>
      <w:r w:rsidRPr="00FC4D68">
        <w:rPr>
          <w:rStyle w:val="None"/>
          <w:rFonts w:ascii="Verdana" w:hAnsi="Verdana"/>
          <w:sz w:val="20"/>
          <w:szCs w:val="20"/>
        </w:rPr>
        <w:t xml:space="preserve">General Comment No. 26 </w:t>
      </w:r>
      <w:r w:rsidR="00B870C2" w:rsidRPr="00FC4D68">
        <w:rPr>
          <w:rStyle w:val="None"/>
          <w:rFonts w:ascii="Verdana" w:hAnsi="Verdana"/>
          <w:sz w:val="20"/>
          <w:szCs w:val="20"/>
        </w:rPr>
        <w:t>should specify that human rights, including</w:t>
      </w:r>
      <w:r w:rsidR="00533FC9" w:rsidRPr="00FC4D68">
        <w:rPr>
          <w:rStyle w:val="None"/>
          <w:rFonts w:ascii="Verdana" w:hAnsi="Verdana"/>
          <w:sz w:val="20"/>
          <w:szCs w:val="20"/>
        </w:rPr>
        <w:t xml:space="preserve"> those</w:t>
      </w:r>
      <w:r w:rsidR="00B870C2" w:rsidRPr="00FC4D68">
        <w:rPr>
          <w:rStyle w:val="None"/>
          <w:rFonts w:ascii="Verdana" w:hAnsi="Verdana"/>
          <w:sz w:val="20"/>
          <w:szCs w:val="20"/>
        </w:rPr>
        <w:t xml:space="preserve"> in relation to land, and the</w:t>
      </w:r>
      <w:r w:rsidR="00574644" w:rsidRPr="00FC4D68">
        <w:rPr>
          <w:rStyle w:val="None"/>
          <w:rFonts w:ascii="Verdana" w:hAnsi="Verdana"/>
          <w:sz w:val="20"/>
          <w:szCs w:val="20"/>
        </w:rPr>
        <w:t xml:space="preserve"> livelihood,</w:t>
      </w:r>
      <w:r w:rsidR="00B870C2" w:rsidRPr="00FC4D68">
        <w:rPr>
          <w:rStyle w:val="None"/>
          <w:rFonts w:ascii="Verdana" w:hAnsi="Verdana"/>
          <w:sz w:val="20"/>
          <w:szCs w:val="20"/>
        </w:rPr>
        <w:t xml:space="preserve"> spiritual and cultural value of land for communities who had relied on them, must be at</w:t>
      </w:r>
      <w:r w:rsidR="006F0935" w:rsidRPr="00FC4D68">
        <w:rPr>
          <w:rStyle w:val="None"/>
          <w:rFonts w:ascii="Verdana" w:hAnsi="Verdana"/>
          <w:sz w:val="20"/>
          <w:szCs w:val="20"/>
        </w:rPr>
        <w:t xml:space="preserve"> front and</w:t>
      </w:r>
      <w:r w:rsidR="00B870C2" w:rsidRPr="00FC4D68">
        <w:rPr>
          <w:rStyle w:val="None"/>
          <w:rFonts w:ascii="Verdana" w:hAnsi="Verdana"/>
          <w:sz w:val="20"/>
          <w:szCs w:val="20"/>
        </w:rPr>
        <w:t xml:space="preserve"> center in the</w:t>
      </w:r>
      <w:r w:rsidR="003B2CF3" w:rsidRPr="00FC4D68">
        <w:rPr>
          <w:rStyle w:val="None"/>
          <w:rFonts w:ascii="Verdana" w:hAnsi="Verdana"/>
          <w:sz w:val="20"/>
          <w:szCs w:val="20"/>
        </w:rPr>
        <w:t xml:space="preserve"> process of enlisting</w:t>
      </w:r>
      <w:r w:rsidR="00B870C2" w:rsidRPr="00FC4D68">
        <w:rPr>
          <w:rStyle w:val="None"/>
          <w:rFonts w:ascii="Verdana" w:hAnsi="Verdana"/>
          <w:sz w:val="20"/>
          <w:szCs w:val="20"/>
        </w:rPr>
        <w:t xml:space="preserve"> </w:t>
      </w:r>
      <w:r w:rsidRPr="00FC4D68">
        <w:rPr>
          <w:rStyle w:val="None"/>
          <w:rFonts w:ascii="Verdana" w:hAnsi="Verdana"/>
          <w:sz w:val="20"/>
          <w:szCs w:val="20"/>
        </w:rPr>
        <w:t xml:space="preserve">natural world heritage </w:t>
      </w:r>
      <w:r w:rsidR="00B870C2" w:rsidRPr="00FC4D68">
        <w:rPr>
          <w:rStyle w:val="None"/>
          <w:rFonts w:ascii="Verdana" w:hAnsi="Verdana"/>
          <w:sz w:val="20"/>
          <w:szCs w:val="20"/>
        </w:rPr>
        <w:t>sites.</w:t>
      </w:r>
      <w:r w:rsidR="00B870C2" w:rsidRPr="00FC4D68">
        <w:rPr>
          <w:rStyle w:val="FootnoteReference"/>
          <w:rFonts w:ascii="Verdana" w:hAnsi="Verdana"/>
          <w:sz w:val="20"/>
          <w:szCs w:val="20"/>
        </w:rPr>
        <w:footnoteReference w:id="9"/>
      </w:r>
    </w:p>
    <w:p w14:paraId="7F7722FF" w14:textId="042CF0BE" w:rsidR="00127B0E" w:rsidRPr="00FC4D68" w:rsidRDefault="0013243A" w:rsidP="00127B0E">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Paragraph 28 of the</w:t>
      </w:r>
      <w:r w:rsidR="00E92338" w:rsidRPr="00FC4D68">
        <w:rPr>
          <w:rStyle w:val="None"/>
          <w:rFonts w:ascii="Verdana" w:hAnsi="Verdana"/>
          <w:sz w:val="20"/>
          <w:szCs w:val="20"/>
        </w:rPr>
        <w:t xml:space="preserve"> draft</w:t>
      </w:r>
      <w:r w:rsidRPr="00FC4D68">
        <w:rPr>
          <w:rStyle w:val="None"/>
          <w:rFonts w:ascii="Verdana" w:hAnsi="Verdana"/>
          <w:sz w:val="20"/>
          <w:szCs w:val="20"/>
        </w:rPr>
        <w:t xml:space="preserve"> </w:t>
      </w:r>
      <w:r w:rsidR="001A200E" w:rsidRPr="00FC4D68">
        <w:rPr>
          <w:rStyle w:val="None"/>
          <w:rFonts w:ascii="Verdana" w:hAnsi="Verdana"/>
          <w:sz w:val="20"/>
          <w:szCs w:val="20"/>
        </w:rPr>
        <w:t xml:space="preserve">General </w:t>
      </w:r>
      <w:r w:rsidR="00E92338" w:rsidRPr="00FC4D68">
        <w:rPr>
          <w:rStyle w:val="None"/>
          <w:rFonts w:ascii="Verdana" w:hAnsi="Verdana"/>
          <w:sz w:val="20"/>
          <w:szCs w:val="20"/>
        </w:rPr>
        <w:t>C</w:t>
      </w:r>
      <w:r w:rsidR="001A200E" w:rsidRPr="00FC4D68">
        <w:rPr>
          <w:rStyle w:val="None"/>
          <w:rFonts w:ascii="Verdana" w:hAnsi="Verdana"/>
          <w:sz w:val="20"/>
          <w:szCs w:val="20"/>
        </w:rPr>
        <w:t xml:space="preserve">omment No. 26 recommends </w:t>
      </w:r>
      <w:r w:rsidRPr="00FC4D68">
        <w:rPr>
          <w:rStyle w:val="None"/>
          <w:rFonts w:ascii="Verdana" w:hAnsi="Verdana"/>
          <w:sz w:val="20"/>
          <w:szCs w:val="20"/>
        </w:rPr>
        <w:t xml:space="preserve">that </w:t>
      </w:r>
      <w:r w:rsidR="001A200E" w:rsidRPr="00FC4D68">
        <w:rPr>
          <w:rStyle w:val="None"/>
          <w:rFonts w:ascii="Verdana" w:hAnsi="Verdana"/>
          <w:sz w:val="20"/>
          <w:szCs w:val="20"/>
        </w:rPr>
        <w:t xml:space="preserve">States parties </w:t>
      </w:r>
      <w:r w:rsidRPr="00FC4D68">
        <w:rPr>
          <w:rStyle w:val="None"/>
          <w:rFonts w:ascii="Verdana" w:hAnsi="Verdana"/>
          <w:sz w:val="20"/>
          <w:szCs w:val="20"/>
        </w:rPr>
        <w:t>should put in place</w:t>
      </w:r>
      <w:r w:rsidR="00FE0EA8" w:rsidRPr="00FC4D68">
        <w:rPr>
          <w:rStyle w:val="None"/>
          <w:rFonts w:ascii="Verdana" w:hAnsi="Verdana"/>
          <w:sz w:val="20"/>
          <w:szCs w:val="20"/>
        </w:rPr>
        <w:t xml:space="preserve"> laws and policies</w:t>
      </w:r>
      <w:r w:rsidRPr="00FC4D68">
        <w:rPr>
          <w:rStyle w:val="None"/>
          <w:rFonts w:ascii="Verdana" w:hAnsi="Verdana"/>
          <w:sz w:val="20"/>
          <w:szCs w:val="20"/>
        </w:rPr>
        <w:t xml:space="preserve"> that allow for the recognition of informal tenure, paying particular attention to</w:t>
      </w:r>
      <w:r w:rsidR="00893274" w:rsidRPr="00FC4D68">
        <w:rPr>
          <w:rStyle w:val="None"/>
          <w:rFonts w:ascii="Verdana" w:hAnsi="Verdana"/>
          <w:sz w:val="20"/>
          <w:szCs w:val="20"/>
        </w:rPr>
        <w:t>, among others,</w:t>
      </w:r>
      <w:r w:rsidRPr="00FC4D68">
        <w:rPr>
          <w:rStyle w:val="None"/>
          <w:rFonts w:ascii="Verdana" w:hAnsi="Verdana"/>
          <w:sz w:val="20"/>
          <w:szCs w:val="20"/>
        </w:rPr>
        <w:t xml:space="preserve"> tenants</w:t>
      </w:r>
      <w:r w:rsidR="001A200E" w:rsidRPr="00FC4D68">
        <w:rPr>
          <w:rStyle w:val="None"/>
          <w:rFonts w:ascii="Verdana" w:hAnsi="Verdana"/>
          <w:sz w:val="20"/>
          <w:szCs w:val="20"/>
        </w:rPr>
        <w:t xml:space="preserve">. </w:t>
      </w:r>
      <w:r w:rsidR="00574644" w:rsidRPr="00FC4D68">
        <w:rPr>
          <w:rStyle w:val="None"/>
          <w:rFonts w:ascii="Verdana" w:hAnsi="Verdana"/>
          <w:sz w:val="20"/>
          <w:szCs w:val="20"/>
        </w:rPr>
        <w:t xml:space="preserve">We </w:t>
      </w:r>
      <w:r w:rsidR="00127B0E" w:rsidRPr="00FC4D68">
        <w:rPr>
          <w:rStyle w:val="None"/>
          <w:rFonts w:ascii="Verdana" w:hAnsi="Verdana"/>
          <w:sz w:val="20"/>
          <w:szCs w:val="20"/>
        </w:rPr>
        <w:t>are of the view that this</w:t>
      </w:r>
      <w:r w:rsidR="00574644" w:rsidRPr="00FC4D68">
        <w:rPr>
          <w:rStyle w:val="None"/>
          <w:rFonts w:ascii="Verdana" w:hAnsi="Verdana"/>
          <w:sz w:val="20"/>
          <w:szCs w:val="20"/>
        </w:rPr>
        <w:t xml:space="preserve"> General Comment should </w:t>
      </w:r>
      <w:r w:rsidR="00127B0E" w:rsidRPr="00FC4D68">
        <w:rPr>
          <w:rStyle w:val="None"/>
          <w:rFonts w:ascii="Verdana" w:hAnsi="Verdana"/>
          <w:sz w:val="20"/>
          <w:szCs w:val="20"/>
        </w:rPr>
        <w:t>explain</w:t>
      </w:r>
      <w:r w:rsidR="00574644" w:rsidRPr="00FC4D68">
        <w:rPr>
          <w:rStyle w:val="None"/>
          <w:rFonts w:ascii="Verdana" w:hAnsi="Verdana"/>
          <w:sz w:val="20"/>
          <w:szCs w:val="20"/>
        </w:rPr>
        <w:t xml:space="preserve"> the right of </w:t>
      </w:r>
      <w:r w:rsidR="00127B0E" w:rsidRPr="00FC4D68">
        <w:rPr>
          <w:rStyle w:val="None"/>
          <w:rFonts w:ascii="Verdana" w:hAnsi="Verdana"/>
          <w:sz w:val="20"/>
          <w:szCs w:val="20"/>
        </w:rPr>
        <w:t>informal tenure such as</w:t>
      </w:r>
      <w:r w:rsidR="00574644" w:rsidRPr="00FC4D68">
        <w:rPr>
          <w:rStyle w:val="None"/>
          <w:rFonts w:ascii="Verdana" w:hAnsi="Verdana"/>
          <w:sz w:val="20"/>
          <w:szCs w:val="20"/>
        </w:rPr>
        <w:t xml:space="preserve"> tenants</w:t>
      </w:r>
      <w:r w:rsidR="00127B0E" w:rsidRPr="00FC4D68">
        <w:rPr>
          <w:rStyle w:val="None"/>
          <w:rFonts w:ascii="Verdana" w:hAnsi="Verdana"/>
          <w:sz w:val="20"/>
          <w:szCs w:val="20"/>
        </w:rPr>
        <w:t xml:space="preserve"> in more detail. T</w:t>
      </w:r>
      <w:r w:rsidR="00574644" w:rsidRPr="00FC4D68">
        <w:rPr>
          <w:rStyle w:val="None"/>
          <w:rFonts w:ascii="Verdana" w:hAnsi="Verdana"/>
          <w:sz w:val="20"/>
          <w:szCs w:val="20"/>
        </w:rPr>
        <w:t>his will</w:t>
      </w:r>
      <w:r w:rsidR="00127B0E" w:rsidRPr="00FC4D68">
        <w:rPr>
          <w:rStyle w:val="None"/>
          <w:rFonts w:ascii="Verdana" w:hAnsi="Verdana"/>
          <w:sz w:val="20"/>
          <w:szCs w:val="20"/>
        </w:rPr>
        <w:t xml:space="preserve"> </w:t>
      </w:r>
      <w:r w:rsidR="00574644" w:rsidRPr="00FC4D68">
        <w:rPr>
          <w:rStyle w:val="None"/>
          <w:rFonts w:ascii="Verdana" w:hAnsi="Verdana"/>
          <w:sz w:val="20"/>
          <w:szCs w:val="20"/>
        </w:rPr>
        <w:t xml:space="preserve">serve as a </w:t>
      </w:r>
      <w:r w:rsidR="00127B0E" w:rsidRPr="00FC4D68">
        <w:rPr>
          <w:rStyle w:val="None"/>
          <w:rFonts w:ascii="Verdana" w:hAnsi="Verdana"/>
          <w:sz w:val="20"/>
          <w:szCs w:val="20"/>
        </w:rPr>
        <w:t>guideline</w:t>
      </w:r>
      <w:r w:rsidR="00574644" w:rsidRPr="00FC4D68">
        <w:rPr>
          <w:rStyle w:val="None"/>
          <w:rFonts w:ascii="Verdana" w:hAnsi="Verdana"/>
          <w:sz w:val="20"/>
          <w:szCs w:val="20"/>
        </w:rPr>
        <w:t xml:space="preserve"> </w:t>
      </w:r>
      <w:r w:rsidR="00C54C8F" w:rsidRPr="00FC4D68">
        <w:rPr>
          <w:rStyle w:val="None"/>
          <w:rFonts w:ascii="Verdana" w:hAnsi="Verdana"/>
          <w:sz w:val="20"/>
          <w:szCs w:val="20"/>
        </w:rPr>
        <w:t xml:space="preserve">for State parties </w:t>
      </w:r>
      <w:r w:rsidR="00A87AD7" w:rsidRPr="00FC4D68">
        <w:rPr>
          <w:rStyle w:val="None"/>
          <w:rFonts w:ascii="Verdana" w:hAnsi="Verdana"/>
          <w:sz w:val="20"/>
          <w:szCs w:val="20"/>
        </w:rPr>
        <w:t>in</w:t>
      </w:r>
      <w:r w:rsidR="00127B0E" w:rsidRPr="00FC4D68">
        <w:rPr>
          <w:rStyle w:val="None"/>
          <w:rFonts w:ascii="Verdana" w:hAnsi="Verdana"/>
          <w:sz w:val="20"/>
          <w:szCs w:val="20"/>
        </w:rPr>
        <w:t xml:space="preserve"> </w:t>
      </w:r>
      <w:r w:rsidR="00574644" w:rsidRPr="00FC4D68">
        <w:rPr>
          <w:rStyle w:val="None"/>
          <w:rFonts w:ascii="Verdana" w:hAnsi="Verdana"/>
          <w:sz w:val="20"/>
          <w:szCs w:val="20"/>
        </w:rPr>
        <w:t>terminat</w:t>
      </w:r>
      <w:r w:rsidR="00A87AD7" w:rsidRPr="00FC4D68">
        <w:rPr>
          <w:rStyle w:val="None"/>
          <w:rFonts w:ascii="Verdana" w:hAnsi="Verdana"/>
          <w:sz w:val="20"/>
          <w:szCs w:val="20"/>
        </w:rPr>
        <w:t>ing</w:t>
      </w:r>
      <w:r w:rsidR="00127B0E" w:rsidRPr="00FC4D68">
        <w:rPr>
          <w:rStyle w:val="None"/>
          <w:rFonts w:ascii="Verdana" w:hAnsi="Verdana"/>
          <w:sz w:val="20"/>
          <w:szCs w:val="20"/>
        </w:rPr>
        <w:t xml:space="preserve"> rental</w:t>
      </w:r>
      <w:r w:rsidR="00574644" w:rsidRPr="00FC4D68">
        <w:rPr>
          <w:rStyle w:val="None"/>
          <w:rFonts w:ascii="Verdana" w:hAnsi="Verdana"/>
          <w:sz w:val="20"/>
          <w:szCs w:val="20"/>
        </w:rPr>
        <w:t xml:space="preserve"> agreements</w:t>
      </w:r>
      <w:r w:rsidR="00127B0E" w:rsidRPr="00FC4D68">
        <w:rPr>
          <w:rStyle w:val="None"/>
          <w:rFonts w:ascii="Verdana" w:hAnsi="Verdana"/>
          <w:sz w:val="20"/>
          <w:szCs w:val="20"/>
        </w:rPr>
        <w:t xml:space="preserve"> in a human rights compliant manner</w:t>
      </w:r>
      <w:r w:rsidR="00574644" w:rsidRPr="00FC4D68">
        <w:rPr>
          <w:rStyle w:val="None"/>
          <w:rFonts w:ascii="Verdana" w:hAnsi="Verdana"/>
          <w:sz w:val="20"/>
          <w:szCs w:val="20"/>
        </w:rPr>
        <w:t xml:space="preserve"> and providing tenants with adequate remedies. </w:t>
      </w:r>
      <w:r w:rsidR="00127B0E" w:rsidRPr="00FC4D68">
        <w:rPr>
          <w:rStyle w:val="None"/>
          <w:rFonts w:ascii="Verdana" w:hAnsi="Verdana"/>
          <w:sz w:val="20"/>
          <w:szCs w:val="20"/>
        </w:rPr>
        <w:t xml:space="preserve">In Thailand, particularly in the special economic zones, a lot of landowners </w:t>
      </w:r>
      <w:r w:rsidR="001A4969" w:rsidRPr="00FC4D68">
        <w:rPr>
          <w:rStyle w:val="None"/>
          <w:rFonts w:ascii="Verdana" w:hAnsi="Verdana"/>
          <w:sz w:val="20"/>
          <w:szCs w:val="20"/>
        </w:rPr>
        <w:t xml:space="preserve">and farmers had their </w:t>
      </w:r>
      <w:r w:rsidR="00127B0E" w:rsidRPr="00FC4D68">
        <w:rPr>
          <w:rStyle w:val="None"/>
          <w:rFonts w:ascii="Verdana" w:hAnsi="Verdana"/>
          <w:sz w:val="20"/>
          <w:szCs w:val="20"/>
        </w:rPr>
        <w:t xml:space="preserve">rental </w:t>
      </w:r>
      <w:r w:rsidR="001A4969" w:rsidRPr="00FC4D68">
        <w:rPr>
          <w:rStyle w:val="None"/>
          <w:rFonts w:ascii="Verdana" w:hAnsi="Verdana"/>
          <w:sz w:val="20"/>
          <w:szCs w:val="20"/>
        </w:rPr>
        <w:t>contracts terminated</w:t>
      </w:r>
      <w:r w:rsidR="00127B0E" w:rsidRPr="00FC4D68">
        <w:rPr>
          <w:rStyle w:val="None"/>
          <w:rFonts w:ascii="Verdana" w:hAnsi="Verdana"/>
          <w:sz w:val="20"/>
          <w:szCs w:val="20"/>
        </w:rPr>
        <w:t xml:space="preserve"> and evict</w:t>
      </w:r>
      <w:r w:rsidR="001A4969" w:rsidRPr="00FC4D68">
        <w:rPr>
          <w:rStyle w:val="None"/>
          <w:rFonts w:ascii="Verdana" w:hAnsi="Verdana"/>
          <w:sz w:val="20"/>
          <w:szCs w:val="20"/>
        </w:rPr>
        <w:t>ed</w:t>
      </w:r>
      <w:r w:rsidR="00127B0E" w:rsidRPr="00FC4D68">
        <w:rPr>
          <w:rStyle w:val="None"/>
          <w:rFonts w:ascii="Verdana" w:hAnsi="Verdana"/>
          <w:sz w:val="20"/>
          <w:szCs w:val="20"/>
        </w:rPr>
        <w:t xml:space="preserve"> in order to free up the land to sell to investors</w:t>
      </w:r>
      <w:r w:rsidR="00C54C8F" w:rsidRPr="00FC4D68">
        <w:rPr>
          <w:rStyle w:val="None"/>
          <w:rFonts w:ascii="Verdana" w:hAnsi="Verdana"/>
          <w:sz w:val="20"/>
          <w:szCs w:val="20"/>
        </w:rPr>
        <w:t xml:space="preserve">. In several cases, the </w:t>
      </w:r>
      <w:r w:rsidR="002270F6" w:rsidRPr="00FC4D68">
        <w:rPr>
          <w:rStyle w:val="None"/>
          <w:rFonts w:ascii="Verdana" w:hAnsi="Verdana"/>
          <w:sz w:val="20"/>
          <w:szCs w:val="20"/>
        </w:rPr>
        <w:t>rental agreements</w:t>
      </w:r>
      <w:r w:rsidR="00C54C8F" w:rsidRPr="00FC4D68">
        <w:rPr>
          <w:rStyle w:val="None"/>
          <w:rFonts w:ascii="Verdana" w:hAnsi="Verdana"/>
          <w:sz w:val="20"/>
          <w:szCs w:val="20"/>
        </w:rPr>
        <w:t xml:space="preserve"> were </w:t>
      </w:r>
      <w:r w:rsidR="002270F6" w:rsidRPr="00FC4D68">
        <w:rPr>
          <w:rStyle w:val="None"/>
          <w:rFonts w:ascii="Verdana" w:hAnsi="Verdana"/>
          <w:sz w:val="20"/>
          <w:szCs w:val="20"/>
        </w:rPr>
        <w:t>terminated</w:t>
      </w:r>
      <w:r w:rsidR="00127B0E" w:rsidRPr="00FC4D68">
        <w:rPr>
          <w:rStyle w:val="None"/>
          <w:rFonts w:ascii="Verdana" w:hAnsi="Verdana"/>
          <w:sz w:val="20"/>
          <w:szCs w:val="20"/>
        </w:rPr>
        <w:t xml:space="preserve"> without remedy or compensation.</w:t>
      </w:r>
      <w:r w:rsidR="00490C0B" w:rsidRPr="00FC4D68">
        <w:rPr>
          <w:rStyle w:val="FootnoteReference"/>
          <w:rFonts w:ascii="Verdana" w:hAnsi="Verdana"/>
          <w:sz w:val="20"/>
          <w:szCs w:val="20"/>
        </w:rPr>
        <w:footnoteReference w:id="10"/>
      </w:r>
    </w:p>
    <w:p w14:paraId="3F389D24" w14:textId="2DF03908" w:rsidR="002270F6" w:rsidRPr="00FC4D68" w:rsidRDefault="002270F6" w:rsidP="002270F6">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We are of the view that it</w:t>
      </w:r>
      <w:r w:rsidR="00127B0E" w:rsidRPr="00FC4D68">
        <w:rPr>
          <w:rStyle w:val="None"/>
          <w:rFonts w:ascii="Verdana" w:hAnsi="Verdana"/>
          <w:sz w:val="20"/>
          <w:szCs w:val="20"/>
        </w:rPr>
        <w:t xml:space="preserve"> should </w:t>
      </w:r>
      <w:r w:rsidRPr="00FC4D68">
        <w:rPr>
          <w:rStyle w:val="None"/>
          <w:rFonts w:ascii="Verdana" w:hAnsi="Verdana"/>
          <w:sz w:val="20"/>
          <w:szCs w:val="20"/>
        </w:rPr>
        <w:t xml:space="preserve">be </w:t>
      </w:r>
      <w:r w:rsidR="00127B0E" w:rsidRPr="00FC4D68">
        <w:rPr>
          <w:rStyle w:val="None"/>
          <w:rFonts w:ascii="Verdana" w:hAnsi="Verdana"/>
          <w:sz w:val="20"/>
          <w:szCs w:val="20"/>
        </w:rPr>
        <w:t>clearly state</w:t>
      </w:r>
      <w:r w:rsidRPr="00FC4D68">
        <w:rPr>
          <w:rStyle w:val="None"/>
          <w:rFonts w:ascii="Verdana" w:hAnsi="Verdana"/>
          <w:sz w:val="20"/>
          <w:szCs w:val="20"/>
        </w:rPr>
        <w:t>d</w:t>
      </w:r>
      <w:r w:rsidR="00127B0E" w:rsidRPr="00FC4D68">
        <w:rPr>
          <w:rStyle w:val="None"/>
          <w:rFonts w:ascii="Verdana" w:hAnsi="Verdana"/>
          <w:sz w:val="20"/>
          <w:szCs w:val="20"/>
        </w:rPr>
        <w:t xml:space="preserve"> in </w:t>
      </w:r>
      <w:r w:rsidRPr="00FC4D68">
        <w:rPr>
          <w:rStyle w:val="None"/>
          <w:rFonts w:ascii="Verdana" w:hAnsi="Verdana"/>
          <w:sz w:val="20"/>
          <w:szCs w:val="20"/>
        </w:rPr>
        <w:t xml:space="preserve">the </w:t>
      </w:r>
      <w:r w:rsidR="00127B0E" w:rsidRPr="00FC4D68">
        <w:rPr>
          <w:rStyle w:val="None"/>
          <w:rFonts w:ascii="Verdana" w:hAnsi="Verdana"/>
          <w:sz w:val="20"/>
          <w:szCs w:val="20"/>
        </w:rPr>
        <w:t>General Comment No. 26 that the</w:t>
      </w:r>
      <w:r w:rsidRPr="00FC4D68">
        <w:rPr>
          <w:rStyle w:val="None"/>
          <w:rFonts w:ascii="Verdana" w:hAnsi="Verdana"/>
          <w:sz w:val="20"/>
          <w:szCs w:val="20"/>
        </w:rPr>
        <w:t xml:space="preserve"> State parties</w:t>
      </w:r>
      <w:r w:rsidR="00127B0E" w:rsidRPr="00FC4D68">
        <w:rPr>
          <w:rStyle w:val="None"/>
          <w:rFonts w:ascii="Verdana" w:hAnsi="Verdana"/>
          <w:sz w:val="20"/>
          <w:szCs w:val="20"/>
        </w:rPr>
        <w:t xml:space="preserve"> </w:t>
      </w:r>
      <w:r w:rsidR="00882697" w:rsidRPr="00FC4D68">
        <w:rPr>
          <w:rStyle w:val="None"/>
          <w:rFonts w:ascii="Verdana" w:hAnsi="Verdana"/>
          <w:sz w:val="20"/>
          <w:szCs w:val="20"/>
        </w:rPr>
        <w:t>shall</w:t>
      </w:r>
      <w:r w:rsidR="00127B0E" w:rsidRPr="00FC4D68">
        <w:rPr>
          <w:rStyle w:val="None"/>
          <w:rFonts w:ascii="Verdana" w:hAnsi="Verdana"/>
          <w:sz w:val="20"/>
          <w:szCs w:val="20"/>
        </w:rPr>
        <w:t xml:space="preserve"> support the urban poor </w:t>
      </w:r>
      <w:r w:rsidR="00127B0E" w:rsidRPr="00FC4D68">
        <w:rPr>
          <w:rStyle w:val="None"/>
          <w:rFonts w:ascii="Verdana" w:hAnsi="Verdana"/>
          <w:sz w:val="20"/>
          <w:szCs w:val="20"/>
        </w:rPr>
        <w:lastRenderedPageBreak/>
        <w:t>to access</w:t>
      </w:r>
      <w:r w:rsidRPr="00FC4D68">
        <w:rPr>
          <w:rStyle w:val="None"/>
          <w:rFonts w:ascii="Verdana" w:hAnsi="Verdana"/>
          <w:sz w:val="20"/>
          <w:szCs w:val="20"/>
        </w:rPr>
        <w:t xml:space="preserve"> adequate</w:t>
      </w:r>
      <w:r w:rsidR="00127B0E" w:rsidRPr="00FC4D68">
        <w:rPr>
          <w:rStyle w:val="None"/>
          <w:rFonts w:ascii="Verdana" w:hAnsi="Verdana"/>
          <w:sz w:val="20"/>
          <w:szCs w:val="20"/>
        </w:rPr>
        <w:t xml:space="preserve"> lands and </w:t>
      </w:r>
      <w:r w:rsidRPr="00FC4D68">
        <w:rPr>
          <w:rStyle w:val="None"/>
          <w:rFonts w:ascii="Verdana" w:hAnsi="Verdana"/>
          <w:sz w:val="20"/>
          <w:szCs w:val="20"/>
        </w:rPr>
        <w:t>housing</w:t>
      </w:r>
      <w:r w:rsidR="00127B0E" w:rsidRPr="00FC4D68">
        <w:rPr>
          <w:rStyle w:val="None"/>
          <w:rFonts w:ascii="Verdana" w:hAnsi="Verdana"/>
          <w:sz w:val="20"/>
          <w:szCs w:val="20"/>
        </w:rPr>
        <w:t>.</w:t>
      </w:r>
      <w:r w:rsidR="006E35EC">
        <w:rPr>
          <w:rStyle w:val="FootnoteReference"/>
          <w:rFonts w:ascii="Verdana" w:hAnsi="Verdana"/>
          <w:sz w:val="20"/>
          <w:szCs w:val="20"/>
        </w:rPr>
        <w:footnoteReference w:id="11"/>
      </w:r>
      <w:r w:rsidR="00127B0E" w:rsidRPr="00FC4D68">
        <w:rPr>
          <w:rStyle w:val="None"/>
          <w:rFonts w:ascii="Verdana" w:hAnsi="Verdana"/>
          <w:sz w:val="20"/>
          <w:szCs w:val="20"/>
        </w:rPr>
        <w:t xml:space="preserve"> </w:t>
      </w:r>
      <w:r w:rsidRPr="00FC4D68">
        <w:rPr>
          <w:rStyle w:val="None"/>
          <w:rFonts w:ascii="Verdana" w:hAnsi="Verdana"/>
          <w:sz w:val="20"/>
          <w:szCs w:val="20"/>
        </w:rPr>
        <w:t xml:space="preserve">As provided in another General Comment, housing must be adequate, it should be </w:t>
      </w:r>
      <w:r w:rsidR="001E16BC" w:rsidRPr="00FC4D68">
        <w:rPr>
          <w:rStyle w:val="None"/>
          <w:rFonts w:ascii="Verdana" w:hAnsi="Verdana"/>
          <w:sz w:val="20"/>
          <w:szCs w:val="20"/>
        </w:rPr>
        <w:t>specified</w:t>
      </w:r>
      <w:r w:rsidRPr="00FC4D68">
        <w:rPr>
          <w:rStyle w:val="None"/>
          <w:rFonts w:ascii="Verdana" w:hAnsi="Verdana"/>
          <w:sz w:val="20"/>
          <w:szCs w:val="20"/>
        </w:rPr>
        <w:t xml:space="preserve"> in this General Comment as well that </w:t>
      </w:r>
      <w:r w:rsidR="00490C0B" w:rsidRPr="00FC4D68">
        <w:rPr>
          <w:rStyle w:val="None"/>
          <w:rFonts w:ascii="Verdana" w:hAnsi="Verdana"/>
          <w:sz w:val="20"/>
          <w:szCs w:val="20"/>
        </w:rPr>
        <w:t xml:space="preserve">the allocated </w:t>
      </w:r>
      <w:r w:rsidRPr="00FC4D68">
        <w:rPr>
          <w:rStyle w:val="None"/>
          <w:rFonts w:ascii="Verdana" w:hAnsi="Verdana"/>
          <w:sz w:val="20"/>
          <w:szCs w:val="20"/>
        </w:rPr>
        <w:t xml:space="preserve">land must also be adequate, </w:t>
      </w:r>
      <w:r w:rsidR="001E16BC" w:rsidRPr="00FC4D68">
        <w:rPr>
          <w:rStyle w:val="None"/>
          <w:rFonts w:ascii="Verdana" w:hAnsi="Verdana"/>
          <w:sz w:val="20"/>
          <w:szCs w:val="20"/>
        </w:rPr>
        <w:t xml:space="preserve">including by locating </w:t>
      </w:r>
      <w:r w:rsidRPr="00FC4D68">
        <w:rPr>
          <w:rStyle w:val="None"/>
          <w:rFonts w:ascii="Verdana" w:hAnsi="Verdana"/>
          <w:sz w:val="20"/>
          <w:szCs w:val="20"/>
        </w:rPr>
        <w:t>in a good location with accessibility and availability of public services, facilities and infrastructure; being sufficient to ensure the livelihoods of affected individuals and households; and allow</w:t>
      </w:r>
      <w:r w:rsidR="001E16BC" w:rsidRPr="00FC4D68">
        <w:rPr>
          <w:rStyle w:val="None"/>
          <w:rFonts w:ascii="Verdana" w:hAnsi="Verdana"/>
          <w:sz w:val="20"/>
          <w:szCs w:val="20"/>
        </w:rPr>
        <w:t>ing</w:t>
      </w:r>
      <w:r w:rsidRPr="00FC4D68">
        <w:rPr>
          <w:rStyle w:val="None"/>
          <w:rFonts w:ascii="Verdana" w:hAnsi="Verdana"/>
          <w:sz w:val="20"/>
          <w:szCs w:val="20"/>
        </w:rPr>
        <w:t xml:space="preserve"> access to employment options</w:t>
      </w:r>
      <w:r w:rsidR="001E16BC" w:rsidRPr="00FC4D68">
        <w:rPr>
          <w:rStyle w:val="None"/>
          <w:rFonts w:ascii="Verdana" w:hAnsi="Verdana"/>
          <w:sz w:val="20"/>
          <w:szCs w:val="20"/>
        </w:rPr>
        <w:t>.</w:t>
      </w:r>
    </w:p>
    <w:p w14:paraId="339B168C" w14:textId="78824B45" w:rsidR="00A90EE4" w:rsidRPr="00FC4D68" w:rsidRDefault="001A200E">
      <w:pPr>
        <w:pStyle w:val="BodyA"/>
        <w:spacing w:after="240"/>
        <w:jc w:val="both"/>
        <w:rPr>
          <w:rStyle w:val="None"/>
          <w:rFonts w:ascii="Verdana" w:eastAsia="Sarabun Bold" w:hAnsi="Verdana" w:cs="Sarabun Bold"/>
          <w:b/>
          <w:bCs/>
          <w:sz w:val="20"/>
          <w:szCs w:val="20"/>
        </w:rPr>
      </w:pPr>
      <w:r w:rsidRPr="00FC4D68">
        <w:rPr>
          <w:rStyle w:val="None"/>
          <w:rFonts w:ascii="Verdana" w:hAnsi="Verdana"/>
          <w:b/>
          <w:bCs/>
          <w:sz w:val="20"/>
          <w:szCs w:val="20"/>
          <w:lang w:val="fr-FR"/>
        </w:rPr>
        <w:t>Obligations</w:t>
      </w:r>
      <w:r w:rsidRPr="00FC4D68">
        <w:rPr>
          <w:rStyle w:val="None"/>
          <w:rFonts w:ascii="Verdana" w:hAnsi="Verdana"/>
          <w:b/>
          <w:bCs/>
          <w:sz w:val="20"/>
          <w:szCs w:val="20"/>
        </w:rPr>
        <w:t xml:space="preserve"> to protect under the ICESCR relating to land</w:t>
      </w:r>
    </w:p>
    <w:p w14:paraId="33D77B7B" w14:textId="57C31C41" w:rsidR="009265D6" w:rsidRPr="00FC4D68" w:rsidRDefault="005D32D2" w:rsidP="00C85A00">
      <w:pPr>
        <w:pStyle w:val="ListParagraph"/>
        <w:numPr>
          <w:ilvl w:val="0"/>
          <w:numId w:val="2"/>
        </w:numPr>
        <w:jc w:val="thaiDistribute"/>
        <w:rPr>
          <w:rStyle w:val="None"/>
          <w:rFonts w:ascii="Verdana" w:hAnsi="Verdana"/>
          <w:sz w:val="20"/>
          <w:szCs w:val="20"/>
        </w:rPr>
      </w:pPr>
      <w:r w:rsidRPr="00FC4D68">
        <w:rPr>
          <w:rStyle w:val="None"/>
          <w:rFonts w:ascii="Verdana" w:hAnsi="Verdana"/>
          <w:sz w:val="20"/>
          <w:szCs w:val="20"/>
        </w:rPr>
        <w:t>P</w:t>
      </w:r>
      <w:r w:rsidR="00C763F0" w:rsidRPr="00FC4D68">
        <w:rPr>
          <w:rStyle w:val="None"/>
          <w:rFonts w:ascii="Verdana" w:hAnsi="Verdana"/>
          <w:sz w:val="20"/>
          <w:szCs w:val="20"/>
        </w:rPr>
        <w:t xml:space="preserve">aragraph 30 of </w:t>
      </w:r>
      <w:r w:rsidR="00073DA1" w:rsidRPr="00FC4D68">
        <w:rPr>
          <w:rStyle w:val="None"/>
          <w:rFonts w:ascii="Verdana" w:hAnsi="Verdana"/>
          <w:sz w:val="20"/>
          <w:szCs w:val="20"/>
        </w:rPr>
        <w:t xml:space="preserve">the </w:t>
      </w:r>
      <w:r w:rsidR="0074279A" w:rsidRPr="00FC4D68">
        <w:rPr>
          <w:rStyle w:val="None"/>
          <w:rFonts w:ascii="Verdana" w:hAnsi="Verdana"/>
          <w:sz w:val="20"/>
          <w:szCs w:val="20"/>
        </w:rPr>
        <w:t xml:space="preserve">draft </w:t>
      </w:r>
      <w:r w:rsidR="00073DA1" w:rsidRPr="00FC4D68">
        <w:rPr>
          <w:rStyle w:val="None"/>
          <w:rFonts w:ascii="Verdana" w:hAnsi="Verdana"/>
          <w:sz w:val="20"/>
          <w:szCs w:val="20"/>
        </w:rPr>
        <w:t xml:space="preserve">General </w:t>
      </w:r>
      <w:r w:rsidR="0074279A" w:rsidRPr="00FC4D68">
        <w:rPr>
          <w:rStyle w:val="None"/>
          <w:rFonts w:ascii="Verdana" w:hAnsi="Verdana"/>
          <w:sz w:val="20"/>
          <w:szCs w:val="20"/>
        </w:rPr>
        <w:t>C</w:t>
      </w:r>
      <w:r w:rsidR="00073DA1" w:rsidRPr="00FC4D68">
        <w:rPr>
          <w:rStyle w:val="None"/>
          <w:rFonts w:ascii="Verdana" w:hAnsi="Verdana"/>
          <w:sz w:val="20"/>
          <w:szCs w:val="20"/>
        </w:rPr>
        <w:t xml:space="preserve">omment No. 26 advises State parties </w:t>
      </w:r>
      <w:r w:rsidR="0074279A" w:rsidRPr="00FC4D68">
        <w:rPr>
          <w:rStyle w:val="None"/>
          <w:rFonts w:ascii="Verdana" w:hAnsi="Verdana"/>
          <w:sz w:val="20"/>
          <w:szCs w:val="20"/>
        </w:rPr>
        <w:t>to</w:t>
      </w:r>
      <w:r w:rsidR="00073DA1" w:rsidRPr="00FC4D68">
        <w:rPr>
          <w:rStyle w:val="None"/>
          <w:rFonts w:ascii="Verdana" w:hAnsi="Verdana"/>
          <w:sz w:val="20"/>
          <w:szCs w:val="20"/>
        </w:rPr>
        <w:t xml:space="preserve"> develop laws and policies to guarantee</w:t>
      </w:r>
      <w:r w:rsidR="00C763F0" w:rsidRPr="00FC4D68">
        <w:rPr>
          <w:rStyle w:val="None"/>
          <w:rFonts w:ascii="Verdana" w:hAnsi="Verdana"/>
          <w:sz w:val="20"/>
          <w:szCs w:val="20"/>
        </w:rPr>
        <w:t xml:space="preserve"> that</w:t>
      </w:r>
      <w:r w:rsidR="00073DA1" w:rsidRPr="00FC4D68">
        <w:rPr>
          <w:rStyle w:val="None"/>
          <w:rFonts w:ascii="Verdana" w:hAnsi="Verdana"/>
          <w:sz w:val="20"/>
          <w:szCs w:val="20"/>
        </w:rPr>
        <w:t xml:space="preserve"> land-based investments are done </w:t>
      </w:r>
      <w:r w:rsidR="00C763F0" w:rsidRPr="00FC4D68">
        <w:rPr>
          <w:rStyle w:val="None"/>
          <w:rFonts w:ascii="Verdana" w:hAnsi="Verdana"/>
          <w:sz w:val="20"/>
          <w:szCs w:val="20"/>
        </w:rPr>
        <w:t>i</w:t>
      </w:r>
      <w:r w:rsidR="00073DA1" w:rsidRPr="00FC4D68">
        <w:rPr>
          <w:rStyle w:val="None"/>
          <w:rFonts w:ascii="Verdana" w:hAnsi="Verdana"/>
          <w:sz w:val="20"/>
          <w:szCs w:val="20"/>
        </w:rPr>
        <w:t>n a responsible manner.</w:t>
      </w:r>
      <w:r w:rsidR="00C763F0" w:rsidRPr="00FC4D68">
        <w:rPr>
          <w:rStyle w:val="None"/>
          <w:rFonts w:ascii="Verdana" w:hAnsi="Verdana"/>
          <w:sz w:val="20"/>
          <w:szCs w:val="20"/>
        </w:rPr>
        <w:t xml:space="preserve"> In this respect, we are of the opinion that the General Comment No. 26 should </w:t>
      </w:r>
      <w:r w:rsidR="009265D6" w:rsidRPr="00FC4D68">
        <w:rPr>
          <w:rStyle w:val="None"/>
          <w:rFonts w:ascii="Verdana" w:hAnsi="Verdana"/>
          <w:sz w:val="20"/>
          <w:szCs w:val="20"/>
        </w:rPr>
        <w:t>require State parties</w:t>
      </w:r>
      <w:r w:rsidR="0012174E" w:rsidRPr="00FC4D68">
        <w:rPr>
          <w:rStyle w:val="None"/>
          <w:rFonts w:ascii="Verdana" w:hAnsi="Verdana"/>
          <w:sz w:val="20"/>
          <w:szCs w:val="20"/>
        </w:rPr>
        <w:t xml:space="preserve"> </w:t>
      </w:r>
      <w:r w:rsidR="009265D6" w:rsidRPr="00FC4D68">
        <w:rPr>
          <w:rStyle w:val="None"/>
          <w:rFonts w:ascii="Verdana" w:hAnsi="Verdana"/>
          <w:sz w:val="20"/>
          <w:szCs w:val="20"/>
        </w:rPr>
        <w:t>to ensure in their domestic laws or regulations that</w:t>
      </w:r>
      <w:r w:rsidR="0012174E" w:rsidRPr="00FC4D68">
        <w:rPr>
          <w:rStyle w:val="None"/>
          <w:rFonts w:ascii="Verdana" w:hAnsi="Verdana"/>
          <w:sz w:val="20"/>
          <w:szCs w:val="20"/>
        </w:rPr>
        <w:t>, in order to be determined as a responsible investor,</w:t>
      </w:r>
      <w:r w:rsidR="009265D6" w:rsidRPr="00FC4D68">
        <w:rPr>
          <w:rStyle w:val="None"/>
          <w:rFonts w:ascii="Verdana" w:hAnsi="Verdana"/>
          <w:sz w:val="20"/>
          <w:szCs w:val="20"/>
        </w:rPr>
        <w:t xml:space="preserve"> the </w:t>
      </w:r>
      <w:r w:rsidR="00227279" w:rsidRPr="00FC4D68">
        <w:rPr>
          <w:rStyle w:val="None"/>
          <w:rFonts w:ascii="Verdana" w:hAnsi="Verdana"/>
          <w:sz w:val="20"/>
          <w:szCs w:val="20"/>
        </w:rPr>
        <w:t xml:space="preserve">residents’ </w:t>
      </w:r>
      <w:r w:rsidR="009265D6" w:rsidRPr="00FC4D68">
        <w:rPr>
          <w:rStyle w:val="None"/>
          <w:rFonts w:ascii="Verdana" w:hAnsi="Verdana"/>
          <w:sz w:val="20"/>
          <w:szCs w:val="20"/>
        </w:rPr>
        <w:t xml:space="preserve">economic, social, and cultural rights under the ICESCR as well as this General Comment </w:t>
      </w:r>
      <w:r w:rsidR="0012174E" w:rsidRPr="00FC4D68">
        <w:rPr>
          <w:rStyle w:val="None"/>
          <w:rFonts w:ascii="Verdana" w:hAnsi="Verdana"/>
          <w:sz w:val="20"/>
          <w:szCs w:val="20"/>
        </w:rPr>
        <w:t>must always be</w:t>
      </w:r>
      <w:r w:rsidR="009265D6" w:rsidRPr="00FC4D68">
        <w:rPr>
          <w:rStyle w:val="None"/>
          <w:rFonts w:ascii="Verdana" w:hAnsi="Verdana"/>
          <w:sz w:val="20"/>
          <w:szCs w:val="20"/>
        </w:rPr>
        <w:t xml:space="preserve"> </w:t>
      </w:r>
      <w:r w:rsidR="00227279" w:rsidRPr="00FC4D68">
        <w:rPr>
          <w:rStyle w:val="None"/>
          <w:rFonts w:ascii="Verdana" w:hAnsi="Verdana"/>
          <w:sz w:val="20"/>
          <w:szCs w:val="20"/>
        </w:rPr>
        <w:t>followed</w:t>
      </w:r>
      <w:r w:rsidR="009265D6" w:rsidRPr="00FC4D68">
        <w:rPr>
          <w:rStyle w:val="None"/>
          <w:rFonts w:ascii="Verdana" w:hAnsi="Verdana"/>
          <w:sz w:val="20"/>
          <w:szCs w:val="20"/>
        </w:rPr>
        <w:t xml:space="preserve"> in every step of land-based investment.</w:t>
      </w:r>
    </w:p>
    <w:p w14:paraId="3F195B3B" w14:textId="77777777" w:rsidR="00073DA1" w:rsidRPr="00FC4D68" w:rsidRDefault="00073DA1" w:rsidP="00073DA1">
      <w:pPr>
        <w:pStyle w:val="ListParagraph"/>
        <w:ind w:left="360"/>
        <w:rPr>
          <w:rStyle w:val="None"/>
          <w:rFonts w:ascii="Verdana" w:hAnsi="Verdana"/>
          <w:sz w:val="20"/>
          <w:szCs w:val="20"/>
        </w:rPr>
      </w:pPr>
    </w:p>
    <w:p w14:paraId="4379DF9E" w14:textId="0E4515FF" w:rsidR="00494358" w:rsidRPr="00FC4D68" w:rsidRDefault="004C4612" w:rsidP="005D32D2">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P</w:t>
      </w:r>
      <w:r w:rsidR="00494358" w:rsidRPr="00FC4D68">
        <w:rPr>
          <w:rStyle w:val="None"/>
          <w:rFonts w:ascii="Verdana" w:hAnsi="Verdana"/>
          <w:sz w:val="20"/>
          <w:szCs w:val="20"/>
        </w:rPr>
        <w:t>aragraph 32 of</w:t>
      </w:r>
      <w:r w:rsidR="00574042" w:rsidRPr="00FC4D68">
        <w:rPr>
          <w:rStyle w:val="None"/>
          <w:rFonts w:ascii="Verdana" w:hAnsi="Verdana"/>
          <w:sz w:val="20"/>
          <w:szCs w:val="20"/>
        </w:rPr>
        <w:t xml:space="preserve"> </w:t>
      </w:r>
      <w:r w:rsidR="001A200E" w:rsidRPr="00FC4D68">
        <w:rPr>
          <w:rStyle w:val="None"/>
          <w:rFonts w:ascii="Verdana" w:hAnsi="Verdana"/>
          <w:sz w:val="20"/>
          <w:szCs w:val="20"/>
        </w:rPr>
        <w:t>the</w:t>
      </w:r>
      <w:r w:rsidR="00574042" w:rsidRPr="00FC4D68">
        <w:rPr>
          <w:rStyle w:val="None"/>
          <w:rFonts w:ascii="Verdana" w:hAnsi="Verdana"/>
          <w:sz w:val="20"/>
          <w:szCs w:val="20"/>
        </w:rPr>
        <w:t xml:space="preserve"> draft</w:t>
      </w:r>
      <w:r w:rsidR="001A200E" w:rsidRPr="00FC4D68">
        <w:rPr>
          <w:rStyle w:val="None"/>
          <w:rFonts w:ascii="Verdana" w:hAnsi="Verdana"/>
          <w:sz w:val="20"/>
          <w:szCs w:val="20"/>
        </w:rPr>
        <w:t xml:space="preserve"> General </w:t>
      </w:r>
      <w:r w:rsidR="00494358" w:rsidRPr="00FC4D68">
        <w:rPr>
          <w:rStyle w:val="None"/>
          <w:rFonts w:ascii="Verdana" w:hAnsi="Verdana"/>
          <w:sz w:val="20"/>
          <w:szCs w:val="20"/>
        </w:rPr>
        <w:t>C</w:t>
      </w:r>
      <w:r w:rsidR="001A200E" w:rsidRPr="00FC4D68">
        <w:rPr>
          <w:rStyle w:val="None"/>
          <w:rFonts w:ascii="Verdana" w:hAnsi="Verdana"/>
          <w:sz w:val="20"/>
          <w:szCs w:val="20"/>
        </w:rPr>
        <w:t xml:space="preserve">omment No. 26 recommends </w:t>
      </w:r>
      <w:r w:rsidR="001A200E" w:rsidRPr="00FC4D68">
        <w:rPr>
          <w:rStyle w:val="None"/>
          <w:rFonts w:ascii="Verdana" w:hAnsi="Verdana"/>
          <w:sz w:val="20"/>
          <w:szCs w:val="20"/>
          <w:shd w:val="clear" w:color="auto" w:fill="FEFEFE"/>
        </w:rPr>
        <w:t xml:space="preserve">States parties </w:t>
      </w:r>
      <w:r w:rsidR="00494358" w:rsidRPr="00FC4D68">
        <w:rPr>
          <w:rStyle w:val="None"/>
          <w:rFonts w:ascii="Verdana" w:hAnsi="Verdana"/>
          <w:sz w:val="20"/>
          <w:szCs w:val="20"/>
          <w:shd w:val="clear" w:color="auto" w:fill="FEFEFE"/>
        </w:rPr>
        <w:t xml:space="preserve">to </w:t>
      </w:r>
      <w:r w:rsidR="001A200E" w:rsidRPr="00FC4D68">
        <w:rPr>
          <w:rStyle w:val="None"/>
          <w:rFonts w:ascii="Verdana" w:hAnsi="Verdana"/>
          <w:sz w:val="20"/>
          <w:szCs w:val="20"/>
          <w:shd w:val="clear" w:color="auto" w:fill="FEFEFE"/>
        </w:rPr>
        <w:t>adopt a legal framework requiring</w:t>
      </w:r>
      <w:r w:rsidR="001A200E" w:rsidRPr="00FC4D68">
        <w:rPr>
          <w:rStyle w:val="None"/>
          <w:rFonts w:ascii="Verdana" w:hAnsi="Verdana"/>
          <w:sz w:val="20"/>
          <w:szCs w:val="20"/>
        </w:rPr>
        <w:t xml:space="preserve"> the business</w:t>
      </w:r>
      <w:r w:rsidR="00494358" w:rsidRPr="00FC4D68">
        <w:rPr>
          <w:rStyle w:val="None"/>
          <w:rFonts w:ascii="Verdana" w:hAnsi="Verdana"/>
          <w:sz w:val="20"/>
          <w:szCs w:val="20"/>
        </w:rPr>
        <w:t xml:space="preserve"> entities</w:t>
      </w:r>
      <w:r w:rsidR="001A200E" w:rsidRPr="00FC4D68">
        <w:rPr>
          <w:rStyle w:val="None"/>
          <w:rFonts w:ascii="Verdana" w:hAnsi="Verdana"/>
          <w:sz w:val="20"/>
          <w:szCs w:val="20"/>
        </w:rPr>
        <w:t xml:space="preserve"> to </w:t>
      </w:r>
      <w:r w:rsidR="00494358" w:rsidRPr="00FC4D68">
        <w:rPr>
          <w:rStyle w:val="None"/>
          <w:rFonts w:ascii="Verdana" w:hAnsi="Verdana"/>
          <w:sz w:val="20"/>
          <w:szCs w:val="20"/>
        </w:rPr>
        <w:t>exercise</w:t>
      </w:r>
      <w:r w:rsidR="001A200E" w:rsidRPr="00FC4D68">
        <w:rPr>
          <w:rStyle w:val="None"/>
          <w:rFonts w:ascii="Verdana" w:hAnsi="Verdana"/>
          <w:sz w:val="20"/>
          <w:szCs w:val="20"/>
        </w:rPr>
        <w:t xml:space="preserve"> human rights due diligence. </w:t>
      </w:r>
      <w:r w:rsidRPr="00FC4D68">
        <w:rPr>
          <w:rStyle w:val="None"/>
          <w:rFonts w:ascii="Verdana" w:hAnsi="Verdana"/>
          <w:sz w:val="20"/>
          <w:szCs w:val="20"/>
        </w:rPr>
        <w:t>W</w:t>
      </w:r>
      <w:r w:rsidR="00494358" w:rsidRPr="00FC4D68">
        <w:rPr>
          <w:rStyle w:val="None"/>
          <w:rFonts w:ascii="Verdana" w:hAnsi="Verdana"/>
          <w:sz w:val="20"/>
          <w:szCs w:val="20"/>
        </w:rPr>
        <w:t xml:space="preserve">e are of the view that </w:t>
      </w:r>
      <w:r w:rsidR="001A200E" w:rsidRPr="00FC4D68">
        <w:rPr>
          <w:rStyle w:val="None"/>
          <w:rFonts w:ascii="Verdana" w:hAnsi="Verdana"/>
          <w:sz w:val="20"/>
          <w:szCs w:val="20"/>
        </w:rPr>
        <w:t>the General</w:t>
      </w:r>
      <w:r w:rsidR="00494358" w:rsidRPr="00FC4D68">
        <w:rPr>
          <w:rStyle w:val="None"/>
          <w:rFonts w:ascii="Verdana" w:hAnsi="Verdana"/>
          <w:sz w:val="20"/>
          <w:szCs w:val="20"/>
        </w:rPr>
        <w:t xml:space="preserve"> C</w:t>
      </w:r>
      <w:r w:rsidR="001A200E" w:rsidRPr="00FC4D68">
        <w:rPr>
          <w:rStyle w:val="None"/>
          <w:rFonts w:ascii="Verdana" w:hAnsi="Verdana"/>
          <w:sz w:val="20"/>
          <w:szCs w:val="20"/>
        </w:rPr>
        <w:t>omment</w:t>
      </w:r>
      <w:r w:rsidR="00494358" w:rsidRPr="00FC4D68">
        <w:rPr>
          <w:rStyle w:val="None"/>
          <w:rFonts w:ascii="Verdana" w:hAnsi="Verdana"/>
          <w:sz w:val="20"/>
          <w:szCs w:val="20"/>
        </w:rPr>
        <w:t xml:space="preserve"> should clearly state</w:t>
      </w:r>
      <w:r w:rsidR="001A200E" w:rsidRPr="00FC4D68">
        <w:rPr>
          <w:rStyle w:val="None"/>
          <w:rFonts w:ascii="Verdana" w:hAnsi="Verdana"/>
          <w:sz w:val="20"/>
          <w:szCs w:val="20"/>
        </w:rPr>
        <w:t xml:space="preserve"> that </w:t>
      </w:r>
      <w:r w:rsidR="00494358" w:rsidRPr="00FC4D68">
        <w:rPr>
          <w:rStyle w:val="None"/>
          <w:rFonts w:ascii="Verdana" w:hAnsi="Verdana"/>
          <w:sz w:val="20"/>
          <w:szCs w:val="20"/>
        </w:rPr>
        <w:t>such</w:t>
      </w:r>
      <w:r w:rsidR="001A200E" w:rsidRPr="00FC4D68">
        <w:rPr>
          <w:rStyle w:val="None"/>
          <w:rFonts w:ascii="Verdana" w:hAnsi="Verdana"/>
          <w:sz w:val="20"/>
          <w:szCs w:val="20"/>
        </w:rPr>
        <w:t xml:space="preserve"> legal framework should</w:t>
      </w:r>
      <w:r w:rsidR="00494358" w:rsidRPr="00FC4D68">
        <w:rPr>
          <w:rStyle w:val="None"/>
          <w:rFonts w:ascii="Verdana" w:hAnsi="Verdana"/>
          <w:sz w:val="20"/>
          <w:szCs w:val="20"/>
        </w:rPr>
        <w:t xml:space="preserve"> adopt </w:t>
      </w:r>
      <w:r w:rsidR="001A200E" w:rsidRPr="00FC4D68">
        <w:rPr>
          <w:rStyle w:val="None"/>
          <w:rFonts w:ascii="Verdana" w:hAnsi="Verdana"/>
          <w:sz w:val="20"/>
          <w:szCs w:val="20"/>
        </w:rPr>
        <w:t xml:space="preserve">the United Nations Guiding Principles on Business and Human Rights </w:t>
      </w:r>
      <w:r w:rsidR="00494358" w:rsidRPr="00FC4D68">
        <w:rPr>
          <w:rStyle w:val="None"/>
          <w:rFonts w:ascii="Verdana" w:hAnsi="Verdana"/>
          <w:sz w:val="20"/>
          <w:szCs w:val="20"/>
        </w:rPr>
        <w:t xml:space="preserve">as a center for exercising their </w:t>
      </w:r>
      <w:r w:rsidR="001A200E" w:rsidRPr="00FC4D68">
        <w:rPr>
          <w:rStyle w:val="None"/>
          <w:rFonts w:ascii="Verdana" w:hAnsi="Verdana"/>
          <w:sz w:val="20"/>
          <w:szCs w:val="20"/>
        </w:rPr>
        <w:t xml:space="preserve">human rights due diligence. </w:t>
      </w:r>
      <w:r w:rsidRPr="00FC4D68">
        <w:rPr>
          <w:rStyle w:val="None"/>
          <w:rFonts w:ascii="Verdana" w:hAnsi="Verdana"/>
          <w:sz w:val="20"/>
          <w:szCs w:val="20"/>
        </w:rPr>
        <w:t>We think adding such term is importan</w:t>
      </w:r>
      <w:r w:rsidR="00161D9C" w:rsidRPr="00FC4D68">
        <w:rPr>
          <w:rStyle w:val="None"/>
          <w:rFonts w:ascii="Verdana" w:hAnsi="Verdana"/>
          <w:sz w:val="20"/>
          <w:szCs w:val="20"/>
        </w:rPr>
        <w:t>t</w:t>
      </w:r>
      <w:r w:rsidRPr="00FC4D68">
        <w:rPr>
          <w:rStyle w:val="None"/>
          <w:rFonts w:ascii="Verdana" w:hAnsi="Verdana"/>
          <w:sz w:val="20"/>
          <w:szCs w:val="20"/>
        </w:rPr>
        <w:t xml:space="preserve"> because, c</w:t>
      </w:r>
      <w:r w:rsidR="001A200E" w:rsidRPr="00FC4D68">
        <w:rPr>
          <w:rStyle w:val="None"/>
          <w:rFonts w:ascii="Verdana" w:hAnsi="Verdana"/>
          <w:sz w:val="20"/>
          <w:szCs w:val="20"/>
        </w:rPr>
        <w:t xml:space="preserve">urrently, in Thailand, there </w:t>
      </w:r>
      <w:r w:rsidR="00494358" w:rsidRPr="00FC4D68">
        <w:rPr>
          <w:rStyle w:val="None"/>
          <w:rFonts w:ascii="Verdana" w:hAnsi="Verdana"/>
          <w:sz w:val="20"/>
          <w:szCs w:val="20"/>
        </w:rPr>
        <w:t>is a due diligence policy that sounds similar with human rights</w:t>
      </w:r>
      <w:r w:rsidR="001A200E" w:rsidRPr="00FC4D68">
        <w:rPr>
          <w:rStyle w:val="None"/>
          <w:rFonts w:ascii="Verdana" w:hAnsi="Verdana"/>
          <w:sz w:val="20"/>
          <w:szCs w:val="20"/>
        </w:rPr>
        <w:t xml:space="preserve"> due diligence but </w:t>
      </w:r>
      <w:r w:rsidR="00494358" w:rsidRPr="00FC4D68">
        <w:rPr>
          <w:rStyle w:val="None"/>
          <w:rFonts w:ascii="Verdana" w:hAnsi="Verdana"/>
          <w:sz w:val="20"/>
          <w:szCs w:val="20"/>
        </w:rPr>
        <w:t>it is</w:t>
      </w:r>
      <w:r w:rsidR="001A200E" w:rsidRPr="00FC4D68">
        <w:rPr>
          <w:rStyle w:val="None"/>
          <w:rFonts w:ascii="Verdana" w:hAnsi="Verdana"/>
          <w:sz w:val="20"/>
          <w:szCs w:val="20"/>
        </w:rPr>
        <w:t xml:space="preserve"> not conformed with the United Nations Guiding Principles on Business and Human Rights. </w:t>
      </w:r>
      <w:r w:rsidR="00494358" w:rsidRPr="00FC4D68">
        <w:rPr>
          <w:rStyle w:val="None"/>
          <w:rFonts w:ascii="Verdana" w:hAnsi="Verdana"/>
          <w:sz w:val="20"/>
          <w:szCs w:val="20"/>
        </w:rPr>
        <w:t>Such pol</w:t>
      </w:r>
      <w:r w:rsidR="00494358" w:rsidRPr="00FC4D68">
        <w:rPr>
          <w:rStyle w:val="None"/>
          <w:rFonts w:ascii="Verdana" w:hAnsi="Verdana"/>
          <w:sz w:val="20"/>
          <w:szCs w:val="20"/>
        </w:rPr>
        <w:lastRenderedPageBreak/>
        <w:t>icy required all listed companied in Thailand to self-assess</w:t>
      </w:r>
      <w:r w:rsidR="00C144E8" w:rsidRPr="00FC4D68">
        <w:rPr>
          <w:rStyle w:val="None"/>
          <w:rFonts w:ascii="Verdana" w:hAnsi="Verdana"/>
          <w:sz w:val="20"/>
          <w:szCs w:val="20"/>
        </w:rPr>
        <w:t xml:space="preserve"> themselves</w:t>
      </w:r>
      <w:r w:rsidR="00494358" w:rsidRPr="00FC4D68">
        <w:rPr>
          <w:rStyle w:val="None"/>
          <w:rFonts w:ascii="Verdana" w:hAnsi="Verdana"/>
          <w:sz w:val="20"/>
          <w:szCs w:val="20"/>
        </w:rPr>
        <w:t xml:space="preserve"> and </w:t>
      </w:r>
      <w:r w:rsidR="00161D9C" w:rsidRPr="00FC4D68">
        <w:rPr>
          <w:rStyle w:val="None"/>
          <w:rFonts w:ascii="Verdana" w:hAnsi="Verdana"/>
          <w:sz w:val="20"/>
          <w:szCs w:val="20"/>
        </w:rPr>
        <w:t xml:space="preserve">disclose information regarding its business and human rights practice in </w:t>
      </w:r>
      <w:r w:rsidR="00494358" w:rsidRPr="00FC4D68">
        <w:rPr>
          <w:rStyle w:val="None"/>
          <w:rFonts w:ascii="Verdana" w:hAnsi="Verdana"/>
          <w:sz w:val="20"/>
          <w:szCs w:val="20"/>
        </w:rPr>
        <w:t>the</w:t>
      </w:r>
      <w:r w:rsidRPr="00FC4D68">
        <w:rPr>
          <w:rStyle w:val="None"/>
          <w:rFonts w:ascii="Verdana" w:hAnsi="Verdana"/>
          <w:sz w:val="20"/>
          <w:szCs w:val="20"/>
        </w:rPr>
        <w:t>ir</w:t>
      </w:r>
      <w:r w:rsidR="00494358" w:rsidRPr="00FC4D68">
        <w:rPr>
          <w:rStyle w:val="None"/>
          <w:rFonts w:ascii="Verdana" w:hAnsi="Verdana"/>
          <w:sz w:val="20"/>
          <w:szCs w:val="20"/>
        </w:rPr>
        <w:t xml:space="preserve"> annual report</w:t>
      </w:r>
      <w:r w:rsidR="00161D9C" w:rsidRPr="00FC4D68">
        <w:rPr>
          <w:rStyle w:val="None"/>
          <w:rFonts w:ascii="Verdana" w:hAnsi="Verdana"/>
          <w:sz w:val="20"/>
          <w:szCs w:val="20"/>
        </w:rPr>
        <w:t xml:space="preserve"> (56-1 One report)</w:t>
      </w:r>
      <w:r w:rsidR="00494358" w:rsidRPr="00FC4D68">
        <w:rPr>
          <w:rStyle w:val="None"/>
          <w:rFonts w:ascii="Verdana" w:hAnsi="Verdana"/>
          <w:sz w:val="20"/>
          <w:szCs w:val="20"/>
        </w:rPr>
        <w:t>.</w:t>
      </w:r>
      <w:r w:rsidR="00B13E98" w:rsidRPr="00FC4D68">
        <w:rPr>
          <w:rStyle w:val="FootnoteReference"/>
          <w:rFonts w:ascii="Verdana" w:hAnsi="Verdana"/>
          <w:sz w:val="20"/>
          <w:szCs w:val="20"/>
        </w:rPr>
        <w:footnoteReference w:id="12"/>
      </w:r>
    </w:p>
    <w:p w14:paraId="30551DA9" w14:textId="6A2478BB" w:rsidR="00257C36" w:rsidRPr="00FC4D68" w:rsidRDefault="004C4612" w:rsidP="00257C36">
      <w:pPr>
        <w:pStyle w:val="ListParagraph"/>
        <w:numPr>
          <w:ilvl w:val="0"/>
          <w:numId w:val="2"/>
        </w:numPr>
        <w:spacing w:after="240"/>
        <w:jc w:val="both"/>
        <w:rPr>
          <w:rFonts w:ascii="Verdana" w:hAnsi="Verdana"/>
          <w:sz w:val="20"/>
          <w:szCs w:val="20"/>
        </w:rPr>
      </w:pPr>
      <w:r w:rsidRPr="00FC4D68">
        <w:rPr>
          <w:rStyle w:val="None"/>
          <w:rFonts w:ascii="Verdana" w:hAnsi="Verdana"/>
          <w:sz w:val="20"/>
          <w:szCs w:val="20"/>
        </w:rPr>
        <w:t>P</w:t>
      </w:r>
      <w:r w:rsidR="008E192B" w:rsidRPr="00FC4D68">
        <w:rPr>
          <w:rStyle w:val="None"/>
          <w:rFonts w:ascii="Verdana" w:hAnsi="Verdana"/>
          <w:sz w:val="20"/>
          <w:szCs w:val="20"/>
        </w:rPr>
        <w:t>aragraph</w:t>
      </w:r>
      <w:r w:rsidRPr="00FC4D68">
        <w:rPr>
          <w:rStyle w:val="None"/>
          <w:rFonts w:ascii="Verdana" w:hAnsi="Verdana"/>
          <w:sz w:val="20"/>
          <w:szCs w:val="20"/>
        </w:rPr>
        <w:t>s</w:t>
      </w:r>
      <w:r w:rsidR="008E192B" w:rsidRPr="00FC4D68">
        <w:rPr>
          <w:rStyle w:val="None"/>
          <w:rFonts w:ascii="Verdana" w:hAnsi="Verdana"/>
          <w:sz w:val="20"/>
          <w:szCs w:val="20"/>
        </w:rPr>
        <w:t xml:space="preserve"> 31 and 36 of the </w:t>
      </w:r>
      <w:r w:rsidR="00494358" w:rsidRPr="00FC4D68">
        <w:rPr>
          <w:rStyle w:val="None"/>
          <w:rFonts w:ascii="Verdana" w:hAnsi="Verdana"/>
          <w:sz w:val="20"/>
          <w:szCs w:val="20"/>
        </w:rPr>
        <w:t xml:space="preserve">draft </w:t>
      </w:r>
      <w:r w:rsidR="001A200E" w:rsidRPr="00FC4D68">
        <w:rPr>
          <w:rStyle w:val="None"/>
          <w:rFonts w:ascii="Verdana" w:hAnsi="Verdana"/>
          <w:sz w:val="20"/>
          <w:szCs w:val="20"/>
        </w:rPr>
        <w:t xml:space="preserve">General </w:t>
      </w:r>
      <w:r w:rsidR="008E192B" w:rsidRPr="00FC4D68">
        <w:rPr>
          <w:rStyle w:val="None"/>
          <w:rFonts w:ascii="Verdana" w:hAnsi="Verdana"/>
          <w:sz w:val="20"/>
          <w:szCs w:val="20"/>
        </w:rPr>
        <w:t>C</w:t>
      </w:r>
      <w:r w:rsidR="001A200E" w:rsidRPr="00FC4D68">
        <w:rPr>
          <w:rStyle w:val="None"/>
          <w:rFonts w:ascii="Verdana" w:hAnsi="Verdana"/>
          <w:sz w:val="20"/>
          <w:szCs w:val="20"/>
        </w:rPr>
        <w:t>omment No. 26</w:t>
      </w:r>
      <w:r w:rsidR="008E192B" w:rsidRPr="00FC4D68">
        <w:rPr>
          <w:rStyle w:val="None"/>
          <w:rFonts w:ascii="Verdana" w:hAnsi="Verdana"/>
          <w:sz w:val="20"/>
          <w:szCs w:val="20"/>
        </w:rPr>
        <w:t xml:space="preserve"> </w:t>
      </w:r>
      <w:r w:rsidR="007157C8" w:rsidRPr="00FC4D68">
        <w:rPr>
          <w:rStyle w:val="None"/>
          <w:rFonts w:ascii="Verdana" w:hAnsi="Verdana"/>
          <w:sz w:val="20"/>
          <w:szCs w:val="20"/>
        </w:rPr>
        <w:t xml:space="preserve">protects legitimate tenure rights in the context of large-scale land investments and </w:t>
      </w:r>
      <w:r w:rsidR="00BE10B2" w:rsidRPr="00FC4D68">
        <w:rPr>
          <w:rStyle w:val="None"/>
          <w:rFonts w:ascii="Verdana" w:hAnsi="Verdana"/>
          <w:sz w:val="20"/>
          <w:szCs w:val="20"/>
        </w:rPr>
        <w:t xml:space="preserve">urges State parties to </w:t>
      </w:r>
      <w:r w:rsidR="007157C8" w:rsidRPr="00FC4D68">
        <w:rPr>
          <w:rStyle w:val="None"/>
          <w:rFonts w:ascii="Verdana" w:hAnsi="Verdana"/>
          <w:sz w:val="20"/>
          <w:szCs w:val="20"/>
        </w:rPr>
        <w:t>provide adequate safeguards against land concentration, such as land ceiling laws, etc. In this regard, we are of the view that another</w:t>
      </w:r>
      <w:r w:rsidR="00257C36" w:rsidRPr="00FC4D68">
        <w:rPr>
          <w:rStyle w:val="None"/>
          <w:rFonts w:ascii="Verdana" w:hAnsi="Verdana"/>
          <w:sz w:val="20"/>
          <w:szCs w:val="20"/>
        </w:rPr>
        <w:t xml:space="preserve"> useful</w:t>
      </w:r>
      <w:r w:rsidR="007157C8" w:rsidRPr="00FC4D68">
        <w:rPr>
          <w:rStyle w:val="None"/>
          <w:rFonts w:ascii="Verdana" w:hAnsi="Verdana"/>
          <w:sz w:val="20"/>
          <w:szCs w:val="20"/>
        </w:rPr>
        <w:t xml:space="preserve"> tool </w:t>
      </w:r>
      <w:r w:rsidR="00257C36" w:rsidRPr="00FC4D68">
        <w:rPr>
          <w:rStyle w:val="None"/>
          <w:rFonts w:ascii="Verdana" w:hAnsi="Verdana"/>
          <w:sz w:val="20"/>
          <w:szCs w:val="20"/>
        </w:rPr>
        <w:t>for this is the</w:t>
      </w:r>
      <w:r w:rsidR="007157C8" w:rsidRPr="00FC4D68">
        <w:rPr>
          <w:rStyle w:val="None"/>
          <w:rFonts w:ascii="Verdana" w:hAnsi="Verdana"/>
          <w:sz w:val="20"/>
          <w:szCs w:val="20"/>
        </w:rPr>
        <w:t xml:space="preserve"> </w:t>
      </w:r>
      <w:r w:rsidR="00257C36" w:rsidRPr="00FC4D68">
        <w:rPr>
          <w:rStyle w:val="None"/>
          <w:rFonts w:ascii="Verdana" w:hAnsi="Verdana"/>
          <w:sz w:val="20"/>
          <w:szCs w:val="20"/>
        </w:rPr>
        <w:t>effective enforcement of taxation law, including by imposing progressive taxation scheme with large-scale landowners who have not utilised the</w:t>
      </w:r>
      <w:r w:rsidR="00FF108B" w:rsidRPr="00FC4D68">
        <w:rPr>
          <w:rStyle w:val="None"/>
          <w:rFonts w:ascii="Verdana" w:hAnsi="Verdana"/>
          <w:sz w:val="20"/>
          <w:szCs w:val="20"/>
        </w:rPr>
        <w:t>ir lands</w:t>
      </w:r>
      <w:r w:rsidR="00257C36" w:rsidRPr="00FC4D68">
        <w:rPr>
          <w:rStyle w:val="None"/>
          <w:rFonts w:ascii="Verdana" w:hAnsi="Verdana"/>
          <w:sz w:val="20"/>
          <w:szCs w:val="20"/>
        </w:rPr>
        <w:t>.</w:t>
      </w:r>
    </w:p>
    <w:p w14:paraId="31CB7D90" w14:textId="77777777" w:rsidR="005214FA" w:rsidRDefault="005214FA">
      <w:pPr>
        <w:pStyle w:val="BodyA"/>
        <w:spacing w:after="240"/>
        <w:jc w:val="both"/>
        <w:rPr>
          <w:rStyle w:val="None"/>
          <w:rFonts w:ascii="Verdana" w:hAnsi="Verdana"/>
          <w:b/>
          <w:bCs/>
          <w:sz w:val="20"/>
          <w:szCs w:val="20"/>
        </w:rPr>
      </w:pPr>
    </w:p>
    <w:p w14:paraId="2566D72A" w14:textId="69D52A7A" w:rsidR="00A90EE4" w:rsidRPr="00FC4D68" w:rsidRDefault="001A200E">
      <w:pPr>
        <w:pStyle w:val="BodyA"/>
        <w:spacing w:after="240"/>
        <w:jc w:val="both"/>
        <w:rPr>
          <w:rStyle w:val="None"/>
          <w:rFonts w:ascii="Verdana" w:eastAsia="Sarabun Bold" w:hAnsi="Verdana" w:cs="Sarabun Bold"/>
          <w:b/>
          <w:bCs/>
          <w:sz w:val="20"/>
          <w:szCs w:val="20"/>
        </w:rPr>
      </w:pPr>
      <w:r w:rsidRPr="00FC4D68">
        <w:rPr>
          <w:rStyle w:val="None"/>
          <w:rFonts w:ascii="Verdana" w:hAnsi="Verdana"/>
          <w:b/>
          <w:bCs/>
          <w:sz w:val="20"/>
          <w:szCs w:val="20"/>
        </w:rPr>
        <w:t>Extraterritorial obligations</w:t>
      </w:r>
    </w:p>
    <w:p w14:paraId="2C71BB87" w14:textId="1E698E52" w:rsidR="00A43602" w:rsidRPr="00FC4D68" w:rsidRDefault="002B282D" w:rsidP="00E56ED0">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T</w:t>
      </w:r>
      <w:r w:rsidR="001A200E" w:rsidRPr="00FC4D68">
        <w:rPr>
          <w:rStyle w:val="None"/>
          <w:rFonts w:ascii="Verdana" w:hAnsi="Verdana"/>
          <w:sz w:val="20"/>
          <w:szCs w:val="20"/>
        </w:rPr>
        <w:t>he</w:t>
      </w:r>
      <w:r w:rsidR="00A43602" w:rsidRPr="00FC4D68">
        <w:rPr>
          <w:rStyle w:val="None"/>
          <w:rFonts w:ascii="Verdana" w:hAnsi="Verdana"/>
          <w:sz w:val="20"/>
          <w:szCs w:val="20"/>
        </w:rPr>
        <w:t xml:space="preserve"> draft</w:t>
      </w:r>
      <w:r w:rsidR="001A200E" w:rsidRPr="00FC4D68">
        <w:rPr>
          <w:rStyle w:val="None"/>
          <w:rFonts w:ascii="Verdana" w:hAnsi="Verdana"/>
          <w:sz w:val="20"/>
          <w:szCs w:val="20"/>
        </w:rPr>
        <w:t xml:space="preserve"> General </w:t>
      </w:r>
      <w:r w:rsidR="00A43602" w:rsidRPr="00FC4D68">
        <w:rPr>
          <w:rStyle w:val="None"/>
          <w:rFonts w:ascii="Verdana" w:hAnsi="Verdana"/>
          <w:sz w:val="20"/>
          <w:szCs w:val="20"/>
        </w:rPr>
        <w:t>C</w:t>
      </w:r>
      <w:r w:rsidR="001A200E" w:rsidRPr="00FC4D68">
        <w:rPr>
          <w:rStyle w:val="None"/>
          <w:rFonts w:ascii="Verdana" w:hAnsi="Verdana"/>
          <w:sz w:val="20"/>
          <w:szCs w:val="20"/>
        </w:rPr>
        <w:t>omment No. 26</w:t>
      </w:r>
      <w:r w:rsidR="004236BF" w:rsidRPr="00FC4D68">
        <w:rPr>
          <w:rStyle w:val="None"/>
          <w:rFonts w:ascii="Verdana" w:hAnsi="Verdana"/>
          <w:sz w:val="20"/>
          <w:szCs w:val="20"/>
        </w:rPr>
        <w:t xml:space="preserve"> </w:t>
      </w:r>
      <w:r w:rsidR="001A200E" w:rsidRPr="00FC4D68">
        <w:rPr>
          <w:rStyle w:val="None"/>
          <w:rFonts w:ascii="Verdana" w:hAnsi="Verdana"/>
          <w:sz w:val="20"/>
          <w:szCs w:val="20"/>
        </w:rPr>
        <w:t>urges States parties to refrain from actions that interfere with the enjoyment of the economic, social, and cultural rights in land-related contexts outside their territories (para</w:t>
      </w:r>
      <w:r w:rsidR="00A43602" w:rsidRPr="00FC4D68">
        <w:rPr>
          <w:rStyle w:val="None"/>
          <w:rFonts w:ascii="Verdana" w:hAnsi="Verdana"/>
          <w:sz w:val="20"/>
          <w:szCs w:val="20"/>
        </w:rPr>
        <w:t>graphs</w:t>
      </w:r>
      <w:r w:rsidR="001A200E" w:rsidRPr="00FC4D68">
        <w:rPr>
          <w:rStyle w:val="None"/>
          <w:rFonts w:ascii="Verdana" w:hAnsi="Verdana"/>
          <w:sz w:val="20"/>
          <w:szCs w:val="20"/>
        </w:rPr>
        <w:t xml:space="preserve"> 39-44). </w:t>
      </w:r>
      <w:r w:rsidR="00A43602" w:rsidRPr="00FC4D68">
        <w:rPr>
          <w:rStyle w:val="None"/>
          <w:rFonts w:ascii="Verdana" w:hAnsi="Verdana"/>
          <w:sz w:val="20"/>
          <w:szCs w:val="20"/>
        </w:rPr>
        <w:t>However, presently, each country has its own set of environmental protection laws and regulations</w:t>
      </w:r>
      <w:r w:rsidR="00203C9B" w:rsidRPr="00FC4D68">
        <w:rPr>
          <w:rStyle w:val="None"/>
          <w:rFonts w:ascii="Verdana" w:hAnsi="Verdana"/>
          <w:sz w:val="20"/>
          <w:szCs w:val="20"/>
        </w:rPr>
        <w:t>, including in relation to land</w:t>
      </w:r>
      <w:r w:rsidR="00A43602" w:rsidRPr="00FC4D68">
        <w:rPr>
          <w:rStyle w:val="None"/>
          <w:rFonts w:ascii="Verdana" w:hAnsi="Verdana"/>
          <w:sz w:val="20"/>
          <w:szCs w:val="20"/>
        </w:rPr>
        <w:t>.</w:t>
      </w:r>
      <w:r w:rsidR="00F44DE0" w:rsidRPr="00FC4D68">
        <w:rPr>
          <w:rStyle w:val="None"/>
          <w:rFonts w:ascii="Verdana" w:hAnsi="Verdana"/>
          <w:sz w:val="20"/>
          <w:szCs w:val="20"/>
        </w:rPr>
        <w:t xml:space="preserve"> Their protections can be varied.</w:t>
      </w:r>
      <w:r w:rsidR="00203C9B" w:rsidRPr="00FC4D68">
        <w:rPr>
          <w:rStyle w:val="None"/>
          <w:rFonts w:ascii="Verdana" w:hAnsi="Verdana"/>
          <w:sz w:val="20"/>
          <w:szCs w:val="20"/>
        </w:rPr>
        <w:t xml:space="preserve"> Due to this, w</w:t>
      </w:r>
      <w:r w:rsidR="00A43602" w:rsidRPr="00FC4D68">
        <w:rPr>
          <w:rStyle w:val="None"/>
          <w:rFonts w:ascii="Verdana" w:hAnsi="Verdana"/>
          <w:sz w:val="20"/>
          <w:szCs w:val="20"/>
        </w:rPr>
        <w:t xml:space="preserve">e would therefore appreciate it if the General Comment may </w:t>
      </w:r>
      <w:r w:rsidR="00203C9B" w:rsidRPr="00FC4D68">
        <w:rPr>
          <w:rStyle w:val="None"/>
          <w:rFonts w:ascii="Verdana" w:hAnsi="Verdana"/>
          <w:sz w:val="20"/>
          <w:szCs w:val="20"/>
        </w:rPr>
        <w:t>require</w:t>
      </w:r>
      <w:r w:rsidR="00A43602" w:rsidRPr="00FC4D68">
        <w:rPr>
          <w:rStyle w:val="None"/>
          <w:rFonts w:ascii="Verdana" w:hAnsi="Verdana"/>
          <w:sz w:val="20"/>
          <w:szCs w:val="20"/>
        </w:rPr>
        <w:t xml:space="preserve"> States </w:t>
      </w:r>
      <w:r w:rsidR="00203C9B" w:rsidRPr="00FC4D68">
        <w:rPr>
          <w:rStyle w:val="None"/>
          <w:rFonts w:ascii="Verdana" w:hAnsi="Verdana"/>
          <w:sz w:val="20"/>
          <w:szCs w:val="20"/>
        </w:rPr>
        <w:t>p</w:t>
      </w:r>
      <w:r w:rsidR="00A43602" w:rsidRPr="00FC4D68">
        <w:rPr>
          <w:rStyle w:val="None"/>
          <w:rFonts w:ascii="Verdana" w:hAnsi="Verdana"/>
          <w:sz w:val="20"/>
          <w:szCs w:val="20"/>
        </w:rPr>
        <w:t xml:space="preserve">arties </w:t>
      </w:r>
      <w:r w:rsidR="00203C9B" w:rsidRPr="00FC4D68">
        <w:rPr>
          <w:rStyle w:val="None"/>
          <w:rFonts w:ascii="Verdana" w:hAnsi="Verdana"/>
          <w:sz w:val="20"/>
          <w:szCs w:val="20"/>
        </w:rPr>
        <w:t>to</w:t>
      </w:r>
      <w:r w:rsidR="00A43602" w:rsidRPr="00FC4D68">
        <w:rPr>
          <w:rStyle w:val="None"/>
          <w:rFonts w:ascii="Verdana" w:hAnsi="Verdana"/>
          <w:sz w:val="20"/>
          <w:szCs w:val="20"/>
        </w:rPr>
        <w:t xml:space="preserve"> enact laws to regulate extraterritorial investment</w:t>
      </w:r>
      <w:r w:rsidR="00B20825" w:rsidRPr="00FC4D68">
        <w:rPr>
          <w:rStyle w:val="None"/>
          <w:rFonts w:ascii="Verdana" w:hAnsi="Verdana"/>
          <w:sz w:val="20"/>
          <w:szCs w:val="20"/>
        </w:rPr>
        <w:t>. S</w:t>
      </w:r>
      <w:r w:rsidR="00A43602" w:rsidRPr="00FC4D68">
        <w:rPr>
          <w:rStyle w:val="None"/>
          <w:rFonts w:ascii="Verdana" w:hAnsi="Verdana"/>
          <w:sz w:val="20"/>
          <w:szCs w:val="20"/>
        </w:rPr>
        <w:t>uch legislation should include a precise language requiring investors to comply with law</w:t>
      </w:r>
      <w:r w:rsidR="00B20825" w:rsidRPr="00FC4D68">
        <w:rPr>
          <w:rStyle w:val="None"/>
          <w:rFonts w:ascii="Verdana" w:hAnsi="Verdana"/>
          <w:sz w:val="20"/>
          <w:szCs w:val="20"/>
        </w:rPr>
        <w:t>s</w:t>
      </w:r>
      <w:r w:rsidR="00A43602" w:rsidRPr="00FC4D68">
        <w:rPr>
          <w:rStyle w:val="None"/>
          <w:rFonts w:ascii="Verdana" w:hAnsi="Verdana"/>
          <w:sz w:val="20"/>
          <w:szCs w:val="20"/>
        </w:rPr>
        <w:t xml:space="preserve"> of </w:t>
      </w:r>
      <w:r w:rsidR="00A52176" w:rsidRPr="00FC4D68">
        <w:rPr>
          <w:rStyle w:val="None"/>
          <w:rFonts w:ascii="Verdana" w:hAnsi="Verdana"/>
          <w:sz w:val="20"/>
          <w:szCs w:val="20"/>
        </w:rPr>
        <w:t xml:space="preserve">the host or home </w:t>
      </w:r>
      <w:r w:rsidR="00203C9B" w:rsidRPr="00FC4D68">
        <w:rPr>
          <w:rStyle w:val="None"/>
          <w:rFonts w:ascii="Verdana" w:hAnsi="Verdana"/>
          <w:sz w:val="20"/>
          <w:szCs w:val="20"/>
        </w:rPr>
        <w:t>States</w:t>
      </w:r>
      <w:r w:rsidR="00A43602" w:rsidRPr="00FC4D68">
        <w:rPr>
          <w:rStyle w:val="None"/>
          <w:rFonts w:ascii="Verdana" w:hAnsi="Verdana"/>
          <w:sz w:val="20"/>
          <w:szCs w:val="20"/>
        </w:rPr>
        <w:t xml:space="preserve"> that </w:t>
      </w:r>
      <w:r w:rsidR="00A52176" w:rsidRPr="00FC4D68">
        <w:rPr>
          <w:rStyle w:val="None"/>
          <w:rFonts w:ascii="Verdana" w:hAnsi="Verdana"/>
          <w:sz w:val="20"/>
          <w:szCs w:val="20"/>
        </w:rPr>
        <w:t>require</w:t>
      </w:r>
      <w:r w:rsidR="00A43602" w:rsidRPr="00FC4D68">
        <w:rPr>
          <w:rStyle w:val="None"/>
          <w:rFonts w:ascii="Verdana" w:hAnsi="Verdana"/>
          <w:sz w:val="20"/>
          <w:szCs w:val="20"/>
        </w:rPr>
        <w:t xml:space="preserve"> higher environmental protection standards</w:t>
      </w:r>
      <w:r w:rsidR="004236BF" w:rsidRPr="00FC4D68">
        <w:rPr>
          <w:rStyle w:val="None"/>
          <w:rFonts w:ascii="Verdana" w:hAnsi="Verdana"/>
          <w:sz w:val="20"/>
          <w:szCs w:val="20"/>
        </w:rPr>
        <w:t xml:space="preserve"> to be adopted</w:t>
      </w:r>
      <w:r w:rsidR="00A43602" w:rsidRPr="00FC4D68">
        <w:rPr>
          <w:rStyle w:val="None"/>
          <w:rFonts w:ascii="Verdana" w:hAnsi="Verdana"/>
          <w:sz w:val="20"/>
          <w:szCs w:val="20"/>
        </w:rPr>
        <w:t xml:space="preserve">, including in </w:t>
      </w:r>
      <w:r w:rsidR="00E35E60" w:rsidRPr="00FC4D68">
        <w:rPr>
          <w:rStyle w:val="None"/>
          <w:rFonts w:ascii="Verdana" w:hAnsi="Verdana"/>
          <w:sz w:val="20"/>
          <w:szCs w:val="20"/>
        </w:rPr>
        <w:t>land-related contexts</w:t>
      </w:r>
      <w:r w:rsidR="00A43602" w:rsidRPr="00FC4D68">
        <w:rPr>
          <w:rStyle w:val="None"/>
          <w:rFonts w:ascii="Verdana" w:hAnsi="Verdana"/>
          <w:sz w:val="20"/>
          <w:szCs w:val="20"/>
        </w:rPr>
        <w:t>.</w:t>
      </w:r>
    </w:p>
    <w:p w14:paraId="77008A2C" w14:textId="2BA00A10" w:rsidR="00A90EE4" w:rsidRPr="00FC4D68" w:rsidRDefault="001A200E">
      <w:pPr>
        <w:pStyle w:val="BodyA"/>
        <w:spacing w:after="240"/>
        <w:jc w:val="both"/>
        <w:rPr>
          <w:rStyle w:val="None"/>
          <w:rFonts w:ascii="Verdana" w:eastAsia="Sarabun Bold" w:hAnsi="Verdana" w:cs="Sarabun Bold"/>
          <w:b/>
          <w:bCs/>
          <w:sz w:val="20"/>
          <w:szCs w:val="20"/>
        </w:rPr>
      </w:pPr>
      <w:r w:rsidRPr="00FC4D68">
        <w:rPr>
          <w:rStyle w:val="None"/>
          <w:rFonts w:ascii="Verdana" w:hAnsi="Verdana"/>
          <w:b/>
          <w:bCs/>
          <w:sz w:val="20"/>
          <w:szCs w:val="20"/>
        </w:rPr>
        <w:t>Specific topics</w:t>
      </w:r>
      <w:r w:rsidR="0021528E" w:rsidRPr="00FC4D68">
        <w:rPr>
          <w:rStyle w:val="None"/>
          <w:rFonts w:ascii="Verdana" w:hAnsi="Verdana"/>
          <w:b/>
          <w:bCs/>
          <w:sz w:val="20"/>
          <w:szCs w:val="20"/>
        </w:rPr>
        <w:t>: human rights defenders</w:t>
      </w:r>
    </w:p>
    <w:p w14:paraId="6AC1AE32" w14:textId="094806C5" w:rsidR="00A90EE4" w:rsidRPr="00FC4D68" w:rsidRDefault="00910F01" w:rsidP="00760DDF">
      <w:pPr>
        <w:pStyle w:val="ListParagraph"/>
        <w:numPr>
          <w:ilvl w:val="0"/>
          <w:numId w:val="2"/>
        </w:numPr>
        <w:spacing w:after="240"/>
        <w:jc w:val="both"/>
        <w:rPr>
          <w:rStyle w:val="None"/>
          <w:rFonts w:ascii="Verdana" w:hAnsi="Verdana"/>
          <w:sz w:val="20"/>
          <w:szCs w:val="20"/>
        </w:rPr>
      </w:pPr>
      <w:r w:rsidRPr="00FC4D68">
        <w:rPr>
          <w:rStyle w:val="None"/>
          <w:rFonts w:ascii="Verdana" w:hAnsi="Verdana" w:cs="Browallia New"/>
          <w:sz w:val="20"/>
          <w:szCs w:val="20"/>
        </w:rPr>
        <w:lastRenderedPageBreak/>
        <w:t>In paragraph 53 of the draft</w:t>
      </w:r>
      <w:r w:rsidR="001A200E" w:rsidRPr="00FC4D68">
        <w:rPr>
          <w:rStyle w:val="None"/>
          <w:rFonts w:ascii="Verdana" w:hAnsi="Verdana"/>
          <w:sz w:val="20"/>
          <w:szCs w:val="20"/>
        </w:rPr>
        <w:t xml:space="preserve"> General </w:t>
      </w:r>
      <w:r w:rsidRPr="00FC4D68">
        <w:rPr>
          <w:rStyle w:val="None"/>
          <w:rFonts w:ascii="Verdana" w:hAnsi="Verdana"/>
          <w:sz w:val="20"/>
          <w:szCs w:val="20"/>
        </w:rPr>
        <w:t>C</w:t>
      </w:r>
      <w:r w:rsidR="001A200E" w:rsidRPr="00FC4D68">
        <w:rPr>
          <w:rStyle w:val="None"/>
          <w:rFonts w:ascii="Verdana" w:hAnsi="Verdana"/>
          <w:sz w:val="20"/>
          <w:szCs w:val="20"/>
        </w:rPr>
        <w:t>omment No. 26</w:t>
      </w:r>
      <w:r w:rsidRPr="00FC4D68">
        <w:rPr>
          <w:rStyle w:val="None"/>
          <w:rFonts w:ascii="Verdana" w:hAnsi="Verdana"/>
          <w:sz w:val="20"/>
          <w:szCs w:val="20"/>
        </w:rPr>
        <w:t>,</w:t>
      </w:r>
      <w:r w:rsidR="001A200E" w:rsidRPr="00FC4D68">
        <w:rPr>
          <w:rStyle w:val="None"/>
          <w:rFonts w:ascii="Verdana" w:hAnsi="Verdana"/>
          <w:sz w:val="20"/>
          <w:szCs w:val="20"/>
        </w:rPr>
        <w:t xml:space="preserve"> the</w:t>
      </w:r>
      <w:r w:rsidRPr="00FC4D68">
        <w:rPr>
          <w:rStyle w:val="None"/>
          <w:rFonts w:ascii="Verdana" w:hAnsi="Verdana"/>
          <w:sz w:val="20"/>
          <w:szCs w:val="20"/>
        </w:rPr>
        <w:t xml:space="preserve"> CESCR expressed</w:t>
      </w:r>
      <w:r w:rsidR="001A200E" w:rsidRPr="00FC4D68">
        <w:rPr>
          <w:rStyle w:val="None"/>
          <w:rFonts w:ascii="Verdana" w:hAnsi="Verdana"/>
          <w:sz w:val="20"/>
          <w:szCs w:val="20"/>
        </w:rPr>
        <w:t xml:space="preserve"> concerns on </w:t>
      </w:r>
      <w:r w:rsidRPr="00FC4D68">
        <w:rPr>
          <w:rStyle w:val="None"/>
          <w:rFonts w:ascii="Verdana" w:hAnsi="Verdana"/>
          <w:sz w:val="20"/>
          <w:szCs w:val="20"/>
        </w:rPr>
        <w:t>threats and attacks aimed at</w:t>
      </w:r>
      <w:r w:rsidR="001A200E" w:rsidRPr="00FC4D68">
        <w:rPr>
          <w:rStyle w:val="None"/>
          <w:rFonts w:ascii="Verdana" w:hAnsi="Verdana"/>
          <w:sz w:val="20"/>
          <w:szCs w:val="20"/>
        </w:rPr>
        <w:t xml:space="preserve"> human rights defenders. </w:t>
      </w:r>
      <w:r w:rsidR="009972CD" w:rsidRPr="00FC4D68">
        <w:rPr>
          <w:rStyle w:val="None"/>
          <w:rFonts w:ascii="Verdana" w:hAnsi="Verdana"/>
          <w:sz w:val="20"/>
          <w:szCs w:val="20"/>
        </w:rPr>
        <w:t>P</w:t>
      </w:r>
      <w:r w:rsidRPr="00FC4D68">
        <w:rPr>
          <w:rStyle w:val="None"/>
          <w:rFonts w:ascii="Verdana" w:hAnsi="Verdana"/>
          <w:sz w:val="20"/>
          <w:szCs w:val="20"/>
        </w:rPr>
        <w:t>aragraph 22 of the draft</w:t>
      </w:r>
      <w:r w:rsidR="001A200E" w:rsidRPr="00FC4D68">
        <w:rPr>
          <w:rStyle w:val="None"/>
          <w:rFonts w:ascii="Verdana" w:hAnsi="Verdana"/>
          <w:sz w:val="20"/>
          <w:szCs w:val="20"/>
        </w:rPr>
        <w:t xml:space="preserve"> </w:t>
      </w:r>
      <w:r w:rsidRPr="00FC4D68">
        <w:rPr>
          <w:rStyle w:val="None"/>
          <w:rFonts w:ascii="Verdana" w:hAnsi="Verdana"/>
          <w:sz w:val="20"/>
          <w:szCs w:val="20"/>
        </w:rPr>
        <w:t xml:space="preserve">provides that </w:t>
      </w:r>
      <w:r w:rsidR="001A200E" w:rsidRPr="00FC4D68">
        <w:rPr>
          <w:rStyle w:val="None"/>
          <w:rFonts w:ascii="Verdana" w:hAnsi="Verdana"/>
          <w:sz w:val="20"/>
          <w:szCs w:val="20"/>
        </w:rPr>
        <w:t xml:space="preserve">legal </w:t>
      </w:r>
      <w:r w:rsidRPr="00FC4D68">
        <w:rPr>
          <w:rStyle w:val="None"/>
          <w:rFonts w:ascii="Verdana" w:hAnsi="Verdana"/>
          <w:sz w:val="20"/>
          <w:szCs w:val="20"/>
        </w:rPr>
        <w:t>support should be provided to disadvantaged and marginalized individuals and groups</w:t>
      </w:r>
      <w:r w:rsidR="001A200E" w:rsidRPr="00FC4D68">
        <w:rPr>
          <w:rStyle w:val="None"/>
          <w:rFonts w:ascii="Verdana" w:hAnsi="Verdana"/>
          <w:sz w:val="20"/>
          <w:szCs w:val="20"/>
        </w:rPr>
        <w:t xml:space="preserve">. </w:t>
      </w:r>
      <w:r w:rsidR="009972CD" w:rsidRPr="00FC4D68">
        <w:rPr>
          <w:rStyle w:val="None"/>
          <w:rFonts w:ascii="Verdana" w:hAnsi="Verdana"/>
          <w:sz w:val="20"/>
          <w:szCs w:val="20"/>
        </w:rPr>
        <w:t>I</w:t>
      </w:r>
      <w:r w:rsidR="001A200E" w:rsidRPr="00FC4D68">
        <w:rPr>
          <w:rStyle w:val="None"/>
          <w:rFonts w:ascii="Verdana" w:hAnsi="Verdana"/>
          <w:sz w:val="20"/>
          <w:szCs w:val="20"/>
        </w:rPr>
        <w:t>n Thailand</w:t>
      </w:r>
      <w:r w:rsidR="00ED04DD" w:rsidRPr="00FC4D68">
        <w:rPr>
          <w:rStyle w:val="None"/>
          <w:rFonts w:ascii="Verdana" w:hAnsi="Verdana"/>
          <w:sz w:val="20"/>
          <w:szCs w:val="20"/>
        </w:rPr>
        <w:t xml:space="preserve">, prosecuted </w:t>
      </w:r>
      <w:r w:rsidR="005E6908" w:rsidRPr="00FC4D68">
        <w:rPr>
          <w:rStyle w:val="None"/>
          <w:rFonts w:ascii="Verdana" w:hAnsi="Verdana"/>
          <w:sz w:val="20"/>
          <w:szCs w:val="20"/>
        </w:rPr>
        <w:t>human rights defenders</w:t>
      </w:r>
      <w:r w:rsidR="00ED04DD" w:rsidRPr="00FC4D68">
        <w:rPr>
          <w:rStyle w:val="None"/>
          <w:rFonts w:ascii="Verdana" w:hAnsi="Verdana"/>
          <w:sz w:val="20"/>
          <w:szCs w:val="20"/>
        </w:rPr>
        <w:t xml:space="preserve"> were normally those </w:t>
      </w:r>
      <w:r w:rsidR="00760DDF" w:rsidRPr="00FC4D68">
        <w:rPr>
          <w:rStyle w:val="None"/>
          <w:rFonts w:ascii="Verdana" w:hAnsi="Verdana"/>
          <w:sz w:val="20"/>
          <w:szCs w:val="20"/>
        </w:rPr>
        <w:t xml:space="preserve">in poverty, </w:t>
      </w:r>
      <w:r w:rsidR="00ED04DD" w:rsidRPr="00FC4D68">
        <w:rPr>
          <w:rStyle w:val="None"/>
          <w:rFonts w:ascii="Verdana" w:hAnsi="Verdana"/>
          <w:sz w:val="20"/>
          <w:szCs w:val="20"/>
        </w:rPr>
        <w:t>who had lived or relied on the land</w:t>
      </w:r>
      <w:r w:rsidR="00760DDF" w:rsidRPr="00FC4D68">
        <w:rPr>
          <w:rStyle w:val="None"/>
          <w:rFonts w:ascii="Verdana" w:hAnsi="Verdana"/>
          <w:sz w:val="20"/>
          <w:szCs w:val="20"/>
        </w:rPr>
        <w:t>,</w:t>
      </w:r>
      <w:r w:rsidR="00ED04DD" w:rsidRPr="00FC4D68">
        <w:rPr>
          <w:rStyle w:val="None"/>
          <w:rFonts w:ascii="Verdana" w:hAnsi="Verdana"/>
          <w:sz w:val="20"/>
          <w:szCs w:val="20"/>
        </w:rPr>
        <w:t xml:space="preserve"> and seek to protect their economic, social and cultural rights or those of others due to the State land management practices.</w:t>
      </w:r>
      <w:r w:rsidR="00760DDF" w:rsidRPr="00FC4D68">
        <w:rPr>
          <w:rStyle w:val="None"/>
          <w:rFonts w:ascii="Verdana" w:hAnsi="Verdana"/>
          <w:sz w:val="20"/>
          <w:szCs w:val="20"/>
        </w:rPr>
        <w:t xml:space="preserve"> They have no resource</w:t>
      </w:r>
      <w:r w:rsidR="005E6908" w:rsidRPr="00FC4D68">
        <w:rPr>
          <w:rStyle w:val="None"/>
          <w:rFonts w:ascii="Verdana" w:hAnsi="Verdana"/>
          <w:sz w:val="20"/>
          <w:szCs w:val="20"/>
        </w:rPr>
        <w:t>s</w:t>
      </w:r>
      <w:r w:rsidR="00760DDF" w:rsidRPr="00FC4D68">
        <w:rPr>
          <w:rStyle w:val="None"/>
          <w:rFonts w:ascii="Verdana" w:hAnsi="Verdana"/>
          <w:sz w:val="20"/>
          <w:szCs w:val="20"/>
        </w:rPr>
        <w:t xml:space="preserve"> to effectively defend themselves in courts and, in several occasions, were not entitled to legal support from the government. Due to this, we are of the view that the General Comment should </w:t>
      </w:r>
      <w:r w:rsidR="005E6908" w:rsidRPr="00FC4D68">
        <w:rPr>
          <w:rStyle w:val="None"/>
          <w:rFonts w:ascii="Verdana" w:hAnsi="Verdana"/>
          <w:sz w:val="20"/>
          <w:szCs w:val="20"/>
        </w:rPr>
        <w:t>encourage its States</w:t>
      </w:r>
      <w:r w:rsidR="001A200E" w:rsidRPr="00FC4D68">
        <w:rPr>
          <w:rStyle w:val="None"/>
          <w:rFonts w:ascii="Verdana" w:hAnsi="Verdana"/>
          <w:sz w:val="20"/>
          <w:szCs w:val="20"/>
        </w:rPr>
        <w:t xml:space="preserve"> parties to </w:t>
      </w:r>
      <w:r w:rsidR="00760DDF" w:rsidRPr="00FC4D68">
        <w:rPr>
          <w:rStyle w:val="None"/>
          <w:rFonts w:ascii="Verdana" w:hAnsi="Verdana"/>
          <w:sz w:val="20"/>
          <w:szCs w:val="20"/>
        </w:rPr>
        <w:t>set up the</w:t>
      </w:r>
      <w:r w:rsidR="001A200E" w:rsidRPr="00FC4D68">
        <w:rPr>
          <w:rStyle w:val="None"/>
          <w:rFonts w:ascii="Verdana" w:hAnsi="Verdana"/>
          <w:sz w:val="20"/>
          <w:szCs w:val="20"/>
        </w:rPr>
        <w:t xml:space="preserve"> legal a</w:t>
      </w:r>
      <w:r w:rsidR="00760DDF" w:rsidRPr="00FC4D68">
        <w:rPr>
          <w:rStyle w:val="None"/>
          <w:rFonts w:ascii="Verdana" w:hAnsi="Verdana"/>
          <w:sz w:val="20"/>
          <w:szCs w:val="20"/>
        </w:rPr>
        <w:t>ssistance</w:t>
      </w:r>
      <w:r w:rsidR="001A200E" w:rsidRPr="00FC4D68">
        <w:rPr>
          <w:rStyle w:val="None"/>
          <w:rFonts w:ascii="Verdana" w:hAnsi="Verdana"/>
          <w:sz w:val="20"/>
          <w:szCs w:val="20"/>
        </w:rPr>
        <w:t xml:space="preserve"> fund</w:t>
      </w:r>
      <w:r w:rsidR="00EF275B" w:rsidRPr="00FC4D68">
        <w:rPr>
          <w:rStyle w:val="None"/>
          <w:rFonts w:ascii="Verdana" w:hAnsi="Verdana"/>
          <w:sz w:val="20"/>
          <w:szCs w:val="20"/>
        </w:rPr>
        <w:t xml:space="preserve"> for human rights defenders</w:t>
      </w:r>
      <w:r w:rsidR="00760DDF" w:rsidRPr="00FC4D68">
        <w:rPr>
          <w:rStyle w:val="None"/>
          <w:rFonts w:ascii="Verdana" w:hAnsi="Verdana"/>
          <w:sz w:val="20"/>
          <w:szCs w:val="20"/>
        </w:rPr>
        <w:t>, which are accessible, prompt and effective</w:t>
      </w:r>
      <w:r w:rsidR="001A200E" w:rsidRPr="00FC4D68">
        <w:rPr>
          <w:rStyle w:val="None"/>
          <w:rFonts w:ascii="Verdana" w:hAnsi="Verdana"/>
          <w:sz w:val="20"/>
          <w:szCs w:val="20"/>
        </w:rPr>
        <w:t xml:space="preserve">. </w:t>
      </w:r>
    </w:p>
    <w:p w14:paraId="3DD491D1" w14:textId="17891F6F" w:rsidR="00D2235A" w:rsidRPr="00FC4D68" w:rsidRDefault="002972C8" w:rsidP="00D2235A">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 xml:space="preserve">Additionally, </w:t>
      </w:r>
      <w:r w:rsidR="001072DE" w:rsidRPr="00FC4D68">
        <w:rPr>
          <w:rStyle w:val="None"/>
          <w:rFonts w:ascii="Verdana" w:hAnsi="Verdana"/>
          <w:sz w:val="20"/>
          <w:szCs w:val="20"/>
        </w:rPr>
        <w:t xml:space="preserve">in relation to human rights defenders, we are of the </w:t>
      </w:r>
      <w:r w:rsidR="00CD1031" w:rsidRPr="00FC4D68">
        <w:rPr>
          <w:rStyle w:val="None"/>
          <w:rFonts w:ascii="Verdana" w:hAnsi="Verdana"/>
          <w:sz w:val="20"/>
          <w:szCs w:val="20"/>
        </w:rPr>
        <w:t>opinion</w:t>
      </w:r>
      <w:r w:rsidR="001072DE" w:rsidRPr="00FC4D68">
        <w:rPr>
          <w:rStyle w:val="None"/>
          <w:rFonts w:ascii="Verdana" w:hAnsi="Verdana"/>
          <w:sz w:val="20"/>
          <w:szCs w:val="20"/>
        </w:rPr>
        <w:t xml:space="preserve"> that the General Comment should </w:t>
      </w:r>
      <w:r w:rsidR="0003631B" w:rsidRPr="00FC4D68">
        <w:rPr>
          <w:rStyle w:val="None"/>
          <w:rFonts w:ascii="Verdana" w:hAnsi="Verdana"/>
          <w:sz w:val="20"/>
          <w:szCs w:val="20"/>
        </w:rPr>
        <w:t xml:space="preserve">also </w:t>
      </w:r>
      <w:r w:rsidR="001072DE" w:rsidRPr="00FC4D68">
        <w:rPr>
          <w:rFonts w:ascii="Verdana" w:hAnsi="Verdana"/>
          <w:sz w:val="20"/>
          <w:szCs w:val="20"/>
        </w:rPr>
        <w:t>emphasize the State</w:t>
      </w:r>
      <w:r w:rsidR="0003631B" w:rsidRPr="00FC4D68">
        <w:rPr>
          <w:rFonts w:ascii="Verdana" w:hAnsi="Verdana"/>
          <w:sz w:val="20"/>
          <w:szCs w:val="20"/>
        </w:rPr>
        <w:t>s’</w:t>
      </w:r>
      <w:r w:rsidR="001072DE" w:rsidRPr="00FC4D68">
        <w:rPr>
          <w:rFonts w:ascii="Verdana" w:hAnsi="Verdana"/>
          <w:sz w:val="20"/>
          <w:szCs w:val="20"/>
        </w:rPr>
        <w:t xml:space="preserve"> obligation to review, revise and repeal laws</w:t>
      </w:r>
      <w:r w:rsidR="000043F9" w:rsidRPr="00FC4D68">
        <w:rPr>
          <w:rFonts w:ascii="Verdana" w:hAnsi="Verdana"/>
          <w:sz w:val="20"/>
          <w:szCs w:val="20"/>
        </w:rPr>
        <w:t xml:space="preserve"> that are being misused to prosecute </w:t>
      </w:r>
      <w:r w:rsidR="000043F9" w:rsidRPr="00FC4D68">
        <w:rPr>
          <w:rStyle w:val="None"/>
          <w:rFonts w:ascii="Verdana" w:hAnsi="Verdana"/>
          <w:sz w:val="20"/>
          <w:szCs w:val="20"/>
        </w:rPr>
        <w:t>human rights defenders</w:t>
      </w:r>
      <w:r w:rsidR="001072DE" w:rsidRPr="00FC4D68">
        <w:rPr>
          <w:rFonts w:ascii="Verdana" w:hAnsi="Verdana"/>
          <w:sz w:val="20"/>
          <w:szCs w:val="20"/>
        </w:rPr>
        <w:t xml:space="preserve">, particularly those that impose criminal </w:t>
      </w:r>
      <w:r w:rsidR="0003631B" w:rsidRPr="00FC4D68">
        <w:rPr>
          <w:rFonts w:ascii="Verdana" w:hAnsi="Verdana"/>
          <w:sz w:val="20"/>
          <w:szCs w:val="20"/>
        </w:rPr>
        <w:t>penalty and</w:t>
      </w:r>
      <w:r w:rsidR="001072DE" w:rsidRPr="00FC4D68">
        <w:rPr>
          <w:rFonts w:ascii="Verdana" w:hAnsi="Verdana"/>
          <w:sz w:val="20"/>
          <w:szCs w:val="20"/>
        </w:rPr>
        <w:t xml:space="preserve"> are not in compliance with international law and standards</w:t>
      </w:r>
      <w:r w:rsidR="001072DE" w:rsidRPr="00FC4D68">
        <w:rPr>
          <w:rStyle w:val="None"/>
          <w:rFonts w:ascii="Verdana" w:hAnsi="Verdana"/>
          <w:sz w:val="20"/>
          <w:szCs w:val="20"/>
        </w:rPr>
        <w:t>.</w:t>
      </w:r>
      <w:r w:rsidR="005C740F" w:rsidRPr="00FC4D68">
        <w:rPr>
          <w:rStyle w:val="None"/>
          <w:rFonts w:ascii="Verdana" w:hAnsi="Verdana"/>
          <w:sz w:val="20"/>
          <w:szCs w:val="20"/>
        </w:rPr>
        <w:t xml:space="preserve"> </w:t>
      </w:r>
      <w:r w:rsidR="00D2235A" w:rsidRPr="00FC4D68">
        <w:rPr>
          <w:rStyle w:val="None"/>
          <w:rFonts w:ascii="Verdana" w:hAnsi="Verdana"/>
          <w:sz w:val="20"/>
          <w:szCs w:val="20"/>
        </w:rPr>
        <w:t xml:space="preserve">States parties should also end the </w:t>
      </w:r>
      <w:r w:rsidR="00353EA7" w:rsidRPr="00FC4D68">
        <w:rPr>
          <w:rStyle w:val="None"/>
          <w:rFonts w:ascii="Verdana" w:hAnsi="Verdana"/>
          <w:sz w:val="20"/>
          <w:szCs w:val="20"/>
        </w:rPr>
        <w:t>use</w:t>
      </w:r>
      <w:r w:rsidR="00D2235A" w:rsidRPr="00FC4D68">
        <w:rPr>
          <w:rStyle w:val="None"/>
          <w:rFonts w:ascii="Verdana" w:hAnsi="Verdana"/>
          <w:sz w:val="20"/>
          <w:szCs w:val="20"/>
        </w:rPr>
        <w:t xml:space="preserve"> of certain laws </w:t>
      </w:r>
      <w:r w:rsidR="001A200E" w:rsidRPr="00FC4D68">
        <w:rPr>
          <w:rStyle w:val="None"/>
          <w:rFonts w:ascii="Verdana" w:hAnsi="Verdana"/>
          <w:sz w:val="20"/>
          <w:szCs w:val="20"/>
        </w:rPr>
        <w:t xml:space="preserve">against their original intents. </w:t>
      </w:r>
      <w:r w:rsidR="00323ECE" w:rsidRPr="00FC4D68">
        <w:rPr>
          <w:rStyle w:val="None"/>
          <w:rFonts w:ascii="Verdana" w:hAnsi="Verdana"/>
          <w:sz w:val="20"/>
          <w:szCs w:val="20"/>
        </w:rPr>
        <w:t>For example, i</w:t>
      </w:r>
      <w:r w:rsidR="001A200E" w:rsidRPr="00FC4D68">
        <w:rPr>
          <w:rStyle w:val="None"/>
          <w:rFonts w:ascii="Verdana" w:hAnsi="Verdana"/>
          <w:sz w:val="20"/>
          <w:szCs w:val="20"/>
        </w:rPr>
        <w:t xml:space="preserve">n Thailand, </w:t>
      </w:r>
      <w:r w:rsidR="00D2235A" w:rsidRPr="00FC4D68">
        <w:rPr>
          <w:rStyle w:val="None"/>
          <w:rFonts w:ascii="Verdana" w:hAnsi="Verdana"/>
          <w:sz w:val="20"/>
          <w:szCs w:val="20"/>
        </w:rPr>
        <w:t>provision punishing those contributing to climate change was used by authorities to claim compensation from the evicted residents, who claimed that they had settled in such area before it was declared as protected, for all alleged environmental damages caused by them to the protected area.</w:t>
      </w:r>
      <w:r w:rsidR="00122BE5" w:rsidRPr="00FC4D68">
        <w:rPr>
          <w:rStyle w:val="None"/>
          <w:rFonts w:ascii="Verdana" w:eastAsia="Sarabun Regular" w:hAnsi="Verdana" w:cs="Sarabun Regular"/>
          <w:sz w:val="20"/>
          <w:szCs w:val="20"/>
          <w:vertAlign w:val="superscript"/>
        </w:rPr>
        <w:footnoteReference w:id="13"/>
      </w:r>
      <w:r w:rsidR="00D2235A" w:rsidRPr="00FC4D68">
        <w:rPr>
          <w:rStyle w:val="None"/>
          <w:rFonts w:ascii="Verdana" w:hAnsi="Verdana"/>
          <w:sz w:val="20"/>
          <w:szCs w:val="20"/>
        </w:rPr>
        <w:t xml:space="preserve"> </w:t>
      </w:r>
    </w:p>
    <w:p w14:paraId="1C35DDEE" w14:textId="77777777" w:rsidR="00A90EE4" w:rsidRPr="00FC4D68" w:rsidRDefault="001A200E">
      <w:pPr>
        <w:pStyle w:val="BodyA"/>
        <w:spacing w:after="240"/>
        <w:jc w:val="both"/>
        <w:rPr>
          <w:rStyle w:val="None"/>
          <w:rFonts w:ascii="Verdana" w:eastAsia="Sarabun Bold" w:hAnsi="Verdana" w:cs="Sarabun Bold"/>
          <w:b/>
          <w:bCs/>
          <w:sz w:val="20"/>
          <w:szCs w:val="20"/>
        </w:rPr>
      </w:pPr>
      <w:r w:rsidRPr="00FC4D68">
        <w:rPr>
          <w:rStyle w:val="None"/>
          <w:rFonts w:ascii="Verdana" w:hAnsi="Verdana"/>
          <w:b/>
          <w:bCs/>
          <w:sz w:val="20"/>
          <w:szCs w:val="20"/>
        </w:rPr>
        <w:t>Remedies</w:t>
      </w:r>
    </w:p>
    <w:p w14:paraId="68EB7F24" w14:textId="278C625D" w:rsidR="00093109" w:rsidRPr="00FC4D68" w:rsidRDefault="00093109" w:rsidP="00093109">
      <w:pPr>
        <w:pStyle w:val="ListParagraph"/>
        <w:numPr>
          <w:ilvl w:val="0"/>
          <w:numId w:val="2"/>
        </w:numPr>
        <w:spacing w:after="240"/>
        <w:jc w:val="both"/>
        <w:rPr>
          <w:rStyle w:val="None"/>
          <w:rFonts w:ascii="Verdana" w:hAnsi="Verdana"/>
          <w:sz w:val="20"/>
          <w:szCs w:val="20"/>
        </w:rPr>
      </w:pPr>
      <w:r w:rsidRPr="00FC4D68">
        <w:rPr>
          <w:rStyle w:val="None"/>
          <w:rFonts w:ascii="Verdana" w:hAnsi="Verdana"/>
          <w:sz w:val="20"/>
          <w:szCs w:val="20"/>
        </w:rPr>
        <w:t xml:space="preserve">Paragraph 56 of the </w:t>
      </w:r>
      <w:r w:rsidR="001A200E" w:rsidRPr="00FC4D68">
        <w:rPr>
          <w:rStyle w:val="None"/>
          <w:rFonts w:ascii="Verdana" w:hAnsi="Verdana"/>
          <w:sz w:val="20"/>
          <w:szCs w:val="20"/>
        </w:rPr>
        <w:t xml:space="preserve">General </w:t>
      </w:r>
      <w:r w:rsidR="00D80683" w:rsidRPr="00FC4D68">
        <w:rPr>
          <w:rStyle w:val="None"/>
          <w:rFonts w:ascii="Verdana" w:hAnsi="Verdana"/>
          <w:sz w:val="20"/>
          <w:szCs w:val="20"/>
        </w:rPr>
        <w:t>C</w:t>
      </w:r>
      <w:r w:rsidR="001A200E" w:rsidRPr="00FC4D68">
        <w:rPr>
          <w:rStyle w:val="None"/>
          <w:rFonts w:ascii="Verdana" w:hAnsi="Verdana"/>
          <w:sz w:val="20"/>
          <w:szCs w:val="20"/>
        </w:rPr>
        <w:t xml:space="preserve">omment No. 26 </w:t>
      </w:r>
      <w:r w:rsidRPr="00FC4D68">
        <w:rPr>
          <w:rStyle w:val="None"/>
          <w:rFonts w:ascii="Verdana" w:hAnsi="Verdana"/>
          <w:sz w:val="20"/>
          <w:szCs w:val="20"/>
        </w:rPr>
        <w:t>notes that State parties should ensure access to justice,</w:t>
      </w:r>
      <w:r w:rsidRPr="00FC4D68">
        <w:rPr>
          <w:rFonts w:ascii="Verdana" w:hAnsi="Verdana"/>
          <w:sz w:val="20"/>
          <w:szCs w:val="20"/>
        </w:rPr>
        <w:t xml:space="preserve"> </w:t>
      </w:r>
      <w:r w:rsidRPr="00FC4D68">
        <w:rPr>
          <w:rStyle w:val="None"/>
          <w:rFonts w:ascii="Verdana" w:hAnsi="Verdana"/>
          <w:sz w:val="20"/>
          <w:szCs w:val="20"/>
        </w:rPr>
        <w:t>including access to procedures to address the impact of business activities, both in the countries where they are domiciled but also where the violations have been caused. T</w:t>
      </w:r>
      <w:r w:rsidR="001A200E" w:rsidRPr="00FC4D68">
        <w:rPr>
          <w:rStyle w:val="None"/>
          <w:rFonts w:ascii="Verdana" w:hAnsi="Verdana"/>
          <w:sz w:val="20"/>
          <w:szCs w:val="20"/>
        </w:rPr>
        <w:t xml:space="preserve">he </w:t>
      </w:r>
      <w:r w:rsidR="00C4258A" w:rsidRPr="00FC4D68">
        <w:rPr>
          <w:rStyle w:val="None"/>
          <w:rFonts w:ascii="Verdana" w:hAnsi="Verdana"/>
          <w:sz w:val="20"/>
          <w:szCs w:val="20"/>
        </w:rPr>
        <w:t>contributing</w:t>
      </w:r>
      <w:r w:rsidR="001A200E" w:rsidRPr="00FC4D68">
        <w:rPr>
          <w:rStyle w:val="None"/>
          <w:rFonts w:ascii="Verdana" w:hAnsi="Verdana"/>
          <w:sz w:val="20"/>
          <w:szCs w:val="20"/>
        </w:rPr>
        <w:t xml:space="preserve"> organisations </w:t>
      </w:r>
      <w:r w:rsidRPr="00FC4D68">
        <w:rPr>
          <w:rStyle w:val="None"/>
          <w:rFonts w:ascii="Verdana" w:hAnsi="Verdana"/>
          <w:sz w:val="20"/>
          <w:szCs w:val="20"/>
        </w:rPr>
        <w:t xml:space="preserve">are of the opinion that this General Comment should reinstate the obligation of all State parties, like in another General Comment, to address barriers in accessing </w:t>
      </w:r>
      <w:r w:rsidRPr="00FC4D68">
        <w:rPr>
          <w:rStyle w:val="None"/>
          <w:rFonts w:ascii="Verdana" w:hAnsi="Verdana"/>
          <w:sz w:val="20"/>
          <w:szCs w:val="20"/>
        </w:rPr>
        <w:lastRenderedPageBreak/>
        <w:t>justice for individuals and communities who are affected by cross border investments, including in land-related contexts. These include to overcome obstacles caused by short statutes of limitations, the conflict of laws and other jurisdictional hurdles.</w:t>
      </w:r>
      <w:r w:rsidR="00C83A13" w:rsidRPr="00FC4D68">
        <w:rPr>
          <w:rStyle w:val="FootnoteReference"/>
          <w:rFonts w:ascii="Verdana" w:hAnsi="Verdana"/>
          <w:sz w:val="20"/>
          <w:szCs w:val="20"/>
        </w:rPr>
        <w:footnoteReference w:id="14"/>
      </w:r>
    </w:p>
    <w:p w14:paraId="7AC799C7" w14:textId="6DC13936" w:rsidR="00A90EE4" w:rsidRPr="00FC4D68" w:rsidRDefault="00182061">
      <w:pPr>
        <w:pStyle w:val="BodyA"/>
        <w:spacing w:after="240"/>
        <w:jc w:val="both"/>
        <w:rPr>
          <w:rStyle w:val="None"/>
          <w:rFonts w:ascii="Verdana" w:eastAsia="Sarabun Bold" w:hAnsi="Verdana" w:cs="Sarabun Bold"/>
          <w:b/>
          <w:bCs/>
          <w:sz w:val="20"/>
          <w:szCs w:val="20"/>
        </w:rPr>
      </w:pPr>
      <w:r w:rsidRPr="00FC4D68">
        <w:rPr>
          <w:rStyle w:val="None"/>
          <w:rFonts w:ascii="Verdana" w:hAnsi="Verdana"/>
          <w:b/>
          <w:bCs/>
          <w:sz w:val="20"/>
          <w:szCs w:val="20"/>
        </w:rPr>
        <w:t>Contributing</w:t>
      </w:r>
      <w:r w:rsidR="00F10243" w:rsidRPr="00FC4D68">
        <w:rPr>
          <w:rStyle w:val="None"/>
          <w:rFonts w:ascii="Verdana" w:hAnsi="Verdana"/>
          <w:b/>
          <w:bCs/>
          <w:sz w:val="20"/>
          <w:szCs w:val="20"/>
        </w:rPr>
        <w:t xml:space="preserve"> organisations </w:t>
      </w:r>
    </w:p>
    <w:p w14:paraId="34509495" w14:textId="241EB1C1"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Cross-Cultural Foundation</w:t>
      </w:r>
    </w:p>
    <w:p w14:paraId="1260E515" w14:textId="1C4CF57C"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Chumchonthai Foundation</w:t>
      </w:r>
    </w:p>
    <w:p w14:paraId="2A411F03" w14:textId="7251EF45"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Center for Protection and Revival of Local Community Rights</w:t>
      </w:r>
    </w:p>
    <w:p w14:paraId="1F4F7B67" w14:textId="1D887DB2"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Area-based-Social Innovation Research Center, Mae Fah Luang University</w:t>
      </w:r>
    </w:p>
    <w:p w14:paraId="473DD291" w14:textId="044F3805"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Community Resource Centre Foundation</w:t>
      </w:r>
    </w:p>
    <w:p w14:paraId="29C3EEB3" w14:textId="77253E2A"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College of Social Innovation, Rangsit University</w:t>
      </w:r>
    </w:p>
    <w:p w14:paraId="5CA923B0" w14:textId="6FF1F8C2"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ETOs Watch Coalition</w:t>
      </w:r>
    </w:p>
    <w:p w14:paraId="5FCB0EE5" w14:textId="71CD9A28"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Northern Development Foundation</w:t>
      </w:r>
    </w:p>
    <w:p w14:paraId="0C075FFB" w14:textId="2FD88003"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the Mekong Butterfly</w:t>
      </w:r>
    </w:p>
    <w:p w14:paraId="11F9CC2B" w14:textId="7365ACF7"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ActionAid Thailand</w:t>
      </w:r>
    </w:p>
    <w:p w14:paraId="371A5900" w14:textId="5FFC51FF"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Land Watch THAI</w:t>
      </w:r>
    </w:p>
    <w:p w14:paraId="08D52481" w14:textId="2E3D98E7"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ENLAWTHAI Foundation</w:t>
      </w:r>
    </w:p>
    <w:p w14:paraId="73E6119F" w14:textId="3D66DAB9"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Local Development Institute</w:t>
      </w:r>
    </w:p>
    <w:p w14:paraId="5C3EF9C5" w14:textId="018C5C78"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Princess Maha Chakri Sirindhorn Anthropology Centre (Public Organisation)</w:t>
      </w:r>
    </w:p>
    <w:p w14:paraId="5FD36D48" w14:textId="77777777" w:rsidR="00E366FB"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 xml:space="preserve">Food Security of Andaman Association </w:t>
      </w:r>
    </w:p>
    <w:p w14:paraId="0845DDCB" w14:textId="4D145280" w:rsidR="00A90EE4" w:rsidRPr="00FC4D68" w:rsidRDefault="00E366FB" w:rsidP="00E366FB">
      <w:pPr>
        <w:pStyle w:val="ListParagraph"/>
        <w:numPr>
          <w:ilvl w:val="0"/>
          <w:numId w:val="4"/>
        </w:numPr>
        <w:jc w:val="both"/>
        <w:rPr>
          <w:rStyle w:val="None"/>
          <w:rFonts w:ascii="Verdana" w:hAnsi="Verdana"/>
          <w:sz w:val="20"/>
          <w:szCs w:val="20"/>
        </w:rPr>
      </w:pPr>
      <w:r w:rsidRPr="00FC4D68">
        <w:rPr>
          <w:rStyle w:val="None"/>
          <w:rFonts w:ascii="Verdana" w:hAnsi="Verdana"/>
          <w:sz w:val="20"/>
          <w:szCs w:val="20"/>
        </w:rPr>
        <w:t>Prorights Foundation</w:t>
      </w:r>
    </w:p>
    <w:p w14:paraId="1FADCF32" w14:textId="2DD6C1A2" w:rsidR="00E366FB" w:rsidRPr="00FC4D68" w:rsidRDefault="00E366FB" w:rsidP="00E366FB">
      <w:pPr>
        <w:pStyle w:val="ListParagraph"/>
        <w:numPr>
          <w:ilvl w:val="0"/>
          <w:numId w:val="4"/>
        </w:numPr>
        <w:jc w:val="both"/>
        <w:rPr>
          <w:rFonts w:ascii="Verdana" w:hAnsi="Verdana"/>
          <w:sz w:val="20"/>
          <w:szCs w:val="20"/>
        </w:rPr>
      </w:pPr>
      <w:r w:rsidRPr="00FC4D68">
        <w:rPr>
          <w:rFonts w:ascii="Verdana" w:hAnsi="Verdana"/>
          <w:sz w:val="20"/>
          <w:szCs w:val="20"/>
        </w:rPr>
        <w:t>Union for Civil Liberty</w:t>
      </w:r>
    </w:p>
    <w:sectPr w:rsidR="00E366FB" w:rsidRPr="00FC4D68">
      <w:headerReference w:type="default" r:id="rId8"/>
      <w:footerReference w:type="default" r:id="rId9"/>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2AAF4" w14:textId="77777777" w:rsidR="007E7BD7" w:rsidRDefault="007E7BD7">
      <w:r>
        <w:separator/>
      </w:r>
    </w:p>
  </w:endnote>
  <w:endnote w:type="continuationSeparator" w:id="0">
    <w:p w14:paraId="6EC71E3C" w14:textId="77777777" w:rsidR="007E7BD7" w:rsidRDefault="007E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H SarabunPSK">
    <w:altName w:val="Microsoft Sans Serif"/>
    <w:charset w:val="DE"/>
    <w:family w:val="swiss"/>
    <w:pitch w:val="variable"/>
    <w:sig w:usb0="00000000" w:usb1="00000000" w:usb2="00000000" w:usb3="00000000" w:csb0="00010111" w:csb1="00000000"/>
  </w:font>
  <w:font w:name="Verdana">
    <w:panose1 w:val="020B0604030504040204"/>
    <w:charset w:val="00"/>
    <w:family w:val="swiss"/>
    <w:pitch w:val="variable"/>
    <w:sig w:usb0="A00006FF" w:usb1="4000205B" w:usb2="00000010" w:usb3="00000000" w:csb0="0000019F" w:csb1="00000000"/>
  </w:font>
  <w:font w:name="Sarabun Regular">
    <w:altName w:val="Cambria"/>
    <w:charset w:val="00"/>
    <w:family w:val="roman"/>
    <w:pitch w:val="default"/>
  </w:font>
  <w:font w:name="Sarabun Bold">
    <w:altName w:val="Cambria"/>
    <w:charset w:val="00"/>
    <w:family w:val="roman"/>
    <w:pitch w:val="default"/>
  </w:font>
  <w:font w:name="Browallia New">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E8990" w14:textId="361D453B" w:rsidR="00A90EE4" w:rsidRDefault="001A200E">
    <w:pPr>
      <w:pStyle w:val="Footer"/>
      <w:tabs>
        <w:tab w:val="clear" w:pos="9360"/>
        <w:tab w:val="right" w:pos="9340"/>
      </w:tabs>
      <w:jc w:val="center"/>
    </w:pPr>
    <w:r>
      <w:rPr>
        <w:rFonts w:ascii="TH SarabunPSK" w:eastAsia="TH SarabunPSK" w:hAnsi="TH SarabunPSK" w:cs="TH SarabunPSK"/>
        <w:sz w:val="30"/>
        <w:szCs w:val="30"/>
      </w:rPr>
      <w:fldChar w:fldCharType="begin"/>
    </w:r>
    <w:r>
      <w:rPr>
        <w:rFonts w:ascii="TH SarabunPSK" w:eastAsia="TH SarabunPSK" w:hAnsi="TH SarabunPSK" w:cs="TH SarabunPSK"/>
        <w:sz w:val="30"/>
        <w:szCs w:val="30"/>
      </w:rPr>
      <w:instrText xml:space="preserve"> PAGE </w:instrText>
    </w:r>
    <w:r>
      <w:rPr>
        <w:rFonts w:ascii="TH SarabunPSK" w:eastAsia="TH SarabunPSK" w:hAnsi="TH SarabunPSK" w:cs="TH SarabunPSK"/>
        <w:sz w:val="30"/>
        <w:szCs w:val="30"/>
      </w:rPr>
      <w:fldChar w:fldCharType="separate"/>
    </w:r>
    <w:r w:rsidR="00FF440B">
      <w:rPr>
        <w:rFonts w:ascii="TH SarabunPSK" w:eastAsia="TH SarabunPSK" w:hAnsi="TH SarabunPSK" w:cs="TH SarabunPSK"/>
        <w:noProof/>
        <w:sz w:val="30"/>
        <w:szCs w:val="30"/>
      </w:rPr>
      <w:t>1</w:t>
    </w:r>
    <w:r>
      <w:rPr>
        <w:rFonts w:ascii="TH SarabunPSK" w:eastAsia="TH SarabunPSK" w:hAnsi="TH SarabunPSK" w:cs="TH SarabunPSK"/>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A08B4" w14:textId="77777777" w:rsidR="007E7BD7" w:rsidRDefault="007E7BD7">
      <w:r>
        <w:separator/>
      </w:r>
    </w:p>
  </w:footnote>
  <w:footnote w:type="continuationSeparator" w:id="0">
    <w:p w14:paraId="4B7C39BB" w14:textId="77777777" w:rsidR="007E7BD7" w:rsidRDefault="007E7BD7">
      <w:r>
        <w:continuationSeparator/>
      </w:r>
    </w:p>
  </w:footnote>
  <w:footnote w:type="continuationNotice" w:id="1">
    <w:p w14:paraId="0B428709" w14:textId="77777777" w:rsidR="007E7BD7" w:rsidRDefault="007E7BD7"/>
  </w:footnote>
  <w:footnote w:id="2">
    <w:p w14:paraId="176FC9C3" w14:textId="0B5BA69D" w:rsidR="00A90EE4" w:rsidRPr="00470C30" w:rsidRDefault="001A200E" w:rsidP="00470C30">
      <w:pPr>
        <w:pStyle w:val="FootnoteText"/>
        <w:spacing w:after="120"/>
        <w:rPr>
          <w:rFonts w:ascii="Verdana" w:hAnsi="Verdana"/>
          <w:sz w:val="19"/>
          <w:szCs w:val="19"/>
        </w:rPr>
      </w:pPr>
      <w:r w:rsidRPr="00470C30">
        <w:rPr>
          <w:rFonts w:ascii="Verdana" w:eastAsia="Sarabun Regular" w:hAnsi="Verdana" w:cs="Sarabun Regular"/>
          <w:sz w:val="19"/>
          <w:szCs w:val="19"/>
          <w:vertAlign w:val="superscript"/>
        </w:rPr>
        <w:footnoteRef/>
      </w:r>
      <w:r w:rsidRPr="00470C30">
        <w:rPr>
          <w:rFonts w:ascii="Verdana" w:eastAsia="TH SarabunPSK" w:hAnsi="Verdana" w:cs="TH SarabunPSK"/>
          <w:sz w:val="19"/>
          <w:szCs w:val="19"/>
        </w:rPr>
        <w:t xml:space="preserve"> </w:t>
      </w:r>
      <w:r w:rsidR="000D4B84" w:rsidRPr="00470C30">
        <w:rPr>
          <w:rFonts w:ascii="Verdana" w:eastAsia="TH SarabunPSK" w:hAnsi="Verdana" w:cs="TH SarabunPSK"/>
          <w:sz w:val="19"/>
          <w:szCs w:val="19"/>
        </w:rPr>
        <w:t xml:space="preserve">ICJ, ‘Thailand civil society, government, discuss improving laws governing land rights to protect economic, social, and cultural rights’, 1 June 2021, </w:t>
      </w:r>
      <w:r w:rsidR="000D4B84" w:rsidRPr="00470C30">
        <w:rPr>
          <w:rFonts w:ascii="Verdana" w:hAnsi="Verdana"/>
          <w:sz w:val="19"/>
          <w:szCs w:val="19"/>
        </w:rPr>
        <w:t xml:space="preserve">available at: </w:t>
      </w:r>
      <w:hyperlink r:id="rId1" w:history="1">
        <w:r w:rsidRPr="00470C30">
          <w:rPr>
            <w:rStyle w:val="Hyperlink0"/>
            <w:rFonts w:ascii="Verdana" w:eastAsia="Arial Unicode MS" w:hAnsi="Verdana" w:cs="Arial Unicode MS"/>
            <w:sz w:val="19"/>
            <w:szCs w:val="19"/>
          </w:rPr>
          <w:t>https://www.icj.org/thailand-civil-society-government-discuss-improving-laws-governing-land-rights-to-protect-economic-social-and-cultural-rights/</w:t>
        </w:r>
      </w:hyperlink>
      <w:r w:rsidRPr="00470C30">
        <w:rPr>
          <w:rStyle w:val="None"/>
          <w:rFonts w:ascii="Verdana" w:eastAsia="TH SarabunPSK" w:hAnsi="Verdana" w:cs="TH SarabunPSK"/>
          <w:sz w:val="19"/>
          <w:szCs w:val="19"/>
        </w:rPr>
        <w:t xml:space="preserve"> </w:t>
      </w:r>
    </w:p>
  </w:footnote>
  <w:footnote w:id="3">
    <w:p w14:paraId="303A7694" w14:textId="5EB13B01" w:rsidR="007B489E" w:rsidRPr="00470C30" w:rsidRDefault="007B489E" w:rsidP="00470C30">
      <w:pPr>
        <w:pStyle w:val="FootnoteText"/>
        <w:spacing w:after="120"/>
        <w:rPr>
          <w:rFonts w:ascii="Verdana" w:hAnsi="Verdana"/>
          <w:sz w:val="19"/>
          <w:szCs w:val="19"/>
        </w:rPr>
      </w:pPr>
      <w:r w:rsidRPr="00470C30">
        <w:rPr>
          <w:rStyle w:val="FootnoteReference"/>
          <w:rFonts w:ascii="Verdana" w:hAnsi="Verdana"/>
          <w:sz w:val="19"/>
          <w:szCs w:val="19"/>
        </w:rPr>
        <w:footnoteRef/>
      </w:r>
      <w:r w:rsidRPr="00470C30">
        <w:rPr>
          <w:rFonts w:ascii="Verdana" w:hAnsi="Verdana"/>
          <w:sz w:val="19"/>
          <w:szCs w:val="19"/>
        </w:rPr>
        <w:t xml:space="preserve"> Notably, Thailand does not recognize that there are indigenous peoples, as defined by international law, in its territory. Thailand refers to them as "tribal peoples" or "ethnic minorities".</w:t>
      </w:r>
    </w:p>
  </w:footnote>
  <w:footnote w:id="4">
    <w:p w14:paraId="4CD1175A" w14:textId="522637B5" w:rsidR="00502FE9" w:rsidRPr="00470C30" w:rsidRDefault="00502FE9" w:rsidP="00470C30">
      <w:pPr>
        <w:pStyle w:val="FootnoteText"/>
        <w:spacing w:after="120"/>
        <w:rPr>
          <w:rFonts w:ascii="Verdana" w:hAnsi="Verdana"/>
          <w:sz w:val="19"/>
          <w:szCs w:val="19"/>
        </w:rPr>
      </w:pPr>
      <w:r w:rsidRPr="00470C30">
        <w:rPr>
          <w:rStyle w:val="FootnoteReference"/>
          <w:rFonts w:ascii="Verdana" w:hAnsi="Verdana"/>
          <w:sz w:val="19"/>
          <w:szCs w:val="19"/>
        </w:rPr>
        <w:footnoteRef/>
      </w:r>
      <w:r w:rsidRPr="00470C30">
        <w:rPr>
          <w:rFonts w:ascii="Verdana" w:hAnsi="Verdana"/>
          <w:sz w:val="19"/>
          <w:szCs w:val="19"/>
        </w:rPr>
        <w:t xml:space="preserve"> For example,</w:t>
      </w:r>
      <w:r w:rsidR="000D4B84" w:rsidRPr="00470C30">
        <w:rPr>
          <w:rFonts w:ascii="Verdana" w:hAnsi="Verdana"/>
          <w:sz w:val="19"/>
          <w:szCs w:val="19"/>
        </w:rPr>
        <w:t xml:space="preserve"> Bangkok Post, ‘Forest dictatorship at Kaeng Krachan’, 3 March 2021, available at:  </w:t>
      </w:r>
      <w:hyperlink r:id="rId2" w:history="1">
        <w:r w:rsidR="000D4B84" w:rsidRPr="00470C30">
          <w:rPr>
            <w:rStyle w:val="Hyperlink"/>
            <w:rFonts w:ascii="Verdana" w:hAnsi="Verdana"/>
            <w:sz w:val="19"/>
            <w:szCs w:val="19"/>
          </w:rPr>
          <w:t>https://www.bangkokpost.com/opinion/opinion/2077291/</w:t>
        </w:r>
      </w:hyperlink>
      <w:r w:rsidRPr="00470C30">
        <w:rPr>
          <w:rFonts w:ascii="Verdana" w:hAnsi="Verdana"/>
          <w:sz w:val="19"/>
          <w:szCs w:val="19"/>
        </w:rPr>
        <w:t xml:space="preserve"> </w:t>
      </w:r>
    </w:p>
  </w:footnote>
  <w:footnote w:id="5">
    <w:p w14:paraId="17D57DE7" w14:textId="704C21D7" w:rsidR="000C5784" w:rsidRPr="00470C30" w:rsidRDefault="000C5784" w:rsidP="00470C30">
      <w:pPr>
        <w:pStyle w:val="FootnoteText"/>
        <w:spacing w:after="120"/>
        <w:rPr>
          <w:rFonts w:ascii="Verdana" w:hAnsi="Verdana"/>
          <w:sz w:val="19"/>
          <w:szCs w:val="19"/>
        </w:rPr>
      </w:pPr>
      <w:r w:rsidRPr="00470C30">
        <w:rPr>
          <w:rStyle w:val="FootnoteReference"/>
          <w:rFonts w:ascii="Verdana" w:hAnsi="Verdana"/>
          <w:sz w:val="19"/>
          <w:szCs w:val="19"/>
        </w:rPr>
        <w:footnoteRef/>
      </w:r>
      <w:r w:rsidRPr="00470C30">
        <w:rPr>
          <w:rFonts w:ascii="Verdana" w:hAnsi="Verdana"/>
          <w:sz w:val="19"/>
          <w:szCs w:val="19"/>
        </w:rPr>
        <w:t xml:space="preserve"> </w:t>
      </w:r>
      <w:r w:rsidR="00AF60F6" w:rsidRPr="00470C30">
        <w:rPr>
          <w:rFonts w:ascii="Verdana" w:hAnsi="Verdana"/>
          <w:sz w:val="19"/>
          <w:szCs w:val="19"/>
        </w:rPr>
        <w:t xml:space="preserve"> Rina Chandran, ‘Tourism and marine parks threaten Thailand's 'people of the sea'’, Thomson Reuters Foundation, 4 December 2018, available at: </w:t>
      </w:r>
      <w:hyperlink r:id="rId3" w:history="1">
        <w:r w:rsidR="00AF60F6" w:rsidRPr="00470C30">
          <w:rPr>
            <w:rStyle w:val="Hyperlink"/>
            <w:rFonts w:ascii="Verdana" w:hAnsi="Verdana"/>
            <w:sz w:val="19"/>
            <w:szCs w:val="19"/>
          </w:rPr>
          <w:t>https://www.reuters.com/article/us-oceans-rights-thailand-idUSKBN1O30EX</w:t>
        </w:r>
      </w:hyperlink>
      <w:r w:rsidRPr="00470C30">
        <w:rPr>
          <w:rFonts w:ascii="Verdana" w:hAnsi="Verdana"/>
          <w:sz w:val="19"/>
          <w:szCs w:val="19"/>
        </w:rPr>
        <w:t xml:space="preserve">; </w:t>
      </w:r>
      <w:r w:rsidR="00AF60F6" w:rsidRPr="00470C30">
        <w:rPr>
          <w:rFonts w:ascii="Verdana" w:hAnsi="Verdana"/>
          <w:sz w:val="19"/>
          <w:szCs w:val="19"/>
        </w:rPr>
        <w:t xml:space="preserve">Bangkok Post, ‘Pandemic respite for 'sea gypsies' threatened by mass tourism’, 23 November 2020, available at: </w:t>
      </w:r>
      <w:hyperlink r:id="rId4" w:history="1">
        <w:r w:rsidR="00AF60F6" w:rsidRPr="00470C30">
          <w:rPr>
            <w:rStyle w:val="Hyperlink"/>
            <w:rFonts w:ascii="Verdana" w:hAnsi="Verdana"/>
            <w:sz w:val="19"/>
            <w:szCs w:val="19"/>
          </w:rPr>
          <w:t>https://www.bangkokpost.com/thailand/general/2024031/pandemic-respite-for-sea-gypsies-threatened-by-mass-tourism</w:t>
        </w:r>
      </w:hyperlink>
      <w:r w:rsidR="00485DDC" w:rsidRPr="00470C30">
        <w:rPr>
          <w:rFonts w:ascii="Verdana" w:hAnsi="Verdana"/>
          <w:sz w:val="19"/>
          <w:szCs w:val="19"/>
        </w:rPr>
        <w:t>; and</w:t>
      </w:r>
      <w:r w:rsidR="007B7C74" w:rsidRPr="00470C30">
        <w:rPr>
          <w:rFonts w:ascii="Verdana" w:hAnsi="Verdana"/>
          <w:sz w:val="19"/>
          <w:szCs w:val="19"/>
        </w:rPr>
        <w:t xml:space="preserve"> Lydia Hansen, ‘Pushed Off the Land, Out of the Sea’, 7 August 2020, available at:</w:t>
      </w:r>
      <w:r w:rsidR="00485DDC" w:rsidRPr="00470C30">
        <w:rPr>
          <w:rFonts w:ascii="Verdana" w:hAnsi="Verdana"/>
          <w:sz w:val="19"/>
          <w:szCs w:val="19"/>
        </w:rPr>
        <w:t xml:space="preserve"> </w:t>
      </w:r>
      <w:hyperlink r:id="rId5" w:history="1">
        <w:r w:rsidR="00485DDC" w:rsidRPr="00470C30">
          <w:rPr>
            <w:rStyle w:val="Hyperlink"/>
            <w:rFonts w:ascii="Verdana" w:hAnsi="Verdana"/>
            <w:sz w:val="19"/>
            <w:szCs w:val="19"/>
          </w:rPr>
          <w:t>https://www.usnews.com/news/best-countries/articles/2020-08-07/thailands-indigenous-chao-lay-struggle-to-preserve-identity</w:t>
        </w:r>
      </w:hyperlink>
      <w:r w:rsidR="00485DDC" w:rsidRPr="00470C30">
        <w:rPr>
          <w:rFonts w:ascii="Verdana" w:hAnsi="Verdana"/>
          <w:sz w:val="19"/>
          <w:szCs w:val="19"/>
        </w:rPr>
        <w:t xml:space="preserve"> </w:t>
      </w:r>
    </w:p>
  </w:footnote>
  <w:footnote w:id="6">
    <w:p w14:paraId="5BDDD47D" w14:textId="0EFCE765" w:rsidR="00485DDC" w:rsidRPr="00470C30" w:rsidRDefault="00485DDC" w:rsidP="00470C30">
      <w:pPr>
        <w:pStyle w:val="FootnoteText"/>
        <w:spacing w:after="120"/>
        <w:rPr>
          <w:rFonts w:ascii="Verdana" w:hAnsi="Verdana"/>
          <w:sz w:val="19"/>
          <w:szCs w:val="19"/>
        </w:rPr>
      </w:pPr>
      <w:r w:rsidRPr="00470C30">
        <w:rPr>
          <w:rStyle w:val="FootnoteReference"/>
          <w:rFonts w:ascii="Verdana" w:hAnsi="Verdana"/>
          <w:sz w:val="19"/>
          <w:szCs w:val="19"/>
        </w:rPr>
        <w:footnoteRef/>
      </w:r>
      <w:r w:rsidRPr="00470C30">
        <w:rPr>
          <w:rFonts w:ascii="Verdana" w:hAnsi="Verdana"/>
          <w:sz w:val="19"/>
          <w:szCs w:val="19"/>
        </w:rPr>
        <w:t xml:space="preserve"> </w:t>
      </w:r>
      <w:r w:rsidR="007B7C74" w:rsidRPr="00470C30">
        <w:rPr>
          <w:rFonts w:ascii="Verdana" w:hAnsi="Verdana"/>
          <w:sz w:val="19"/>
          <w:szCs w:val="19"/>
        </w:rPr>
        <w:t xml:space="preserve">Bangkok Post, ‘A land dispute with grave consequences’, 24 January 2016, available at: </w:t>
      </w:r>
      <w:hyperlink r:id="rId6" w:history="1">
        <w:r w:rsidR="007B7C74" w:rsidRPr="00470C30">
          <w:rPr>
            <w:rStyle w:val="Hyperlink"/>
            <w:rFonts w:ascii="Verdana" w:hAnsi="Verdana"/>
            <w:sz w:val="19"/>
            <w:szCs w:val="19"/>
          </w:rPr>
          <w:t>https://www.bangkokpost.com/thailand/special-reports/836800/a-land-dispute-with-grave-consequences</w:t>
        </w:r>
      </w:hyperlink>
      <w:r w:rsidRPr="00470C30">
        <w:rPr>
          <w:rFonts w:ascii="Verdana" w:hAnsi="Verdana"/>
          <w:sz w:val="19"/>
          <w:szCs w:val="19"/>
        </w:rPr>
        <w:t xml:space="preserve"> </w:t>
      </w:r>
    </w:p>
  </w:footnote>
  <w:footnote w:id="7">
    <w:p w14:paraId="0F5E4914" w14:textId="14867371" w:rsidR="00CB328D" w:rsidRPr="00470C30" w:rsidRDefault="00CB328D" w:rsidP="00470C30">
      <w:pPr>
        <w:pStyle w:val="FootnoteText"/>
        <w:spacing w:after="120"/>
        <w:rPr>
          <w:rFonts w:ascii="Verdana" w:hAnsi="Verdana"/>
          <w:sz w:val="19"/>
          <w:szCs w:val="19"/>
        </w:rPr>
      </w:pPr>
      <w:r w:rsidRPr="00470C30">
        <w:rPr>
          <w:rStyle w:val="FootnoteReference"/>
          <w:rFonts w:ascii="Verdana" w:hAnsi="Verdana"/>
          <w:sz w:val="19"/>
          <w:szCs w:val="19"/>
        </w:rPr>
        <w:footnoteRef/>
      </w:r>
      <w:r w:rsidRPr="00470C30">
        <w:rPr>
          <w:rFonts w:ascii="Verdana" w:hAnsi="Verdana"/>
          <w:sz w:val="19"/>
          <w:szCs w:val="19"/>
        </w:rPr>
        <w:t xml:space="preserve"> For example, </w:t>
      </w:r>
      <w:r w:rsidR="00DE7D2E" w:rsidRPr="00470C30">
        <w:rPr>
          <w:rFonts w:ascii="Verdana" w:hAnsi="Verdana"/>
          <w:sz w:val="19"/>
          <w:szCs w:val="19"/>
        </w:rPr>
        <w:t>Mandates of the Special Rapporteur on the issue of human rights obligations relating to the enjoyment of a safe, clean, healthy and sustainable environment; the Special Rapporteur on adequate</w:t>
      </w:r>
      <w:r w:rsidR="0066623F" w:rsidRPr="00470C30">
        <w:rPr>
          <w:rFonts w:ascii="Verdana" w:hAnsi="Verdana"/>
          <w:sz w:val="19"/>
          <w:szCs w:val="19"/>
        </w:rPr>
        <w:t xml:space="preserve"> </w:t>
      </w:r>
      <w:r w:rsidR="00DE7D2E" w:rsidRPr="00470C30">
        <w:rPr>
          <w:rFonts w:ascii="Verdana" w:hAnsi="Verdana"/>
          <w:sz w:val="19"/>
          <w:szCs w:val="19"/>
        </w:rPr>
        <w:t>housing as a component of the right to an adequate standard of living, and on the right to nondiscrimination in this context; the Special Rapporteur on the situation of human rights defenders;</w:t>
      </w:r>
      <w:r w:rsidR="0066623F" w:rsidRPr="00470C30">
        <w:rPr>
          <w:rFonts w:ascii="Verdana" w:hAnsi="Verdana"/>
          <w:sz w:val="19"/>
          <w:szCs w:val="19"/>
        </w:rPr>
        <w:t xml:space="preserve"> </w:t>
      </w:r>
      <w:r w:rsidR="00DE7D2E" w:rsidRPr="00470C30">
        <w:rPr>
          <w:rFonts w:ascii="Verdana" w:hAnsi="Verdana"/>
          <w:sz w:val="19"/>
          <w:szCs w:val="19"/>
        </w:rPr>
        <w:t xml:space="preserve">and the Special Rapporteur on extreme poverty and human rights, ‘AL THA 7/2019’, 19 August 2019, available at: </w:t>
      </w:r>
      <w:hyperlink r:id="rId7" w:history="1">
        <w:r w:rsidR="00DE7D2E" w:rsidRPr="00470C30">
          <w:rPr>
            <w:rStyle w:val="Hyperlink"/>
            <w:rFonts w:ascii="Verdana" w:hAnsi="Verdana"/>
            <w:sz w:val="19"/>
            <w:szCs w:val="19"/>
          </w:rPr>
          <w:t>https://spcommreports.ohchr.org/TMResultsBase/DownLoadPublicCommunicationFile?gId=24775</w:t>
        </w:r>
      </w:hyperlink>
      <w:r w:rsidR="00DE7D2E" w:rsidRPr="00470C30">
        <w:rPr>
          <w:rFonts w:ascii="Verdana" w:hAnsi="Verdana"/>
          <w:sz w:val="19"/>
          <w:szCs w:val="19"/>
        </w:rPr>
        <w:t xml:space="preserve"> (‘Communication REF AL THA 7/2019’)</w:t>
      </w:r>
    </w:p>
  </w:footnote>
  <w:footnote w:id="8">
    <w:p w14:paraId="0D42883F" w14:textId="44BA4947" w:rsidR="00D7200B" w:rsidRPr="00470C30" w:rsidRDefault="00D7200B" w:rsidP="00470C30">
      <w:pPr>
        <w:pStyle w:val="FootnoteText"/>
        <w:spacing w:after="120"/>
        <w:rPr>
          <w:rFonts w:ascii="Verdana" w:hAnsi="Verdana"/>
          <w:sz w:val="19"/>
          <w:szCs w:val="19"/>
        </w:rPr>
      </w:pPr>
      <w:r w:rsidRPr="00470C30">
        <w:rPr>
          <w:rStyle w:val="None"/>
          <w:rFonts w:ascii="Verdana" w:eastAsia="Sarabun Regular" w:hAnsi="Verdana" w:cs="Sarabun Regular"/>
          <w:sz w:val="19"/>
          <w:szCs w:val="19"/>
          <w:vertAlign w:val="superscript"/>
        </w:rPr>
        <w:footnoteRef/>
      </w:r>
      <w:r w:rsidRPr="00470C30">
        <w:rPr>
          <w:rStyle w:val="None"/>
          <w:rFonts w:ascii="Verdana" w:eastAsia="TH SarabunPSK" w:hAnsi="Verdana" w:cs="TH SarabunPSK"/>
          <w:sz w:val="19"/>
          <w:szCs w:val="19"/>
        </w:rPr>
        <w:t xml:space="preserve"> </w:t>
      </w:r>
      <w:r w:rsidR="003D7D4F" w:rsidRPr="00470C30">
        <w:rPr>
          <w:rStyle w:val="None"/>
          <w:rFonts w:ascii="Verdana" w:eastAsia="Angsana New" w:hAnsi="Verdana" w:cs="Browallia New"/>
          <w:sz w:val="19"/>
          <w:szCs w:val="19"/>
        </w:rPr>
        <w:t>For example,</w:t>
      </w:r>
      <w:r w:rsidRPr="00470C30">
        <w:rPr>
          <w:rStyle w:val="None"/>
          <w:rFonts w:ascii="Verdana" w:eastAsia="TH SarabunPSK" w:hAnsi="Verdana" w:cs="TH SarabunPSK"/>
          <w:sz w:val="19"/>
          <w:szCs w:val="19"/>
        </w:rPr>
        <w:t xml:space="preserve"> </w:t>
      </w:r>
      <w:r w:rsidR="0066623F" w:rsidRPr="00470C30">
        <w:rPr>
          <w:rFonts w:ascii="Verdana" w:hAnsi="Verdana"/>
          <w:sz w:val="19"/>
          <w:szCs w:val="19"/>
        </w:rPr>
        <w:t xml:space="preserve">Mandates of the Special Rapporteur on the rights of indigenous peoples; the Working Group on Enforced or Involuntary Dissappearance; the Special Rapporteur on the  issue of human rights obligations relating to the enjoyment of a safe, clean, healthy and sustainable environment; and the Special Rapporteur on the situation of human rights defenders, ‘AL THA 4/2020’, 20 April 2020, available at: </w:t>
      </w:r>
      <w:hyperlink r:id="rId8" w:history="1">
        <w:r w:rsidRPr="00470C30">
          <w:rPr>
            <w:rStyle w:val="Hyperlink0"/>
            <w:rFonts w:ascii="Verdana" w:eastAsia="Arial Unicode MS" w:hAnsi="Verdana" w:cs="Arial Unicode MS"/>
            <w:sz w:val="19"/>
            <w:szCs w:val="19"/>
          </w:rPr>
          <w:t>https://spcommreports.ohchr.org/TMResultsBase/DownLoadPublicCommunicationFile?gId=25162</w:t>
        </w:r>
      </w:hyperlink>
      <w:r w:rsidRPr="00470C30">
        <w:rPr>
          <w:rStyle w:val="None"/>
          <w:rFonts w:ascii="Verdana" w:eastAsia="TH SarabunPSK" w:hAnsi="Verdana" w:cs="TH SarabunPSK"/>
          <w:sz w:val="19"/>
          <w:szCs w:val="19"/>
        </w:rPr>
        <w:t xml:space="preserve"> </w:t>
      </w:r>
      <w:r w:rsidR="0066623F" w:rsidRPr="00470C30">
        <w:rPr>
          <w:rStyle w:val="None"/>
          <w:rFonts w:ascii="Verdana" w:eastAsia="TH SarabunPSK" w:hAnsi="Verdana" w:cs="TH SarabunPSK"/>
          <w:sz w:val="19"/>
          <w:szCs w:val="19"/>
        </w:rPr>
        <w:t xml:space="preserve">(‘Communication REF AL THA 4/2020’) </w:t>
      </w:r>
      <w:r w:rsidR="003D7D4F" w:rsidRPr="00470C30">
        <w:rPr>
          <w:rStyle w:val="None"/>
          <w:rFonts w:ascii="Verdana" w:eastAsia="Angsana New" w:hAnsi="Verdana" w:cs="Browallia New"/>
          <w:sz w:val="19"/>
          <w:szCs w:val="19"/>
        </w:rPr>
        <w:t>and</w:t>
      </w:r>
      <w:r w:rsidRPr="00470C30">
        <w:rPr>
          <w:rStyle w:val="None"/>
          <w:rFonts w:ascii="Verdana" w:eastAsia="TH SarabunPSK" w:hAnsi="Verdana" w:cs="TH SarabunPSK"/>
          <w:sz w:val="19"/>
          <w:szCs w:val="19"/>
        </w:rPr>
        <w:t xml:space="preserve"> </w:t>
      </w:r>
      <w:r w:rsidR="00DE7D2E" w:rsidRPr="00470C30">
        <w:rPr>
          <w:rFonts w:ascii="Verdana" w:hAnsi="Verdana"/>
          <w:sz w:val="19"/>
          <w:szCs w:val="19"/>
        </w:rPr>
        <w:t>Communication REF AL THA 7/2019</w:t>
      </w:r>
    </w:p>
  </w:footnote>
  <w:footnote w:id="9">
    <w:p w14:paraId="008D4291" w14:textId="5181D5C6" w:rsidR="00B870C2" w:rsidRPr="00470C30" w:rsidRDefault="00B870C2" w:rsidP="00470C30">
      <w:pPr>
        <w:pStyle w:val="FootnoteText"/>
        <w:spacing w:after="120"/>
        <w:rPr>
          <w:rFonts w:ascii="Verdana" w:hAnsi="Verdana"/>
          <w:sz w:val="19"/>
          <w:szCs w:val="19"/>
        </w:rPr>
      </w:pPr>
      <w:r w:rsidRPr="00470C30">
        <w:rPr>
          <w:rStyle w:val="FootnoteReference"/>
          <w:rFonts w:ascii="Verdana" w:hAnsi="Verdana"/>
          <w:sz w:val="19"/>
          <w:szCs w:val="19"/>
        </w:rPr>
        <w:footnoteRef/>
      </w:r>
      <w:r w:rsidRPr="00470C30">
        <w:rPr>
          <w:rFonts w:ascii="Verdana" w:hAnsi="Verdana"/>
          <w:sz w:val="19"/>
          <w:szCs w:val="19"/>
        </w:rPr>
        <w:t xml:space="preserve"> </w:t>
      </w:r>
      <w:hyperlink r:id="rId9" w:history="1">
        <w:r w:rsidR="0066623F" w:rsidRPr="00470C30">
          <w:rPr>
            <w:rStyle w:val="None"/>
            <w:rFonts w:ascii="Verdana" w:eastAsia="TH SarabunPSK" w:hAnsi="Verdana" w:cs="TH SarabunPSK"/>
            <w:sz w:val="19"/>
            <w:szCs w:val="19"/>
          </w:rPr>
          <w:t>Communication REF AL THA 4/2020</w:t>
        </w:r>
      </w:hyperlink>
      <w:r w:rsidR="0066623F" w:rsidRPr="00470C30">
        <w:rPr>
          <w:rStyle w:val="Hyperlink"/>
          <w:rFonts w:ascii="Verdana" w:hAnsi="Verdana"/>
          <w:sz w:val="19"/>
          <w:szCs w:val="19"/>
          <w:u w:val="none"/>
        </w:rPr>
        <w:t>;</w:t>
      </w:r>
      <w:r w:rsidRPr="00470C30">
        <w:rPr>
          <w:rFonts w:ascii="Verdana" w:hAnsi="Verdana"/>
          <w:sz w:val="19"/>
          <w:szCs w:val="19"/>
        </w:rPr>
        <w:t xml:space="preserve"> </w:t>
      </w:r>
      <w:r w:rsidR="003915D8" w:rsidRPr="00470C30">
        <w:rPr>
          <w:rFonts w:ascii="Verdana" w:hAnsi="Verdana"/>
          <w:sz w:val="19"/>
          <w:szCs w:val="19"/>
        </w:rPr>
        <w:t xml:space="preserve">Bangkok Post, ‘Karen to oppose Kaeng Krachan world heritage bid’, 22 July 2021, available at: </w:t>
      </w:r>
      <w:hyperlink r:id="rId10" w:history="1">
        <w:r w:rsidR="003915D8" w:rsidRPr="00470C30">
          <w:rPr>
            <w:rStyle w:val="Hyperlink"/>
            <w:rFonts w:ascii="Verdana" w:hAnsi="Verdana"/>
            <w:sz w:val="19"/>
            <w:szCs w:val="19"/>
          </w:rPr>
          <w:t>https://www.bangkokpost.com/thailand/general/2152727/karen-to-oppose-kaeng-krachan-world-heritage-bid</w:t>
        </w:r>
      </w:hyperlink>
      <w:r w:rsidR="00533FC9" w:rsidRPr="00470C30">
        <w:rPr>
          <w:rFonts w:ascii="Verdana" w:hAnsi="Verdana"/>
          <w:sz w:val="19"/>
          <w:szCs w:val="19"/>
        </w:rPr>
        <w:t xml:space="preserve"> and</w:t>
      </w:r>
      <w:r w:rsidR="003915D8" w:rsidRPr="00470C30">
        <w:rPr>
          <w:rFonts w:ascii="Verdana" w:hAnsi="Verdana"/>
          <w:sz w:val="19"/>
          <w:szCs w:val="19"/>
        </w:rPr>
        <w:t xml:space="preserve"> Bangkok Post, ‘Kaeng Krachan added to world heritage list’, 26 July 2021, available at: </w:t>
      </w:r>
      <w:r w:rsidR="00533FC9" w:rsidRPr="00470C30">
        <w:rPr>
          <w:rFonts w:ascii="Verdana" w:hAnsi="Verdana"/>
          <w:sz w:val="19"/>
          <w:szCs w:val="19"/>
        </w:rPr>
        <w:t xml:space="preserve"> </w:t>
      </w:r>
      <w:hyperlink r:id="rId11" w:history="1">
        <w:r w:rsidR="00533FC9" w:rsidRPr="00470C30">
          <w:rPr>
            <w:rStyle w:val="Hyperlink"/>
            <w:rFonts w:ascii="Verdana" w:hAnsi="Verdana"/>
            <w:sz w:val="19"/>
            <w:szCs w:val="19"/>
          </w:rPr>
          <w:t>https://www.bangkokpost.com/thailand/general/2155099/kaeng-krachan-added-to-world-heritage-list</w:t>
        </w:r>
      </w:hyperlink>
      <w:r w:rsidR="00533FC9" w:rsidRPr="00470C30">
        <w:rPr>
          <w:rFonts w:ascii="Verdana" w:hAnsi="Verdana"/>
          <w:sz w:val="19"/>
          <w:szCs w:val="19"/>
        </w:rPr>
        <w:t xml:space="preserve"> </w:t>
      </w:r>
    </w:p>
  </w:footnote>
  <w:footnote w:id="10">
    <w:p w14:paraId="4EBA230E" w14:textId="1B4A6E79" w:rsidR="00490C0B" w:rsidRPr="00470C30" w:rsidRDefault="00490C0B" w:rsidP="00470C30">
      <w:pPr>
        <w:pStyle w:val="FootnoteText"/>
        <w:spacing w:after="120"/>
        <w:rPr>
          <w:rFonts w:ascii="Verdana" w:hAnsi="Verdana"/>
          <w:sz w:val="19"/>
          <w:szCs w:val="19"/>
        </w:rPr>
      </w:pPr>
      <w:r w:rsidRPr="00470C30">
        <w:rPr>
          <w:rStyle w:val="FootnoteReference"/>
          <w:rFonts w:ascii="Verdana" w:hAnsi="Verdana"/>
          <w:sz w:val="19"/>
          <w:szCs w:val="19"/>
        </w:rPr>
        <w:footnoteRef/>
      </w:r>
      <w:r w:rsidRPr="00470C30">
        <w:rPr>
          <w:rFonts w:ascii="Verdana" w:hAnsi="Verdana"/>
          <w:sz w:val="19"/>
          <w:szCs w:val="19"/>
        </w:rPr>
        <w:t xml:space="preserve"> </w:t>
      </w:r>
      <w:r w:rsidR="003915D8" w:rsidRPr="00470C30">
        <w:rPr>
          <w:rFonts w:ascii="Verdana" w:hAnsi="Verdana"/>
          <w:sz w:val="19"/>
          <w:szCs w:val="19"/>
        </w:rPr>
        <w:t xml:space="preserve">ICJ, ‘The Human Rights Consequences of the Eastern Economic Corridor and Special Economic Zones in Thailand’, July 2020, available at: </w:t>
      </w:r>
      <w:hyperlink r:id="rId12" w:history="1">
        <w:r w:rsidR="003915D8" w:rsidRPr="00470C30">
          <w:rPr>
            <w:rStyle w:val="Hyperlink"/>
            <w:rFonts w:ascii="Verdana" w:hAnsi="Verdana"/>
            <w:sz w:val="19"/>
            <w:szCs w:val="19"/>
          </w:rPr>
          <w:t>https://www.icj.org/wp-content/uploads/2021/03/Thailand-SEZs-Publication-2020-ENG.pdf</w:t>
        </w:r>
      </w:hyperlink>
      <w:r w:rsidRPr="00470C30">
        <w:rPr>
          <w:rFonts w:ascii="Verdana" w:hAnsi="Verdana"/>
          <w:sz w:val="19"/>
          <w:szCs w:val="19"/>
        </w:rPr>
        <w:t xml:space="preserve">  </w:t>
      </w:r>
    </w:p>
  </w:footnote>
  <w:footnote w:id="11">
    <w:p w14:paraId="73C8A558" w14:textId="0219F1D8" w:rsidR="006E35EC" w:rsidRPr="00470C30" w:rsidRDefault="006E35EC" w:rsidP="0040628C">
      <w:pPr>
        <w:pStyle w:val="FootnoteText"/>
        <w:spacing w:after="120" w:line="168" w:lineRule="auto"/>
        <w:rPr>
          <w:rFonts w:ascii="Verdana" w:hAnsi="Verdana"/>
          <w:sz w:val="19"/>
          <w:szCs w:val="19"/>
        </w:rPr>
      </w:pPr>
      <w:r w:rsidRPr="00470C30">
        <w:rPr>
          <w:rStyle w:val="FootnoteReference"/>
          <w:rFonts w:ascii="Verdana" w:hAnsi="Verdana"/>
          <w:sz w:val="19"/>
          <w:szCs w:val="19"/>
        </w:rPr>
        <w:footnoteRef/>
      </w:r>
      <w:r w:rsidRPr="00470C30">
        <w:rPr>
          <w:rFonts w:ascii="Verdana" w:hAnsi="Verdana"/>
          <w:sz w:val="19"/>
          <w:szCs w:val="19"/>
        </w:rPr>
        <w:t xml:space="preserve"> Thai Post, </w:t>
      </w:r>
      <w:r w:rsidR="00470C30" w:rsidRPr="00470C30">
        <w:rPr>
          <w:rFonts w:ascii="Verdana" w:hAnsi="Verdana"/>
          <w:sz w:val="19"/>
          <w:szCs w:val="19"/>
        </w:rPr>
        <w:t>‘</w:t>
      </w:r>
      <w:r w:rsidR="00470C30" w:rsidRPr="00470C30">
        <w:rPr>
          <w:rFonts w:ascii="TH SarabunPSK" w:hAnsi="TH SarabunPSK" w:cs="TH SarabunPSK" w:hint="cs"/>
          <w:sz w:val="28"/>
          <w:szCs w:val="28"/>
          <w:cs/>
        </w:rPr>
        <w:t xml:space="preserve">เครือข่ายคนจนเรียกร้อง ‘ศักดิ์สยาม’ รมว.คมนาคมจัดประชุมแก้ปัญหาที่ดิน รฟท. หลังชาวบ้านโดนฟ้องขับไล่เกือบ </w:t>
      </w:r>
      <w:r w:rsidR="00470C30" w:rsidRPr="00470C30">
        <w:rPr>
          <w:rFonts w:ascii="TH SarabunPSK" w:hAnsi="TH SarabunPSK" w:cs="TH SarabunPSK" w:hint="cs"/>
          <w:sz w:val="28"/>
          <w:szCs w:val="28"/>
        </w:rPr>
        <w:t xml:space="preserve">60 </w:t>
      </w:r>
      <w:r w:rsidR="00470C30" w:rsidRPr="00470C30">
        <w:rPr>
          <w:rFonts w:ascii="TH SarabunPSK" w:hAnsi="TH SarabunPSK" w:cs="TH SarabunPSK" w:hint="cs"/>
          <w:sz w:val="28"/>
          <w:szCs w:val="28"/>
          <w:cs/>
        </w:rPr>
        <w:t>ราย</w:t>
      </w:r>
      <w:r w:rsidR="00470C30" w:rsidRPr="00470C30">
        <w:rPr>
          <w:rFonts w:ascii="Verdana" w:hAnsi="Verdana" w:cs="Angsana New"/>
          <w:sz w:val="19"/>
          <w:szCs w:val="19"/>
        </w:rPr>
        <w:t xml:space="preserve">’, 1 June 2021, available at: </w:t>
      </w:r>
      <w:hyperlink r:id="rId13" w:history="1">
        <w:r w:rsidR="00470C30" w:rsidRPr="00470C30">
          <w:rPr>
            <w:rStyle w:val="Hyperlink"/>
            <w:rFonts w:ascii="Verdana" w:hAnsi="Verdana" w:cs="Angsana New"/>
            <w:sz w:val="19"/>
            <w:szCs w:val="19"/>
          </w:rPr>
          <w:t>https://www.thaipost.net/main/detail/104925</w:t>
        </w:r>
      </w:hyperlink>
      <w:r w:rsidR="00470C30" w:rsidRPr="00470C30">
        <w:rPr>
          <w:rFonts w:ascii="Verdana" w:hAnsi="Verdana" w:cs="Angsana New"/>
          <w:sz w:val="19"/>
          <w:szCs w:val="19"/>
        </w:rPr>
        <w:t xml:space="preserve"> (in Thai)</w:t>
      </w:r>
    </w:p>
  </w:footnote>
  <w:footnote w:id="12">
    <w:p w14:paraId="0B699B73" w14:textId="1DD08FE1" w:rsidR="00B13E98" w:rsidRPr="00470C30" w:rsidRDefault="00B13E98" w:rsidP="00470C30">
      <w:pPr>
        <w:pStyle w:val="FootnoteText"/>
        <w:spacing w:after="120"/>
        <w:rPr>
          <w:rFonts w:ascii="Verdana" w:hAnsi="Verdana"/>
          <w:sz w:val="19"/>
          <w:szCs w:val="19"/>
        </w:rPr>
      </w:pPr>
      <w:r w:rsidRPr="00470C30">
        <w:rPr>
          <w:rStyle w:val="FootnoteReference"/>
          <w:rFonts w:ascii="Verdana" w:hAnsi="Verdana"/>
          <w:sz w:val="19"/>
          <w:szCs w:val="19"/>
        </w:rPr>
        <w:footnoteRef/>
      </w:r>
      <w:r w:rsidRPr="00470C30">
        <w:rPr>
          <w:rFonts w:ascii="Verdana" w:hAnsi="Verdana"/>
          <w:sz w:val="19"/>
          <w:szCs w:val="19"/>
        </w:rPr>
        <w:t xml:space="preserve"> </w:t>
      </w:r>
      <w:r w:rsidR="00184A1B" w:rsidRPr="00470C30">
        <w:rPr>
          <w:rFonts w:ascii="Verdana" w:hAnsi="Verdana"/>
          <w:sz w:val="19"/>
          <w:szCs w:val="19"/>
        </w:rPr>
        <w:t xml:space="preserve">The Securities and Exchange Commission, ‘SEC signs MoU with Faculty of Law, Chulalongkorn University to provide training courses on business and human rights for business sector in capital market and develop personal information protection standards’, 8 December 2020, available at:  </w:t>
      </w:r>
      <w:hyperlink r:id="rId14" w:history="1">
        <w:r w:rsidR="00184A1B" w:rsidRPr="00470C30">
          <w:rPr>
            <w:rStyle w:val="Hyperlink"/>
            <w:rFonts w:ascii="Verdana" w:hAnsi="Verdana"/>
            <w:sz w:val="19"/>
            <w:szCs w:val="19"/>
          </w:rPr>
          <w:t>https://www.sec.or.th/EN/Pages/News_Detail.aspx?SECID=8798&amp;NewsNo=229&amp;NewsYear=2020&amp;Lang=EN</w:t>
        </w:r>
      </w:hyperlink>
      <w:r w:rsidR="00184A1B" w:rsidRPr="00470C30">
        <w:rPr>
          <w:rFonts w:ascii="Verdana" w:hAnsi="Verdana"/>
          <w:sz w:val="19"/>
          <w:szCs w:val="19"/>
        </w:rPr>
        <w:t xml:space="preserve"> </w:t>
      </w:r>
    </w:p>
  </w:footnote>
  <w:footnote w:id="13">
    <w:p w14:paraId="690E13FA" w14:textId="2CD5F423" w:rsidR="00122BE5" w:rsidRPr="00470C30" w:rsidRDefault="00122BE5" w:rsidP="00470C30">
      <w:pPr>
        <w:pStyle w:val="FootnoteText"/>
        <w:spacing w:after="120"/>
        <w:rPr>
          <w:rFonts w:ascii="Verdana" w:hAnsi="Verdana"/>
          <w:sz w:val="19"/>
          <w:szCs w:val="19"/>
        </w:rPr>
      </w:pPr>
      <w:r w:rsidRPr="00470C30">
        <w:rPr>
          <w:rStyle w:val="None"/>
          <w:rFonts w:ascii="Verdana" w:eastAsia="Sarabun Regular" w:hAnsi="Verdana" w:cs="Sarabun Regular"/>
          <w:sz w:val="19"/>
          <w:szCs w:val="19"/>
          <w:vertAlign w:val="superscript"/>
        </w:rPr>
        <w:footnoteRef/>
      </w:r>
      <w:r w:rsidRPr="00470C30">
        <w:rPr>
          <w:rStyle w:val="None"/>
          <w:rFonts w:ascii="Verdana" w:eastAsia="TH SarabunPSK" w:hAnsi="Verdana" w:cs="TH SarabunPSK"/>
          <w:sz w:val="19"/>
          <w:szCs w:val="19"/>
        </w:rPr>
        <w:t xml:space="preserve"> </w:t>
      </w:r>
      <w:r w:rsidR="00DE7D2E" w:rsidRPr="00470C30">
        <w:rPr>
          <w:rFonts w:ascii="Verdana" w:hAnsi="Verdana"/>
          <w:sz w:val="19"/>
          <w:szCs w:val="19"/>
        </w:rPr>
        <w:t>Communication REF AL THA 7/2019</w:t>
      </w:r>
    </w:p>
  </w:footnote>
  <w:footnote w:id="14">
    <w:p w14:paraId="4FA643DB" w14:textId="76A0C392" w:rsidR="00C83A13" w:rsidRPr="00470C30" w:rsidRDefault="00C83A13" w:rsidP="00470C30">
      <w:pPr>
        <w:pStyle w:val="FootnoteText"/>
        <w:spacing w:after="120"/>
        <w:rPr>
          <w:rFonts w:ascii="Verdana" w:hAnsi="Verdana"/>
          <w:sz w:val="19"/>
          <w:szCs w:val="19"/>
        </w:rPr>
      </w:pPr>
      <w:r w:rsidRPr="00470C30">
        <w:rPr>
          <w:rStyle w:val="FootnoteReference"/>
          <w:rFonts w:ascii="Verdana" w:hAnsi="Verdana"/>
          <w:sz w:val="19"/>
          <w:szCs w:val="19"/>
        </w:rPr>
        <w:footnoteRef/>
      </w:r>
      <w:r w:rsidRPr="00470C30">
        <w:rPr>
          <w:rFonts w:ascii="Verdana" w:hAnsi="Verdana"/>
          <w:sz w:val="19"/>
          <w:szCs w:val="19"/>
        </w:rPr>
        <w:t xml:space="preserve"> </w:t>
      </w:r>
      <w:r w:rsidR="00BB59C7" w:rsidRPr="00470C30">
        <w:rPr>
          <w:rFonts w:ascii="Verdana" w:hAnsi="Verdana"/>
          <w:sz w:val="19"/>
          <w:szCs w:val="19"/>
        </w:rPr>
        <w:t xml:space="preserve">ICJ, ‘Thailand: Barriers persist in access to justice for victims of human rights abuses involving Thai transnational corporations abroad – ICJ report’, 11 February 2021, available at: </w:t>
      </w:r>
      <w:hyperlink r:id="rId15" w:history="1">
        <w:r w:rsidR="00BB59C7" w:rsidRPr="00470C30">
          <w:rPr>
            <w:rStyle w:val="Hyperlink"/>
            <w:rFonts w:ascii="Verdana" w:hAnsi="Verdana"/>
            <w:sz w:val="19"/>
            <w:szCs w:val="19"/>
          </w:rPr>
          <w:t>https://www.icj.org/thailand-barriers-persist-in-access-to-justice-for-victims-of-human-rights-abuses-involving-thai-transnational-corporations-abroad-icj-report/</w:t>
        </w:r>
      </w:hyperlink>
      <w:r w:rsidR="00BB59C7" w:rsidRPr="00470C30">
        <w:rPr>
          <w:rFonts w:ascii="Verdana" w:hAnsi="Verdana"/>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F3302" w14:textId="4AC36762" w:rsidR="00A90EE4" w:rsidRPr="009A2B1D" w:rsidRDefault="009A2B1D" w:rsidP="009A2B1D">
    <w:pPr>
      <w:pStyle w:val="HeaderFooter"/>
      <w:jc w:val="center"/>
      <w:rPr>
        <w:rFonts w:ascii="Verdana" w:hAnsi="Verdana"/>
        <w:i/>
        <w:iCs/>
        <w:sz w:val="20"/>
        <w:szCs w:val="20"/>
      </w:rPr>
    </w:pPr>
    <w:r w:rsidRPr="009A2B1D">
      <w:rPr>
        <w:rFonts w:ascii="Verdana" w:hAnsi="Verdana"/>
        <w:i/>
        <w:iCs/>
        <w:sz w:val="20"/>
        <w:szCs w:val="20"/>
      </w:rPr>
      <w:t>(Translation from the original Thai version into 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01BF"/>
    <w:multiLevelType w:val="hybridMultilevel"/>
    <w:tmpl w:val="365CE6EA"/>
    <w:styleLink w:val="ImportedStyle1"/>
    <w:lvl w:ilvl="0" w:tplc="3B660CF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2E86E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D00872">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6F8CE01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30F20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FC5C96">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3B663EE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636C13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4413F0">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91E4E3C"/>
    <w:multiLevelType w:val="hybridMultilevel"/>
    <w:tmpl w:val="CFF8ECE0"/>
    <w:numStyleLink w:val="ImportedStyle2"/>
  </w:abstractNum>
  <w:abstractNum w:abstractNumId="2" w15:restartNumberingAfterBreak="0">
    <w:nsid w:val="27A811E6"/>
    <w:multiLevelType w:val="hybridMultilevel"/>
    <w:tmpl w:val="CFF8ECE0"/>
    <w:styleLink w:val="ImportedStyle2"/>
    <w:lvl w:ilvl="0" w:tplc="EB907B9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72C3A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0CE1FA4">
      <w:start w:val="1"/>
      <w:numFmt w:val="lowerRoman"/>
      <w:lvlText w:val="%3."/>
      <w:lvlJc w:val="left"/>
      <w:pPr>
        <w:ind w:left="180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5128F93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AEF63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1811BE">
      <w:start w:val="1"/>
      <w:numFmt w:val="lowerRoman"/>
      <w:lvlText w:val="%6."/>
      <w:lvlJc w:val="left"/>
      <w:pPr>
        <w:ind w:left="396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E764741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2AD9E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C8A936">
      <w:start w:val="1"/>
      <w:numFmt w:val="lowerRoman"/>
      <w:lvlText w:val="%9."/>
      <w:lvlJc w:val="left"/>
      <w:pPr>
        <w:ind w:left="612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1BF6D27"/>
    <w:multiLevelType w:val="hybridMultilevel"/>
    <w:tmpl w:val="365CE6EA"/>
    <w:numStyleLink w:val="ImportedStyle1"/>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 w:id="1"/>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E4"/>
    <w:rsid w:val="000043F9"/>
    <w:rsid w:val="00020C43"/>
    <w:rsid w:val="0003631B"/>
    <w:rsid w:val="000471BA"/>
    <w:rsid w:val="0005147A"/>
    <w:rsid w:val="00062C89"/>
    <w:rsid w:val="00073DA1"/>
    <w:rsid w:val="00093109"/>
    <w:rsid w:val="000A63F7"/>
    <w:rsid w:val="000B1163"/>
    <w:rsid w:val="000B68AB"/>
    <w:rsid w:val="000C5784"/>
    <w:rsid w:val="000D4B84"/>
    <w:rsid w:val="000E074A"/>
    <w:rsid w:val="001006ED"/>
    <w:rsid w:val="001072DE"/>
    <w:rsid w:val="0012174E"/>
    <w:rsid w:val="00122BE5"/>
    <w:rsid w:val="00126837"/>
    <w:rsid w:val="00127B0E"/>
    <w:rsid w:val="0013243A"/>
    <w:rsid w:val="00135218"/>
    <w:rsid w:val="001456C0"/>
    <w:rsid w:val="00150F17"/>
    <w:rsid w:val="00161D9C"/>
    <w:rsid w:val="00182061"/>
    <w:rsid w:val="00184A1B"/>
    <w:rsid w:val="001A200E"/>
    <w:rsid w:val="001A4969"/>
    <w:rsid w:val="001B12DA"/>
    <w:rsid w:val="001D2AE9"/>
    <w:rsid w:val="001E16BC"/>
    <w:rsid w:val="001E2A55"/>
    <w:rsid w:val="001F3967"/>
    <w:rsid w:val="00203C9B"/>
    <w:rsid w:val="00211DFF"/>
    <w:rsid w:val="00214A60"/>
    <w:rsid w:val="0021528E"/>
    <w:rsid w:val="00220964"/>
    <w:rsid w:val="002265B8"/>
    <w:rsid w:val="002270F6"/>
    <w:rsid w:val="002271FD"/>
    <w:rsid w:val="00227279"/>
    <w:rsid w:val="00237563"/>
    <w:rsid w:val="002441A6"/>
    <w:rsid w:val="00255F19"/>
    <w:rsid w:val="00257C36"/>
    <w:rsid w:val="0026162A"/>
    <w:rsid w:val="00270767"/>
    <w:rsid w:val="0027275B"/>
    <w:rsid w:val="00287142"/>
    <w:rsid w:val="002972C8"/>
    <w:rsid w:val="002A2C85"/>
    <w:rsid w:val="002B282D"/>
    <w:rsid w:val="002C0788"/>
    <w:rsid w:val="002C34B5"/>
    <w:rsid w:val="002E3995"/>
    <w:rsid w:val="002F637E"/>
    <w:rsid w:val="00310889"/>
    <w:rsid w:val="00313B48"/>
    <w:rsid w:val="003145F8"/>
    <w:rsid w:val="00323ECE"/>
    <w:rsid w:val="003321AF"/>
    <w:rsid w:val="00353EA7"/>
    <w:rsid w:val="003634FC"/>
    <w:rsid w:val="00366A15"/>
    <w:rsid w:val="003748F8"/>
    <w:rsid w:val="00376454"/>
    <w:rsid w:val="003838CC"/>
    <w:rsid w:val="003915D8"/>
    <w:rsid w:val="003929A8"/>
    <w:rsid w:val="003940AA"/>
    <w:rsid w:val="003A045A"/>
    <w:rsid w:val="003B0849"/>
    <w:rsid w:val="003B2CF3"/>
    <w:rsid w:val="003C6200"/>
    <w:rsid w:val="003D7D4F"/>
    <w:rsid w:val="0040628C"/>
    <w:rsid w:val="00414E36"/>
    <w:rsid w:val="004236BF"/>
    <w:rsid w:val="00426094"/>
    <w:rsid w:val="004314D6"/>
    <w:rsid w:val="00442CE7"/>
    <w:rsid w:val="00450713"/>
    <w:rsid w:val="004524E0"/>
    <w:rsid w:val="00453453"/>
    <w:rsid w:val="00462248"/>
    <w:rsid w:val="00470C30"/>
    <w:rsid w:val="004851BA"/>
    <w:rsid w:val="00485DDC"/>
    <w:rsid w:val="00490C0B"/>
    <w:rsid w:val="00494358"/>
    <w:rsid w:val="00496997"/>
    <w:rsid w:val="00497687"/>
    <w:rsid w:val="004B7931"/>
    <w:rsid w:val="004C4612"/>
    <w:rsid w:val="004F25B7"/>
    <w:rsid w:val="00502FE9"/>
    <w:rsid w:val="005214FA"/>
    <w:rsid w:val="00524A5C"/>
    <w:rsid w:val="00525F42"/>
    <w:rsid w:val="0053092A"/>
    <w:rsid w:val="0053161B"/>
    <w:rsid w:val="00533FC9"/>
    <w:rsid w:val="00535A44"/>
    <w:rsid w:val="00561D68"/>
    <w:rsid w:val="00574042"/>
    <w:rsid w:val="00574644"/>
    <w:rsid w:val="005931DA"/>
    <w:rsid w:val="005B63D2"/>
    <w:rsid w:val="005C740F"/>
    <w:rsid w:val="005D32D2"/>
    <w:rsid w:val="005E6908"/>
    <w:rsid w:val="005F756E"/>
    <w:rsid w:val="006545C5"/>
    <w:rsid w:val="00663D36"/>
    <w:rsid w:val="00666056"/>
    <w:rsid w:val="0066623F"/>
    <w:rsid w:val="00677576"/>
    <w:rsid w:val="00686960"/>
    <w:rsid w:val="006946D9"/>
    <w:rsid w:val="00694E1B"/>
    <w:rsid w:val="006E35EC"/>
    <w:rsid w:val="006F0935"/>
    <w:rsid w:val="006F600E"/>
    <w:rsid w:val="007103DB"/>
    <w:rsid w:val="007142F8"/>
    <w:rsid w:val="007144D0"/>
    <w:rsid w:val="007157C8"/>
    <w:rsid w:val="00730F84"/>
    <w:rsid w:val="0073105E"/>
    <w:rsid w:val="0074279A"/>
    <w:rsid w:val="00760DDF"/>
    <w:rsid w:val="00782CA6"/>
    <w:rsid w:val="00796AE6"/>
    <w:rsid w:val="007A0E8D"/>
    <w:rsid w:val="007A2325"/>
    <w:rsid w:val="007A63E8"/>
    <w:rsid w:val="007B489E"/>
    <w:rsid w:val="007B7C74"/>
    <w:rsid w:val="007E79E2"/>
    <w:rsid w:val="007E7BD7"/>
    <w:rsid w:val="00816133"/>
    <w:rsid w:val="00834E47"/>
    <w:rsid w:val="00875AC1"/>
    <w:rsid w:val="00882697"/>
    <w:rsid w:val="00893274"/>
    <w:rsid w:val="008B4F62"/>
    <w:rsid w:val="008E192B"/>
    <w:rsid w:val="008E35CF"/>
    <w:rsid w:val="00910F01"/>
    <w:rsid w:val="009265D6"/>
    <w:rsid w:val="00985127"/>
    <w:rsid w:val="009972CD"/>
    <w:rsid w:val="009A2B1D"/>
    <w:rsid w:val="009A7973"/>
    <w:rsid w:val="009C7D26"/>
    <w:rsid w:val="009D75E7"/>
    <w:rsid w:val="00A06FFF"/>
    <w:rsid w:val="00A43602"/>
    <w:rsid w:val="00A52176"/>
    <w:rsid w:val="00A53804"/>
    <w:rsid w:val="00A87AD7"/>
    <w:rsid w:val="00A90EE4"/>
    <w:rsid w:val="00A93E6D"/>
    <w:rsid w:val="00AD2A1E"/>
    <w:rsid w:val="00AD7667"/>
    <w:rsid w:val="00AF60F6"/>
    <w:rsid w:val="00AF673B"/>
    <w:rsid w:val="00B04242"/>
    <w:rsid w:val="00B07149"/>
    <w:rsid w:val="00B115D2"/>
    <w:rsid w:val="00B13E98"/>
    <w:rsid w:val="00B151C7"/>
    <w:rsid w:val="00B20825"/>
    <w:rsid w:val="00B45E58"/>
    <w:rsid w:val="00B870C2"/>
    <w:rsid w:val="00B90DC0"/>
    <w:rsid w:val="00BA473C"/>
    <w:rsid w:val="00BB0FE3"/>
    <w:rsid w:val="00BB24A6"/>
    <w:rsid w:val="00BB59C7"/>
    <w:rsid w:val="00BB74B0"/>
    <w:rsid w:val="00BE10B2"/>
    <w:rsid w:val="00BF60A4"/>
    <w:rsid w:val="00C144E8"/>
    <w:rsid w:val="00C22FF1"/>
    <w:rsid w:val="00C36C20"/>
    <w:rsid w:val="00C4258A"/>
    <w:rsid w:val="00C44DEF"/>
    <w:rsid w:val="00C54C8F"/>
    <w:rsid w:val="00C763F0"/>
    <w:rsid w:val="00C81923"/>
    <w:rsid w:val="00C82ED1"/>
    <w:rsid w:val="00C835D9"/>
    <w:rsid w:val="00C83A13"/>
    <w:rsid w:val="00C85A00"/>
    <w:rsid w:val="00CA0C01"/>
    <w:rsid w:val="00CB328D"/>
    <w:rsid w:val="00CC2893"/>
    <w:rsid w:val="00CC703C"/>
    <w:rsid w:val="00CD01DE"/>
    <w:rsid w:val="00CD1031"/>
    <w:rsid w:val="00D12733"/>
    <w:rsid w:val="00D17727"/>
    <w:rsid w:val="00D2235A"/>
    <w:rsid w:val="00D33C71"/>
    <w:rsid w:val="00D36A11"/>
    <w:rsid w:val="00D442DE"/>
    <w:rsid w:val="00D7200B"/>
    <w:rsid w:val="00D72E76"/>
    <w:rsid w:val="00D80683"/>
    <w:rsid w:val="00D94DA0"/>
    <w:rsid w:val="00DA1B08"/>
    <w:rsid w:val="00DB7776"/>
    <w:rsid w:val="00DC6796"/>
    <w:rsid w:val="00DE7D2E"/>
    <w:rsid w:val="00E228E3"/>
    <w:rsid w:val="00E35E60"/>
    <w:rsid w:val="00E366FB"/>
    <w:rsid w:val="00E56ED0"/>
    <w:rsid w:val="00E77D98"/>
    <w:rsid w:val="00E86F7B"/>
    <w:rsid w:val="00E92338"/>
    <w:rsid w:val="00ED04DD"/>
    <w:rsid w:val="00EE0E65"/>
    <w:rsid w:val="00EF275B"/>
    <w:rsid w:val="00F03C4F"/>
    <w:rsid w:val="00F10243"/>
    <w:rsid w:val="00F26B7A"/>
    <w:rsid w:val="00F321DF"/>
    <w:rsid w:val="00F44DE0"/>
    <w:rsid w:val="00F46CAE"/>
    <w:rsid w:val="00F87EAA"/>
    <w:rsid w:val="00F95CF9"/>
    <w:rsid w:val="00FC314C"/>
    <w:rsid w:val="00FC4D68"/>
    <w:rsid w:val="00FE0EA8"/>
    <w:rsid w:val="00FF108B"/>
    <w:rsid w:val="00FF440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770"/>
  <w15:docId w15:val="{389EA0DB-9A37-426C-A11B-74C87765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4"/>
      <w:szCs w:val="24"/>
      <w:u w:color="000000"/>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rPr>
  </w:style>
  <w:style w:type="character" w:customStyle="1" w:styleId="None">
    <w:name w:val="None"/>
  </w:style>
  <w:style w:type="character" w:customStyle="1" w:styleId="Hyperlink0">
    <w:name w:val="Hyperlink.0"/>
    <w:basedOn w:val="None"/>
    <w:rPr>
      <w:rFonts w:ascii="TH SarabunPSK" w:eastAsia="TH SarabunPSK" w:hAnsi="TH SarabunPSK" w:cs="TH SarabunPSK"/>
      <w:outline w:val="0"/>
      <w:color w:val="0563C1"/>
      <w:sz w:val="30"/>
      <w:szCs w:val="30"/>
      <w:u w:val="single" w:color="0563C1"/>
    </w:r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9A2B1D"/>
    <w:pPr>
      <w:tabs>
        <w:tab w:val="center" w:pos="4680"/>
        <w:tab w:val="right" w:pos="9360"/>
      </w:tabs>
    </w:pPr>
  </w:style>
  <w:style w:type="character" w:customStyle="1" w:styleId="HeaderChar">
    <w:name w:val="Header Char"/>
    <w:basedOn w:val="DefaultParagraphFont"/>
    <w:link w:val="Header"/>
    <w:uiPriority w:val="99"/>
    <w:rsid w:val="009A2B1D"/>
    <w:rPr>
      <w:sz w:val="24"/>
      <w:szCs w:val="24"/>
      <w:lang w:bidi="ar-SA"/>
    </w:rPr>
  </w:style>
  <w:style w:type="character" w:styleId="FootnoteReference">
    <w:name w:val="footnote reference"/>
    <w:basedOn w:val="DefaultParagraphFont"/>
    <w:uiPriority w:val="99"/>
    <w:semiHidden/>
    <w:unhideWhenUsed/>
    <w:rsid w:val="00B870C2"/>
    <w:rPr>
      <w:vertAlign w:val="superscript"/>
    </w:rPr>
  </w:style>
  <w:style w:type="character" w:customStyle="1" w:styleId="UnresolvedMention">
    <w:name w:val="Unresolved Mention"/>
    <w:basedOn w:val="DefaultParagraphFont"/>
    <w:uiPriority w:val="99"/>
    <w:semiHidden/>
    <w:unhideWhenUsed/>
    <w:rsid w:val="00B87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spcommreports.ohchr.org/TMResultsBase/DownLoadPublicCommunicationFile?gId=25162" TargetMode="External"/><Relationship Id="rId13" Type="http://schemas.openxmlformats.org/officeDocument/2006/relationships/hyperlink" Target="https://www.thaipost.net/main/detail/104925" TargetMode="External"/><Relationship Id="rId3" Type="http://schemas.openxmlformats.org/officeDocument/2006/relationships/hyperlink" Target="https://www.reuters.com/article/us-oceans-rights-thailand-idUSKBN1O30EX" TargetMode="External"/><Relationship Id="rId7" Type="http://schemas.openxmlformats.org/officeDocument/2006/relationships/hyperlink" Target="https://spcommreports.ohchr.org/TMResultsBase/DownLoadPublicCommunicationFile?gId=24775" TargetMode="External"/><Relationship Id="rId12" Type="http://schemas.openxmlformats.org/officeDocument/2006/relationships/hyperlink" Target="https://www.icj.org/wp-content/uploads/2021/03/Thailand-SEZs-Publication-2020-ENG.pdf" TargetMode="External"/><Relationship Id="rId2" Type="http://schemas.openxmlformats.org/officeDocument/2006/relationships/hyperlink" Target="https://www.bangkokpost.com/opinion/opinion/2077291/" TargetMode="External"/><Relationship Id="rId1" Type="http://schemas.openxmlformats.org/officeDocument/2006/relationships/hyperlink" Target="https://www.icj.org/thailand-civil-society-government-discuss-improving-laws-governing-land-rights-to-protect-economic-social-and-cultural-rights/" TargetMode="External"/><Relationship Id="rId6" Type="http://schemas.openxmlformats.org/officeDocument/2006/relationships/hyperlink" Target="https://www.bangkokpost.com/thailand/special-reports/836800/a-land-dispute-with-grave-consequences" TargetMode="External"/><Relationship Id="rId11" Type="http://schemas.openxmlformats.org/officeDocument/2006/relationships/hyperlink" Target="https://www.bangkokpost.com/thailand/general/2155099/kaeng-krachan-added-to-world-heritage-list" TargetMode="External"/><Relationship Id="rId5" Type="http://schemas.openxmlformats.org/officeDocument/2006/relationships/hyperlink" Target="https://www.usnews.com/news/best-countries/articles/2020-08-07/thailands-indigenous-chao-lay-struggle-to-preserve-identity" TargetMode="External"/><Relationship Id="rId15" Type="http://schemas.openxmlformats.org/officeDocument/2006/relationships/hyperlink" Target="https://www.icj.org/thailand-barriers-persist-in-access-to-justice-for-victims-of-human-rights-abuses-involving-thai-transnational-corporations-abroad-icj-report/" TargetMode="External"/><Relationship Id="rId10" Type="http://schemas.openxmlformats.org/officeDocument/2006/relationships/hyperlink" Target="https://www.bangkokpost.com/thailand/general/2152727/karen-to-oppose-kaeng-krachan-world-heritage-bid" TargetMode="External"/><Relationship Id="rId4" Type="http://schemas.openxmlformats.org/officeDocument/2006/relationships/hyperlink" Target="https://www.bangkokpost.com/thailand/general/2024031/pandemic-respite-for-sea-gypsies-threatened-by-mass-tourism" TargetMode="External"/><Relationship Id="rId9" Type="http://schemas.openxmlformats.org/officeDocument/2006/relationships/hyperlink" Target="https://spcommreports.ohchr.org/TMResultsBase/DownLoadPublicCommunicationFile?gId=25162" TargetMode="External"/><Relationship Id="rId14" Type="http://schemas.openxmlformats.org/officeDocument/2006/relationships/hyperlink" Target="https://www.sec.or.th/EN/Pages/News_Detail.aspx?SECID=8798&amp;NewsNo=229&amp;NewsYear=2020&amp;Lang=E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B29FAF-7368-4BFD-89F6-1FC53E0D3D45}">
  <ds:schemaRefs>
    <ds:schemaRef ds:uri="http://schemas.openxmlformats.org/officeDocument/2006/bibliography"/>
  </ds:schemaRefs>
</ds:datastoreItem>
</file>

<file path=customXml/itemProps2.xml><?xml version="1.0" encoding="utf-8"?>
<ds:datastoreItem xmlns:ds="http://schemas.openxmlformats.org/officeDocument/2006/customXml" ds:itemID="{05674F00-6824-455E-8F39-98D3D5025097}"/>
</file>

<file path=customXml/itemProps3.xml><?xml version="1.0" encoding="utf-8"?>
<ds:datastoreItem xmlns:ds="http://schemas.openxmlformats.org/officeDocument/2006/customXml" ds:itemID="{6F3F4E02-66A8-421C-83BC-FEC9C844F180}"/>
</file>

<file path=customXml/itemProps4.xml><?xml version="1.0" encoding="utf-8"?>
<ds:datastoreItem xmlns:ds="http://schemas.openxmlformats.org/officeDocument/2006/customXml" ds:itemID="{79290DC4-AB53-4887-B06E-30B252EBA952}"/>
</file>

<file path=docProps/app.xml><?xml version="1.0" encoding="utf-8"?>
<Properties xmlns="http://schemas.openxmlformats.org/officeDocument/2006/extended-properties" xmlns:vt="http://schemas.openxmlformats.org/officeDocument/2006/docPropsVTypes">
  <Template>Normal.dotm</Template>
  <TotalTime>1</TotalTime>
  <Pages>7</Pages>
  <Words>2653</Words>
  <Characters>15124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 Jung Rin</cp:lastModifiedBy>
  <cp:revision>2</cp:revision>
  <dcterms:created xsi:type="dcterms:W3CDTF">2021-07-27T12:33:00Z</dcterms:created>
  <dcterms:modified xsi:type="dcterms:W3CDTF">2021-07-27T12:33:00Z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