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B2F53" w14:textId="4E3EEE41" w:rsidR="00EE2B69" w:rsidRPr="00F911BC" w:rsidRDefault="000128E6" w:rsidP="00FA65C4">
      <w:pPr>
        <w:pStyle w:val="Heading1"/>
        <w:jc w:val="center"/>
        <w:rPr>
          <w:rFonts w:ascii="MetaPro-Bold" w:hAnsi="MetaPro-Bold"/>
          <w:color w:val="auto"/>
          <w:sz w:val="30"/>
          <w:szCs w:val="30"/>
          <w:lang w:val="en-GB"/>
        </w:rPr>
      </w:pPr>
      <w:r>
        <w:rPr>
          <w:rFonts w:ascii="MetaPro-Bold" w:hAnsi="MetaPro-Bold"/>
          <w:color w:val="auto"/>
          <w:sz w:val="30"/>
          <w:szCs w:val="30"/>
          <w:lang w:val="en-GB"/>
        </w:rPr>
        <w:t>Submission</w:t>
      </w:r>
      <w:r w:rsidR="00EE2B69" w:rsidRPr="00F911BC">
        <w:rPr>
          <w:rFonts w:ascii="MetaPro-Bold" w:hAnsi="MetaPro-Bold"/>
          <w:color w:val="auto"/>
          <w:sz w:val="30"/>
          <w:szCs w:val="30"/>
          <w:lang w:val="en-GB"/>
        </w:rPr>
        <w:t xml:space="preserve"> by Human Rights Watch to the Committee on </w:t>
      </w:r>
      <w:r>
        <w:rPr>
          <w:rFonts w:ascii="MetaPro-Bold" w:hAnsi="MetaPro-Bold"/>
          <w:color w:val="auto"/>
          <w:sz w:val="30"/>
          <w:szCs w:val="30"/>
          <w:lang w:val="en-GB"/>
        </w:rPr>
        <w:t>Economic, Social and Cultural Rights</w:t>
      </w:r>
    </w:p>
    <w:p w14:paraId="3C22CC77" w14:textId="3DA7A753" w:rsidR="0065544D" w:rsidRPr="00F911BC" w:rsidRDefault="000128E6" w:rsidP="00FA65C4">
      <w:pPr>
        <w:jc w:val="center"/>
        <w:rPr>
          <w:rFonts w:ascii="MetaPro-Medi" w:hAnsi="MetaPro-Medi" w:cstheme="minorHAnsi"/>
          <w:lang w:val="en-GB"/>
        </w:rPr>
      </w:pPr>
      <w:r>
        <w:rPr>
          <w:rFonts w:ascii="MetaPro-Medi" w:hAnsi="MetaPro-Medi" w:cstheme="minorHAnsi"/>
          <w:lang w:val="en-GB"/>
        </w:rPr>
        <w:t>Written Contribution to the Draft General Comment on Land and Economic, Social and Cultural Rights</w:t>
      </w:r>
      <w:r w:rsidR="00F911BC">
        <w:rPr>
          <w:rFonts w:ascii="MetaPro-Medi" w:hAnsi="MetaPro-Medi" w:cstheme="minorHAnsi"/>
          <w:lang w:val="en-GB"/>
        </w:rPr>
        <w:br/>
      </w:r>
      <w:r>
        <w:rPr>
          <w:rFonts w:ascii="MetaPro-Medi" w:hAnsi="MetaPro-Medi" w:cstheme="minorHAnsi"/>
          <w:lang w:val="en-GB"/>
        </w:rPr>
        <w:t>August</w:t>
      </w:r>
      <w:r w:rsidR="007413CB" w:rsidRPr="00F911BC">
        <w:rPr>
          <w:rFonts w:ascii="MetaPro-Medi" w:hAnsi="MetaPro-Medi" w:cstheme="minorHAnsi"/>
          <w:lang w:val="en-GB"/>
        </w:rPr>
        <w:t xml:space="preserve"> 2021</w:t>
      </w:r>
    </w:p>
    <w:p w14:paraId="6DEEFF86" w14:textId="51A7478E" w:rsidR="00EE2B69" w:rsidRPr="00EE2B69" w:rsidRDefault="00EE2B69" w:rsidP="00E55BB8">
      <w:pPr>
        <w:pStyle w:val="Heading2"/>
        <w:spacing w:before="0"/>
        <w:rPr>
          <w:rFonts w:ascii="MetaPro-CondMedi" w:hAnsi="MetaPro-CondMedi"/>
          <w:color w:val="auto"/>
          <w:sz w:val="30"/>
          <w:szCs w:val="30"/>
        </w:rPr>
      </w:pPr>
      <w:r w:rsidRPr="00EE2B69">
        <w:rPr>
          <w:rFonts w:ascii="MetaPro-CondMedi" w:hAnsi="MetaPro-CondMedi"/>
          <w:color w:val="auto"/>
          <w:sz w:val="30"/>
          <w:szCs w:val="30"/>
        </w:rPr>
        <w:t>Introduction</w:t>
      </w:r>
    </w:p>
    <w:p w14:paraId="74995519" w14:textId="5F1FB4C4" w:rsidR="00EA7954" w:rsidRPr="00912AB5" w:rsidRDefault="001700D1" w:rsidP="00E55BB8">
      <w:pPr>
        <w:spacing w:line="264" w:lineRule="auto"/>
        <w:contextualSpacing/>
        <w:rPr>
          <w:rFonts w:ascii="MetaPro-Norm" w:hAnsi="MetaPro-Norm"/>
        </w:rPr>
      </w:pPr>
      <w:r w:rsidRPr="19BE425E">
        <w:rPr>
          <w:rFonts w:ascii="MetaPro-Norm" w:hAnsi="MetaPro-Norm"/>
        </w:rPr>
        <w:t xml:space="preserve">Human Rights Watch is pleased to have the opportunity to offer input </w:t>
      </w:r>
      <w:r w:rsidR="000128E6">
        <w:rPr>
          <w:rFonts w:ascii="MetaPro-Norm" w:hAnsi="MetaPro-Norm"/>
        </w:rPr>
        <w:t>to the</w:t>
      </w:r>
      <w:r w:rsidRPr="19BE425E">
        <w:rPr>
          <w:rFonts w:ascii="MetaPro-Norm" w:hAnsi="MetaPro-Norm"/>
        </w:rPr>
        <w:t xml:space="preserve"> Committee’s </w:t>
      </w:r>
      <w:r w:rsidR="00D67F24" w:rsidRPr="19BE425E">
        <w:rPr>
          <w:rFonts w:ascii="MetaPro-Norm" w:hAnsi="MetaPro-Norm"/>
        </w:rPr>
        <w:t>D</w:t>
      </w:r>
      <w:r w:rsidR="000128E6">
        <w:rPr>
          <w:rFonts w:ascii="MetaPro-Norm" w:hAnsi="MetaPro-Norm"/>
        </w:rPr>
        <w:t xml:space="preserve">raft General Comment on Land and Economic, Social and Cultural Rights. </w:t>
      </w:r>
      <w:r w:rsidRPr="19BE425E">
        <w:rPr>
          <w:rFonts w:ascii="MetaPro-Norm" w:hAnsi="MetaPro-Norm"/>
        </w:rPr>
        <w:t xml:space="preserve">Human Rights Watch </w:t>
      </w:r>
      <w:r w:rsidR="00D67F24" w:rsidRPr="19BE425E">
        <w:rPr>
          <w:rFonts w:ascii="MetaPro-Norm" w:hAnsi="MetaPro-Norm"/>
        </w:rPr>
        <w:t xml:space="preserve">has documented challenges </w:t>
      </w:r>
      <w:r w:rsidR="000128E6">
        <w:rPr>
          <w:rFonts w:ascii="MetaPro-Norm" w:hAnsi="MetaPro-Norm"/>
        </w:rPr>
        <w:t>to land rights faced by Indigenous peoples, forest-dependent communities, minority ethnic groups, traditional communities, and peasants</w:t>
      </w:r>
      <w:r w:rsidR="00D67F24" w:rsidRPr="19BE425E">
        <w:rPr>
          <w:rFonts w:ascii="MetaPro-Norm" w:hAnsi="MetaPro-Norm"/>
        </w:rPr>
        <w:t xml:space="preserve"> around the world</w:t>
      </w:r>
      <w:r w:rsidRPr="19BE425E">
        <w:rPr>
          <w:rFonts w:ascii="MetaPro-Norm" w:hAnsi="MetaPro-Norm"/>
        </w:rPr>
        <w:t xml:space="preserve">. This </w:t>
      </w:r>
      <w:r w:rsidR="000128E6">
        <w:rPr>
          <w:rFonts w:ascii="MetaPro-Norm" w:hAnsi="MetaPro-Norm"/>
        </w:rPr>
        <w:t>written contribution</w:t>
      </w:r>
      <w:r w:rsidRPr="19BE425E">
        <w:rPr>
          <w:rFonts w:ascii="MetaPro-Norm" w:hAnsi="MetaPro-Norm"/>
        </w:rPr>
        <w:t xml:space="preserve"> focuses on </w:t>
      </w:r>
      <w:r w:rsidR="000128E6">
        <w:rPr>
          <w:rFonts w:ascii="MetaPro-Norm" w:hAnsi="MetaPro-Norm"/>
        </w:rPr>
        <w:t xml:space="preserve">an argument for the General Comment </w:t>
      </w:r>
      <w:r w:rsidR="004A18A0">
        <w:rPr>
          <w:rFonts w:ascii="MetaPro-Norm" w:hAnsi="MetaPro-Norm"/>
        </w:rPr>
        <w:t xml:space="preserve">acknowledging </w:t>
      </w:r>
      <w:r w:rsidR="00A376AC">
        <w:rPr>
          <w:rFonts w:ascii="MetaPro-Norm" w:hAnsi="MetaPro-Norm"/>
        </w:rPr>
        <w:t xml:space="preserve">the right to land </w:t>
      </w:r>
      <w:r w:rsidR="000128E6">
        <w:rPr>
          <w:rFonts w:ascii="MetaPro-Norm" w:hAnsi="MetaPro-Norm"/>
        </w:rPr>
        <w:t>as a stand-alone right based on interpretation of relevant</w:t>
      </w:r>
      <w:r w:rsidR="00D646F8">
        <w:rPr>
          <w:rFonts w:ascii="MetaPro-Norm" w:hAnsi="MetaPro-Norm"/>
        </w:rPr>
        <w:t xml:space="preserve"> human rights</w:t>
      </w:r>
      <w:r w:rsidR="000128E6">
        <w:rPr>
          <w:rFonts w:ascii="MetaPro-Norm" w:hAnsi="MetaPro-Norm"/>
        </w:rPr>
        <w:t xml:space="preserve"> pr</w:t>
      </w:r>
      <w:bookmarkStart w:id="0" w:name="_GoBack"/>
      <w:bookmarkEnd w:id="0"/>
      <w:r w:rsidR="000128E6">
        <w:rPr>
          <w:rFonts w:ascii="MetaPro-Norm" w:hAnsi="MetaPro-Norm"/>
        </w:rPr>
        <w:t xml:space="preserve">ovisions </w:t>
      </w:r>
      <w:r w:rsidR="00A376AC">
        <w:rPr>
          <w:rFonts w:ascii="MetaPro-Norm" w:hAnsi="MetaPro-Norm"/>
        </w:rPr>
        <w:t>affecting</w:t>
      </w:r>
      <w:r w:rsidR="000128E6">
        <w:rPr>
          <w:rFonts w:ascii="MetaPro-Norm" w:hAnsi="MetaPro-Norm"/>
        </w:rPr>
        <w:t xml:space="preserve"> governance of land tenure</w:t>
      </w:r>
      <w:r w:rsidR="00D80BFA">
        <w:rPr>
          <w:rFonts w:ascii="MetaPro-Norm" w:hAnsi="MetaPro-Norm"/>
        </w:rPr>
        <w:t>, including</w:t>
      </w:r>
      <w:r w:rsidR="000128E6">
        <w:rPr>
          <w:rFonts w:ascii="MetaPro-Norm" w:hAnsi="MetaPro-Norm"/>
        </w:rPr>
        <w:t xml:space="preserve"> the</w:t>
      </w:r>
      <w:r w:rsidR="00D80BFA">
        <w:rPr>
          <w:rFonts w:ascii="MetaPro-Norm" w:hAnsi="MetaPro-Norm"/>
        </w:rPr>
        <w:t xml:space="preserve"> Universal Declaration of Human Rights, the United Nations Declaration on the Rights of Indigenous Peoples, and the</w:t>
      </w:r>
      <w:r w:rsidR="000128E6">
        <w:rPr>
          <w:rFonts w:ascii="MetaPro-Norm" w:hAnsi="MetaPro-Norm"/>
        </w:rPr>
        <w:t xml:space="preserve"> </w:t>
      </w:r>
      <w:r w:rsidR="00D80BFA">
        <w:rPr>
          <w:rFonts w:ascii="MetaPro-Norm" w:hAnsi="MetaPro-Norm"/>
        </w:rPr>
        <w:t>United Nation</w:t>
      </w:r>
      <w:r w:rsidR="00F82547">
        <w:rPr>
          <w:rFonts w:ascii="MetaPro-Norm" w:hAnsi="MetaPro-Norm"/>
        </w:rPr>
        <w:t>s</w:t>
      </w:r>
      <w:r w:rsidR="00D80BFA">
        <w:rPr>
          <w:rFonts w:ascii="MetaPro-Norm" w:hAnsi="MetaPro-Norm"/>
        </w:rPr>
        <w:t xml:space="preserve"> </w:t>
      </w:r>
      <w:r w:rsidR="000128E6">
        <w:rPr>
          <w:rFonts w:ascii="MetaPro-Norm" w:hAnsi="MetaPro-Norm"/>
        </w:rPr>
        <w:t>Declaration o</w:t>
      </w:r>
      <w:r w:rsidR="00D80BFA">
        <w:rPr>
          <w:rFonts w:ascii="MetaPro-Norm" w:hAnsi="MetaPro-Norm"/>
        </w:rPr>
        <w:t>n the Rights of Peasants</w:t>
      </w:r>
      <w:r w:rsidR="00562FBC">
        <w:rPr>
          <w:rFonts w:ascii="MetaPro-Norm" w:hAnsi="MetaPro-Norm"/>
        </w:rPr>
        <w:t xml:space="preserve"> and Other People Working in Rural Areas</w:t>
      </w:r>
      <w:r w:rsidR="00D80BFA">
        <w:rPr>
          <w:rFonts w:ascii="MetaPro-Norm" w:hAnsi="MetaPro-Norm"/>
        </w:rPr>
        <w:t>.</w:t>
      </w:r>
      <w:r w:rsidR="000128E6">
        <w:rPr>
          <w:rFonts w:ascii="MetaPro-Norm" w:hAnsi="MetaPro-Norm"/>
        </w:rPr>
        <w:t xml:space="preserve"> </w:t>
      </w:r>
      <w:r w:rsidR="00C116B9">
        <w:rPr>
          <w:rFonts w:ascii="MetaPro-Norm" w:hAnsi="MetaPro-Norm"/>
        </w:rPr>
        <w:t xml:space="preserve">The General Comment should make clear that </w:t>
      </w:r>
      <w:r w:rsidR="00C116B9">
        <w:rPr>
          <w:rFonts w:ascii="MetaPro-Norm" w:hAnsi="MetaPro-Norm" w:cstheme="minorHAnsi"/>
        </w:rPr>
        <w:t xml:space="preserve">States should have an obligation to protect the right to use, control, and transfer land </w:t>
      </w:r>
      <w:r w:rsidR="004302FA">
        <w:rPr>
          <w:rFonts w:ascii="MetaPro-Norm" w:hAnsi="MetaPro-Norm" w:cstheme="minorHAnsi"/>
        </w:rPr>
        <w:t>for</w:t>
      </w:r>
      <w:r w:rsidR="00C116B9">
        <w:rPr>
          <w:rFonts w:ascii="MetaPro-Norm" w:hAnsi="MetaPro-Norm" w:cstheme="minorHAnsi"/>
        </w:rPr>
        <w:t xml:space="preserve"> people and communities that have a legitimate right to do so</w:t>
      </w:r>
    </w:p>
    <w:p w14:paraId="7A71737C" w14:textId="5E66BC83" w:rsidR="009C6B4A" w:rsidRPr="0089481A" w:rsidRDefault="0031010F" w:rsidP="00E55BB8">
      <w:pPr>
        <w:pStyle w:val="Heading2"/>
        <w:spacing w:before="0"/>
        <w:rPr>
          <w:rFonts w:ascii="MetaPro-CondMedi" w:hAnsi="MetaPro-CondMedi"/>
          <w:color w:val="auto"/>
          <w:sz w:val="30"/>
          <w:szCs w:val="30"/>
        </w:rPr>
      </w:pPr>
      <w:r>
        <w:rPr>
          <w:rFonts w:ascii="MetaPro-CondMedi" w:hAnsi="MetaPro-CondMedi"/>
          <w:color w:val="auto"/>
          <w:sz w:val="30"/>
          <w:szCs w:val="30"/>
        </w:rPr>
        <w:t xml:space="preserve">A Right to </w:t>
      </w:r>
      <w:r w:rsidR="00DF7568">
        <w:rPr>
          <w:rFonts w:ascii="MetaPro-CondMedi" w:hAnsi="MetaPro-CondMedi"/>
          <w:color w:val="auto"/>
          <w:sz w:val="30"/>
          <w:szCs w:val="30"/>
        </w:rPr>
        <w:t>Lan</w:t>
      </w:r>
      <w:r>
        <w:rPr>
          <w:rFonts w:ascii="MetaPro-CondMedi" w:hAnsi="MetaPro-CondMedi"/>
          <w:color w:val="auto"/>
          <w:sz w:val="30"/>
          <w:szCs w:val="30"/>
        </w:rPr>
        <w:t>d</w:t>
      </w:r>
      <w:r w:rsidR="00DF7568">
        <w:rPr>
          <w:rFonts w:ascii="MetaPro-CondMedi" w:hAnsi="MetaPro-CondMedi"/>
          <w:color w:val="auto"/>
          <w:sz w:val="30"/>
          <w:szCs w:val="30"/>
        </w:rPr>
        <w:t xml:space="preserve"> as a S</w:t>
      </w:r>
      <w:r>
        <w:rPr>
          <w:rFonts w:ascii="MetaPro-CondMedi" w:hAnsi="MetaPro-CondMedi"/>
          <w:color w:val="auto"/>
          <w:sz w:val="30"/>
          <w:szCs w:val="30"/>
        </w:rPr>
        <w:t xml:space="preserve">elf-Standing Human </w:t>
      </w:r>
      <w:r w:rsidR="00DF7568">
        <w:rPr>
          <w:rFonts w:ascii="MetaPro-CondMedi" w:hAnsi="MetaPro-CondMedi"/>
          <w:color w:val="auto"/>
          <w:sz w:val="30"/>
          <w:szCs w:val="30"/>
        </w:rPr>
        <w:t>Right</w:t>
      </w:r>
    </w:p>
    <w:p w14:paraId="4AA1317F" w14:textId="4753B34D" w:rsidR="00DF7568" w:rsidRPr="00DF7568" w:rsidRDefault="0031010F" w:rsidP="00DF7568">
      <w:pPr>
        <w:rPr>
          <w:rFonts w:ascii="MetaPro-Norm" w:hAnsi="MetaPro-Norm" w:cstheme="minorHAnsi"/>
        </w:rPr>
      </w:pPr>
      <w:r>
        <w:rPr>
          <w:rFonts w:ascii="MetaPro-Norm" w:hAnsi="MetaPro-Norm" w:cstheme="minorHAnsi"/>
        </w:rPr>
        <w:t>Existing i</w:t>
      </w:r>
      <w:r w:rsidR="00DF7568" w:rsidRPr="00DF7568">
        <w:rPr>
          <w:rFonts w:ascii="MetaPro-Norm" w:hAnsi="MetaPro-Norm" w:cstheme="minorHAnsi"/>
        </w:rPr>
        <w:t xml:space="preserve">nternational </w:t>
      </w:r>
      <w:r>
        <w:rPr>
          <w:rFonts w:ascii="MetaPro-Norm" w:hAnsi="MetaPro-Norm" w:cstheme="minorHAnsi"/>
        </w:rPr>
        <w:t xml:space="preserve">human rights </w:t>
      </w:r>
      <w:r w:rsidR="00DF7568" w:rsidRPr="00DF7568">
        <w:rPr>
          <w:rFonts w:ascii="MetaPro-Norm" w:hAnsi="MetaPro-Norm" w:cstheme="minorHAnsi"/>
        </w:rPr>
        <w:t xml:space="preserve">law </w:t>
      </w:r>
      <w:r>
        <w:rPr>
          <w:rFonts w:ascii="MetaPro-Norm" w:hAnsi="MetaPro-Norm" w:cstheme="minorHAnsi"/>
        </w:rPr>
        <w:t xml:space="preserve">and standards address a wide range of land issues and </w:t>
      </w:r>
      <w:r w:rsidR="00DF7568" w:rsidRPr="00DF7568">
        <w:rPr>
          <w:rFonts w:ascii="MetaPro-Norm" w:hAnsi="MetaPro-Norm" w:cstheme="minorHAnsi"/>
        </w:rPr>
        <w:t xml:space="preserve">protect rights related to land and security of tenure, including the rights to </w:t>
      </w:r>
      <w:r w:rsidR="00175C72">
        <w:rPr>
          <w:rFonts w:ascii="MetaPro-Norm" w:hAnsi="MetaPro-Norm" w:cstheme="minorHAnsi"/>
        </w:rPr>
        <w:t xml:space="preserve">property and to </w:t>
      </w:r>
      <w:r w:rsidR="00DF7568" w:rsidRPr="00DF7568">
        <w:rPr>
          <w:rFonts w:ascii="MetaPro-Norm" w:hAnsi="MetaPro-Norm" w:cstheme="minorHAnsi"/>
        </w:rPr>
        <w:t xml:space="preserve">an adequate standard of living, and </w:t>
      </w:r>
      <w:r w:rsidR="00175C72">
        <w:rPr>
          <w:rFonts w:ascii="MetaPro-Norm" w:hAnsi="MetaPro-Norm" w:cstheme="minorHAnsi"/>
        </w:rPr>
        <w:t xml:space="preserve">not to be subjected to </w:t>
      </w:r>
      <w:r w:rsidR="00DF7568" w:rsidRPr="00DF7568">
        <w:rPr>
          <w:rFonts w:ascii="MetaPro-Norm" w:hAnsi="MetaPro-Norm" w:cstheme="minorHAnsi"/>
        </w:rPr>
        <w:t xml:space="preserve">forced evictions. </w:t>
      </w:r>
    </w:p>
    <w:p w14:paraId="561EFDD4" w14:textId="00AF9022" w:rsidR="008C6521" w:rsidRPr="00DF7568" w:rsidRDefault="00DF5DDD" w:rsidP="008C6521">
      <w:pPr>
        <w:rPr>
          <w:rFonts w:ascii="MetaPro-Norm" w:hAnsi="MetaPro-Norm" w:cstheme="minorHAnsi"/>
        </w:rPr>
      </w:pPr>
      <w:r w:rsidRPr="00DF7568">
        <w:rPr>
          <w:rFonts w:ascii="MetaPro-Norm" w:hAnsi="MetaPro-Norm" w:cstheme="minorHAnsi"/>
        </w:rPr>
        <w:lastRenderedPageBreak/>
        <w:t>Everyone has the right to own property, alone as well as in association with others and no one shall be arbitrarily deprived of their property.</w:t>
      </w:r>
      <w:r w:rsidRPr="00DF7568">
        <w:rPr>
          <w:rFonts w:ascii="MetaPro-Norm" w:hAnsi="MetaPro-Norm" w:cstheme="minorHAnsi"/>
          <w:vertAlign w:val="superscript"/>
        </w:rPr>
        <w:footnoteReference w:id="2"/>
      </w:r>
      <w:r w:rsidRPr="00DF7568">
        <w:rPr>
          <w:rFonts w:ascii="MetaPro-Norm" w:hAnsi="MetaPro-Norm" w:cstheme="minorHAnsi"/>
        </w:rPr>
        <w:t xml:space="preserve"> The right to property as enshrined in human rights instruments encompasses land and land use. </w:t>
      </w:r>
      <w:r w:rsidR="008C6521" w:rsidRPr="00DF7568">
        <w:rPr>
          <w:rFonts w:ascii="MetaPro-Norm" w:hAnsi="MetaPro-Norm" w:cstheme="minorHAnsi"/>
        </w:rPr>
        <w:t>The Universal Declaration of Human Rights refers to the right to property, stating, “[e]veryone has the right to own property, alone as well as in association with others and no one shall be arbitrarily deprived of his or her property.”</w:t>
      </w:r>
      <w:r w:rsidR="008C6521" w:rsidRPr="00DF7568">
        <w:rPr>
          <w:rFonts w:ascii="MetaPro-Norm" w:hAnsi="MetaPro-Norm" w:cstheme="minorHAnsi"/>
          <w:vertAlign w:val="superscript"/>
        </w:rPr>
        <w:footnoteReference w:id="3"/>
      </w:r>
      <w:r w:rsidR="008C6521" w:rsidRPr="00DF7568">
        <w:rPr>
          <w:rFonts w:ascii="MetaPro-Norm" w:hAnsi="MetaPro-Norm" w:cstheme="minorHAnsi"/>
        </w:rPr>
        <w:t xml:space="preserve"> The African Charter on Human and Peoples’ Rights (Banjul Charter) also guarantees the right to property, and a right to economic, social, and cultural development.</w:t>
      </w:r>
      <w:r w:rsidR="008C6521" w:rsidRPr="00DF7568">
        <w:rPr>
          <w:rFonts w:ascii="MetaPro-Norm" w:hAnsi="MetaPro-Norm" w:cstheme="minorHAnsi"/>
          <w:vertAlign w:val="superscript"/>
        </w:rPr>
        <w:footnoteReference w:id="4"/>
      </w:r>
      <w:r w:rsidR="008C6521" w:rsidRPr="00DF7568">
        <w:rPr>
          <w:rFonts w:ascii="MetaPro-Norm" w:hAnsi="MetaPro-Norm" w:cstheme="minorHAnsi"/>
        </w:rPr>
        <w:t xml:space="preserve"> </w:t>
      </w:r>
      <w:r w:rsidR="000F176A">
        <w:rPr>
          <w:rFonts w:ascii="MetaPro-Norm" w:hAnsi="MetaPro-Norm" w:cstheme="minorHAnsi"/>
        </w:rPr>
        <w:t xml:space="preserve"> The American Convention on Human Rights guarantees the right to property,</w:t>
      </w:r>
      <w:r w:rsidR="000B02E2">
        <w:rPr>
          <w:rStyle w:val="FootnoteReference"/>
          <w:rFonts w:ascii="MetaPro-Norm" w:hAnsi="MetaPro-Norm" w:cstheme="minorHAnsi"/>
        </w:rPr>
        <w:footnoteReference w:id="5"/>
      </w:r>
      <w:r w:rsidR="000F176A">
        <w:rPr>
          <w:rFonts w:ascii="MetaPro-Norm" w:hAnsi="MetaPro-Norm" w:cstheme="minorHAnsi"/>
        </w:rPr>
        <w:t xml:space="preserve"> and the European Convention on Human Rights guarantees </w:t>
      </w:r>
      <w:r w:rsidR="001D0511">
        <w:rPr>
          <w:rFonts w:ascii="MetaPro-Norm" w:hAnsi="MetaPro-Norm" w:cstheme="minorHAnsi"/>
        </w:rPr>
        <w:t>the right to peaceful enjoyment of possessions.</w:t>
      </w:r>
      <w:r w:rsidR="000B02E2">
        <w:rPr>
          <w:rStyle w:val="FootnoteReference"/>
          <w:rFonts w:ascii="MetaPro-Norm" w:hAnsi="MetaPro-Norm" w:cstheme="minorHAnsi"/>
        </w:rPr>
        <w:footnoteReference w:id="6"/>
      </w:r>
      <w:r w:rsidR="001D0511">
        <w:rPr>
          <w:rFonts w:ascii="MetaPro-Norm" w:hAnsi="MetaPro-Norm" w:cstheme="minorHAnsi"/>
        </w:rPr>
        <w:t xml:space="preserve"> </w:t>
      </w:r>
      <w:r w:rsidR="00C401D8">
        <w:rPr>
          <w:rFonts w:ascii="MetaPro-Norm" w:hAnsi="MetaPro-Norm" w:cstheme="minorHAnsi"/>
        </w:rPr>
        <w:t xml:space="preserve">International tribunals, including the Inter-American and African human rights courts and commissions have repeatedly found that the right to property protects land rights of individuals, communities </w:t>
      </w:r>
      <w:r w:rsidR="00C401D8">
        <w:rPr>
          <w:rFonts w:ascii="MetaPro-Norm" w:hAnsi="MetaPro-Norm" w:cstheme="minorHAnsi"/>
        </w:rPr>
        <w:lastRenderedPageBreak/>
        <w:t>and Indigenous peoples</w:t>
      </w:r>
      <w:r w:rsidR="00720642">
        <w:rPr>
          <w:rStyle w:val="FootnoteReference"/>
          <w:rFonts w:ascii="MetaPro-Norm" w:hAnsi="MetaPro-Norm" w:cstheme="minorHAnsi"/>
        </w:rPr>
        <w:footnoteReference w:id="7"/>
      </w:r>
      <w:r w:rsidR="00EC12A1">
        <w:rPr>
          <w:rFonts w:ascii="MetaPro-Norm" w:hAnsi="MetaPro-Norm" w:cstheme="minorHAnsi"/>
        </w:rPr>
        <w:t xml:space="preserve"> and other groups with </w:t>
      </w:r>
      <w:r w:rsidR="001A23CC">
        <w:rPr>
          <w:rFonts w:ascii="MetaPro-Norm" w:hAnsi="MetaPro-Norm" w:cstheme="minorHAnsi"/>
        </w:rPr>
        <w:t>historic connection to land.</w:t>
      </w:r>
      <w:r w:rsidR="00C401D8">
        <w:rPr>
          <w:rFonts w:ascii="MetaPro-Norm" w:hAnsi="MetaPro-Norm" w:cstheme="minorHAnsi"/>
        </w:rPr>
        <w:t xml:space="preserve"> </w:t>
      </w:r>
      <w:r w:rsidR="000B02E2">
        <w:rPr>
          <w:rFonts w:ascii="MetaPro-Norm" w:hAnsi="MetaPro-Norm" w:cstheme="minorHAnsi"/>
        </w:rPr>
        <w:t xml:space="preserve"> </w:t>
      </w:r>
    </w:p>
    <w:p w14:paraId="0388E195" w14:textId="6ADD7C21" w:rsidR="00F82547" w:rsidRPr="00DF7568" w:rsidRDefault="00DA7271" w:rsidP="00F82547">
      <w:pPr>
        <w:rPr>
          <w:rFonts w:ascii="MetaPro-Norm" w:hAnsi="MetaPro-Norm" w:cstheme="minorHAnsi"/>
        </w:rPr>
      </w:pPr>
      <w:r>
        <w:rPr>
          <w:rFonts w:ascii="MetaPro-Norm" w:hAnsi="MetaPro-Norm" w:cstheme="minorHAnsi"/>
        </w:rPr>
        <w:t>I</w:t>
      </w:r>
      <w:r w:rsidR="00DF7568" w:rsidRPr="00DF7568">
        <w:rPr>
          <w:rFonts w:ascii="MetaPro-Norm" w:hAnsi="MetaPro-Norm" w:cstheme="minorHAnsi"/>
        </w:rPr>
        <w:t>nternational</w:t>
      </w:r>
      <w:r w:rsidR="00F82547">
        <w:rPr>
          <w:rFonts w:ascii="MetaPro-Norm" w:hAnsi="MetaPro-Norm" w:cstheme="minorHAnsi"/>
        </w:rPr>
        <w:t>,</w:t>
      </w:r>
      <w:r w:rsidR="00DF7568" w:rsidRPr="00DF7568">
        <w:rPr>
          <w:rFonts w:ascii="MetaPro-Norm" w:hAnsi="MetaPro-Norm" w:cstheme="minorHAnsi"/>
        </w:rPr>
        <w:t xml:space="preserve"> </w:t>
      </w:r>
      <w:r w:rsidR="00DF5DDD">
        <w:rPr>
          <w:rFonts w:ascii="MetaPro-Norm" w:hAnsi="MetaPro-Norm" w:cstheme="minorHAnsi"/>
        </w:rPr>
        <w:t>and</w:t>
      </w:r>
      <w:r w:rsidR="00DF7568" w:rsidRPr="00DF7568">
        <w:rPr>
          <w:rFonts w:ascii="MetaPro-Norm" w:hAnsi="MetaPro-Norm" w:cstheme="minorHAnsi"/>
        </w:rPr>
        <w:t xml:space="preserve"> regional human rights </w:t>
      </w:r>
      <w:r w:rsidR="00DF5DDD">
        <w:rPr>
          <w:rFonts w:ascii="MetaPro-Norm" w:hAnsi="MetaPro-Norm" w:cstheme="minorHAnsi"/>
        </w:rPr>
        <w:t xml:space="preserve">instruments protect individuals and communities, including those with customary land tenure, from arbitrary interference with their rights to property and land, and </w:t>
      </w:r>
      <w:r w:rsidR="00DF7568" w:rsidRPr="00DF7568">
        <w:rPr>
          <w:rFonts w:ascii="MetaPro-Norm" w:hAnsi="MetaPro-Norm" w:cstheme="minorHAnsi"/>
        </w:rPr>
        <w:t xml:space="preserve">protections on property </w:t>
      </w:r>
      <w:r w:rsidR="00F82547">
        <w:rPr>
          <w:rFonts w:ascii="MetaPro-Norm" w:hAnsi="MetaPro-Norm" w:cstheme="minorHAnsi"/>
        </w:rPr>
        <w:t xml:space="preserve">do not </w:t>
      </w:r>
      <w:r w:rsidR="00DF7568" w:rsidRPr="00DF7568">
        <w:rPr>
          <w:rFonts w:ascii="MetaPro-Norm" w:hAnsi="MetaPro-Norm" w:cstheme="minorHAnsi"/>
        </w:rPr>
        <w:t xml:space="preserve">hinge on individuals </w:t>
      </w:r>
      <w:r w:rsidR="00F82547">
        <w:rPr>
          <w:rFonts w:ascii="MetaPro-Norm" w:hAnsi="MetaPro-Norm" w:cstheme="minorHAnsi"/>
        </w:rPr>
        <w:t xml:space="preserve">or a community </w:t>
      </w:r>
      <w:r w:rsidR="00DF7568" w:rsidRPr="00DF7568">
        <w:rPr>
          <w:rFonts w:ascii="MetaPro-Norm" w:hAnsi="MetaPro-Norm" w:cstheme="minorHAnsi"/>
        </w:rPr>
        <w:t>holding formal title to land or property.</w:t>
      </w:r>
      <w:r w:rsidR="00DF5DDD">
        <w:rPr>
          <w:rFonts w:ascii="MetaPro-Norm" w:hAnsi="MetaPro-Norm" w:cstheme="minorHAnsi"/>
        </w:rPr>
        <w:t xml:space="preserve"> </w:t>
      </w:r>
      <w:r w:rsidR="00F82547" w:rsidRPr="00DF7568">
        <w:rPr>
          <w:rFonts w:ascii="MetaPro-Norm" w:hAnsi="MetaPro-Norm" w:cstheme="minorHAnsi"/>
        </w:rPr>
        <w:t>Th</w:t>
      </w:r>
      <w:r w:rsidR="00F82547">
        <w:rPr>
          <w:rFonts w:ascii="MetaPro-Norm" w:hAnsi="MetaPro-Norm" w:cstheme="minorHAnsi"/>
        </w:rPr>
        <w:t>e</w:t>
      </w:r>
      <w:r w:rsidR="00F82547" w:rsidRPr="00DF7568">
        <w:rPr>
          <w:rFonts w:ascii="MetaPro-Norm" w:hAnsi="MetaPro-Norm" w:cstheme="minorHAnsi"/>
        </w:rPr>
        <w:t xml:space="preserve"> </w:t>
      </w:r>
      <w:r w:rsidR="000B02E2">
        <w:rPr>
          <w:rFonts w:ascii="MetaPro-Norm" w:hAnsi="MetaPro-Norm" w:cstheme="minorHAnsi"/>
        </w:rPr>
        <w:t xml:space="preserve">UN </w:t>
      </w:r>
      <w:r w:rsidR="00F82547" w:rsidRPr="00DF7568">
        <w:rPr>
          <w:rFonts w:ascii="MetaPro-Norm" w:hAnsi="MetaPro-Norm" w:cstheme="minorHAnsi"/>
        </w:rPr>
        <w:t xml:space="preserve">Committee </w:t>
      </w:r>
      <w:r w:rsidR="00F82547">
        <w:rPr>
          <w:rFonts w:ascii="MetaPro-Norm" w:hAnsi="MetaPro-Norm" w:cstheme="minorHAnsi"/>
        </w:rPr>
        <w:t>on Economic, Social and Cultural Rights has</w:t>
      </w:r>
      <w:r w:rsidR="00F82547" w:rsidRPr="00DF7568">
        <w:rPr>
          <w:rFonts w:ascii="MetaPro-Norm" w:hAnsi="MetaPro-Norm" w:cstheme="minorHAnsi"/>
        </w:rPr>
        <w:t xml:space="preserve"> emphasize</w:t>
      </w:r>
      <w:r w:rsidR="00F82547">
        <w:rPr>
          <w:rFonts w:ascii="MetaPro-Norm" w:hAnsi="MetaPro-Norm" w:cstheme="minorHAnsi"/>
        </w:rPr>
        <w:t>d</w:t>
      </w:r>
      <w:r w:rsidR="00F82547" w:rsidRPr="00DF7568">
        <w:rPr>
          <w:rFonts w:ascii="MetaPro-Norm" w:hAnsi="MetaPro-Norm" w:cstheme="minorHAnsi"/>
        </w:rPr>
        <w:t xml:space="preserve"> that rights protections apply whether or not individuals hold formal title. </w:t>
      </w:r>
      <w:r w:rsidR="00F82547">
        <w:rPr>
          <w:rFonts w:ascii="MetaPro-Norm" w:hAnsi="MetaPro-Norm" w:cstheme="minorHAnsi"/>
        </w:rPr>
        <w:t>The Committee noted in</w:t>
      </w:r>
      <w:r w:rsidR="00F82547" w:rsidRPr="00DF7568">
        <w:rPr>
          <w:rFonts w:ascii="MetaPro-Norm" w:hAnsi="MetaPro-Norm" w:cstheme="minorHAnsi"/>
        </w:rPr>
        <w:t xml:space="preserve"> </w:t>
      </w:r>
      <w:r w:rsidR="000B02E2">
        <w:rPr>
          <w:rFonts w:ascii="MetaPro-Norm" w:hAnsi="MetaPro-Norm" w:cstheme="minorHAnsi"/>
        </w:rPr>
        <w:t xml:space="preserve">its </w:t>
      </w:r>
      <w:r w:rsidR="00F82547" w:rsidRPr="00DF7568">
        <w:rPr>
          <w:rFonts w:ascii="MetaPro-Norm" w:hAnsi="MetaPro-Norm" w:cstheme="minorHAnsi"/>
        </w:rPr>
        <w:t>General Comment No. 4 that legal security of tenure “takes a variety of forms, including … occupation of land or property. Notwithstanding the type of tenure, all persons should possess a degree of security of tenure which guarantees legal protection against forced eviction, harassment and other threats.”</w:t>
      </w:r>
      <w:r w:rsidR="00F82547" w:rsidRPr="00DF7568">
        <w:rPr>
          <w:rFonts w:ascii="MetaPro-Norm" w:hAnsi="MetaPro-Norm" w:cstheme="minorHAnsi"/>
          <w:vertAlign w:val="superscript"/>
        </w:rPr>
        <w:t xml:space="preserve"> </w:t>
      </w:r>
      <w:r w:rsidR="00F82547" w:rsidRPr="00DF7568">
        <w:rPr>
          <w:rFonts w:ascii="MetaPro-Norm" w:hAnsi="MetaPro-Norm" w:cstheme="minorHAnsi"/>
          <w:vertAlign w:val="superscript"/>
        </w:rPr>
        <w:footnoteReference w:id="8"/>
      </w:r>
    </w:p>
    <w:p w14:paraId="7ADD14C5" w14:textId="3403B43D" w:rsidR="00DF7568" w:rsidRDefault="00B33C15" w:rsidP="00DF7568">
      <w:pPr>
        <w:rPr>
          <w:rFonts w:ascii="MetaPro-Norm" w:hAnsi="MetaPro-Norm" w:cstheme="minorHAnsi"/>
        </w:rPr>
      </w:pPr>
      <w:r>
        <w:rPr>
          <w:rFonts w:ascii="MetaPro-Norm" w:hAnsi="MetaPro-Norm" w:cstheme="minorHAnsi"/>
        </w:rPr>
        <w:t xml:space="preserve">Case law from </w:t>
      </w:r>
      <w:r w:rsidR="007B53A0">
        <w:rPr>
          <w:rFonts w:ascii="MetaPro-Norm" w:hAnsi="MetaPro-Norm" w:cstheme="minorHAnsi"/>
        </w:rPr>
        <w:t>i</w:t>
      </w:r>
      <w:r>
        <w:rPr>
          <w:rFonts w:ascii="MetaPro-Norm" w:hAnsi="MetaPro-Norm" w:cstheme="minorHAnsi"/>
        </w:rPr>
        <w:t>nternational, regional and national human rights jurisprudence have also highlighted the link between land and human rights.</w:t>
      </w:r>
      <w:r>
        <w:rPr>
          <w:rStyle w:val="FootnoteReference"/>
          <w:rFonts w:ascii="MetaPro-Norm" w:hAnsi="MetaPro-Norm" w:cstheme="minorHAnsi"/>
        </w:rPr>
        <w:footnoteReference w:id="9"/>
      </w:r>
      <w:r>
        <w:rPr>
          <w:rFonts w:ascii="MetaPro-Norm" w:hAnsi="MetaPro-Norm" w:cstheme="minorHAnsi"/>
        </w:rPr>
        <w:t xml:space="preserve"> </w:t>
      </w:r>
      <w:r w:rsidR="00DF5DDD" w:rsidRPr="00DF7568">
        <w:rPr>
          <w:rFonts w:ascii="MetaPro-Norm" w:hAnsi="MetaPro-Norm" w:cstheme="minorHAnsi"/>
        </w:rPr>
        <w:t>In the case of </w:t>
      </w:r>
      <w:r w:rsidR="00E40D4A">
        <w:rPr>
          <w:rFonts w:ascii="MetaPro-Norm" w:hAnsi="MetaPro-Norm" w:cstheme="minorHAnsi"/>
        </w:rPr>
        <w:t>Center on Housing Rights and Evictions (</w:t>
      </w:r>
      <w:r w:rsidR="00DF5DDD" w:rsidRPr="00DF7568">
        <w:rPr>
          <w:rFonts w:ascii="MetaPro-Norm" w:hAnsi="MetaPro-Norm" w:cstheme="minorHAnsi"/>
          <w:i/>
          <w:iCs/>
        </w:rPr>
        <w:t>COHRE</w:t>
      </w:r>
      <w:r w:rsidR="00E40D4A">
        <w:rPr>
          <w:rFonts w:ascii="MetaPro-Norm" w:hAnsi="MetaPro-Norm" w:cstheme="minorHAnsi"/>
          <w:i/>
          <w:iCs/>
        </w:rPr>
        <w:t>)</w:t>
      </w:r>
      <w:r w:rsidR="00DF5DDD" w:rsidRPr="00DF7568">
        <w:rPr>
          <w:rFonts w:ascii="MetaPro-Norm" w:hAnsi="MetaPro-Norm" w:cstheme="minorHAnsi"/>
          <w:i/>
          <w:iCs/>
        </w:rPr>
        <w:t xml:space="preserve"> v. Sudan, </w:t>
      </w:r>
      <w:r w:rsidR="00DF5DDD" w:rsidRPr="00DF7568">
        <w:rPr>
          <w:rFonts w:ascii="MetaPro-Norm" w:hAnsi="MetaPro-Norm" w:cstheme="minorHAnsi"/>
        </w:rPr>
        <w:t xml:space="preserve">the African Commission found that “[i]t doesn’t matter whether they had legal titles to the land, the fact that the victims cannot derive their livelihood from what they possessed for generations means they have been deprived of the use of their property under </w:t>
      </w:r>
      <w:r w:rsidR="00DF5DDD" w:rsidRPr="00DF7568">
        <w:rPr>
          <w:rFonts w:ascii="MetaPro-Norm" w:hAnsi="MetaPro-Norm" w:cstheme="minorHAnsi"/>
        </w:rPr>
        <w:lastRenderedPageBreak/>
        <w:t>conditions which are not permitted by Article 14 [right to property]”</w:t>
      </w:r>
      <w:r w:rsidR="00E1372C">
        <w:rPr>
          <w:rFonts w:ascii="MetaPro-Norm" w:hAnsi="MetaPro-Norm" w:cstheme="minorHAnsi"/>
        </w:rPr>
        <w:t xml:space="preserve"> of the African Charter on Human and People</w:t>
      </w:r>
      <w:r w:rsidR="00C6514E">
        <w:rPr>
          <w:rFonts w:ascii="MetaPro-Norm" w:hAnsi="MetaPro-Norm" w:cstheme="minorHAnsi"/>
        </w:rPr>
        <w:t>s’ Rights.</w:t>
      </w:r>
      <w:r w:rsidR="00DF5DDD" w:rsidRPr="00DF7568">
        <w:rPr>
          <w:rFonts w:ascii="MetaPro-Norm" w:hAnsi="MetaPro-Norm" w:cstheme="minorHAnsi"/>
          <w:vertAlign w:val="superscript"/>
        </w:rPr>
        <w:footnoteReference w:id="10"/>
      </w:r>
      <w:r w:rsidR="00DF7568" w:rsidRPr="00DF7568">
        <w:rPr>
          <w:rFonts w:ascii="MetaPro-Norm" w:hAnsi="MetaPro-Norm" w:cstheme="minorHAnsi"/>
        </w:rPr>
        <w:t xml:space="preserve"> </w:t>
      </w:r>
    </w:p>
    <w:p w14:paraId="477F36A0" w14:textId="07991659" w:rsidR="000767A6" w:rsidRDefault="00385899" w:rsidP="00DF7568">
      <w:pPr>
        <w:rPr>
          <w:rFonts w:ascii="MetaPro-Norm" w:hAnsi="MetaPro-Norm" w:cstheme="minorHAnsi"/>
        </w:rPr>
      </w:pPr>
      <w:r w:rsidRPr="00DF7568">
        <w:rPr>
          <w:rFonts w:ascii="MetaPro-Norm" w:hAnsi="MetaPro-Norm" w:cstheme="minorHAnsi"/>
        </w:rPr>
        <w:t>Land rights specific to Indigenous peoples are protected within international law</w:t>
      </w:r>
      <w:r w:rsidR="001B25DD">
        <w:rPr>
          <w:rFonts w:ascii="MetaPro-Norm" w:hAnsi="MetaPro-Norm" w:cstheme="minorHAnsi"/>
        </w:rPr>
        <w:t xml:space="preserve">, including their rights to lands they have traditionally </w:t>
      </w:r>
      <w:r w:rsidR="00EE025D">
        <w:rPr>
          <w:rFonts w:ascii="MetaPro-Norm" w:hAnsi="MetaPro-Norm" w:cstheme="minorHAnsi"/>
        </w:rPr>
        <w:t>owned occupied or otherwise used or acquired</w:t>
      </w:r>
      <w:r w:rsidRPr="00DF7568">
        <w:rPr>
          <w:rFonts w:ascii="MetaPro-Norm" w:hAnsi="MetaPro-Norm" w:cstheme="minorHAnsi"/>
        </w:rPr>
        <w:t>.</w:t>
      </w:r>
      <w:r w:rsidRPr="00DF7568">
        <w:rPr>
          <w:rFonts w:ascii="MetaPro-Norm" w:hAnsi="MetaPro-Norm" w:cstheme="minorHAnsi"/>
          <w:vertAlign w:val="superscript"/>
        </w:rPr>
        <w:footnoteReference w:id="11"/>
      </w:r>
      <w:r w:rsidR="0038558A">
        <w:rPr>
          <w:rFonts w:ascii="MetaPro-Norm" w:hAnsi="MetaPro-Norm" w:cstheme="minorHAnsi"/>
        </w:rPr>
        <w:t xml:space="preserve"> </w:t>
      </w:r>
    </w:p>
    <w:p w14:paraId="601E9443" w14:textId="7D52F7DA" w:rsidR="00AE4E9F" w:rsidRDefault="0038558A" w:rsidP="00DF7568">
      <w:pPr>
        <w:rPr>
          <w:rFonts w:ascii="MetaPro-Norm" w:hAnsi="MetaPro-Norm" w:cstheme="minorHAnsi"/>
        </w:rPr>
      </w:pPr>
      <w:r>
        <w:rPr>
          <w:rFonts w:ascii="MetaPro-Norm" w:hAnsi="MetaPro-Norm" w:cstheme="minorHAnsi"/>
        </w:rPr>
        <w:t xml:space="preserve">The </w:t>
      </w:r>
      <w:bookmarkStart w:id="1" w:name="_Hlk79702494"/>
      <w:r>
        <w:rPr>
          <w:rFonts w:ascii="MetaPro-Norm" w:hAnsi="MetaPro-Norm" w:cstheme="minorHAnsi"/>
        </w:rPr>
        <w:t>United Nations Declaration on the Rights of Peasants and Other People Working in Rural Areas</w:t>
      </w:r>
      <w:r w:rsidR="008A789E">
        <w:rPr>
          <w:rFonts w:ascii="MetaPro-Norm" w:hAnsi="MetaPro-Norm" w:cstheme="minorHAnsi"/>
        </w:rPr>
        <w:t xml:space="preserve"> in art</w:t>
      </w:r>
      <w:r w:rsidR="007B53A0">
        <w:rPr>
          <w:rFonts w:ascii="MetaPro-Norm" w:hAnsi="MetaPro-Norm" w:cstheme="minorHAnsi"/>
        </w:rPr>
        <w:t>icle</w:t>
      </w:r>
      <w:r w:rsidR="008A789E">
        <w:rPr>
          <w:rFonts w:ascii="MetaPro-Norm" w:hAnsi="MetaPro-Norm" w:cstheme="minorHAnsi"/>
        </w:rPr>
        <w:t xml:space="preserve"> 17 </w:t>
      </w:r>
      <w:bookmarkEnd w:id="1"/>
      <w:r w:rsidR="008A789E">
        <w:rPr>
          <w:rFonts w:ascii="MetaPro-Norm" w:hAnsi="MetaPro-Norm" w:cstheme="minorHAnsi"/>
        </w:rPr>
        <w:t>states that “</w:t>
      </w:r>
      <w:r w:rsidR="009F42A7">
        <w:rPr>
          <w:rFonts w:ascii="MetaPro-Norm" w:hAnsi="MetaPro-Norm" w:cstheme="minorHAnsi"/>
        </w:rPr>
        <w:t>[p]</w:t>
      </w:r>
      <w:r w:rsidR="008A789E">
        <w:rPr>
          <w:rFonts w:ascii="MetaPro-Norm" w:hAnsi="MetaPro-Norm" w:cstheme="minorHAnsi"/>
        </w:rPr>
        <w:t>easants and other people living in rural areas have the right to lan</w:t>
      </w:r>
      <w:r w:rsidR="00871A30">
        <w:rPr>
          <w:rFonts w:ascii="MetaPro-Norm" w:hAnsi="MetaPro-Norm" w:cstheme="minorHAnsi"/>
        </w:rPr>
        <w:t>d individually and/or collectively</w:t>
      </w:r>
      <w:r w:rsidR="000F1F5C">
        <w:rPr>
          <w:rFonts w:ascii="MetaPro-Norm" w:hAnsi="MetaPro-Norm" w:cstheme="minorHAnsi"/>
        </w:rPr>
        <w:t xml:space="preserve">, in accordance </w:t>
      </w:r>
      <w:r w:rsidR="00BA57F9">
        <w:rPr>
          <w:rFonts w:ascii="MetaPro-Norm" w:hAnsi="MetaPro-Norm" w:cstheme="minorHAnsi"/>
        </w:rPr>
        <w:t xml:space="preserve">with article 28 </w:t>
      </w:r>
      <w:r w:rsidR="00945675">
        <w:rPr>
          <w:rFonts w:ascii="MetaPro-Norm" w:hAnsi="MetaPro-Norm" w:cstheme="minorHAnsi"/>
        </w:rPr>
        <w:t xml:space="preserve">[General] </w:t>
      </w:r>
      <w:r w:rsidR="00BA57F9">
        <w:rPr>
          <w:rFonts w:ascii="MetaPro-Norm" w:hAnsi="MetaPro-Norm" w:cstheme="minorHAnsi"/>
        </w:rPr>
        <w:t>of the present Declaration</w:t>
      </w:r>
      <w:r w:rsidR="00996486">
        <w:rPr>
          <w:rFonts w:ascii="MetaPro-Norm" w:hAnsi="MetaPro-Norm" w:cstheme="minorHAnsi"/>
        </w:rPr>
        <w:t>, including the right to have access to, sustainably use and manage land</w:t>
      </w:r>
      <w:r w:rsidR="00422B35">
        <w:rPr>
          <w:rFonts w:ascii="MetaPro-Norm" w:hAnsi="MetaPro-Norm" w:cstheme="minorHAnsi"/>
        </w:rPr>
        <w:t xml:space="preserve"> …</w:t>
      </w:r>
      <w:r w:rsidR="006D2AA0">
        <w:rPr>
          <w:rFonts w:ascii="MetaPro-Norm" w:hAnsi="MetaPro-Norm" w:cstheme="minorHAnsi"/>
        </w:rPr>
        <w:t>, to achieve an adequate standard of living, to have a place to live in security, peace and dignity and to develop their cultures.</w:t>
      </w:r>
      <w:r w:rsidR="00422B35">
        <w:rPr>
          <w:rFonts w:ascii="MetaPro-Norm" w:hAnsi="MetaPro-Norm" w:cstheme="minorHAnsi"/>
        </w:rPr>
        <w:t>”</w:t>
      </w:r>
      <w:r w:rsidR="00422B35">
        <w:rPr>
          <w:rStyle w:val="FootnoteReference"/>
          <w:rFonts w:ascii="MetaPro-Norm" w:hAnsi="MetaPro-Norm" w:cstheme="minorHAnsi"/>
        </w:rPr>
        <w:footnoteReference w:id="12"/>
      </w:r>
      <w:r>
        <w:rPr>
          <w:rFonts w:ascii="MetaPro-Norm" w:hAnsi="MetaPro-Norm" w:cstheme="minorHAnsi"/>
        </w:rPr>
        <w:t xml:space="preserve"> </w:t>
      </w:r>
      <w:r w:rsidR="007B53A0">
        <w:rPr>
          <w:rFonts w:ascii="MetaPro-Norm" w:hAnsi="MetaPro-Norm" w:cstheme="minorHAnsi"/>
        </w:rPr>
        <w:t xml:space="preserve">Under the Declaration, </w:t>
      </w:r>
      <w:r w:rsidR="00147962">
        <w:rPr>
          <w:rFonts w:ascii="MetaPro-Norm" w:hAnsi="MetaPro-Norm" w:cstheme="minorHAnsi"/>
        </w:rPr>
        <w:t>“</w:t>
      </w:r>
      <w:r w:rsidR="00147962" w:rsidRPr="001F4026">
        <w:rPr>
          <w:rFonts w:ascii="MetaPro-Norm" w:hAnsi="MetaPro-Norm" w:cstheme="minorHAnsi"/>
        </w:rPr>
        <w:t>States shall take appropriate measures to provide legal recognition for land tenure rights, including customary land tenure rights not currently protected by law, recognizing the existence of different models and systems</w:t>
      </w:r>
      <w:r w:rsidR="007B53A0">
        <w:rPr>
          <w:rFonts w:ascii="MetaPro-Norm" w:hAnsi="MetaPro-Norm" w:cstheme="minorHAnsi"/>
        </w:rPr>
        <w:t>.</w:t>
      </w:r>
      <w:r w:rsidR="00147962">
        <w:rPr>
          <w:rFonts w:ascii="MetaPro-Norm" w:hAnsi="MetaPro-Norm" w:cstheme="minorHAnsi"/>
        </w:rPr>
        <w:t>”</w:t>
      </w:r>
      <w:r w:rsidR="00293880">
        <w:rPr>
          <w:rFonts w:ascii="MetaPro-Norm" w:hAnsi="MetaPro-Norm" w:cstheme="minorHAnsi"/>
        </w:rPr>
        <w:t xml:space="preserve"> </w:t>
      </w:r>
      <w:r w:rsidR="0000698C">
        <w:rPr>
          <w:rStyle w:val="FootnoteReference"/>
          <w:rFonts w:ascii="MetaPro-Norm" w:hAnsi="MetaPro-Norm" w:cstheme="minorHAnsi"/>
        </w:rPr>
        <w:footnoteReference w:id="13"/>
      </w:r>
      <w:r w:rsidR="0081519E">
        <w:rPr>
          <w:rFonts w:ascii="MetaPro-Norm" w:hAnsi="MetaPro-Norm" w:cstheme="minorHAnsi"/>
        </w:rPr>
        <w:t xml:space="preserve"> Based on this analysis land tenure security stems from States recognizing and protecting existing tenurial arrangements, including the right to access and control over land and natural resources by people whose livelihoods depend on it.</w:t>
      </w:r>
    </w:p>
    <w:p w14:paraId="7718C79C" w14:textId="39745525" w:rsidR="002163CF" w:rsidRDefault="002163CF" w:rsidP="00DF7568">
      <w:pPr>
        <w:rPr>
          <w:rFonts w:ascii="MetaPro-Norm" w:hAnsi="MetaPro-Norm" w:cstheme="minorHAnsi"/>
        </w:rPr>
      </w:pPr>
      <w:r>
        <w:rPr>
          <w:rFonts w:ascii="MetaPro-Norm" w:hAnsi="MetaPro-Norm" w:cstheme="minorHAnsi"/>
        </w:rPr>
        <w:t xml:space="preserve">The General Comment should therefore acknowledge </w:t>
      </w:r>
      <w:r w:rsidR="006D0ED0">
        <w:rPr>
          <w:rFonts w:ascii="MetaPro-Norm" w:hAnsi="MetaPro-Norm" w:cstheme="minorHAnsi"/>
        </w:rPr>
        <w:t>the</w:t>
      </w:r>
      <w:r>
        <w:rPr>
          <w:rFonts w:ascii="MetaPro-Norm" w:hAnsi="MetaPro-Norm" w:cstheme="minorHAnsi"/>
        </w:rPr>
        <w:t xml:space="preserve"> self-standing right to land under human rights law</w:t>
      </w:r>
      <w:r w:rsidR="00862974">
        <w:rPr>
          <w:rFonts w:ascii="MetaPro-Norm" w:hAnsi="MetaPro-Norm" w:cstheme="minorHAnsi"/>
        </w:rPr>
        <w:t>, including for Indigenous peoples, peasants and other people working in rural areas</w:t>
      </w:r>
      <w:r>
        <w:rPr>
          <w:rFonts w:ascii="MetaPro-Norm" w:hAnsi="MetaPro-Norm" w:cstheme="minorHAnsi"/>
        </w:rPr>
        <w:t xml:space="preserve">. </w:t>
      </w:r>
    </w:p>
    <w:p w14:paraId="60DAA183" w14:textId="7443BC37" w:rsidR="00D02946" w:rsidRPr="00EB67A7" w:rsidRDefault="00D02946" w:rsidP="00DF7568">
      <w:pPr>
        <w:rPr>
          <w:rFonts w:eastAsia="Meta Pro" w:cstheme="minorHAnsi"/>
        </w:rPr>
      </w:pPr>
    </w:p>
    <w:sectPr w:rsidR="00D02946" w:rsidRPr="00EB67A7" w:rsidSect="00C16B8E">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38D40" w14:textId="77777777" w:rsidR="00C67F6A" w:rsidRDefault="00C67F6A">
      <w:pPr>
        <w:spacing w:after="0" w:line="240" w:lineRule="auto"/>
      </w:pPr>
      <w:r>
        <w:separator/>
      </w:r>
    </w:p>
  </w:endnote>
  <w:endnote w:type="continuationSeparator" w:id="0">
    <w:p w14:paraId="249AA18F" w14:textId="77777777" w:rsidR="00C67F6A" w:rsidRDefault="00C67F6A">
      <w:pPr>
        <w:spacing w:after="0" w:line="240" w:lineRule="auto"/>
      </w:pPr>
      <w:r>
        <w:continuationSeparator/>
      </w:r>
    </w:p>
  </w:endnote>
  <w:endnote w:type="continuationNotice" w:id="1">
    <w:p w14:paraId="10ADDF3C" w14:textId="77777777" w:rsidR="00C67F6A" w:rsidRDefault="00C67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taPro-Bold">
    <w:altName w:val="Arial Black"/>
    <w:panose1 w:val="00000000000000000000"/>
    <w:charset w:val="00"/>
    <w:family w:val="swiss"/>
    <w:notTrueType/>
    <w:pitch w:val="variable"/>
    <w:sig w:usb0="00000001" w:usb1="4000207B" w:usb2="00000000" w:usb3="00000000" w:csb0="0000009F" w:csb1="00000000"/>
  </w:font>
  <w:font w:name="MetaPro-Medi">
    <w:altName w:val="Arial"/>
    <w:panose1 w:val="00000000000000000000"/>
    <w:charset w:val="00"/>
    <w:family w:val="swiss"/>
    <w:notTrueType/>
    <w:pitch w:val="variable"/>
    <w:sig w:usb0="00000001" w:usb1="4000207B" w:usb2="00000000" w:usb3="00000000" w:csb0="0000009F" w:csb1="00000000"/>
  </w:font>
  <w:font w:name="MetaPro-CondMedi">
    <w:altName w:val="Franklin Gothic Medium Cond"/>
    <w:panose1 w:val="00000000000000000000"/>
    <w:charset w:val="00"/>
    <w:family w:val="swiss"/>
    <w:notTrueType/>
    <w:pitch w:val="variable"/>
    <w:sig w:usb0="00000001" w:usb1="4000207B" w:usb2="00000000" w:usb3="00000000" w:csb0="0000009F" w:csb1="00000000"/>
  </w:font>
  <w:font w:name="MetaPro-Norm">
    <w:altName w:val="Arial"/>
    <w:panose1 w:val="00000000000000000000"/>
    <w:charset w:val="00"/>
    <w:family w:val="swiss"/>
    <w:notTrueType/>
    <w:pitch w:val="variable"/>
    <w:sig w:usb0="00000001" w:usb1="4000207B" w:usb2="00000000" w:usb3="00000000" w:csb0="0000009F" w:csb1="00000000"/>
  </w:font>
  <w:font w:name="Meta Pro">
    <w:altName w:val="Cambria"/>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1709"/>
      <w:docPartObj>
        <w:docPartGallery w:val="Page Numbers (Bottom of Page)"/>
        <w:docPartUnique/>
      </w:docPartObj>
    </w:sdtPr>
    <w:sdtEndPr>
      <w:rPr>
        <w:rFonts w:ascii="MetaPro-Norm" w:hAnsi="MetaPro-Norm"/>
        <w:noProof/>
      </w:rPr>
    </w:sdtEndPr>
    <w:sdtContent>
      <w:p w14:paraId="280F462B" w14:textId="2D2FCF51" w:rsidR="002976A3" w:rsidRPr="002976A3" w:rsidRDefault="002976A3">
        <w:pPr>
          <w:pStyle w:val="Footer"/>
          <w:jc w:val="center"/>
          <w:rPr>
            <w:rFonts w:ascii="MetaPro-Norm" w:hAnsi="MetaPro-Norm"/>
          </w:rPr>
        </w:pPr>
        <w:r w:rsidRPr="002976A3">
          <w:rPr>
            <w:rFonts w:ascii="MetaPro-Norm" w:hAnsi="MetaPro-Norm"/>
          </w:rPr>
          <w:fldChar w:fldCharType="begin"/>
        </w:r>
        <w:r w:rsidRPr="002976A3">
          <w:rPr>
            <w:rFonts w:ascii="MetaPro-Norm" w:hAnsi="MetaPro-Norm"/>
          </w:rPr>
          <w:instrText xml:space="preserve"> PAGE   \* MERGEFORMAT </w:instrText>
        </w:r>
        <w:r w:rsidRPr="002976A3">
          <w:rPr>
            <w:rFonts w:ascii="MetaPro-Norm" w:hAnsi="MetaPro-Norm"/>
          </w:rPr>
          <w:fldChar w:fldCharType="separate"/>
        </w:r>
        <w:r w:rsidR="00CC5CE8">
          <w:rPr>
            <w:rFonts w:ascii="MetaPro-Norm" w:hAnsi="MetaPro-Norm"/>
            <w:noProof/>
          </w:rPr>
          <w:t>3</w:t>
        </w:r>
        <w:r w:rsidRPr="002976A3">
          <w:rPr>
            <w:rFonts w:ascii="MetaPro-Norm" w:hAnsi="MetaPro-Norm"/>
            <w:noProof/>
          </w:rPr>
          <w:fldChar w:fldCharType="end"/>
        </w:r>
      </w:p>
    </w:sdtContent>
  </w:sdt>
  <w:p w14:paraId="16A5891C" w14:textId="699C7851" w:rsidR="7151F2BE" w:rsidRDefault="7151F2BE" w:rsidP="7151F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AABCB" w14:textId="77777777" w:rsidR="00C67F6A" w:rsidRDefault="00C67F6A">
      <w:pPr>
        <w:spacing w:after="0" w:line="240" w:lineRule="auto"/>
      </w:pPr>
      <w:r>
        <w:separator/>
      </w:r>
    </w:p>
  </w:footnote>
  <w:footnote w:type="continuationSeparator" w:id="0">
    <w:p w14:paraId="1E791C8C" w14:textId="77777777" w:rsidR="00C67F6A" w:rsidRDefault="00C67F6A">
      <w:pPr>
        <w:spacing w:after="0" w:line="240" w:lineRule="auto"/>
      </w:pPr>
      <w:r>
        <w:continuationSeparator/>
      </w:r>
    </w:p>
  </w:footnote>
  <w:footnote w:type="continuationNotice" w:id="1">
    <w:p w14:paraId="30D02835" w14:textId="77777777" w:rsidR="00C67F6A" w:rsidRDefault="00C67F6A">
      <w:pPr>
        <w:spacing w:after="0" w:line="240" w:lineRule="auto"/>
      </w:pPr>
    </w:p>
  </w:footnote>
  <w:footnote w:id="2">
    <w:p w14:paraId="4E85D74F" w14:textId="7938C9BC" w:rsidR="00DF5DDD" w:rsidRPr="001F4026" w:rsidRDefault="00DF5DDD" w:rsidP="00DF5DDD">
      <w:pPr>
        <w:pStyle w:val="FootnoteText"/>
        <w:rPr>
          <w:rFonts w:ascii="MetaPro-Norm" w:hAnsi="MetaPro-Norm"/>
          <w:sz w:val="16"/>
          <w:szCs w:val="16"/>
        </w:rPr>
      </w:pPr>
      <w:r w:rsidRPr="00720642">
        <w:rPr>
          <w:rStyle w:val="FootnoteReference"/>
          <w:rFonts w:ascii="MetaPro-Norm" w:hAnsi="MetaPro-Norm"/>
          <w:sz w:val="16"/>
          <w:szCs w:val="16"/>
        </w:rPr>
        <w:footnoteRef/>
      </w:r>
      <w:r w:rsidRPr="00720642">
        <w:rPr>
          <w:rFonts w:ascii="MetaPro-Norm" w:hAnsi="MetaPro-Norm"/>
          <w:sz w:val="16"/>
          <w:szCs w:val="16"/>
        </w:rPr>
        <w:t xml:space="preserve"> Universal Declaration of Human Rights (UDHR),</w:t>
      </w:r>
      <w:r w:rsidRPr="001F4026">
        <w:rPr>
          <w:rFonts w:ascii="MetaPro-Norm" w:hAnsi="MetaPro-Norm"/>
          <w:sz w:val="16"/>
          <w:szCs w:val="16"/>
        </w:rPr>
        <w:t xml:space="preserve"> adopted December 10, 1948, G.A. Res. 217A(III), U.N. Doc. A/810 at 71 (1948), art. 17. </w:t>
      </w:r>
      <w:r w:rsidRPr="001F4026">
        <w:rPr>
          <w:rFonts w:ascii="MetaPro-Norm" w:eastAsia="Times New Roman" w:hAnsi="MetaPro-Norm" w:cstheme="minorHAnsi"/>
          <w:sz w:val="16"/>
          <w:szCs w:val="16"/>
        </w:rPr>
        <w:t xml:space="preserve">See also </w:t>
      </w:r>
      <w:r w:rsidRPr="001F4026">
        <w:rPr>
          <w:rFonts w:ascii="MetaPro-Norm" w:hAnsi="MetaPro-Norm"/>
          <w:sz w:val="16"/>
          <w:szCs w:val="16"/>
        </w:rPr>
        <w:t>International Convention on the Elimination of All Forms of Racial Discrimination (ICERD), adopted December 21, 1965, G.A. Res. 2106 (XX), annex, 20 U.N. GAOR Supp. (No. 14) at 47, U.N. Doc. A/6014 (1966), 660 U.N.T.S. 195, entered</w:t>
      </w:r>
      <w:r w:rsidRPr="001F4026">
        <w:rPr>
          <w:rFonts w:ascii="MetaPro-Norm" w:hAnsi="MetaPro-Norm" w:cstheme="minorHAnsi"/>
          <w:sz w:val="16"/>
          <w:szCs w:val="16"/>
        </w:rPr>
        <w:t xml:space="preserve"> into force January 4, 1969, art. 5(d)(v). ICERD upholds the enjoyment of civil rights, including “</w:t>
      </w:r>
      <w:r w:rsidRPr="001F4026">
        <w:rPr>
          <w:rFonts w:ascii="MetaPro-Norm" w:eastAsia="Times New Roman" w:hAnsi="MetaPro-Norm" w:cstheme="minorHAnsi"/>
          <w:sz w:val="16"/>
          <w:szCs w:val="16"/>
          <w:shd w:val="clear" w:color="auto" w:fill="FFFFFF"/>
        </w:rPr>
        <w:t>(v) The right to own property alone as well as in association with others</w:t>
      </w:r>
      <w:r w:rsidR="000B02E2" w:rsidRPr="001F4026">
        <w:rPr>
          <w:rFonts w:ascii="MetaPro-Norm" w:eastAsia="Times New Roman" w:hAnsi="MetaPro-Norm" w:cstheme="minorHAnsi"/>
          <w:sz w:val="16"/>
          <w:szCs w:val="16"/>
        </w:rPr>
        <w:t>.</w:t>
      </w:r>
      <w:r w:rsidR="007B53A0" w:rsidRPr="001F4026">
        <w:rPr>
          <w:rFonts w:ascii="MetaPro-Norm" w:eastAsia="Times New Roman" w:hAnsi="MetaPro-Norm" w:cstheme="minorHAnsi"/>
          <w:sz w:val="16"/>
          <w:szCs w:val="16"/>
        </w:rPr>
        <w:t>”</w:t>
      </w:r>
    </w:p>
  </w:footnote>
  <w:footnote w:id="3">
    <w:p w14:paraId="7DFCA0A7" w14:textId="75830916" w:rsidR="008C6521" w:rsidRPr="001F4026" w:rsidRDefault="008C6521" w:rsidP="008C6521">
      <w:pPr>
        <w:pStyle w:val="FootnoteText"/>
        <w:rPr>
          <w:rFonts w:ascii="MetaPro-Norm" w:hAnsi="MetaPro-Norm"/>
          <w:sz w:val="16"/>
          <w:szCs w:val="16"/>
        </w:rPr>
      </w:pPr>
      <w:r w:rsidRPr="00720642">
        <w:rPr>
          <w:rStyle w:val="FootnoteReference"/>
          <w:rFonts w:ascii="MetaPro-Norm" w:hAnsi="MetaPro-Norm"/>
          <w:sz w:val="16"/>
          <w:szCs w:val="16"/>
        </w:rPr>
        <w:footnoteRef/>
      </w:r>
      <w:r w:rsidRPr="00720642">
        <w:rPr>
          <w:rFonts w:ascii="MetaPro-Norm" w:hAnsi="MetaPro-Norm"/>
          <w:sz w:val="16"/>
          <w:szCs w:val="16"/>
        </w:rPr>
        <w:t xml:space="preserve"> </w:t>
      </w:r>
      <w:r w:rsidRPr="001F4026">
        <w:rPr>
          <w:rFonts w:ascii="MetaPro-Norm" w:hAnsi="MetaPro-Norm"/>
          <w:sz w:val="16"/>
          <w:szCs w:val="16"/>
        </w:rPr>
        <w:t>UDHR, art. 17.</w:t>
      </w:r>
    </w:p>
  </w:footnote>
  <w:footnote w:id="4">
    <w:p w14:paraId="5FAC236C" w14:textId="51AE66F2" w:rsidR="008C6521" w:rsidRPr="001F4026" w:rsidRDefault="008C6521" w:rsidP="008C6521">
      <w:pPr>
        <w:pStyle w:val="FootnoteText"/>
        <w:rPr>
          <w:rFonts w:ascii="MetaPro-Norm" w:hAnsi="MetaPro-Norm"/>
          <w:sz w:val="16"/>
          <w:szCs w:val="16"/>
        </w:rPr>
      </w:pPr>
      <w:r w:rsidRPr="00720642">
        <w:rPr>
          <w:rStyle w:val="FootnoteReference"/>
          <w:rFonts w:ascii="MetaPro-Norm" w:hAnsi="MetaPro-Norm"/>
          <w:sz w:val="16"/>
          <w:szCs w:val="16"/>
        </w:rPr>
        <w:footnoteRef/>
      </w:r>
      <w:r w:rsidRPr="00720642">
        <w:rPr>
          <w:rFonts w:ascii="MetaPro-Norm" w:hAnsi="MetaPro-Norm"/>
          <w:sz w:val="16"/>
          <w:szCs w:val="16"/>
        </w:rPr>
        <w:t xml:space="preserve"> </w:t>
      </w:r>
      <w:r w:rsidR="000B02E2" w:rsidRPr="001F4026">
        <w:rPr>
          <w:rFonts w:ascii="MetaPro-Norm" w:eastAsia="Times New Roman" w:hAnsi="MetaPro-Norm" w:cstheme="minorHAnsi"/>
          <w:sz w:val="16"/>
          <w:szCs w:val="16"/>
        </w:rPr>
        <w:t xml:space="preserve">African Charter on Human and Peoples’ Rights, article 14, "The right to property shall be guaranteed. It may only be encroached upon in the interest of public need or in the general interest of the community and in accordance with the provisions of appropriate laws." </w:t>
      </w:r>
      <w:r w:rsidRPr="001F4026">
        <w:rPr>
          <w:rFonts w:ascii="MetaPro-Norm" w:hAnsi="MetaPro-Norm"/>
          <w:sz w:val="16"/>
          <w:szCs w:val="16"/>
        </w:rPr>
        <w:t>African [Banjul] Charter on Human and Peoples' Rights, adopted June 27, 1981, OAU Doc. CAB/LEG/67/3 rev. 5, 21 I.L.M. 58 (1982), entered into force October 21, 1986, arts. 14, 20, 21, 22.</w:t>
      </w:r>
    </w:p>
  </w:footnote>
  <w:footnote w:id="5">
    <w:p w14:paraId="3C1431B5" w14:textId="55D5CD11" w:rsidR="000B02E2" w:rsidRPr="001F4026" w:rsidRDefault="000B02E2">
      <w:pPr>
        <w:pStyle w:val="FootnoteText"/>
        <w:rPr>
          <w:rFonts w:ascii="MetaPro-Norm" w:hAnsi="MetaPro-Norm"/>
          <w:sz w:val="16"/>
          <w:szCs w:val="16"/>
        </w:rPr>
      </w:pPr>
      <w:r w:rsidRPr="001F4026">
        <w:rPr>
          <w:rStyle w:val="FootnoteReference"/>
          <w:rFonts w:ascii="MetaPro-Norm" w:hAnsi="MetaPro-Norm"/>
          <w:sz w:val="16"/>
          <w:szCs w:val="16"/>
        </w:rPr>
        <w:footnoteRef/>
      </w:r>
      <w:r w:rsidRPr="001F4026">
        <w:rPr>
          <w:rFonts w:ascii="MetaPro-Norm" w:hAnsi="MetaPro-Norm"/>
          <w:sz w:val="16"/>
          <w:szCs w:val="16"/>
        </w:rPr>
        <w:t xml:space="preserve"> </w:t>
      </w:r>
      <w:r w:rsidRPr="00720642">
        <w:rPr>
          <w:rFonts w:ascii="MetaPro-Norm" w:eastAsia="Times New Roman" w:hAnsi="MetaPro-Norm" w:cstheme="minorHAnsi"/>
          <w:sz w:val="16"/>
          <w:szCs w:val="16"/>
        </w:rPr>
        <w:t>American Convention on Human Rights, article 21, “(1) Everyone has the right to the use and enjoyment of his property. … (2) No one shall be deprived of his property except upon payment of just compensation, for reasons o</w:t>
      </w:r>
      <w:r w:rsidRPr="001F4026">
        <w:rPr>
          <w:rFonts w:ascii="MetaPro-Norm" w:eastAsia="Times New Roman" w:hAnsi="MetaPro-Norm" w:cstheme="minorHAnsi"/>
          <w:sz w:val="16"/>
          <w:szCs w:val="16"/>
        </w:rPr>
        <w:t>f public utility or social interest, and in the cases and according to the forms established by law.”</w:t>
      </w:r>
    </w:p>
  </w:footnote>
  <w:footnote w:id="6">
    <w:p w14:paraId="427E081E" w14:textId="088CFBDB" w:rsidR="000B02E2" w:rsidRPr="001F4026" w:rsidRDefault="000B02E2">
      <w:pPr>
        <w:pStyle w:val="FootnoteText"/>
        <w:rPr>
          <w:rFonts w:ascii="MetaPro-Norm" w:hAnsi="MetaPro-Norm"/>
          <w:sz w:val="16"/>
          <w:szCs w:val="16"/>
        </w:rPr>
      </w:pPr>
      <w:r w:rsidRPr="001F4026">
        <w:rPr>
          <w:rStyle w:val="FootnoteReference"/>
          <w:rFonts w:ascii="MetaPro-Norm" w:hAnsi="MetaPro-Norm"/>
          <w:sz w:val="16"/>
          <w:szCs w:val="16"/>
        </w:rPr>
        <w:footnoteRef/>
      </w:r>
      <w:r w:rsidRPr="001F4026">
        <w:rPr>
          <w:rFonts w:ascii="MetaPro-Norm" w:hAnsi="MetaPro-Norm"/>
          <w:sz w:val="16"/>
          <w:szCs w:val="16"/>
        </w:rPr>
        <w:t xml:space="preserve"> </w:t>
      </w:r>
      <w:r w:rsidRPr="001F4026">
        <w:rPr>
          <w:rFonts w:ascii="MetaPro-Norm" w:hAnsi="MetaPro-Norm" w:cstheme="minorHAnsi"/>
          <w:sz w:val="16"/>
          <w:szCs w:val="16"/>
        </w:rPr>
        <w:t>The</w:t>
      </w:r>
      <w:r w:rsidRPr="001F4026">
        <w:rPr>
          <w:rFonts w:ascii="MetaPro-Norm" w:eastAsia="Times New Roman" w:hAnsi="MetaPro-Norm" w:cstheme="minorHAnsi"/>
          <w:sz w:val="16"/>
          <w:szCs w:val="16"/>
          <w:shd w:val="clear" w:color="auto" w:fill="FFFFFF"/>
        </w:rPr>
        <w:t xml:space="preserve"> </w:t>
      </w:r>
      <w:r w:rsidRPr="001F4026">
        <w:rPr>
          <w:rFonts w:ascii="MetaPro-Norm" w:eastAsia="Times New Roman" w:hAnsi="MetaPro-Norm" w:cstheme="minorHAnsi"/>
          <w:sz w:val="16"/>
          <w:szCs w:val="16"/>
        </w:rPr>
        <w:t>European Convention on Human Rights, article 1, protocol 1 states that “(1) Every natural or legal person is entitled to the peaceful enjoyment of his possessions. No one shall be deprived of his possessions except in the public interest and subject to the conditions provided for by law and by the general principles of international law.”</w:t>
      </w:r>
    </w:p>
  </w:footnote>
  <w:footnote w:id="7">
    <w:p w14:paraId="6A3924BE" w14:textId="77777777" w:rsidR="00720642" w:rsidRPr="001F4026" w:rsidRDefault="00720642" w:rsidP="00720642">
      <w:pPr>
        <w:pStyle w:val="FootnoteText"/>
        <w:rPr>
          <w:rFonts w:ascii="MetaPro-Norm" w:hAnsi="MetaPro-Norm"/>
          <w:sz w:val="16"/>
          <w:szCs w:val="16"/>
        </w:rPr>
      </w:pPr>
      <w:r w:rsidRPr="001F4026">
        <w:rPr>
          <w:rStyle w:val="FootnoteReference"/>
          <w:rFonts w:ascii="MetaPro-Norm" w:hAnsi="MetaPro-Norm"/>
          <w:sz w:val="16"/>
          <w:szCs w:val="16"/>
        </w:rPr>
        <w:footnoteRef/>
      </w:r>
      <w:r w:rsidRPr="001F4026">
        <w:rPr>
          <w:rFonts w:ascii="MetaPro-Norm" w:hAnsi="MetaPro-Norm"/>
          <w:sz w:val="16"/>
          <w:szCs w:val="16"/>
        </w:rPr>
        <w:t xml:space="preserve"> See: Mayagna (Sumo) Awas Tingni Community v. Nicaragua, Series C No. 79, Inter-American Court of Human Rights, August 31, 2001; Center for Minority Rights in Development (Kenya) and Minority Rights Group International on behalf of Endorois Welfare Council v. Kenya, Communication No. 276/2003, African Commission on Human and Peoples’ Rights, February 4, 2010; African Commission on Human and Peoples’ Rights v. Kenya, Application No. 006/2012, African Court on Human and Peoples’ Rights, May 26, 2017.</w:t>
      </w:r>
    </w:p>
  </w:footnote>
  <w:footnote w:id="8">
    <w:p w14:paraId="5D2423FD" w14:textId="7652F52F" w:rsidR="00F82547" w:rsidRPr="001F4026" w:rsidRDefault="00F82547" w:rsidP="00F82547">
      <w:pPr>
        <w:pStyle w:val="FootnoteText"/>
        <w:rPr>
          <w:rFonts w:ascii="MetaPro-Norm" w:hAnsi="MetaPro-Norm" w:cs="Times New Roman"/>
          <w:sz w:val="16"/>
          <w:szCs w:val="16"/>
        </w:rPr>
      </w:pPr>
      <w:r w:rsidRPr="00720642">
        <w:rPr>
          <w:rStyle w:val="FootnoteReference"/>
          <w:rFonts w:ascii="MetaPro-Norm" w:hAnsi="MetaPro-Norm" w:cs="Times New Roman"/>
          <w:sz w:val="16"/>
          <w:szCs w:val="16"/>
        </w:rPr>
        <w:footnoteRef/>
      </w:r>
      <w:r w:rsidRPr="00720642">
        <w:rPr>
          <w:rFonts w:ascii="MetaPro-Norm" w:hAnsi="MetaPro-Norm" w:cs="Times New Roman"/>
          <w:sz w:val="16"/>
          <w:szCs w:val="16"/>
        </w:rPr>
        <w:t xml:space="preserve"> </w:t>
      </w:r>
      <w:r w:rsidR="000B02E2" w:rsidRPr="001F4026">
        <w:rPr>
          <w:rFonts w:ascii="MetaPro-Norm" w:hAnsi="MetaPro-Norm" w:cs="Times New Roman"/>
          <w:sz w:val="16"/>
          <w:szCs w:val="16"/>
        </w:rPr>
        <w:t xml:space="preserve">UN </w:t>
      </w:r>
      <w:r w:rsidRPr="001F4026">
        <w:rPr>
          <w:rFonts w:ascii="MetaPro-Norm" w:hAnsi="MetaPro-Norm" w:cs="Times New Roman"/>
          <w:sz w:val="16"/>
          <w:szCs w:val="16"/>
        </w:rPr>
        <w:t>C</w:t>
      </w:r>
      <w:r w:rsidR="000B02E2" w:rsidRPr="001F4026">
        <w:rPr>
          <w:rFonts w:ascii="MetaPro-Norm" w:hAnsi="MetaPro-Norm" w:cs="Times New Roman"/>
          <w:sz w:val="16"/>
          <w:szCs w:val="16"/>
        </w:rPr>
        <w:t>ommittee on Economic, Social and Cultural Rights</w:t>
      </w:r>
      <w:r w:rsidRPr="001F4026">
        <w:rPr>
          <w:rFonts w:ascii="MetaPro-Norm" w:hAnsi="MetaPro-Norm" w:cs="Times New Roman"/>
          <w:sz w:val="16"/>
          <w:szCs w:val="16"/>
        </w:rPr>
        <w:t>, General Comment 4, The right to adequate housing (Sixth session, 1991), U.N. Doc. E/1992/23, annex III, art. 114 (1991).</w:t>
      </w:r>
    </w:p>
  </w:footnote>
  <w:footnote w:id="9">
    <w:p w14:paraId="1AA1AB93" w14:textId="13C10688" w:rsidR="00B33C15" w:rsidRPr="001F4026" w:rsidRDefault="00B33C15">
      <w:pPr>
        <w:pStyle w:val="FootnoteText"/>
        <w:rPr>
          <w:rFonts w:ascii="MetaPro-Norm" w:hAnsi="MetaPro-Norm"/>
          <w:sz w:val="16"/>
          <w:szCs w:val="16"/>
        </w:rPr>
      </w:pPr>
      <w:r w:rsidRPr="001F4026">
        <w:rPr>
          <w:rStyle w:val="FootnoteReference"/>
          <w:rFonts w:ascii="MetaPro-Norm" w:hAnsi="MetaPro-Norm"/>
          <w:sz w:val="16"/>
          <w:szCs w:val="16"/>
        </w:rPr>
        <w:footnoteRef/>
      </w:r>
      <w:r w:rsidRPr="001F4026">
        <w:rPr>
          <w:rFonts w:ascii="MetaPro-Norm" w:hAnsi="MetaPro-Norm"/>
          <w:sz w:val="16"/>
          <w:szCs w:val="16"/>
        </w:rPr>
        <w:t xml:space="preserve"> United Nations</w:t>
      </w:r>
      <w:r w:rsidR="000B02E2" w:rsidRPr="001F4026">
        <w:rPr>
          <w:rFonts w:ascii="MetaPro-Norm" w:hAnsi="MetaPro-Norm"/>
          <w:sz w:val="16"/>
          <w:szCs w:val="16"/>
        </w:rPr>
        <w:t>,</w:t>
      </w:r>
      <w:r w:rsidRPr="001F4026">
        <w:rPr>
          <w:rFonts w:ascii="MetaPro-Norm" w:hAnsi="MetaPro-Norm"/>
          <w:sz w:val="16"/>
          <w:szCs w:val="16"/>
        </w:rPr>
        <w:t xml:space="preserve"> </w:t>
      </w:r>
      <w:r w:rsidRPr="001F4026">
        <w:rPr>
          <w:rFonts w:ascii="MetaPro-Norm" w:hAnsi="MetaPro-Norm"/>
          <w:i/>
          <w:iCs/>
          <w:sz w:val="16"/>
          <w:szCs w:val="16"/>
        </w:rPr>
        <w:t>Land and Human Rights: Annotated Compilation of Case Law</w:t>
      </w:r>
      <w:r w:rsidRPr="001F4026">
        <w:rPr>
          <w:rFonts w:ascii="MetaPro-Norm" w:hAnsi="MetaPro-Norm"/>
          <w:sz w:val="16"/>
          <w:szCs w:val="16"/>
        </w:rPr>
        <w:t>,</w:t>
      </w:r>
      <w:r w:rsidR="00F41D8B" w:rsidRPr="001F4026">
        <w:rPr>
          <w:rFonts w:ascii="MetaPro-Norm" w:hAnsi="MetaPro-Norm"/>
          <w:sz w:val="16"/>
          <w:szCs w:val="16"/>
        </w:rPr>
        <w:t xml:space="preserve"> 2015,</w:t>
      </w:r>
      <w:r w:rsidRPr="001F4026">
        <w:rPr>
          <w:rFonts w:ascii="MetaPro-Norm" w:hAnsi="MetaPro-Norm"/>
          <w:sz w:val="16"/>
          <w:szCs w:val="16"/>
        </w:rPr>
        <w:t xml:space="preserve"> HR/PUB/15/5</w:t>
      </w:r>
      <w:r w:rsidR="00F41D8B" w:rsidRPr="001F4026">
        <w:rPr>
          <w:rFonts w:ascii="MetaPro-Norm" w:hAnsi="MetaPro-Norm"/>
          <w:sz w:val="16"/>
          <w:szCs w:val="16"/>
        </w:rPr>
        <w:t>.</w:t>
      </w:r>
    </w:p>
  </w:footnote>
  <w:footnote w:id="10">
    <w:p w14:paraId="754D89E6" w14:textId="6F243D43" w:rsidR="00DF5DDD" w:rsidRPr="001F4026" w:rsidRDefault="00DF5DDD" w:rsidP="00DF5DDD">
      <w:pPr>
        <w:pStyle w:val="FootnoteText"/>
        <w:rPr>
          <w:rFonts w:ascii="MetaPro-Norm" w:hAnsi="MetaPro-Norm"/>
          <w:sz w:val="16"/>
          <w:szCs w:val="16"/>
        </w:rPr>
      </w:pPr>
      <w:r w:rsidRPr="00720642">
        <w:rPr>
          <w:rStyle w:val="FootnoteReference"/>
          <w:rFonts w:ascii="MetaPro-Norm" w:hAnsi="MetaPro-Norm"/>
          <w:sz w:val="16"/>
          <w:szCs w:val="16"/>
        </w:rPr>
        <w:footnoteRef/>
      </w:r>
      <w:r w:rsidRPr="00720642">
        <w:rPr>
          <w:rFonts w:ascii="MetaPro-Norm" w:hAnsi="MetaPro-Norm"/>
          <w:sz w:val="16"/>
          <w:szCs w:val="16"/>
        </w:rPr>
        <w:t xml:space="preserve"> </w:t>
      </w:r>
      <w:r w:rsidRPr="001F4026">
        <w:rPr>
          <w:rFonts w:ascii="MetaPro-Norm" w:hAnsi="MetaPro-Norm"/>
          <w:i/>
          <w:iCs/>
          <w:sz w:val="16"/>
          <w:szCs w:val="16"/>
        </w:rPr>
        <w:t>Center on Housing Rights and Evictions (COHRE) v. Sudan</w:t>
      </w:r>
      <w:r w:rsidRPr="001F4026">
        <w:rPr>
          <w:rFonts w:ascii="MetaPro-Norm" w:hAnsi="MetaPro-Norm"/>
          <w:sz w:val="16"/>
          <w:szCs w:val="16"/>
        </w:rPr>
        <w:t>, Communication No. 296/2005</w:t>
      </w:r>
      <w:r w:rsidRPr="001F4026">
        <w:rPr>
          <w:rFonts w:ascii="MetaPro-Norm" w:hAnsi="MetaPro-Norm"/>
          <w:i/>
          <w:iCs/>
          <w:sz w:val="16"/>
          <w:szCs w:val="16"/>
        </w:rPr>
        <w:t xml:space="preserve">, </w:t>
      </w:r>
      <w:r w:rsidR="00E40D4A" w:rsidRPr="00F90AA1">
        <w:rPr>
          <w:rFonts w:ascii="MetaPro-Norm" w:hAnsi="MetaPro-Norm"/>
          <w:sz w:val="16"/>
          <w:szCs w:val="16"/>
        </w:rPr>
        <w:t>African Commission on Human and Peoples’ Rights</w:t>
      </w:r>
      <w:r w:rsidR="00E40D4A" w:rsidRPr="009866D4">
        <w:rPr>
          <w:rFonts w:ascii="MetaPro-Norm" w:hAnsi="MetaPro-Norm"/>
          <w:sz w:val="16"/>
          <w:szCs w:val="16"/>
        </w:rPr>
        <w:t>,</w:t>
      </w:r>
      <w:r w:rsidR="00E40D4A" w:rsidRPr="00720642">
        <w:rPr>
          <w:rFonts w:ascii="MetaPro-Norm" w:hAnsi="MetaPro-Norm"/>
          <w:sz w:val="16"/>
          <w:szCs w:val="16"/>
        </w:rPr>
        <w:t xml:space="preserve"> </w:t>
      </w:r>
      <w:r w:rsidRPr="001F4026">
        <w:rPr>
          <w:rFonts w:ascii="MetaPro-Norm" w:hAnsi="MetaPro-Norm"/>
          <w:sz w:val="16"/>
          <w:szCs w:val="16"/>
        </w:rPr>
        <w:t>July 29, 2009, para. 205.</w:t>
      </w:r>
    </w:p>
  </w:footnote>
  <w:footnote w:id="11">
    <w:p w14:paraId="4BB10884" w14:textId="77777777" w:rsidR="00385899" w:rsidRPr="001F4026" w:rsidRDefault="00385899" w:rsidP="00385899">
      <w:pPr>
        <w:pStyle w:val="FootnoteText"/>
        <w:rPr>
          <w:rFonts w:ascii="MetaPro-Norm" w:hAnsi="MetaPro-Norm" w:cs="Times New Roman"/>
          <w:sz w:val="16"/>
          <w:szCs w:val="16"/>
        </w:rPr>
      </w:pPr>
      <w:r w:rsidRPr="00720642">
        <w:rPr>
          <w:rStyle w:val="FootnoteReference"/>
          <w:rFonts w:ascii="MetaPro-Norm" w:hAnsi="MetaPro-Norm" w:cs="Times New Roman"/>
          <w:sz w:val="16"/>
          <w:szCs w:val="16"/>
        </w:rPr>
        <w:footnoteRef/>
      </w:r>
      <w:r w:rsidRPr="00720642">
        <w:rPr>
          <w:rFonts w:ascii="MetaPro-Norm" w:hAnsi="MetaPro-Norm" w:cs="Times New Roman"/>
          <w:sz w:val="16"/>
          <w:szCs w:val="16"/>
        </w:rPr>
        <w:t xml:space="preserve"> United Nations Declaration on t</w:t>
      </w:r>
      <w:r w:rsidRPr="001F4026">
        <w:rPr>
          <w:rFonts w:ascii="MetaPro-Norm" w:hAnsi="MetaPro-Norm" w:cs="Times New Roman"/>
          <w:sz w:val="16"/>
          <w:szCs w:val="16"/>
        </w:rPr>
        <w:t>he Rights of Indigenous Peoples (UNDRIP), adopted September 13, 2007, G.A. Res. 61/295, U.N. Doc. A/RES/47/1.</w:t>
      </w:r>
    </w:p>
  </w:footnote>
  <w:footnote w:id="12">
    <w:p w14:paraId="76F41064" w14:textId="60B68D32" w:rsidR="00422B35" w:rsidRPr="001F4026" w:rsidRDefault="00422B35">
      <w:pPr>
        <w:pStyle w:val="FootnoteText"/>
        <w:rPr>
          <w:rFonts w:ascii="MetaPro-Norm" w:hAnsi="MetaPro-Norm"/>
          <w:sz w:val="16"/>
          <w:szCs w:val="16"/>
        </w:rPr>
      </w:pPr>
      <w:r w:rsidRPr="001F4026">
        <w:rPr>
          <w:rStyle w:val="FootnoteReference"/>
          <w:rFonts w:ascii="MetaPro-Norm" w:hAnsi="MetaPro-Norm"/>
          <w:sz w:val="16"/>
          <w:szCs w:val="16"/>
        </w:rPr>
        <w:footnoteRef/>
      </w:r>
      <w:r w:rsidRPr="001F4026">
        <w:rPr>
          <w:rFonts w:ascii="MetaPro-Norm" w:hAnsi="MetaPro-Norm"/>
          <w:sz w:val="16"/>
          <w:szCs w:val="16"/>
        </w:rPr>
        <w:t xml:space="preserve"> </w:t>
      </w:r>
      <w:r w:rsidR="009F42A7" w:rsidRPr="001F4026">
        <w:rPr>
          <w:rFonts w:ascii="MetaPro-Norm" w:hAnsi="MetaPro-Norm"/>
          <w:sz w:val="16"/>
          <w:szCs w:val="16"/>
        </w:rPr>
        <w:t>United Nations Declaration on the Rights of Peasants and Other People Working in Rural Areas,</w:t>
      </w:r>
      <w:r w:rsidR="00DC0606" w:rsidRPr="001F4026">
        <w:rPr>
          <w:rFonts w:ascii="MetaPro-Norm" w:hAnsi="MetaPro-Norm"/>
          <w:sz w:val="16"/>
          <w:szCs w:val="16"/>
        </w:rPr>
        <w:t xml:space="preserve"> </w:t>
      </w:r>
      <w:r w:rsidR="005019E4" w:rsidRPr="001F4026">
        <w:rPr>
          <w:rFonts w:ascii="MetaPro-Norm" w:hAnsi="MetaPro-Norm"/>
          <w:sz w:val="16"/>
          <w:szCs w:val="16"/>
        </w:rPr>
        <w:t>Resolution,</w:t>
      </w:r>
      <w:r w:rsidR="00927493" w:rsidRPr="001F4026">
        <w:rPr>
          <w:rFonts w:ascii="MetaPro-Norm" w:hAnsi="MetaPro-Norm"/>
          <w:sz w:val="16"/>
          <w:szCs w:val="16"/>
        </w:rPr>
        <w:t xml:space="preserve"> </w:t>
      </w:r>
      <w:r w:rsidR="00DC0606" w:rsidRPr="001F4026">
        <w:rPr>
          <w:rFonts w:ascii="MetaPro-Norm" w:hAnsi="MetaPro-Norm"/>
          <w:sz w:val="16"/>
          <w:szCs w:val="16"/>
        </w:rPr>
        <w:t>adopted</w:t>
      </w:r>
      <w:r w:rsidR="00927493" w:rsidRPr="001F4026">
        <w:rPr>
          <w:rFonts w:ascii="MetaPro-Norm" w:hAnsi="MetaPro-Norm"/>
          <w:sz w:val="16"/>
          <w:szCs w:val="16"/>
        </w:rPr>
        <w:t xml:space="preserve"> by the Human Rights Council</w:t>
      </w:r>
      <w:r w:rsidR="003D0F59" w:rsidRPr="001F4026">
        <w:rPr>
          <w:rFonts w:ascii="MetaPro-Norm" w:hAnsi="MetaPro-Norm"/>
          <w:sz w:val="16"/>
          <w:szCs w:val="16"/>
        </w:rPr>
        <w:t>,</w:t>
      </w:r>
      <w:r w:rsidR="00DC0606" w:rsidRPr="001F4026">
        <w:rPr>
          <w:rFonts w:ascii="MetaPro-Norm" w:hAnsi="MetaPro-Norm"/>
          <w:sz w:val="16"/>
          <w:szCs w:val="16"/>
        </w:rPr>
        <w:t xml:space="preserve"> </w:t>
      </w:r>
      <w:r w:rsidR="00003730" w:rsidRPr="001F4026">
        <w:rPr>
          <w:rFonts w:ascii="MetaPro-Norm" w:hAnsi="MetaPro-Norm"/>
          <w:sz w:val="16"/>
          <w:szCs w:val="16"/>
        </w:rPr>
        <w:t>September 28, 2018</w:t>
      </w:r>
      <w:r w:rsidR="00F807CD" w:rsidRPr="001F4026">
        <w:rPr>
          <w:rFonts w:ascii="MetaPro-Norm" w:hAnsi="MetaPro-Norm"/>
          <w:sz w:val="16"/>
          <w:szCs w:val="16"/>
        </w:rPr>
        <w:t>, A/HRC/RES/39/12</w:t>
      </w:r>
      <w:r w:rsidR="00112531" w:rsidRPr="001F4026">
        <w:rPr>
          <w:rFonts w:ascii="MetaPro-Norm" w:hAnsi="MetaPro-Norm"/>
          <w:sz w:val="16"/>
          <w:szCs w:val="16"/>
        </w:rPr>
        <w:t>,</w:t>
      </w:r>
      <w:r w:rsidR="009F42A7" w:rsidRPr="001F4026">
        <w:rPr>
          <w:rFonts w:ascii="MetaPro-Norm" w:hAnsi="MetaPro-Norm"/>
          <w:sz w:val="16"/>
          <w:szCs w:val="16"/>
        </w:rPr>
        <w:t xml:space="preserve"> art. 17</w:t>
      </w:r>
      <w:r w:rsidR="007B53A0" w:rsidRPr="001F4026">
        <w:rPr>
          <w:rFonts w:ascii="MetaPro-Norm" w:hAnsi="MetaPro-Norm"/>
          <w:sz w:val="16"/>
          <w:szCs w:val="16"/>
        </w:rPr>
        <w:t>.</w:t>
      </w:r>
    </w:p>
  </w:footnote>
  <w:footnote w:id="13">
    <w:p w14:paraId="33E0A1B4" w14:textId="77CF2475" w:rsidR="0000698C" w:rsidRPr="001F4026" w:rsidRDefault="0000698C">
      <w:pPr>
        <w:pStyle w:val="FootnoteText"/>
        <w:rPr>
          <w:rFonts w:ascii="MetaPro-Norm" w:hAnsi="MetaPro-Norm"/>
          <w:sz w:val="16"/>
          <w:szCs w:val="16"/>
        </w:rPr>
      </w:pPr>
      <w:r w:rsidRPr="001F4026">
        <w:rPr>
          <w:rStyle w:val="FootnoteReference"/>
          <w:rFonts w:ascii="MetaPro-Norm" w:hAnsi="MetaPro-Norm"/>
          <w:sz w:val="16"/>
          <w:szCs w:val="16"/>
        </w:rPr>
        <w:footnoteRef/>
      </w:r>
      <w:r w:rsidRPr="001F4026">
        <w:rPr>
          <w:rFonts w:ascii="MetaPro-Norm" w:hAnsi="MetaPro-Norm"/>
          <w:sz w:val="16"/>
          <w:szCs w:val="16"/>
        </w:rPr>
        <w:t xml:space="preserve"> </w:t>
      </w:r>
      <w:r w:rsidR="002C4CD0" w:rsidRPr="001F4026">
        <w:rPr>
          <w:rFonts w:ascii="MetaPro-Norm" w:hAnsi="MetaPro-Norm"/>
          <w:sz w:val="16"/>
          <w:szCs w:val="16"/>
        </w:rPr>
        <w:t>Ibid. art. 17(3)</w:t>
      </w:r>
      <w:r w:rsidR="007B53A0" w:rsidRPr="001F4026">
        <w:rPr>
          <w:rFonts w:ascii="MetaPro-Norm" w:hAnsi="MetaPro-Norm"/>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ED61" w14:textId="2828CD27" w:rsidR="7151F2BE" w:rsidRDefault="7151F2BE" w:rsidP="00C16B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D4DA" w14:textId="4FF690CC" w:rsidR="00211B2A" w:rsidRDefault="00C16B8E" w:rsidP="00C16B8E">
    <w:pPr>
      <w:pStyle w:val="Header"/>
      <w:jc w:val="center"/>
    </w:pPr>
    <w:r>
      <w:rPr>
        <w:noProof/>
        <w:lang w:val="en-GB" w:eastAsia="ko-KR"/>
      </w:rPr>
      <w:drawing>
        <wp:inline distT="0" distB="0" distL="0" distR="0" wp14:anchorId="411DBFD8" wp14:editId="020FB558">
          <wp:extent cx="914400" cy="914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07B04"/>
    <w:multiLevelType w:val="multilevel"/>
    <w:tmpl w:val="180CE2E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36E778CF"/>
    <w:multiLevelType w:val="hybridMultilevel"/>
    <w:tmpl w:val="DAFA4BDE"/>
    <w:lvl w:ilvl="0" w:tplc="A894AAC0">
      <w:start w:val="2"/>
      <w:numFmt w:val="upperRoman"/>
      <w:lvlText w:val="%1."/>
      <w:lvlJc w:val="right"/>
      <w:pPr>
        <w:tabs>
          <w:tab w:val="num" w:pos="720"/>
        </w:tabs>
        <w:ind w:left="720" w:hanging="360"/>
      </w:pPr>
    </w:lvl>
    <w:lvl w:ilvl="1" w:tplc="F9C47BBE">
      <w:start w:val="1"/>
      <w:numFmt w:val="lowerLetter"/>
      <w:lvlText w:val="%2."/>
      <w:lvlJc w:val="right"/>
      <w:pPr>
        <w:tabs>
          <w:tab w:val="num" w:pos="1440"/>
        </w:tabs>
        <w:ind w:left="1440" w:hanging="360"/>
      </w:pPr>
    </w:lvl>
    <w:lvl w:ilvl="2" w:tplc="99CCC260">
      <w:start w:val="1"/>
      <w:numFmt w:val="upperRoman"/>
      <w:lvlText w:val="%3."/>
      <w:lvlJc w:val="right"/>
      <w:pPr>
        <w:tabs>
          <w:tab w:val="num" w:pos="2160"/>
        </w:tabs>
        <w:ind w:left="2160" w:hanging="360"/>
      </w:pPr>
    </w:lvl>
    <w:lvl w:ilvl="3" w:tplc="6DDE75EE">
      <w:start w:val="1"/>
      <w:numFmt w:val="upperRoman"/>
      <w:lvlText w:val="%4."/>
      <w:lvlJc w:val="right"/>
      <w:pPr>
        <w:tabs>
          <w:tab w:val="num" w:pos="2880"/>
        </w:tabs>
        <w:ind w:left="2880" w:hanging="360"/>
      </w:pPr>
    </w:lvl>
    <w:lvl w:ilvl="4" w:tplc="A880AAA8">
      <w:start w:val="1"/>
      <w:numFmt w:val="upperRoman"/>
      <w:lvlText w:val="%5."/>
      <w:lvlJc w:val="right"/>
      <w:pPr>
        <w:tabs>
          <w:tab w:val="num" w:pos="3600"/>
        </w:tabs>
        <w:ind w:left="3600" w:hanging="360"/>
      </w:pPr>
    </w:lvl>
    <w:lvl w:ilvl="5" w:tplc="59406DE2">
      <w:start w:val="1"/>
      <w:numFmt w:val="upperRoman"/>
      <w:lvlText w:val="%6."/>
      <w:lvlJc w:val="right"/>
      <w:pPr>
        <w:tabs>
          <w:tab w:val="num" w:pos="4320"/>
        </w:tabs>
        <w:ind w:left="4320" w:hanging="360"/>
      </w:pPr>
    </w:lvl>
    <w:lvl w:ilvl="6" w:tplc="FDAA1F80">
      <w:start w:val="1"/>
      <w:numFmt w:val="upperRoman"/>
      <w:lvlText w:val="%7."/>
      <w:lvlJc w:val="right"/>
      <w:pPr>
        <w:tabs>
          <w:tab w:val="num" w:pos="5040"/>
        </w:tabs>
        <w:ind w:left="5040" w:hanging="360"/>
      </w:pPr>
    </w:lvl>
    <w:lvl w:ilvl="7" w:tplc="D26C2040">
      <w:start w:val="1"/>
      <w:numFmt w:val="upperRoman"/>
      <w:lvlText w:val="%8."/>
      <w:lvlJc w:val="right"/>
      <w:pPr>
        <w:tabs>
          <w:tab w:val="num" w:pos="5760"/>
        </w:tabs>
        <w:ind w:left="5760" w:hanging="360"/>
      </w:pPr>
    </w:lvl>
    <w:lvl w:ilvl="8" w:tplc="8B747728">
      <w:start w:val="1"/>
      <w:numFmt w:val="upperRoman"/>
      <w:lvlText w:val="%9."/>
      <w:lvlJc w:val="right"/>
      <w:pPr>
        <w:tabs>
          <w:tab w:val="num" w:pos="6480"/>
        </w:tabs>
        <w:ind w:left="6480" w:hanging="360"/>
      </w:pPr>
    </w:lvl>
  </w:abstractNum>
  <w:abstractNum w:abstractNumId="2" w15:restartNumberingAfterBreak="0">
    <w:nsid w:val="77A00611"/>
    <w:multiLevelType w:val="multilevel"/>
    <w:tmpl w:val="B000621C"/>
    <w:lvl w:ilvl="0">
      <w:start w:val="3"/>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7B634FA8"/>
    <w:multiLevelType w:val="hybridMultilevel"/>
    <w:tmpl w:val="FFFFFFFF"/>
    <w:lvl w:ilvl="0" w:tplc="543AA556">
      <w:start w:val="1"/>
      <w:numFmt w:val="bullet"/>
      <w:lvlText w:val="·"/>
      <w:lvlJc w:val="left"/>
      <w:pPr>
        <w:ind w:left="720" w:hanging="360"/>
      </w:pPr>
      <w:rPr>
        <w:rFonts w:ascii="Symbol" w:hAnsi="Symbol" w:hint="default"/>
      </w:rPr>
    </w:lvl>
    <w:lvl w:ilvl="1" w:tplc="6FAA49B4">
      <w:start w:val="1"/>
      <w:numFmt w:val="bullet"/>
      <w:lvlText w:val="o"/>
      <w:lvlJc w:val="left"/>
      <w:pPr>
        <w:ind w:left="1440" w:hanging="360"/>
      </w:pPr>
      <w:rPr>
        <w:rFonts w:ascii="Courier New" w:hAnsi="Courier New" w:hint="default"/>
      </w:rPr>
    </w:lvl>
    <w:lvl w:ilvl="2" w:tplc="CE424322">
      <w:start w:val="1"/>
      <w:numFmt w:val="bullet"/>
      <w:lvlText w:val=""/>
      <w:lvlJc w:val="left"/>
      <w:pPr>
        <w:ind w:left="2160" w:hanging="360"/>
      </w:pPr>
      <w:rPr>
        <w:rFonts w:ascii="Wingdings" w:hAnsi="Wingdings" w:hint="default"/>
      </w:rPr>
    </w:lvl>
    <w:lvl w:ilvl="3" w:tplc="EB687FE0">
      <w:start w:val="1"/>
      <w:numFmt w:val="bullet"/>
      <w:lvlText w:val=""/>
      <w:lvlJc w:val="left"/>
      <w:pPr>
        <w:ind w:left="2880" w:hanging="360"/>
      </w:pPr>
      <w:rPr>
        <w:rFonts w:ascii="Symbol" w:hAnsi="Symbol" w:hint="default"/>
      </w:rPr>
    </w:lvl>
    <w:lvl w:ilvl="4" w:tplc="5504FC5A">
      <w:start w:val="1"/>
      <w:numFmt w:val="bullet"/>
      <w:lvlText w:val="o"/>
      <w:lvlJc w:val="left"/>
      <w:pPr>
        <w:ind w:left="3600" w:hanging="360"/>
      </w:pPr>
      <w:rPr>
        <w:rFonts w:ascii="Courier New" w:hAnsi="Courier New" w:hint="default"/>
      </w:rPr>
    </w:lvl>
    <w:lvl w:ilvl="5" w:tplc="B29A42C4">
      <w:start w:val="1"/>
      <w:numFmt w:val="bullet"/>
      <w:lvlText w:val=""/>
      <w:lvlJc w:val="left"/>
      <w:pPr>
        <w:ind w:left="4320" w:hanging="360"/>
      </w:pPr>
      <w:rPr>
        <w:rFonts w:ascii="Wingdings" w:hAnsi="Wingdings" w:hint="default"/>
      </w:rPr>
    </w:lvl>
    <w:lvl w:ilvl="6" w:tplc="E892E38A">
      <w:start w:val="1"/>
      <w:numFmt w:val="bullet"/>
      <w:lvlText w:val=""/>
      <w:lvlJc w:val="left"/>
      <w:pPr>
        <w:ind w:left="5040" w:hanging="360"/>
      </w:pPr>
      <w:rPr>
        <w:rFonts w:ascii="Symbol" w:hAnsi="Symbol" w:hint="default"/>
      </w:rPr>
    </w:lvl>
    <w:lvl w:ilvl="7" w:tplc="BDF60552">
      <w:start w:val="1"/>
      <w:numFmt w:val="bullet"/>
      <w:lvlText w:val="o"/>
      <w:lvlJc w:val="left"/>
      <w:pPr>
        <w:ind w:left="5760" w:hanging="360"/>
      </w:pPr>
      <w:rPr>
        <w:rFonts w:ascii="Courier New" w:hAnsi="Courier New" w:hint="default"/>
      </w:rPr>
    </w:lvl>
    <w:lvl w:ilvl="8" w:tplc="566003B6">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4D"/>
    <w:rsid w:val="00003730"/>
    <w:rsid w:val="0000698C"/>
    <w:rsid w:val="000128E6"/>
    <w:rsid w:val="00030B5D"/>
    <w:rsid w:val="00032C82"/>
    <w:rsid w:val="00035663"/>
    <w:rsid w:val="00047B8A"/>
    <w:rsid w:val="00057790"/>
    <w:rsid w:val="000649F9"/>
    <w:rsid w:val="00067689"/>
    <w:rsid w:val="000767A6"/>
    <w:rsid w:val="0008714C"/>
    <w:rsid w:val="00093B92"/>
    <w:rsid w:val="000A3B72"/>
    <w:rsid w:val="000B02E2"/>
    <w:rsid w:val="000C5FC6"/>
    <w:rsid w:val="000E5BA9"/>
    <w:rsid w:val="000F176A"/>
    <w:rsid w:val="000F1F5C"/>
    <w:rsid w:val="00104B32"/>
    <w:rsid w:val="001071F7"/>
    <w:rsid w:val="00112531"/>
    <w:rsid w:val="00121518"/>
    <w:rsid w:val="0012370F"/>
    <w:rsid w:val="0012456D"/>
    <w:rsid w:val="00125730"/>
    <w:rsid w:val="001349FE"/>
    <w:rsid w:val="00147962"/>
    <w:rsid w:val="001521C3"/>
    <w:rsid w:val="001700D1"/>
    <w:rsid w:val="00175C72"/>
    <w:rsid w:val="001831FB"/>
    <w:rsid w:val="00187362"/>
    <w:rsid w:val="00187BAE"/>
    <w:rsid w:val="001A23CC"/>
    <w:rsid w:val="001B25DD"/>
    <w:rsid w:val="001D0511"/>
    <w:rsid w:val="001D7609"/>
    <w:rsid w:val="001E1A39"/>
    <w:rsid w:val="001F147F"/>
    <w:rsid w:val="001F4026"/>
    <w:rsid w:val="002041BA"/>
    <w:rsid w:val="00206C60"/>
    <w:rsid w:val="00211B2A"/>
    <w:rsid w:val="00212C0B"/>
    <w:rsid w:val="00213CF8"/>
    <w:rsid w:val="002163CF"/>
    <w:rsid w:val="00241658"/>
    <w:rsid w:val="002518E6"/>
    <w:rsid w:val="00257037"/>
    <w:rsid w:val="00274257"/>
    <w:rsid w:val="00293880"/>
    <w:rsid w:val="00296217"/>
    <w:rsid w:val="002976A3"/>
    <w:rsid w:val="002B2596"/>
    <w:rsid w:val="002B4958"/>
    <w:rsid w:val="002C2581"/>
    <w:rsid w:val="002C43D1"/>
    <w:rsid w:val="002C4CD0"/>
    <w:rsid w:val="002D3797"/>
    <w:rsid w:val="002F65D7"/>
    <w:rsid w:val="0031010F"/>
    <w:rsid w:val="00320BB6"/>
    <w:rsid w:val="00333E0D"/>
    <w:rsid w:val="00344246"/>
    <w:rsid w:val="003558D8"/>
    <w:rsid w:val="00355BE3"/>
    <w:rsid w:val="0038558A"/>
    <w:rsid w:val="00385899"/>
    <w:rsid w:val="00386B2A"/>
    <w:rsid w:val="003A4B84"/>
    <w:rsid w:val="003D0F59"/>
    <w:rsid w:val="003D119D"/>
    <w:rsid w:val="003F359F"/>
    <w:rsid w:val="00401762"/>
    <w:rsid w:val="00416567"/>
    <w:rsid w:val="00422B35"/>
    <w:rsid w:val="0042482E"/>
    <w:rsid w:val="004302FA"/>
    <w:rsid w:val="00453111"/>
    <w:rsid w:val="004A18A0"/>
    <w:rsid w:val="004A190B"/>
    <w:rsid w:val="004A61AE"/>
    <w:rsid w:val="004C12D8"/>
    <w:rsid w:val="004D3CE9"/>
    <w:rsid w:val="004E1226"/>
    <w:rsid w:val="004E1B5C"/>
    <w:rsid w:val="004F03E2"/>
    <w:rsid w:val="004F284C"/>
    <w:rsid w:val="005019E4"/>
    <w:rsid w:val="00502CDA"/>
    <w:rsid w:val="00502ED8"/>
    <w:rsid w:val="00503380"/>
    <w:rsid w:val="005146EF"/>
    <w:rsid w:val="005401B7"/>
    <w:rsid w:val="00542000"/>
    <w:rsid w:val="00562FBC"/>
    <w:rsid w:val="00574F4C"/>
    <w:rsid w:val="005A3853"/>
    <w:rsid w:val="005B51C1"/>
    <w:rsid w:val="005B6766"/>
    <w:rsid w:val="005C4B2F"/>
    <w:rsid w:val="005D380C"/>
    <w:rsid w:val="005F11C6"/>
    <w:rsid w:val="00613474"/>
    <w:rsid w:val="006145F5"/>
    <w:rsid w:val="00620072"/>
    <w:rsid w:val="0065544D"/>
    <w:rsid w:val="006759A2"/>
    <w:rsid w:val="00675DE0"/>
    <w:rsid w:val="00681EE1"/>
    <w:rsid w:val="006B39DE"/>
    <w:rsid w:val="006B464B"/>
    <w:rsid w:val="006C4A34"/>
    <w:rsid w:val="006D0ED0"/>
    <w:rsid w:val="006D2AA0"/>
    <w:rsid w:val="006D5DB7"/>
    <w:rsid w:val="006E768A"/>
    <w:rsid w:val="007170B0"/>
    <w:rsid w:val="00720642"/>
    <w:rsid w:val="00723DA4"/>
    <w:rsid w:val="00731162"/>
    <w:rsid w:val="00740902"/>
    <w:rsid w:val="007413CB"/>
    <w:rsid w:val="00742064"/>
    <w:rsid w:val="00742914"/>
    <w:rsid w:val="00754AA7"/>
    <w:rsid w:val="007748B7"/>
    <w:rsid w:val="0078143A"/>
    <w:rsid w:val="00785C04"/>
    <w:rsid w:val="007A1D7D"/>
    <w:rsid w:val="007B53A0"/>
    <w:rsid w:val="007D2847"/>
    <w:rsid w:val="007E3543"/>
    <w:rsid w:val="00805D02"/>
    <w:rsid w:val="00812931"/>
    <w:rsid w:val="0081519E"/>
    <w:rsid w:val="008202D1"/>
    <w:rsid w:val="00820FC4"/>
    <w:rsid w:val="00841C90"/>
    <w:rsid w:val="00850AC5"/>
    <w:rsid w:val="00862974"/>
    <w:rsid w:val="00867BB0"/>
    <w:rsid w:val="00871A30"/>
    <w:rsid w:val="008733C3"/>
    <w:rsid w:val="0087524F"/>
    <w:rsid w:val="00875306"/>
    <w:rsid w:val="0089481A"/>
    <w:rsid w:val="008A594A"/>
    <w:rsid w:val="008A789E"/>
    <w:rsid w:val="008A7DE0"/>
    <w:rsid w:val="008C1C2F"/>
    <w:rsid w:val="008C6521"/>
    <w:rsid w:val="008D2F40"/>
    <w:rsid w:val="008D3025"/>
    <w:rsid w:val="008E376A"/>
    <w:rsid w:val="008F1A8D"/>
    <w:rsid w:val="00912AB5"/>
    <w:rsid w:val="0092690C"/>
    <w:rsid w:val="00927493"/>
    <w:rsid w:val="00932B63"/>
    <w:rsid w:val="009333C0"/>
    <w:rsid w:val="00934F51"/>
    <w:rsid w:val="00936019"/>
    <w:rsid w:val="00941C81"/>
    <w:rsid w:val="00944D2D"/>
    <w:rsid w:val="00945675"/>
    <w:rsid w:val="00953A03"/>
    <w:rsid w:val="00954C6D"/>
    <w:rsid w:val="009571DE"/>
    <w:rsid w:val="00971272"/>
    <w:rsid w:val="009739E2"/>
    <w:rsid w:val="0098093B"/>
    <w:rsid w:val="009866D4"/>
    <w:rsid w:val="00991786"/>
    <w:rsid w:val="00996486"/>
    <w:rsid w:val="009973F0"/>
    <w:rsid w:val="009A3D4F"/>
    <w:rsid w:val="009C6B4A"/>
    <w:rsid w:val="009D0980"/>
    <w:rsid w:val="009E134A"/>
    <w:rsid w:val="009E2BA5"/>
    <w:rsid w:val="009E6D4D"/>
    <w:rsid w:val="009F42A7"/>
    <w:rsid w:val="00A04E9C"/>
    <w:rsid w:val="00A376AC"/>
    <w:rsid w:val="00A43DAB"/>
    <w:rsid w:val="00A53678"/>
    <w:rsid w:val="00A71735"/>
    <w:rsid w:val="00A77646"/>
    <w:rsid w:val="00A81D73"/>
    <w:rsid w:val="00A8231B"/>
    <w:rsid w:val="00A93C38"/>
    <w:rsid w:val="00AA197A"/>
    <w:rsid w:val="00AA4040"/>
    <w:rsid w:val="00AA44FE"/>
    <w:rsid w:val="00AB002D"/>
    <w:rsid w:val="00AB75E9"/>
    <w:rsid w:val="00AC2B74"/>
    <w:rsid w:val="00AD78E3"/>
    <w:rsid w:val="00AE2ED2"/>
    <w:rsid w:val="00AE4E9F"/>
    <w:rsid w:val="00AF0FC2"/>
    <w:rsid w:val="00B06BC5"/>
    <w:rsid w:val="00B33C15"/>
    <w:rsid w:val="00B42D96"/>
    <w:rsid w:val="00B51862"/>
    <w:rsid w:val="00B53818"/>
    <w:rsid w:val="00B56867"/>
    <w:rsid w:val="00B70DB1"/>
    <w:rsid w:val="00B79251"/>
    <w:rsid w:val="00B82E3D"/>
    <w:rsid w:val="00BA57F9"/>
    <w:rsid w:val="00BC607E"/>
    <w:rsid w:val="00BD008D"/>
    <w:rsid w:val="00BD43E3"/>
    <w:rsid w:val="00BE5C3B"/>
    <w:rsid w:val="00BF752C"/>
    <w:rsid w:val="00C110F8"/>
    <w:rsid w:val="00C116B9"/>
    <w:rsid w:val="00C16B8E"/>
    <w:rsid w:val="00C30C1C"/>
    <w:rsid w:val="00C32664"/>
    <w:rsid w:val="00C351E3"/>
    <w:rsid w:val="00C37AA5"/>
    <w:rsid w:val="00C401D8"/>
    <w:rsid w:val="00C6150F"/>
    <w:rsid w:val="00C6514E"/>
    <w:rsid w:val="00C67F6A"/>
    <w:rsid w:val="00C90B59"/>
    <w:rsid w:val="00C920E2"/>
    <w:rsid w:val="00C93E7B"/>
    <w:rsid w:val="00C96027"/>
    <w:rsid w:val="00CB678B"/>
    <w:rsid w:val="00CC00DD"/>
    <w:rsid w:val="00CC0698"/>
    <w:rsid w:val="00CC5CE8"/>
    <w:rsid w:val="00CC6A77"/>
    <w:rsid w:val="00CE043A"/>
    <w:rsid w:val="00D02946"/>
    <w:rsid w:val="00D07357"/>
    <w:rsid w:val="00D1681A"/>
    <w:rsid w:val="00D22759"/>
    <w:rsid w:val="00D3033E"/>
    <w:rsid w:val="00D31758"/>
    <w:rsid w:val="00D36494"/>
    <w:rsid w:val="00D42BE0"/>
    <w:rsid w:val="00D646F8"/>
    <w:rsid w:val="00D67F24"/>
    <w:rsid w:val="00D7243D"/>
    <w:rsid w:val="00D753BB"/>
    <w:rsid w:val="00D80BFA"/>
    <w:rsid w:val="00D84724"/>
    <w:rsid w:val="00DA3FE6"/>
    <w:rsid w:val="00DA7271"/>
    <w:rsid w:val="00DAA636"/>
    <w:rsid w:val="00DC0606"/>
    <w:rsid w:val="00DC1610"/>
    <w:rsid w:val="00DC249F"/>
    <w:rsid w:val="00DC2BC9"/>
    <w:rsid w:val="00DC7E7F"/>
    <w:rsid w:val="00DD2F63"/>
    <w:rsid w:val="00DD565D"/>
    <w:rsid w:val="00DF22B3"/>
    <w:rsid w:val="00DF22CA"/>
    <w:rsid w:val="00DF34D9"/>
    <w:rsid w:val="00DF554D"/>
    <w:rsid w:val="00DF5DDD"/>
    <w:rsid w:val="00DF7568"/>
    <w:rsid w:val="00E041BD"/>
    <w:rsid w:val="00E11775"/>
    <w:rsid w:val="00E1372C"/>
    <w:rsid w:val="00E16411"/>
    <w:rsid w:val="00E22B53"/>
    <w:rsid w:val="00E2348D"/>
    <w:rsid w:val="00E40D4A"/>
    <w:rsid w:val="00E55BB8"/>
    <w:rsid w:val="00E60082"/>
    <w:rsid w:val="00EA7954"/>
    <w:rsid w:val="00EB67A7"/>
    <w:rsid w:val="00EC12A1"/>
    <w:rsid w:val="00ED2B57"/>
    <w:rsid w:val="00EE025D"/>
    <w:rsid w:val="00EE1EE4"/>
    <w:rsid w:val="00EE2B69"/>
    <w:rsid w:val="00F042AD"/>
    <w:rsid w:val="00F046A3"/>
    <w:rsid w:val="00F22B8B"/>
    <w:rsid w:val="00F257FB"/>
    <w:rsid w:val="00F4002D"/>
    <w:rsid w:val="00F41D8B"/>
    <w:rsid w:val="00F424B7"/>
    <w:rsid w:val="00F437AE"/>
    <w:rsid w:val="00F64C31"/>
    <w:rsid w:val="00F73016"/>
    <w:rsid w:val="00F770D1"/>
    <w:rsid w:val="00F774A8"/>
    <w:rsid w:val="00F807CD"/>
    <w:rsid w:val="00F82547"/>
    <w:rsid w:val="00F9081A"/>
    <w:rsid w:val="00F90AA1"/>
    <w:rsid w:val="00F911BC"/>
    <w:rsid w:val="00FA3900"/>
    <w:rsid w:val="00FA65C4"/>
    <w:rsid w:val="00FB0538"/>
    <w:rsid w:val="00FB10E5"/>
    <w:rsid w:val="00FB2CA8"/>
    <w:rsid w:val="00FC04E8"/>
    <w:rsid w:val="00FC0A13"/>
    <w:rsid w:val="00FC36C4"/>
    <w:rsid w:val="00FD4837"/>
    <w:rsid w:val="00FF042C"/>
    <w:rsid w:val="00FF1762"/>
    <w:rsid w:val="00FF5668"/>
    <w:rsid w:val="00FF68CD"/>
    <w:rsid w:val="0109BCC9"/>
    <w:rsid w:val="02141609"/>
    <w:rsid w:val="022819CD"/>
    <w:rsid w:val="02F8EA1E"/>
    <w:rsid w:val="0428192F"/>
    <w:rsid w:val="042F88D7"/>
    <w:rsid w:val="04667DE2"/>
    <w:rsid w:val="048A6EB3"/>
    <w:rsid w:val="04CE36B2"/>
    <w:rsid w:val="04D2BFA1"/>
    <w:rsid w:val="0527557D"/>
    <w:rsid w:val="056425F6"/>
    <w:rsid w:val="057F7008"/>
    <w:rsid w:val="0584E8D5"/>
    <w:rsid w:val="05B7D1F0"/>
    <w:rsid w:val="0627A72D"/>
    <w:rsid w:val="0683D0E9"/>
    <w:rsid w:val="0692D94A"/>
    <w:rsid w:val="06CB491A"/>
    <w:rsid w:val="06EE5B6E"/>
    <w:rsid w:val="071BCFA0"/>
    <w:rsid w:val="07C20F75"/>
    <w:rsid w:val="0813F656"/>
    <w:rsid w:val="0822A911"/>
    <w:rsid w:val="08B7A001"/>
    <w:rsid w:val="08B7E871"/>
    <w:rsid w:val="09559BC4"/>
    <w:rsid w:val="098420B6"/>
    <w:rsid w:val="09945622"/>
    <w:rsid w:val="09AC62F8"/>
    <w:rsid w:val="0A95F679"/>
    <w:rsid w:val="0ADF5E58"/>
    <w:rsid w:val="0B147BF1"/>
    <w:rsid w:val="0C798AD4"/>
    <w:rsid w:val="0CE69476"/>
    <w:rsid w:val="0D030C86"/>
    <w:rsid w:val="0DA3D746"/>
    <w:rsid w:val="0EEDD990"/>
    <w:rsid w:val="0F2513EC"/>
    <w:rsid w:val="0F2CF2E2"/>
    <w:rsid w:val="0F7F396E"/>
    <w:rsid w:val="0F8E602A"/>
    <w:rsid w:val="0FAD3C5B"/>
    <w:rsid w:val="10535D2B"/>
    <w:rsid w:val="1100B011"/>
    <w:rsid w:val="110547C5"/>
    <w:rsid w:val="114A100E"/>
    <w:rsid w:val="12448079"/>
    <w:rsid w:val="12768E4A"/>
    <w:rsid w:val="12ACE256"/>
    <w:rsid w:val="12BB4CC8"/>
    <w:rsid w:val="13A1A8E6"/>
    <w:rsid w:val="13D0C0CC"/>
    <w:rsid w:val="1409A64E"/>
    <w:rsid w:val="142299C5"/>
    <w:rsid w:val="142CDEB6"/>
    <w:rsid w:val="14A88003"/>
    <w:rsid w:val="14EAE580"/>
    <w:rsid w:val="14F47E81"/>
    <w:rsid w:val="15118ACF"/>
    <w:rsid w:val="158809E7"/>
    <w:rsid w:val="15CEF97A"/>
    <w:rsid w:val="161D8131"/>
    <w:rsid w:val="164EE8DE"/>
    <w:rsid w:val="176C8596"/>
    <w:rsid w:val="180CA5BD"/>
    <w:rsid w:val="1812E876"/>
    <w:rsid w:val="184F30FC"/>
    <w:rsid w:val="18B1DCA3"/>
    <w:rsid w:val="18D1C5C9"/>
    <w:rsid w:val="190C440E"/>
    <w:rsid w:val="1979264C"/>
    <w:rsid w:val="19A07A4E"/>
    <w:rsid w:val="19BE425E"/>
    <w:rsid w:val="1A30AA24"/>
    <w:rsid w:val="1A78A1C6"/>
    <w:rsid w:val="1B141AA9"/>
    <w:rsid w:val="1BBF5A09"/>
    <w:rsid w:val="1C4AA9A4"/>
    <w:rsid w:val="1D447763"/>
    <w:rsid w:val="1DBC6411"/>
    <w:rsid w:val="1DBF44FA"/>
    <w:rsid w:val="1DCC5F82"/>
    <w:rsid w:val="1E3465B8"/>
    <w:rsid w:val="1EBEF213"/>
    <w:rsid w:val="1F1CA964"/>
    <w:rsid w:val="1F6ECB8E"/>
    <w:rsid w:val="1FEB32AA"/>
    <w:rsid w:val="206CF3C8"/>
    <w:rsid w:val="208085E3"/>
    <w:rsid w:val="208AB120"/>
    <w:rsid w:val="208DC4FD"/>
    <w:rsid w:val="21EF7072"/>
    <w:rsid w:val="21F2456F"/>
    <w:rsid w:val="220F5E4B"/>
    <w:rsid w:val="22B927DA"/>
    <w:rsid w:val="22E2DBDC"/>
    <w:rsid w:val="22E6A693"/>
    <w:rsid w:val="23556F3D"/>
    <w:rsid w:val="249E83C3"/>
    <w:rsid w:val="24BEA3CD"/>
    <w:rsid w:val="24CAAB9D"/>
    <w:rsid w:val="25FF843C"/>
    <w:rsid w:val="2626D09E"/>
    <w:rsid w:val="262F639A"/>
    <w:rsid w:val="28297011"/>
    <w:rsid w:val="288729A8"/>
    <w:rsid w:val="28DB2990"/>
    <w:rsid w:val="28EDBCDA"/>
    <w:rsid w:val="29BBEFC7"/>
    <w:rsid w:val="29D9735C"/>
    <w:rsid w:val="2A02929A"/>
    <w:rsid w:val="2A134AEC"/>
    <w:rsid w:val="2A9102C0"/>
    <w:rsid w:val="2ABA41A3"/>
    <w:rsid w:val="2B31B5C0"/>
    <w:rsid w:val="2B4B1B9F"/>
    <w:rsid w:val="2B4C45CD"/>
    <w:rsid w:val="2C099A4B"/>
    <w:rsid w:val="2C12CA52"/>
    <w:rsid w:val="2CB4513A"/>
    <w:rsid w:val="2CD636BD"/>
    <w:rsid w:val="2DA253D7"/>
    <w:rsid w:val="2EB80064"/>
    <w:rsid w:val="2EF50490"/>
    <w:rsid w:val="30335D1F"/>
    <w:rsid w:val="3054880E"/>
    <w:rsid w:val="309F3423"/>
    <w:rsid w:val="30D1373C"/>
    <w:rsid w:val="31B095BE"/>
    <w:rsid w:val="32466666"/>
    <w:rsid w:val="3268E379"/>
    <w:rsid w:val="32ACB5D6"/>
    <w:rsid w:val="3326870B"/>
    <w:rsid w:val="3336B597"/>
    <w:rsid w:val="334AFDFC"/>
    <w:rsid w:val="336396D8"/>
    <w:rsid w:val="33865C6E"/>
    <w:rsid w:val="33FB5D97"/>
    <w:rsid w:val="34E8DDA8"/>
    <w:rsid w:val="351163B8"/>
    <w:rsid w:val="3529E7B1"/>
    <w:rsid w:val="354E884D"/>
    <w:rsid w:val="35611082"/>
    <w:rsid w:val="35A93C46"/>
    <w:rsid w:val="35C93DE7"/>
    <w:rsid w:val="35D02723"/>
    <w:rsid w:val="35D845F1"/>
    <w:rsid w:val="361F381B"/>
    <w:rsid w:val="365E36C6"/>
    <w:rsid w:val="366CD952"/>
    <w:rsid w:val="381E8663"/>
    <w:rsid w:val="388ACCE4"/>
    <w:rsid w:val="388FEBC9"/>
    <w:rsid w:val="38A70B5F"/>
    <w:rsid w:val="39290825"/>
    <w:rsid w:val="39B3F6AF"/>
    <w:rsid w:val="3A891B9F"/>
    <w:rsid w:val="3B16A027"/>
    <w:rsid w:val="3BA8B817"/>
    <w:rsid w:val="3BEB19C5"/>
    <w:rsid w:val="3C05AF1E"/>
    <w:rsid w:val="3C975BB1"/>
    <w:rsid w:val="3D559824"/>
    <w:rsid w:val="3D86BDB2"/>
    <w:rsid w:val="3F3CB868"/>
    <w:rsid w:val="40B21D44"/>
    <w:rsid w:val="40F3216A"/>
    <w:rsid w:val="41BD1C4A"/>
    <w:rsid w:val="424E851D"/>
    <w:rsid w:val="4395DB4B"/>
    <w:rsid w:val="43A025B5"/>
    <w:rsid w:val="44C4C29E"/>
    <w:rsid w:val="451318AF"/>
    <w:rsid w:val="451C7D63"/>
    <w:rsid w:val="459B6755"/>
    <w:rsid w:val="45D80D87"/>
    <w:rsid w:val="45D99C08"/>
    <w:rsid w:val="46B6F91F"/>
    <w:rsid w:val="47756C69"/>
    <w:rsid w:val="47F524E2"/>
    <w:rsid w:val="4858CD50"/>
    <w:rsid w:val="49C7F9C5"/>
    <w:rsid w:val="49D0F2C6"/>
    <w:rsid w:val="49F0E9AC"/>
    <w:rsid w:val="4A10C751"/>
    <w:rsid w:val="4A9E19C6"/>
    <w:rsid w:val="4AAD0D2B"/>
    <w:rsid w:val="4AAD4638"/>
    <w:rsid w:val="4B607D86"/>
    <w:rsid w:val="4BFF5945"/>
    <w:rsid w:val="4C397A92"/>
    <w:rsid w:val="4C761C94"/>
    <w:rsid w:val="4CA2B107"/>
    <w:rsid w:val="4D68E5B5"/>
    <w:rsid w:val="4DAC48DB"/>
    <w:rsid w:val="4ECAAD29"/>
    <w:rsid w:val="4ED25D23"/>
    <w:rsid w:val="4ED61171"/>
    <w:rsid w:val="4F28937E"/>
    <w:rsid w:val="4F5F4723"/>
    <w:rsid w:val="4FC3AAB8"/>
    <w:rsid w:val="50229706"/>
    <w:rsid w:val="50874BD6"/>
    <w:rsid w:val="50CF13E9"/>
    <w:rsid w:val="510CAC3E"/>
    <w:rsid w:val="516DD2F8"/>
    <w:rsid w:val="5225415A"/>
    <w:rsid w:val="5259F31E"/>
    <w:rsid w:val="528B3C6D"/>
    <w:rsid w:val="52B81F10"/>
    <w:rsid w:val="533C8B77"/>
    <w:rsid w:val="5407CF56"/>
    <w:rsid w:val="54128B01"/>
    <w:rsid w:val="543D3D3A"/>
    <w:rsid w:val="54AD3735"/>
    <w:rsid w:val="551D8DFB"/>
    <w:rsid w:val="5555AF9F"/>
    <w:rsid w:val="55565096"/>
    <w:rsid w:val="55DB02DC"/>
    <w:rsid w:val="561CE303"/>
    <w:rsid w:val="562C03E5"/>
    <w:rsid w:val="577CB241"/>
    <w:rsid w:val="57E277C2"/>
    <w:rsid w:val="58C447C2"/>
    <w:rsid w:val="5A1D11A5"/>
    <w:rsid w:val="5AE1A80C"/>
    <w:rsid w:val="5BB42FD2"/>
    <w:rsid w:val="5BC13E53"/>
    <w:rsid w:val="5C65B2CA"/>
    <w:rsid w:val="5D523350"/>
    <w:rsid w:val="5DA6515B"/>
    <w:rsid w:val="5E4773E8"/>
    <w:rsid w:val="5EB8FA55"/>
    <w:rsid w:val="5EBA65D0"/>
    <w:rsid w:val="5EEF638C"/>
    <w:rsid w:val="5F0BA34E"/>
    <w:rsid w:val="5F2F9651"/>
    <w:rsid w:val="5FDFA41B"/>
    <w:rsid w:val="60159FF8"/>
    <w:rsid w:val="605B2A49"/>
    <w:rsid w:val="60D2EFCB"/>
    <w:rsid w:val="614447F7"/>
    <w:rsid w:val="6212FFCD"/>
    <w:rsid w:val="6255873A"/>
    <w:rsid w:val="62B66FA6"/>
    <w:rsid w:val="62BB40A0"/>
    <w:rsid w:val="62C9427C"/>
    <w:rsid w:val="638DD6F3"/>
    <w:rsid w:val="641ED187"/>
    <w:rsid w:val="6448DBE5"/>
    <w:rsid w:val="646C4956"/>
    <w:rsid w:val="651EFC9E"/>
    <w:rsid w:val="6544ADD1"/>
    <w:rsid w:val="66320AAE"/>
    <w:rsid w:val="66DBA58E"/>
    <w:rsid w:val="6780D057"/>
    <w:rsid w:val="67F6F1BB"/>
    <w:rsid w:val="681DA2CE"/>
    <w:rsid w:val="68C1D56C"/>
    <w:rsid w:val="6964720B"/>
    <w:rsid w:val="69F2CE0C"/>
    <w:rsid w:val="6A977310"/>
    <w:rsid w:val="6AF163F6"/>
    <w:rsid w:val="6B9D3D1E"/>
    <w:rsid w:val="6BBC9054"/>
    <w:rsid w:val="6BBFA9B0"/>
    <w:rsid w:val="6CC3F5E8"/>
    <w:rsid w:val="6D0272D4"/>
    <w:rsid w:val="6D0B675A"/>
    <w:rsid w:val="6D1FEB48"/>
    <w:rsid w:val="6E5D0FAD"/>
    <w:rsid w:val="6EE7DC8C"/>
    <w:rsid w:val="6F9B8B0B"/>
    <w:rsid w:val="7069826E"/>
    <w:rsid w:val="706BED01"/>
    <w:rsid w:val="7082B8CC"/>
    <w:rsid w:val="70C73ED9"/>
    <w:rsid w:val="70D3C838"/>
    <w:rsid w:val="714315C7"/>
    <w:rsid w:val="7151F2BE"/>
    <w:rsid w:val="715A70C3"/>
    <w:rsid w:val="71D7A836"/>
    <w:rsid w:val="71F59BDF"/>
    <w:rsid w:val="721D3EFC"/>
    <w:rsid w:val="732A8C4C"/>
    <w:rsid w:val="736D73CB"/>
    <w:rsid w:val="7497BDB0"/>
    <w:rsid w:val="74D3514D"/>
    <w:rsid w:val="7509442C"/>
    <w:rsid w:val="7596077C"/>
    <w:rsid w:val="75D2677D"/>
    <w:rsid w:val="75DD3795"/>
    <w:rsid w:val="760EF3D7"/>
    <w:rsid w:val="762E6DAA"/>
    <w:rsid w:val="773A7F6C"/>
    <w:rsid w:val="776E37DE"/>
    <w:rsid w:val="7861B07C"/>
    <w:rsid w:val="78CFA128"/>
    <w:rsid w:val="79E7CC4E"/>
    <w:rsid w:val="79F09439"/>
    <w:rsid w:val="7A369F0A"/>
    <w:rsid w:val="7A8D07B1"/>
    <w:rsid w:val="7B2F8B5B"/>
    <w:rsid w:val="7BD6B93E"/>
    <w:rsid w:val="7BE83057"/>
    <w:rsid w:val="7BEB0460"/>
    <w:rsid w:val="7C7211D8"/>
    <w:rsid w:val="7CB0F513"/>
    <w:rsid w:val="7CD34D07"/>
    <w:rsid w:val="7CE6BB56"/>
    <w:rsid w:val="7D39A22C"/>
    <w:rsid w:val="7D6FFCFA"/>
    <w:rsid w:val="7D96A8B1"/>
    <w:rsid w:val="7DF4DD6C"/>
    <w:rsid w:val="7E34558B"/>
    <w:rsid w:val="7E8A3512"/>
    <w:rsid w:val="7E9FC59B"/>
    <w:rsid w:val="7F157162"/>
    <w:rsid w:val="7F914D29"/>
    <w:rsid w:val="7FBF6660"/>
    <w:rsid w:val="7FCCCE80"/>
    <w:rsid w:val="7FD2F8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D3E414"/>
  <w15:chartTrackingRefBased/>
  <w15:docId w15:val="{E73F4E1B-6F7E-4F83-B8D0-D39485AE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79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79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55B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5BB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character" w:customStyle="1" w:styleId="UnresolvedMention">
    <w:name w:val="Unresolved Mention"/>
    <w:basedOn w:val="DefaultParagraphFont"/>
    <w:uiPriority w:val="99"/>
    <w:semiHidden/>
    <w:unhideWhenUsed/>
    <w:rsid w:val="00416567"/>
    <w:rPr>
      <w:color w:val="605E5C"/>
      <w:shd w:val="clear" w:color="auto" w:fill="E1DFDD"/>
    </w:rPr>
  </w:style>
  <w:style w:type="character" w:customStyle="1" w:styleId="Heading1Char">
    <w:name w:val="Heading 1 Char"/>
    <w:basedOn w:val="DefaultParagraphFont"/>
    <w:link w:val="Heading1"/>
    <w:uiPriority w:val="9"/>
    <w:rsid w:val="00EA79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79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795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110F8"/>
    <w:rPr>
      <w:b/>
      <w:bCs/>
    </w:rPr>
  </w:style>
  <w:style w:type="character" w:customStyle="1" w:styleId="CommentSubjectChar">
    <w:name w:val="Comment Subject Char"/>
    <w:basedOn w:val="CommentTextChar"/>
    <w:link w:val="CommentSubject"/>
    <w:uiPriority w:val="99"/>
    <w:semiHidden/>
    <w:rsid w:val="00C110F8"/>
    <w:rPr>
      <w:b/>
      <w:bCs/>
      <w:sz w:val="20"/>
      <w:szCs w:val="20"/>
    </w:rPr>
  </w:style>
  <w:style w:type="paragraph" w:styleId="FootnoteText">
    <w:name w:val="footnote text"/>
    <w:aliases w:val="FA,FA Fußnotentext,Footnote Text Char Char Char Char,Footnote Text Char Char,Footnote Text Char Char Char Char Char Char,Footnote Text Char Char Char Char Char Char Char Char Char Char Char Char Char Char Char,Текст сноски Знак,Car1,FA F"/>
    <w:basedOn w:val="Normal"/>
    <w:link w:val="FootnoteTextChar"/>
    <w:uiPriority w:val="99"/>
    <w:unhideWhenUsed/>
    <w:rsid w:val="001521C3"/>
    <w:pPr>
      <w:spacing w:after="0" w:line="240" w:lineRule="auto"/>
    </w:pPr>
    <w:rPr>
      <w:sz w:val="20"/>
      <w:szCs w:val="20"/>
    </w:rPr>
  </w:style>
  <w:style w:type="character" w:customStyle="1" w:styleId="FootnoteTextChar">
    <w:name w:val="Footnote Text Char"/>
    <w:aliases w:val="FA Char,FA Fußnotentext Char,Footnote Text Char Char Char Char Char,Footnote Text Char Char Char,Footnote Text Char Char Char Char Char Char Char,Текст сноски Знак Char,Car1 Char,FA F Char"/>
    <w:basedOn w:val="DefaultParagraphFont"/>
    <w:link w:val="FootnoteText"/>
    <w:uiPriority w:val="99"/>
    <w:semiHidden/>
    <w:rsid w:val="001521C3"/>
    <w:rPr>
      <w:sz w:val="20"/>
      <w:szCs w:val="20"/>
    </w:rPr>
  </w:style>
  <w:style w:type="character" w:styleId="FootnoteReference">
    <w:name w:val="footnote reference"/>
    <w:aliases w:val="Appel note de bas de page,Footnotes refss,Fago Fu?notenzeichen,Fago Fußnotenzeichen,Footnote number,Fago Fuﬂnotenzeichen,Ref,de nota al pie,ftref,ftref1,ftref2,ftref11,Texto de nota al pie,referencia nota al pie,BVI fnr,f,4_G,Footnot"/>
    <w:basedOn w:val="DefaultParagraphFont"/>
    <w:uiPriority w:val="99"/>
    <w:unhideWhenUsed/>
    <w:rsid w:val="001521C3"/>
    <w:rPr>
      <w:vertAlign w:val="superscript"/>
    </w:rPr>
  </w:style>
  <w:style w:type="character" w:styleId="FollowedHyperlink">
    <w:name w:val="FollowedHyperlink"/>
    <w:basedOn w:val="DefaultParagraphFont"/>
    <w:uiPriority w:val="99"/>
    <w:semiHidden/>
    <w:unhideWhenUsed/>
    <w:rsid w:val="009E6D4D"/>
    <w:rPr>
      <w:color w:val="954F72" w:themeColor="followedHyperlink"/>
      <w:u w:val="single"/>
    </w:rPr>
  </w:style>
  <w:style w:type="character" w:customStyle="1" w:styleId="Mention">
    <w:name w:val="Mention"/>
    <w:basedOn w:val="DefaultParagraphFont"/>
    <w:uiPriority w:val="99"/>
    <w:unhideWhenUsed/>
    <w:rsid w:val="009333C0"/>
    <w:rPr>
      <w:color w:val="2B579A"/>
      <w:shd w:val="clear" w:color="auto" w:fill="E6E6E6"/>
    </w:rPr>
  </w:style>
  <w:style w:type="character" w:customStyle="1" w:styleId="Heading4Char">
    <w:name w:val="Heading 4 Char"/>
    <w:basedOn w:val="DefaultParagraphFont"/>
    <w:link w:val="Heading4"/>
    <w:uiPriority w:val="9"/>
    <w:rsid w:val="00E55BB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5BB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3642">
      <w:bodyDiv w:val="1"/>
      <w:marLeft w:val="0"/>
      <w:marRight w:val="0"/>
      <w:marTop w:val="0"/>
      <w:marBottom w:val="0"/>
      <w:divBdr>
        <w:top w:val="none" w:sz="0" w:space="0" w:color="auto"/>
        <w:left w:val="none" w:sz="0" w:space="0" w:color="auto"/>
        <w:bottom w:val="none" w:sz="0" w:space="0" w:color="auto"/>
        <w:right w:val="none" w:sz="0" w:space="0" w:color="auto"/>
      </w:divBdr>
      <w:divsChild>
        <w:div w:id="851531172">
          <w:marLeft w:val="0"/>
          <w:marRight w:val="0"/>
          <w:marTop w:val="0"/>
          <w:marBottom w:val="0"/>
          <w:divBdr>
            <w:top w:val="none" w:sz="0" w:space="0" w:color="auto"/>
            <w:left w:val="none" w:sz="0" w:space="0" w:color="auto"/>
            <w:bottom w:val="none" w:sz="0" w:space="0" w:color="auto"/>
            <w:right w:val="none" w:sz="0" w:space="0" w:color="auto"/>
          </w:divBdr>
        </w:div>
      </w:divsChild>
    </w:div>
    <w:div w:id="971861024">
      <w:bodyDiv w:val="1"/>
      <w:marLeft w:val="0"/>
      <w:marRight w:val="0"/>
      <w:marTop w:val="0"/>
      <w:marBottom w:val="0"/>
      <w:divBdr>
        <w:top w:val="none" w:sz="0" w:space="0" w:color="auto"/>
        <w:left w:val="none" w:sz="0" w:space="0" w:color="auto"/>
        <w:bottom w:val="none" w:sz="0" w:space="0" w:color="auto"/>
        <w:right w:val="none" w:sz="0" w:space="0" w:color="auto"/>
      </w:divBdr>
    </w:div>
    <w:div w:id="1114862213">
      <w:bodyDiv w:val="1"/>
      <w:marLeft w:val="0"/>
      <w:marRight w:val="0"/>
      <w:marTop w:val="0"/>
      <w:marBottom w:val="0"/>
      <w:divBdr>
        <w:top w:val="none" w:sz="0" w:space="0" w:color="auto"/>
        <w:left w:val="none" w:sz="0" w:space="0" w:color="auto"/>
        <w:bottom w:val="none" w:sz="0" w:space="0" w:color="auto"/>
        <w:right w:val="none" w:sz="0" w:space="0" w:color="auto"/>
      </w:divBdr>
    </w:div>
    <w:div w:id="11811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t:Task id="{3B6112CE-94B2-48AB-993A-ADA77249044B}">
    <t:Anchor>
      <t:Comment id="949090154"/>
    </t:Anchor>
    <t:History>
      <t:Event id="{3221C28D-2230-4E11-AAA1-8122848014D2}" time="2021-06-17T19:28:47Z">
        <t:Attribution userId="S::tellezl@hrw.org::217ca830-d26f-4873-8e90-5c68aed2c59e" userProvider="AD" userName="Luciana Tellez-Chavez"/>
        <t:Anchor>
          <t:Comment id="949090154"/>
        </t:Anchor>
        <t:Create/>
      </t:Event>
      <t:Event id="{AACC4734-3211-4511-A651-3745B1036160}" time="2021-06-17T19:28:47Z">
        <t:Attribution userId="S::tellezl@hrw.org::217ca830-d26f-4873-8e90-5c68aed2c59e" userProvider="AD" userName="Luciana Tellez-Chavez"/>
        <t:Anchor>
          <t:Comment id="949090154"/>
        </t:Anchor>
        <t:Assign userId="S::klasina@hrw.org::a89a94d8-11ef-4212-b94a-279ac6dca56a" userProvider="AD" userName="Amanda Klasing"/>
      </t:Event>
      <t:Event id="{77A83C91-ECED-4879-8C3E-63C6EF703149}" time="2021-06-17T19:28:47Z">
        <t:Attribution userId="S::tellezl@hrw.org::217ca830-d26f-4873-8e90-5c68aed2c59e" userProvider="AD" userName="Luciana Tellez-Chavez"/>
        <t:Anchor>
          <t:Comment id="949090154"/>
        </t:Anchor>
        <t:SetTitle title="Hi @Amanda Klasing, I'm just getting around looking at this! I'm making a suggestion to add this language on accessibility. In fact, the file is not even accessible to the defenders themselves, which is part of what generated their anxiet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38D4-5150-492F-BD01-B645227A29B5}">
  <ds:schemaRefs>
    <ds:schemaRef ds:uri="http://purl.org/dc/dcmitype/"/>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0fce98d0-929e-4d62-842c-6c1d78c19b25"/>
    <ds:schemaRef ds:uri="http://schemas.openxmlformats.org/package/2006/metadata/core-properties"/>
    <ds:schemaRef ds:uri="cffc5eae-b171-4be3-869c-126118be5bbf"/>
    <ds:schemaRef ds:uri="http://www.w3.org/XML/1998/namespace"/>
  </ds:schemaRefs>
</ds:datastoreItem>
</file>

<file path=customXml/itemProps2.xml><?xml version="1.0" encoding="utf-8"?>
<ds:datastoreItem xmlns:ds="http://schemas.openxmlformats.org/officeDocument/2006/customXml" ds:itemID="{29CCDCAC-C9AA-44EE-8B77-3D0A99D00534}"/>
</file>

<file path=customXml/itemProps3.xml><?xml version="1.0" encoding="utf-8"?>
<ds:datastoreItem xmlns:ds="http://schemas.openxmlformats.org/officeDocument/2006/customXml" ds:itemID="{0D8ADD65-85DF-4937-84CD-3572892608A5}">
  <ds:schemaRefs>
    <ds:schemaRef ds:uri="http://schemas.microsoft.com/sharepoint/v3/contenttype/forms"/>
  </ds:schemaRefs>
</ds:datastoreItem>
</file>

<file path=customXml/itemProps4.xml><?xml version="1.0" encoding="utf-8"?>
<ds:datastoreItem xmlns:ds="http://schemas.openxmlformats.org/officeDocument/2006/customXml" ds:itemID="{E74D2E3B-1A53-43A5-BE99-E62CF0F4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Links>
    <vt:vector size="204" baseType="variant">
      <vt:variant>
        <vt:i4>4259853</vt:i4>
      </vt:variant>
      <vt:variant>
        <vt:i4>97</vt:i4>
      </vt:variant>
      <vt:variant>
        <vt:i4>0</vt:i4>
      </vt:variant>
      <vt:variant>
        <vt:i4>5</vt:i4>
      </vt:variant>
      <vt:variant>
        <vt:lpwstr>https://www.hrw.org/news/2020/10/21/canada-climate-crisis-toll-first-nations-food-supply</vt:lpwstr>
      </vt:variant>
      <vt:variant>
        <vt:lpwstr/>
      </vt:variant>
      <vt:variant>
        <vt:i4>3801131</vt:i4>
      </vt:variant>
      <vt:variant>
        <vt:i4>94</vt:i4>
      </vt:variant>
      <vt:variant>
        <vt:i4>0</vt:i4>
      </vt:variant>
      <vt:variant>
        <vt:i4>5</vt:i4>
      </vt:variant>
      <vt:variant>
        <vt:lpwstr>https://www.hrw.org/sites/default/files/media_2020/07/australia0218_web.pdf</vt:lpwstr>
      </vt:variant>
      <vt:variant>
        <vt:lpwstr/>
      </vt:variant>
      <vt:variant>
        <vt:i4>3801131</vt:i4>
      </vt:variant>
      <vt:variant>
        <vt:i4>91</vt:i4>
      </vt:variant>
      <vt:variant>
        <vt:i4>0</vt:i4>
      </vt:variant>
      <vt:variant>
        <vt:i4>5</vt:i4>
      </vt:variant>
      <vt:variant>
        <vt:lpwstr>https://www.hrw.org/sites/default/files/media_2020/07/australia0218_web.pdf</vt:lpwstr>
      </vt:variant>
      <vt:variant>
        <vt:lpwstr/>
      </vt:variant>
      <vt:variant>
        <vt:i4>3604506</vt:i4>
      </vt:variant>
      <vt:variant>
        <vt:i4>88</vt:i4>
      </vt:variant>
      <vt:variant>
        <vt:i4>0</vt:i4>
      </vt:variant>
      <vt:variant>
        <vt:i4>5</vt:i4>
      </vt:variant>
      <vt:variant>
        <vt:lpwstr>https://static1.squarespace.com/static/580025f66b8f5b2dabbe4291/t/59378aa91e5b6cbaaa281d22/1496812234196/Ove rRepresented_online.pdf</vt:lpwstr>
      </vt:variant>
      <vt:variant>
        <vt:lpwstr/>
      </vt:variant>
      <vt:variant>
        <vt:i4>3604506</vt:i4>
      </vt:variant>
      <vt:variant>
        <vt:i4>85</vt:i4>
      </vt:variant>
      <vt:variant>
        <vt:i4>0</vt:i4>
      </vt:variant>
      <vt:variant>
        <vt:i4>5</vt:i4>
      </vt:variant>
      <vt:variant>
        <vt:lpwstr>https://static1.squarespace.com/static/580025f66b8f5b2dabbe4291/t/59378aa91e5b6cbaaa281d22/1496812234196/Ove rRepresented_online.pdf</vt:lpwstr>
      </vt:variant>
      <vt:variant>
        <vt:lpwstr/>
      </vt:variant>
      <vt:variant>
        <vt:i4>1179774</vt:i4>
      </vt:variant>
      <vt:variant>
        <vt:i4>82</vt:i4>
      </vt:variant>
      <vt:variant>
        <vt:i4>0</vt:i4>
      </vt:variant>
      <vt:variant>
        <vt:i4>5</vt:i4>
      </vt:variant>
      <vt:variant>
        <vt:lpwstr>http://fpdn.org.au/wp-content/uploads/2016/10/FPDN-Senate-Inquiry-Indefinite-Detention-Submission_Final.pdf</vt:lpwstr>
      </vt:variant>
      <vt:variant>
        <vt:lpwstr/>
      </vt:variant>
      <vt:variant>
        <vt:i4>3801199</vt:i4>
      </vt:variant>
      <vt:variant>
        <vt:i4>79</vt:i4>
      </vt:variant>
      <vt:variant>
        <vt:i4>0</vt:i4>
      </vt:variant>
      <vt:variant>
        <vt:i4>5</vt:i4>
      </vt:variant>
      <vt:variant>
        <vt:lpwstr>https://www.hrw.org/report/2018/03/26/amazonians-trial/judicial-harassment-indigenous-leaders-and-environmentalists</vt:lpwstr>
      </vt:variant>
      <vt:variant>
        <vt:lpwstr/>
      </vt:variant>
      <vt:variant>
        <vt:i4>5242880</vt:i4>
      </vt:variant>
      <vt:variant>
        <vt:i4>76</vt:i4>
      </vt:variant>
      <vt:variant>
        <vt:i4>0</vt:i4>
      </vt:variant>
      <vt:variant>
        <vt:i4>5</vt:i4>
      </vt:variant>
      <vt:variant>
        <vt:lpwstr>https://www.hrw.org/report/2021/02/10/left-undefended/killings-rights-defenders-colombias-remote-communities</vt:lpwstr>
      </vt:variant>
      <vt:variant>
        <vt:lpwstr/>
      </vt:variant>
      <vt:variant>
        <vt:i4>3211391</vt:i4>
      </vt:variant>
      <vt:variant>
        <vt:i4>73</vt:i4>
      </vt:variant>
      <vt:variant>
        <vt:i4>0</vt:i4>
      </vt:variant>
      <vt:variant>
        <vt:i4>5</vt:i4>
      </vt:variant>
      <vt:variant>
        <vt:lpwstr>https://mmiwg2splus-nationalactionplan.ca/</vt:lpwstr>
      </vt:variant>
      <vt:variant>
        <vt:lpwstr/>
      </vt:variant>
      <vt:variant>
        <vt:i4>1441915</vt:i4>
      </vt:variant>
      <vt:variant>
        <vt:i4>70</vt:i4>
      </vt:variant>
      <vt:variant>
        <vt:i4>0</vt:i4>
      </vt:variant>
      <vt:variant>
        <vt:i4>5</vt:i4>
      </vt:variant>
      <vt:variant>
        <vt:lpwstr>https://www.mmiwg-ffada.ca/wp-content/uploads/2019/06/Executive_Summary.pdf</vt:lpwstr>
      </vt:variant>
      <vt:variant>
        <vt:lpwstr/>
      </vt:variant>
      <vt:variant>
        <vt:i4>3211365</vt:i4>
      </vt:variant>
      <vt:variant>
        <vt:i4>67</vt:i4>
      </vt:variant>
      <vt:variant>
        <vt:i4>0</vt:i4>
      </vt:variant>
      <vt:variant>
        <vt:i4>5</vt:i4>
      </vt:variant>
      <vt:variant>
        <vt:lpwstr>http://www.oas.org/en/iachr/reports/pdfs/indigenous-women-bc-canada-en.pdf</vt:lpwstr>
      </vt:variant>
      <vt:variant>
        <vt:lpwstr/>
      </vt:variant>
      <vt:variant>
        <vt:i4>262230</vt:i4>
      </vt:variant>
      <vt:variant>
        <vt:i4>64</vt:i4>
      </vt:variant>
      <vt:variant>
        <vt:i4>0</vt:i4>
      </vt:variant>
      <vt:variant>
        <vt:i4>5</vt:i4>
      </vt:variant>
      <vt:variant>
        <vt:lpwstr>https://digitallibrary.un.org/record/836103?ln=en</vt:lpwstr>
      </vt:variant>
      <vt:variant>
        <vt:lpwstr/>
      </vt:variant>
      <vt:variant>
        <vt:i4>131110</vt:i4>
      </vt:variant>
      <vt:variant>
        <vt:i4>62</vt:i4>
      </vt:variant>
      <vt:variant>
        <vt:i4>0</vt:i4>
      </vt:variant>
      <vt:variant>
        <vt:i4>5</vt:i4>
      </vt:variant>
      <vt:variant>
        <vt:lpwstr>https://www.hrw.org/news/2017/06/19/submission-government-canada-police-abuse-indigenous-women-saskatchewan-and</vt:lpwstr>
      </vt:variant>
      <vt:variant>
        <vt:lpwstr>_ftn20</vt:lpwstr>
      </vt:variant>
      <vt:variant>
        <vt:i4>1376257</vt:i4>
      </vt:variant>
      <vt:variant>
        <vt:i4>59</vt:i4>
      </vt:variant>
      <vt:variant>
        <vt:i4>0</vt:i4>
      </vt:variant>
      <vt:variant>
        <vt:i4>5</vt:i4>
      </vt:variant>
      <vt:variant>
        <vt:lpwstr>http://www.leaf.ca/wp-content/uploads/2015/02/Analysis-of-Implementation.pdf</vt:lpwstr>
      </vt:variant>
      <vt:variant>
        <vt:lpwstr/>
      </vt:variant>
      <vt:variant>
        <vt:i4>393254</vt:i4>
      </vt:variant>
      <vt:variant>
        <vt:i4>56</vt:i4>
      </vt:variant>
      <vt:variant>
        <vt:i4>0</vt:i4>
      </vt:variant>
      <vt:variant>
        <vt:i4>5</vt:i4>
      </vt:variant>
      <vt:variant>
        <vt:lpwstr>https://www.hrw.org/news/2017/06/19/submission-government-canada-police-abuse-indigenous-women-saskatchewan-and</vt:lpwstr>
      </vt:variant>
      <vt:variant>
        <vt:lpwstr>_ftn24</vt:lpwstr>
      </vt:variant>
      <vt:variant>
        <vt:i4>6291518</vt:i4>
      </vt:variant>
      <vt:variant>
        <vt:i4>53</vt:i4>
      </vt:variant>
      <vt:variant>
        <vt:i4>0</vt:i4>
      </vt:variant>
      <vt:variant>
        <vt:i4>5</vt:i4>
      </vt:variant>
      <vt:variant>
        <vt:lpwstr>http://povertyandhumanrights.org/2017/03/mcivor-v-canada-2017/</vt:lpwstr>
      </vt:variant>
      <vt:variant>
        <vt:lpwstr/>
      </vt:variant>
      <vt:variant>
        <vt:i4>196615</vt:i4>
      </vt:variant>
      <vt:variant>
        <vt:i4>50</vt:i4>
      </vt:variant>
      <vt:variant>
        <vt:i4>0</vt:i4>
      </vt:variant>
      <vt:variant>
        <vt:i4>5</vt:i4>
      </vt:variant>
      <vt:variant>
        <vt:lpwstr>http://canlii.ca/t/gxgqw</vt:lpwstr>
      </vt:variant>
      <vt:variant>
        <vt:lpwstr/>
      </vt:variant>
      <vt:variant>
        <vt:i4>262222</vt:i4>
      </vt:variant>
      <vt:variant>
        <vt:i4>47</vt:i4>
      </vt:variant>
      <vt:variant>
        <vt:i4>0</vt:i4>
      </vt:variant>
      <vt:variant>
        <vt:i4>5</vt:i4>
      </vt:variant>
      <vt:variant>
        <vt:lpwstr>https://www.thecanadianencyclopedia.ca/en/article/mcivor-case</vt:lpwstr>
      </vt:variant>
      <vt:variant>
        <vt:lpwstr/>
      </vt:variant>
      <vt:variant>
        <vt:i4>458789</vt:i4>
      </vt:variant>
      <vt:variant>
        <vt:i4>45</vt:i4>
      </vt:variant>
      <vt:variant>
        <vt:i4>0</vt:i4>
      </vt:variant>
      <vt:variant>
        <vt:i4>5</vt:i4>
      </vt:variant>
      <vt:variant>
        <vt:lpwstr>https://www.hrw.org/news/2017/06/19/submission-government-canada-police-abuse-indigenous-women-saskatchewan-and</vt:lpwstr>
      </vt:variant>
      <vt:variant>
        <vt:lpwstr>_ftn15</vt:lpwstr>
      </vt:variant>
      <vt:variant>
        <vt:i4>3211365</vt:i4>
      </vt:variant>
      <vt:variant>
        <vt:i4>42</vt:i4>
      </vt:variant>
      <vt:variant>
        <vt:i4>0</vt:i4>
      </vt:variant>
      <vt:variant>
        <vt:i4>5</vt:i4>
      </vt:variant>
      <vt:variant>
        <vt:lpwstr>http://www.oas.org/en/iachr/reports/pdfs/indigenous-women-bc-canada-en.pdf</vt:lpwstr>
      </vt:variant>
      <vt:variant>
        <vt:lpwstr/>
      </vt:variant>
      <vt:variant>
        <vt:i4>327717</vt:i4>
      </vt:variant>
      <vt:variant>
        <vt:i4>39</vt:i4>
      </vt:variant>
      <vt:variant>
        <vt:i4>0</vt:i4>
      </vt:variant>
      <vt:variant>
        <vt:i4>5</vt:i4>
      </vt:variant>
      <vt:variant>
        <vt:lpwstr>https://www.hrw.org/news/2017/06/19/submission-government-canada-police-abuse-indigenous-women-saskatchewan-and</vt:lpwstr>
      </vt:variant>
      <vt:variant>
        <vt:lpwstr>_ftn17</vt:lpwstr>
      </vt:variant>
      <vt:variant>
        <vt:i4>3866734</vt:i4>
      </vt:variant>
      <vt:variant>
        <vt:i4>36</vt:i4>
      </vt:variant>
      <vt:variant>
        <vt:i4>0</vt:i4>
      </vt:variant>
      <vt:variant>
        <vt:i4>5</vt:i4>
      </vt:variant>
      <vt:variant>
        <vt:lpwstr>https://www.hrw.org/report/2013/02/13/those-who-take-us-away/abusive-policing-and-failures-protection-indigenous-women</vt:lpwstr>
      </vt:variant>
      <vt:variant>
        <vt:lpwstr/>
      </vt:variant>
      <vt:variant>
        <vt:i4>1441864</vt:i4>
      </vt:variant>
      <vt:variant>
        <vt:i4>33</vt:i4>
      </vt:variant>
      <vt:variant>
        <vt:i4>0</vt:i4>
      </vt:variant>
      <vt:variant>
        <vt:i4>5</vt:i4>
      </vt:variant>
      <vt:variant>
        <vt:lpwstr>http://www.rcmp-grc.gc.ca/wam/media/460/original/0cbd8968a049aa0b44d343e76b4a9478.pdf</vt:lpwstr>
      </vt:variant>
      <vt:variant>
        <vt:lpwstr/>
      </vt:variant>
      <vt:variant>
        <vt:i4>3801176</vt:i4>
      </vt:variant>
      <vt:variant>
        <vt:i4>30</vt:i4>
      </vt:variant>
      <vt:variant>
        <vt:i4>0</vt:i4>
      </vt:variant>
      <vt:variant>
        <vt:i4>5</vt:i4>
      </vt:variant>
      <vt:variant>
        <vt:lpwstr>https://tbinternet.ohchr.org/Treaties/CESCR/Shared Documents/CAN/INT_CESCR_CSS_CAN_22906_E.pdf</vt:lpwstr>
      </vt:variant>
      <vt:variant>
        <vt:lpwstr/>
      </vt:variant>
      <vt:variant>
        <vt:i4>3801176</vt:i4>
      </vt:variant>
      <vt:variant>
        <vt:i4>27</vt:i4>
      </vt:variant>
      <vt:variant>
        <vt:i4>0</vt:i4>
      </vt:variant>
      <vt:variant>
        <vt:i4>5</vt:i4>
      </vt:variant>
      <vt:variant>
        <vt:lpwstr>https://tbinternet.ohchr.org/Treaties/CESCR/Shared Documents/CAN/INT_CESCR_CSS_CAN_22906_E.pdf</vt:lpwstr>
      </vt:variant>
      <vt:variant>
        <vt:lpwstr/>
      </vt:variant>
      <vt:variant>
        <vt:i4>7929973</vt:i4>
      </vt:variant>
      <vt:variant>
        <vt:i4>24</vt:i4>
      </vt:variant>
      <vt:variant>
        <vt:i4>0</vt:i4>
      </vt:variant>
      <vt:variant>
        <vt:i4>5</vt:i4>
      </vt:variant>
      <vt:variant>
        <vt:lpwstr>http://www.turtleisland.org/resources/waterdeclaration.pdf</vt:lpwstr>
      </vt:variant>
      <vt:variant>
        <vt:lpwstr/>
      </vt:variant>
      <vt:variant>
        <vt:i4>2162804</vt:i4>
      </vt:variant>
      <vt:variant>
        <vt:i4>21</vt:i4>
      </vt:variant>
      <vt:variant>
        <vt:i4>0</vt:i4>
      </vt:variant>
      <vt:variant>
        <vt:i4>5</vt:i4>
      </vt:variant>
      <vt:variant>
        <vt:lpwstr>http://www.anishinabek.ca/download/Water Report.pdf</vt:lpwstr>
      </vt:variant>
      <vt:variant>
        <vt:lpwstr/>
      </vt:variant>
      <vt:variant>
        <vt:i4>3801176</vt:i4>
      </vt:variant>
      <vt:variant>
        <vt:i4>18</vt:i4>
      </vt:variant>
      <vt:variant>
        <vt:i4>0</vt:i4>
      </vt:variant>
      <vt:variant>
        <vt:i4>5</vt:i4>
      </vt:variant>
      <vt:variant>
        <vt:lpwstr>https://tbinternet.ohchr.org/Treaties/CESCR/Shared Documents/CAN/INT_CESCR_CSS_CAN_22906_E.pdf</vt:lpwstr>
      </vt:variant>
      <vt:variant>
        <vt:lpwstr/>
      </vt:variant>
      <vt:variant>
        <vt:i4>4259853</vt:i4>
      </vt:variant>
      <vt:variant>
        <vt:i4>15</vt:i4>
      </vt:variant>
      <vt:variant>
        <vt:i4>0</vt:i4>
      </vt:variant>
      <vt:variant>
        <vt:i4>5</vt:i4>
      </vt:variant>
      <vt:variant>
        <vt:lpwstr>https://www.hrw.org/news/2020/10/21/canada-climate-crisis-toll-first-nations-food-supply</vt:lpwstr>
      </vt:variant>
      <vt:variant>
        <vt:lpwstr/>
      </vt:variant>
      <vt:variant>
        <vt:i4>6226012</vt:i4>
      </vt:variant>
      <vt:variant>
        <vt:i4>12</vt:i4>
      </vt:variant>
      <vt:variant>
        <vt:i4>0</vt:i4>
      </vt:variant>
      <vt:variant>
        <vt:i4>5</vt:i4>
      </vt:variant>
      <vt:variant>
        <vt:lpwstr>https://proof.utoronto.ca/wp-content/uploads/2020/03/Household-Food-Insecurity-in-Canada-2017-2018-Full-Reportpdf.pdf</vt:lpwstr>
      </vt:variant>
      <vt:variant>
        <vt:lpwstr/>
      </vt:variant>
      <vt:variant>
        <vt:i4>1114143</vt:i4>
      </vt:variant>
      <vt:variant>
        <vt:i4>9</vt:i4>
      </vt:variant>
      <vt:variant>
        <vt:i4>0</vt:i4>
      </vt:variant>
      <vt:variant>
        <vt:i4>5</vt:i4>
      </vt:variant>
      <vt:variant>
        <vt:lpwstr>https://fnigc.ca/wp-content/uploads/2020/09/fnigc_rhs_phase_3_volume_two_en_final_screen.pdf</vt:lpwstr>
      </vt:variant>
      <vt:variant>
        <vt:lpwstr/>
      </vt:variant>
      <vt:variant>
        <vt:i4>4259853</vt:i4>
      </vt:variant>
      <vt:variant>
        <vt:i4>6</vt:i4>
      </vt:variant>
      <vt:variant>
        <vt:i4>0</vt:i4>
      </vt:variant>
      <vt:variant>
        <vt:i4>5</vt:i4>
      </vt:variant>
      <vt:variant>
        <vt:lpwstr>https://www.hrw.org/news/2020/10/21/canada-climate-crisis-toll-first-nations-food-supply</vt:lpwstr>
      </vt:variant>
      <vt:variant>
        <vt:lpwstr/>
      </vt:variant>
      <vt:variant>
        <vt:i4>3014712</vt:i4>
      </vt:variant>
      <vt:variant>
        <vt:i4>3</vt:i4>
      </vt:variant>
      <vt:variant>
        <vt:i4>0</vt:i4>
      </vt:variant>
      <vt:variant>
        <vt:i4>5</vt:i4>
      </vt:variant>
      <vt:variant>
        <vt:lpwstr>https://www.hrw.org/report/2019/09/23/when-we-lost-forest-we-lost-everything/oil-palm-plantations-and-rights-violations</vt:lpwstr>
      </vt:variant>
      <vt:variant>
        <vt:lpwstr/>
      </vt:variant>
      <vt:variant>
        <vt:i4>7077934</vt:i4>
      </vt:variant>
      <vt:variant>
        <vt:i4>0</vt:i4>
      </vt:variant>
      <vt:variant>
        <vt:i4>0</vt:i4>
      </vt:variant>
      <vt:variant>
        <vt:i4>5</vt:i4>
      </vt:variant>
      <vt:variant>
        <vt:lpwstr>https://www.hrw.org/news/2021/03/02/submission-rights-indigenous-child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Klasing</dc:creator>
  <cp:keywords/>
  <dc:description/>
  <cp:lastModifiedBy>KIM Jung Rin</cp:lastModifiedBy>
  <cp:revision>2</cp:revision>
  <dcterms:created xsi:type="dcterms:W3CDTF">2021-08-16T12:59:00Z</dcterms:created>
  <dcterms:modified xsi:type="dcterms:W3CDTF">2021-08-16T12:59:00Z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