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6605" w14:textId="4B1F78BC" w:rsidR="0BBE396D" w:rsidRPr="009C30AA" w:rsidRDefault="0BBE396D" w:rsidP="00A45956">
      <w:pPr>
        <w:spacing w:after="0" w:line="240" w:lineRule="auto"/>
        <w:jc w:val="center"/>
        <w:rPr>
          <w:rFonts w:ascii="Times New Roman" w:hAnsi="Times New Roman" w:cs="Times New Roman"/>
          <w:sz w:val="24"/>
          <w:szCs w:val="24"/>
        </w:rPr>
      </w:pPr>
      <w:r w:rsidRPr="009C30AA">
        <w:rPr>
          <w:rFonts w:ascii="Times New Roman" w:hAnsi="Times New Roman" w:cs="Times New Roman"/>
          <w:noProof/>
          <w:color w:val="2B579A"/>
          <w:sz w:val="24"/>
          <w:szCs w:val="24"/>
          <w:shd w:val="clear" w:color="auto" w:fill="E6E6E6"/>
          <w:lang w:val="en-GB" w:eastAsia="ko-KR"/>
        </w:rPr>
        <w:drawing>
          <wp:inline distT="0" distB="0" distL="0" distR="0" wp14:anchorId="5EFF2B70" wp14:editId="45BDCAAC">
            <wp:extent cx="2828925" cy="666750"/>
            <wp:effectExtent l="0" t="0" r="0" b="0"/>
            <wp:docPr id="1433838041" name="Picture 143383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925" cy="666750"/>
                    </a:xfrm>
                    <a:prstGeom prst="rect">
                      <a:avLst/>
                    </a:prstGeom>
                  </pic:spPr>
                </pic:pic>
              </a:graphicData>
            </a:graphic>
          </wp:inline>
        </w:drawing>
      </w:r>
    </w:p>
    <w:p w14:paraId="6ADE1C2B" w14:textId="2760FCD5" w:rsidR="2348F74A" w:rsidRPr="009C30AA" w:rsidRDefault="2348F74A" w:rsidP="00A45956">
      <w:pPr>
        <w:spacing w:after="0" w:line="240" w:lineRule="auto"/>
        <w:jc w:val="center"/>
        <w:rPr>
          <w:rFonts w:ascii="Times New Roman" w:eastAsia="Times New Roman" w:hAnsi="Times New Roman" w:cs="Times New Roman"/>
          <w:sz w:val="24"/>
          <w:szCs w:val="24"/>
          <w:u w:val="single"/>
        </w:rPr>
      </w:pPr>
    </w:p>
    <w:p w14:paraId="172BEC00" w14:textId="375ABB32" w:rsidR="0BBE396D" w:rsidRPr="009C30AA" w:rsidRDefault="006E47A6" w:rsidP="00A45956">
      <w:pPr>
        <w:spacing w:after="0" w:line="240" w:lineRule="auto"/>
        <w:jc w:val="center"/>
        <w:rPr>
          <w:rFonts w:ascii="Times New Roman" w:eastAsia="Times New Roman" w:hAnsi="Times New Roman" w:cs="Times New Roman"/>
          <w:b/>
          <w:bCs/>
          <w:sz w:val="24"/>
          <w:szCs w:val="24"/>
        </w:rPr>
      </w:pPr>
      <w:r w:rsidRPr="009C30AA">
        <w:rPr>
          <w:rFonts w:ascii="Times New Roman" w:eastAsia="Times New Roman" w:hAnsi="Times New Roman" w:cs="Times New Roman"/>
          <w:b/>
          <w:bCs/>
          <w:sz w:val="24"/>
          <w:szCs w:val="24"/>
        </w:rPr>
        <w:t>D</w:t>
      </w:r>
      <w:r w:rsidR="16E523B0" w:rsidRPr="009C30AA">
        <w:rPr>
          <w:rFonts w:ascii="Times New Roman" w:eastAsia="Times New Roman" w:hAnsi="Times New Roman" w:cs="Times New Roman"/>
          <w:b/>
          <w:bCs/>
          <w:sz w:val="24"/>
          <w:szCs w:val="24"/>
        </w:rPr>
        <w:t xml:space="preserve">raft General </w:t>
      </w:r>
      <w:r w:rsidR="00430B19" w:rsidRPr="009C30AA">
        <w:rPr>
          <w:rFonts w:ascii="Times New Roman" w:eastAsia="Times New Roman" w:hAnsi="Times New Roman" w:cs="Times New Roman"/>
          <w:b/>
          <w:bCs/>
          <w:sz w:val="24"/>
          <w:szCs w:val="24"/>
        </w:rPr>
        <w:t>C</w:t>
      </w:r>
      <w:r w:rsidR="16E523B0" w:rsidRPr="009C30AA">
        <w:rPr>
          <w:rFonts w:ascii="Times New Roman" w:eastAsia="Times New Roman" w:hAnsi="Times New Roman" w:cs="Times New Roman"/>
          <w:b/>
          <w:bCs/>
          <w:sz w:val="24"/>
          <w:szCs w:val="24"/>
        </w:rPr>
        <w:t>omment No. 26 (2021) on Land</w:t>
      </w:r>
      <w:r w:rsidRPr="009C30AA">
        <w:rPr>
          <w:rFonts w:ascii="Times New Roman" w:eastAsia="Times New Roman" w:hAnsi="Times New Roman" w:cs="Times New Roman"/>
          <w:b/>
          <w:bCs/>
          <w:sz w:val="24"/>
          <w:szCs w:val="24"/>
        </w:rPr>
        <w:t xml:space="preserve"> and Economic, Social and Cultural Rights</w:t>
      </w:r>
    </w:p>
    <w:p w14:paraId="7B33B454" w14:textId="77777777" w:rsidR="00F1187A" w:rsidRPr="009C30AA" w:rsidRDefault="00F1187A" w:rsidP="00A45956">
      <w:pPr>
        <w:spacing w:after="0" w:line="240" w:lineRule="auto"/>
        <w:jc w:val="center"/>
        <w:rPr>
          <w:rFonts w:ascii="Times New Roman" w:eastAsia="Times New Roman" w:hAnsi="Times New Roman" w:cs="Times New Roman"/>
          <w:b/>
          <w:bCs/>
          <w:sz w:val="24"/>
          <w:szCs w:val="24"/>
        </w:rPr>
      </w:pPr>
    </w:p>
    <w:p w14:paraId="4C39905E" w14:textId="1D94C9A4" w:rsidR="55A89471" w:rsidRPr="009C30AA" w:rsidRDefault="0BBE396D" w:rsidP="00A45956">
      <w:pPr>
        <w:spacing w:after="0" w:line="240" w:lineRule="auto"/>
        <w:jc w:val="center"/>
        <w:rPr>
          <w:rFonts w:ascii="Times New Roman" w:eastAsia="Times New Roman" w:hAnsi="Times New Roman" w:cs="Times New Roman"/>
          <w:i/>
          <w:iCs/>
          <w:sz w:val="24"/>
          <w:szCs w:val="24"/>
        </w:rPr>
      </w:pPr>
      <w:r w:rsidRPr="009C30AA">
        <w:rPr>
          <w:rFonts w:ascii="Times New Roman" w:eastAsia="Times New Roman" w:hAnsi="Times New Roman" w:cs="Times New Roman"/>
          <w:i/>
          <w:iCs/>
          <w:sz w:val="24"/>
          <w:szCs w:val="24"/>
        </w:rPr>
        <w:t xml:space="preserve">Submitted by Landesa </w:t>
      </w:r>
      <w:r w:rsidR="5FC949FB" w:rsidRPr="009C30AA">
        <w:rPr>
          <w:rFonts w:ascii="Times New Roman" w:eastAsia="Times New Roman" w:hAnsi="Times New Roman" w:cs="Times New Roman"/>
          <w:i/>
          <w:iCs/>
          <w:sz w:val="24"/>
          <w:szCs w:val="24"/>
        </w:rPr>
        <w:t>August 2021</w:t>
      </w:r>
    </w:p>
    <w:p w14:paraId="6C699BB4" w14:textId="357A0AE7" w:rsidR="2348F74A" w:rsidRPr="009C30AA" w:rsidRDefault="2348F74A" w:rsidP="00A45956">
      <w:pPr>
        <w:spacing w:after="0" w:line="240" w:lineRule="auto"/>
        <w:rPr>
          <w:rFonts w:ascii="Times New Roman" w:eastAsia="Times New Roman" w:hAnsi="Times New Roman" w:cs="Times New Roman"/>
          <w:sz w:val="24"/>
          <w:szCs w:val="24"/>
        </w:rPr>
      </w:pPr>
    </w:p>
    <w:p w14:paraId="2A17F587" w14:textId="05DB80ED" w:rsidR="00023EB2" w:rsidRPr="009C30AA" w:rsidRDefault="00023EB2"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This Committee has long recognized land tenure security as a fundamental prerequisite to realizing core Covenant rights to food,</w:t>
      </w:r>
      <w:r w:rsidRPr="009C30AA">
        <w:rPr>
          <w:rStyle w:val="EndnoteReference"/>
          <w:rFonts w:ascii="Times New Roman" w:eastAsia="Times New Roman" w:hAnsi="Times New Roman" w:cs="Times New Roman"/>
          <w:sz w:val="24"/>
          <w:szCs w:val="24"/>
        </w:rPr>
        <w:endnoteReference w:id="1"/>
      </w:r>
      <w:r w:rsidRPr="009C30AA">
        <w:rPr>
          <w:rFonts w:ascii="Times New Roman" w:eastAsia="Times New Roman" w:hAnsi="Times New Roman" w:cs="Times New Roman"/>
          <w:position w:val="6"/>
          <w:sz w:val="24"/>
          <w:szCs w:val="24"/>
        </w:rPr>
        <w:t xml:space="preserve"> </w:t>
      </w:r>
      <w:r w:rsidRPr="009C30AA">
        <w:rPr>
          <w:rFonts w:ascii="Times New Roman" w:eastAsia="Times New Roman" w:hAnsi="Times New Roman" w:cs="Times New Roman"/>
          <w:sz w:val="24"/>
          <w:szCs w:val="24"/>
        </w:rPr>
        <w:t>housing,</w:t>
      </w:r>
      <w:r w:rsidRPr="009C30AA">
        <w:rPr>
          <w:rStyle w:val="EndnoteReference"/>
          <w:rFonts w:ascii="Times New Roman" w:eastAsia="Times New Roman" w:hAnsi="Times New Roman" w:cs="Times New Roman"/>
          <w:sz w:val="24"/>
          <w:szCs w:val="24"/>
        </w:rPr>
        <w:endnoteReference w:id="2"/>
      </w:r>
      <w:r w:rsidRPr="009C30AA">
        <w:rPr>
          <w:rFonts w:ascii="Times New Roman" w:eastAsia="Times New Roman" w:hAnsi="Times New Roman" w:cs="Times New Roman"/>
          <w:sz w:val="24"/>
          <w:szCs w:val="24"/>
        </w:rPr>
        <w:t xml:space="preserve"> an adequate standard of living,</w:t>
      </w:r>
      <w:r w:rsidRPr="009C30AA">
        <w:rPr>
          <w:rStyle w:val="EndnoteReference"/>
          <w:rFonts w:ascii="Times New Roman" w:eastAsia="Times New Roman" w:hAnsi="Times New Roman" w:cs="Times New Roman"/>
          <w:sz w:val="24"/>
          <w:szCs w:val="24"/>
        </w:rPr>
        <w:endnoteReference w:id="3"/>
      </w:r>
      <w:r w:rsidRPr="009C30AA">
        <w:rPr>
          <w:rFonts w:ascii="Times New Roman" w:eastAsia="Times New Roman" w:hAnsi="Times New Roman" w:cs="Times New Roman"/>
          <w:position w:val="6"/>
          <w:sz w:val="24"/>
          <w:szCs w:val="24"/>
        </w:rPr>
        <w:t xml:space="preserve"> </w:t>
      </w:r>
      <w:r w:rsidRPr="009C30AA">
        <w:rPr>
          <w:rFonts w:ascii="Times New Roman" w:eastAsia="Times New Roman" w:hAnsi="Times New Roman" w:cs="Times New Roman"/>
          <w:sz w:val="24"/>
          <w:szCs w:val="24"/>
        </w:rPr>
        <w:t>water, cultural rights,</w:t>
      </w:r>
      <w:r w:rsidRPr="009C30AA">
        <w:rPr>
          <w:rFonts w:ascii="Times New Roman" w:eastAsia="Times New Roman" w:hAnsi="Times New Roman" w:cs="Times New Roman"/>
          <w:position w:val="6"/>
          <w:sz w:val="24"/>
          <w:szCs w:val="24"/>
        </w:rPr>
        <w:t xml:space="preserve"> </w:t>
      </w:r>
      <w:r w:rsidRPr="009C30AA">
        <w:rPr>
          <w:rFonts w:ascii="Times New Roman" w:eastAsia="Times New Roman" w:hAnsi="Times New Roman" w:cs="Times New Roman"/>
          <w:sz w:val="24"/>
          <w:szCs w:val="24"/>
        </w:rPr>
        <w:t>and gender equality.</w:t>
      </w:r>
      <w:r w:rsidRPr="009C30AA">
        <w:rPr>
          <w:rStyle w:val="EndnoteReference"/>
          <w:rFonts w:ascii="Times New Roman" w:eastAsia="Times New Roman" w:hAnsi="Times New Roman" w:cs="Times New Roman"/>
          <w:sz w:val="24"/>
          <w:szCs w:val="24"/>
        </w:rPr>
        <w:endnoteReference w:id="4"/>
      </w:r>
      <w:r w:rsidRPr="009C30AA">
        <w:rPr>
          <w:rFonts w:ascii="Times New Roman" w:eastAsia="Times New Roman" w:hAnsi="Times New Roman" w:cs="Times New Roman"/>
          <w:sz w:val="24"/>
          <w:szCs w:val="24"/>
        </w:rPr>
        <w:t xml:space="preserve"> The Committee has elaborated on the relationship between land and Covenant rights in at least 8 of its 24 General Comments.</w:t>
      </w:r>
      <w:r w:rsidRPr="009C30AA">
        <w:rPr>
          <w:rStyle w:val="EndnoteReference"/>
          <w:rFonts w:ascii="Times New Roman" w:eastAsia="Times New Roman" w:hAnsi="Times New Roman" w:cs="Times New Roman"/>
          <w:sz w:val="24"/>
          <w:szCs w:val="24"/>
        </w:rPr>
        <w:endnoteReference w:id="5"/>
      </w:r>
      <w:r w:rsidRPr="009C30AA">
        <w:rPr>
          <w:rFonts w:ascii="Times New Roman" w:eastAsia="Times New Roman" w:hAnsi="Times New Roman" w:cs="Times New Roman"/>
          <w:sz w:val="24"/>
          <w:szCs w:val="24"/>
        </w:rPr>
        <w:t xml:space="preserve"> Numerous other human rights bodies and international and regional standards, guidance, and judicial decisions, both long-established and recent, </w:t>
      </w:r>
      <w:r w:rsidR="00D048A6" w:rsidRPr="009C30AA">
        <w:rPr>
          <w:rFonts w:ascii="Times New Roman" w:eastAsia="Times New Roman" w:hAnsi="Times New Roman" w:cs="Times New Roman"/>
          <w:sz w:val="24"/>
          <w:szCs w:val="24"/>
        </w:rPr>
        <w:t>emphasize</w:t>
      </w:r>
      <w:r w:rsidRPr="009C30AA">
        <w:rPr>
          <w:rFonts w:ascii="Times New Roman" w:eastAsia="Times New Roman" w:hAnsi="Times New Roman" w:cs="Times New Roman"/>
          <w:sz w:val="24"/>
          <w:szCs w:val="24"/>
        </w:rPr>
        <w:t xml:space="preserve"> th</w:t>
      </w:r>
      <w:r w:rsidR="00D048A6" w:rsidRPr="009C30AA">
        <w:rPr>
          <w:rFonts w:ascii="Times New Roman" w:eastAsia="Times New Roman" w:hAnsi="Times New Roman" w:cs="Times New Roman"/>
          <w:sz w:val="24"/>
          <w:szCs w:val="24"/>
        </w:rPr>
        <w:t>e</w:t>
      </w:r>
      <w:r w:rsidRPr="009C30AA">
        <w:rPr>
          <w:rFonts w:ascii="Times New Roman" w:eastAsia="Times New Roman" w:hAnsi="Times New Roman" w:cs="Times New Roman"/>
          <w:sz w:val="24"/>
          <w:szCs w:val="24"/>
        </w:rPr>
        <w:t xml:space="preserve"> </w:t>
      </w:r>
      <w:r w:rsidR="00D048A6" w:rsidRPr="009C30AA">
        <w:rPr>
          <w:rFonts w:ascii="Times New Roman" w:eastAsia="Times New Roman" w:hAnsi="Times New Roman" w:cs="Times New Roman"/>
          <w:sz w:val="24"/>
          <w:szCs w:val="24"/>
        </w:rPr>
        <w:t xml:space="preserve">centrality of </w:t>
      </w:r>
      <w:r w:rsidRPr="009C30AA">
        <w:rPr>
          <w:rFonts w:ascii="Times New Roman" w:eastAsia="Times New Roman" w:hAnsi="Times New Roman" w:cs="Times New Roman"/>
          <w:sz w:val="24"/>
          <w:szCs w:val="24"/>
        </w:rPr>
        <w:t xml:space="preserve">land </w:t>
      </w:r>
      <w:r w:rsidR="00D048A6" w:rsidRPr="009C30AA">
        <w:rPr>
          <w:rFonts w:ascii="Times New Roman" w:eastAsia="Times New Roman" w:hAnsi="Times New Roman" w:cs="Times New Roman"/>
          <w:sz w:val="24"/>
          <w:szCs w:val="24"/>
        </w:rPr>
        <w:t>to</w:t>
      </w:r>
      <w:r w:rsidRPr="009C30AA">
        <w:rPr>
          <w:rFonts w:ascii="Times New Roman" w:eastAsia="Times New Roman" w:hAnsi="Times New Roman" w:cs="Times New Roman"/>
          <w:sz w:val="24"/>
          <w:szCs w:val="24"/>
        </w:rPr>
        <w:t xml:space="preserve"> fulfil</w:t>
      </w:r>
      <w:r w:rsidR="00D048A6" w:rsidRPr="009C30AA">
        <w:rPr>
          <w:rFonts w:ascii="Times New Roman" w:eastAsia="Times New Roman" w:hAnsi="Times New Roman" w:cs="Times New Roman"/>
          <w:sz w:val="24"/>
          <w:szCs w:val="24"/>
        </w:rPr>
        <w:t>ling</w:t>
      </w:r>
      <w:r w:rsidRPr="009C30AA">
        <w:rPr>
          <w:rFonts w:ascii="Times New Roman" w:eastAsia="Times New Roman" w:hAnsi="Times New Roman" w:cs="Times New Roman"/>
          <w:sz w:val="24"/>
          <w:szCs w:val="24"/>
        </w:rPr>
        <w:t xml:space="preserve"> human rights.</w:t>
      </w:r>
      <w:r w:rsidRPr="009C30AA">
        <w:rPr>
          <w:rStyle w:val="EndnoteReference"/>
          <w:rFonts w:ascii="Times New Roman" w:eastAsia="Times New Roman" w:hAnsi="Times New Roman" w:cs="Times New Roman"/>
          <w:sz w:val="24"/>
          <w:szCs w:val="24"/>
        </w:rPr>
        <w:endnoteReference w:id="6"/>
      </w:r>
      <w:r w:rsidRPr="009C30AA">
        <w:rPr>
          <w:rFonts w:ascii="Times New Roman" w:eastAsia="Times New Roman" w:hAnsi="Times New Roman" w:cs="Times New Roman"/>
          <w:sz w:val="24"/>
          <w:szCs w:val="24"/>
        </w:rPr>
        <w:t xml:space="preserve"> </w:t>
      </w:r>
    </w:p>
    <w:p w14:paraId="50EDC057" w14:textId="77777777" w:rsidR="00D048A6" w:rsidRPr="009C30AA" w:rsidRDefault="00D048A6" w:rsidP="00A45956">
      <w:pPr>
        <w:spacing w:after="0" w:line="240" w:lineRule="auto"/>
        <w:rPr>
          <w:rFonts w:ascii="Times New Roman" w:eastAsia="Times New Roman" w:hAnsi="Times New Roman" w:cs="Times New Roman"/>
          <w:sz w:val="24"/>
          <w:szCs w:val="24"/>
        </w:rPr>
      </w:pPr>
    </w:p>
    <w:p w14:paraId="2E94C6EA" w14:textId="1F8158D8" w:rsidR="2348F74A" w:rsidRPr="009C30AA" w:rsidRDefault="00995224"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The current draft accomplishes a herculean task, summarizing decades of pro</w:t>
      </w:r>
      <w:bookmarkStart w:id="0" w:name="_GoBack"/>
      <w:bookmarkEnd w:id="0"/>
      <w:r w:rsidRPr="009C30AA">
        <w:rPr>
          <w:rFonts w:ascii="Times New Roman" w:eastAsia="Times New Roman" w:hAnsi="Times New Roman" w:cs="Times New Roman"/>
          <w:sz w:val="24"/>
          <w:szCs w:val="24"/>
        </w:rPr>
        <w:t>gress on land tenure and governance as it relates to human rights, and providing a clear path forward for defining how land relates to Covenant rights. This submission respectfully suggests incorporating</w:t>
      </w:r>
      <w:r w:rsidR="00937CC2" w:rsidRPr="009C30AA">
        <w:rPr>
          <w:rFonts w:ascii="Times New Roman" w:eastAsia="Times New Roman" w:hAnsi="Times New Roman" w:cs="Times New Roman"/>
          <w:sz w:val="24"/>
          <w:szCs w:val="24"/>
        </w:rPr>
        <w:t xml:space="preserve"> </w:t>
      </w:r>
      <w:r w:rsidRPr="009C30AA">
        <w:rPr>
          <w:rFonts w:ascii="Times New Roman" w:eastAsia="Times New Roman" w:hAnsi="Times New Roman" w:cs="Times New Roman"/>
          <w:sz w:val="24"/>
          <w:szCs w:val="24"/>
        </w:rPr>
        <w:t xml:space="preserve">the following </w:t>
      </w:r>
      <w:r w:rsidR="00937CC2" w:rsidRPr="009C30AA">
        <w:rPr>
          <w:rFonts w:ascii="Times New Roman" w:eastAsia="Times New Roman" w:hAnsi="Times New Roman" w:cs="Times New Roman"/>
          <w:sz w:val="24"/>
          <w:szCs w:val="24"/>
        </w:rPr>
        <w:t>key changes, detailed below</w:t>
      </w:r>
      <w:r w:rsidRPr="009C30AA">
        <w:rPr>
          <w:rFonts w:ascii="Times New Roman" w:eastAsia="Times New Roman" w:hAnsi="Times New Roman" w:cs="Times New Roman"/>
          <w:sz w:val="24"/>
          <w:szCs w:val="24"/>
        </w:rPr>
        <w:t>: 1)</w:t>
      </w:r>
      <w:r w:rsidRPr="009C30AA">
        <w:rPr>
          <w:rFonts w:ascii="Times New Roman" w:hAnsi="Times New Roman" w:cs="Times New Roman"/>
          <w:sz w:val="24"/>
          <w:szCs w:val="24"/>
        </w:rPr>
        <w:t xml:space="preserve"> </w:t>
      </w:r>
      <w:r w:rsidR="00937CC2" w:rsidRPr="009C30AA">
        <w:rPr>
          <w:rFonts w:ascii="Times New Roman" w:eastAsia="Times New Roman" w:hAnsi="Times New Roman" w:cs="Times New Roman"/>
          <w:sz w:val="24"/>
          <w:szCs w:val="24"/>
        </w:rPr>
        <w:t>Recognize a universal right to land; 2) Integrate intersectionality, gender justice</w:t>
      </w:r>
      <w:r w:rsidR="00D048A6" w:rsidRPr="009C30AA">
        <w:rPr>
          <w:rFonts w:ascii="Times New Roman" w:eastAsia="Times New Roman" w:hAnsi="Times New Roman" w:cs="Times New Roman"/>
          <w:sz w:val="24"/>
          <w:szCs w:val="24"/>
        </w:rPr>
        <w:t>,</w:t>
      </w:r>
      <w:r w:rsidR="00937CC2" w:rsidRPr="009C30AA">
        <w:rPr>
          <w:rFonts w:ascii="Times New Roman" w:eastAsia="Times New Roman" w:hAnsi="Times New Roman" w:cs="Times New Roman"/>
          <w:sz w:val="24"/>
          <w:szCs w:val="24"/>
        </w:rPr>
        <w:t xml:space="preserve"> and social inclusion across the General Comment; </w:t>
      </w:r>
      <w:r w:rsidR="00D048A6" w:rsidRPr="009C30AA">
        <w:rPr>
          <w:rFonts w:ascii="Times New Roman" w:eastAsia="Times New Roman" w:hAnsi="Times New Roman" w:cs="Times New Roman"/>
          <w:sz w:val="24"/>
          <w:szCs w:val="24"/>
        </w:rPr>
        <w:t xml:space="preserve">and </w:t>
      </w:r>
      <w:r w:rsidR="00937CC2" w:rsidRPr="009C30AA">
        <w:rPr>
          <w:rFonts w:ascii="Times New Roman" w:eastAsia="Times New Roman" w:hAnsi="Times New Roman" w:cs="Times New Roman"/>
          <w:sz w:val="24"/>
          <w:szCs w:val="24"/>
        </w:rPr>
        <w:t xml:space="preserve">3) Strengthen the emphasis on gender equitable </w:t>
      </w:r>
      <w:r w:rsidR="00D048A6" w:rsidRPr="009C30AA">
        <w:rPr>
          <w:rFonts w:ascii="Times New Roman" w:eastAsia="Times New Roman" w:hAnsi="Times New Roman" w:cs="Times New Roman"/>
          <w:sz w:val="24"/>
          <w:szCs w:val="24"/>
        </w:rPr>
        <w:t xml:space="preserve">and socially inclusive </w:t>
      </w:r>
      <w:r w:rsidR="00937CC2" w:rsidRPr="009C30AA">
        <w:rPr>
          <w:rFonts w:ascii="Times New Roman" w:eastAsia="Times New Roman" w:hAnsi="Times New Roman" w:cs="Times New Roman"/>
          <w:sz w:val="24"/>
          <w:szCs w:val="24"/>
        </w:rPr>
        <w:t>land governance.</w:t>
      </w:r>
    </w:p>
    <w:p w14:paraId="1CDC9B80" w14:textId="77777777" w:rsidR="00D048A6" w:rsidRPr="009C30AA" w:rsidRDefault="00D048A6" w:rsidP="00A45956">
      <w:pPr>
        <w:spacing w:after="0" w:line="240" w:lineRule="auto"/>
        <w:rPr>
          <w:rFonts w:ascii="Times New Roman" w:eastAsia="Times New Roman" w:hAnsi="Times New Roman" w:cs="Times New Roman"/>
          <w:sz w:val="24"/>
          <w:szCs w:val="24"/>
        </w:rPr>
      </w:pPr>
    </w:p>
    <w:p w14:paraId="20DB5D77" w14:textId="48400B5C" w:rsidR="4B3711B8" w:rsidRPr="009C30AA" w:rsidRDefault="4B3711B8" w:rsidP="00A45956">
      <w:pPr>
        <w:spacing w:after="0" w:line="240" w:lineRule="auto"/>
        <w:rPr>
          <w:rFonts w:ascii="Times New Roman" w:eastAsia="Times New Roman" w:hAnsi="Times New Roman" w:cs="Times New Roman"/>
          <w:color w:val="000000" w:themeColor="text1"/>
          <w:sz w:val="24"/>
          <w:szCs w:val="24"/>
        </w:rPr>
      </w:pPr>
      <w:r w:rsidRPr="009C30AA">
        <w:rPr>
          <w:rFonts w:ascii="Times New Roman" w:eastAsia="Times New Roman" w:hAnsi="Times New Roman" w:cs="Times New Roman"/>
          <w:b/>
          <w:bCs/>
          <w:i/>
          <w:iCs/>
          <w:sz w:val="24"/>
          <w:szCs w:val="24"/>
        </w:rPr>
        <w:t>Recognize a</w:t>
      </w:r>
      <w:r w:rsidR="7D0192C6" w:rsidRPr="009C30AA">
        <w:rPr>
          <w:rFonts w:ascii="Times New Roman" w:eastAsia="Times New Roman" w:hAnsi="Times New Roman" w:cs="Times New Roman"/>
          <w:b/>
          <w:bCs/>
          <w:i/>
          <w:iCs/>
          <w:sz w:val="24"/>
          <w:szCs w:val="24"/>
        </w:rPr>
        <w:t xml:space="preserve"> universal right to land. </w:t>
      </w:r>
    </w:p>
    <w:p w14:paraId="57B18BA0" w14:textId="6EE8FF17" w:rsidR="4B3711B8" w:rsidRPr="009C30AA" w:rsidRDefault="21476554" w:rsidP="00A45956">
      <w:pPr>
        <w:spacing w:after="0" w:line="240" w:lineRule="auto"/>
        <w:rPr>
          <w:rFonts w:ascii="Times New Roman" w:eastAsia="Times New Roman" w:hAnsi="Times New Roman" w:cs="Times New Roman"/>
          <w:color w:val="000000" w:themeColor="text1"/>
          <w:sz w:val="24"/>
          <w:szCs w:val="24"/>
        </w:rPr>
      </w:pPr>
      <w:r w:rsidRPr="009C30AA">
        <w:rPr>
          <w:rFonts w:ascii="Times New Roman" w:eastAsia="Times New Roman" w:hAnsi="Times New Roman" w:cs="Times New Roman"/>
          <w:color w:val="000000" w:themeColor="text1"/>
          <w:sz w:val="24"/>
          <w:szCs w:val="24"/>
        </w:rPr>
        <w:t>Paragraph 52 of the Draft Comment assert</w:t>
      </w:r>
      <w:r w:rsidR="00DB35B1" w:rsidRPr="009C30AA">
        <w:rPr>
          <w:rFonts w:ascii="Times New Roman" w:eastAsia="Times New Roman" w:hAnsi="Times New Roman" w:cs="Times New Roman"/>
          <w:color w:val="000000" w:themeColor="text1"/>
          <w:sz w:val="24"/>
          <w:szCs w:val="24"/>
        </w:rPr>
        <w:t>s</w:t>
      </w:r>
      <w:r w:rsidRPr="009C30AA">
        <w:rPr>
          <w:rFonts w:ascii="Times New Roman" w:eastAsia="Times New Roman" w:hAnsi="Times New Roman" w:cs="Times New Roman"/>
          <w:color w:val="000000" w:themeColor="text1"/>
          <w:sz w:val="24"/>
          <w:szCs w:val="24"/>
        </w:rPr>
        <w:t xml:space="preserve"> that land is so crucial to peasants’ realization of other Covenant rights that it </w:t>
      </w:r>
      <w:r w:rsidRPr="009C30AA">
        <w:rPr>
          <w:rFonts w:ascii="Times New Roman" w:eastAsia="Times New Roman" w:hAnsi="Times New Roman" w:cs="Times New Roman"/>
          <w:color w:val="000000" w:themeColor="text1"/>
          <w:sz w:val="24"/>
          <w:szCs w:val="24"/>
        </w:rPr>
        <w:lastRenderedPageBreak/>
        <w:t>“functionally equate</w:t>
      </w:r>
      <w:r w:rsidR="00153254" w:rsidRPr="009C30AA">
        <w:rPr>
          <w:rFonts w:ascii="Times New Roman" w:eastAsia="Times New Roman" w:hAnsi="Times New Roman" w:cs="Times New Roman"/>
          <w:color w:val="000000" w:themeColor="text1"/>
          <w:sz w:val="24"/>
          <w:szCs w:val="24"/>
        </w:rPr>
        <w:t>s</w:t>
      </w:r>
      <w:r w:rsidRPr="009C30AA">
        <w:rPr>
          <w:rFonts w:ascii="Times New Roman" w:eastAsia="Times New Roman" w:hAnsi="Times New Roman" w:cs="Times New Roman"/>
          <w:color w:val="000000" w:themeColor="text1"/>
          <w:sz w:val="24"/>
          <w:szCs w:val="24"/>
        </w:rPr>
        <w:t xml:space="preserve"> with a right to land.” </w:t>
      </w:r>
      <w:r w:rsidR="00081DD9" w:rsidRPr="009C30AA">
        <w:rPr>
          <w:rFonts w:ascii="Times New Roman" w:eastAsia="Times New Roman" w:hAnsi="Times New Roman" w:cs="Times New Roman"/>
          <w:color w:val="000000" w:themeColor="text1"/>
          <w:sz w:val="24"/>
          <w:szCs w:val="24"/>
        </w:rPr>
        <w:t>The</w:t>
      </w:r>
      <w:r w:rsidRPr="009C30AA">
        <w:rPr>
          <w:rFonts w:ascii="Times New Roman" w:eastAsia="Times New Roman" w:hAnsi="Times New Roman" w:cs="Times New Roman"/>
          <w:color w:val="000000" w:themeColor="text1"/>
          <w:sz w:val="24"/>
          <w:szCs w:val="24"/>
        </w:rPr>
        <w:t xml:space="preserve"> Draft Comment</w:t>
      </w:r>
      <w:r w:rsidR="00DB35B1" w:rsidRPr="009C30AA">
        <w:rPr>
          <w:rFonts w:ascii="Times New Roman" w:eastAsia="Times New Roman" w:hAnsi="Times New Roman" w:cs="Times New Roman"/>
          <w:color w:val="000000" w:themeColor="text1"/>
          <w:sz w:val="24"/>
          <w:szCs w:val="24"/>
        </w:rPr>
        <w:t xml:space="preserve"> </w:t>
      </w:r>
      <w:r w:rsidR="00081DD9" w:rsidRPr="009C30AA">
        <w:rPr>
          <w:rFonts w:ascii="Times New Roman" w:eastAsia="Times New Roman" w:hAnsi="Times New Roman" w:cs="Times New Roman"/>
          <w:color w:val="000000" w:themeColor="text1"/>
          <w:sz w:val="24"/>
          <w:szCs w:val="24"/>
        </w:rPr>
        <w:t>acknowledges that there are other groups for which the treatment of land and other productive resources would warrant this functional equivalence</w:t>
      </w:r>
      <w:r w:rsidR="00DB35B1" w:rsidRPr="009C30AA">
        <w:rPr>
          <w:rFonts w:ascii="Times New Roman" w:eastAsia="Times New Roman" w:hAnsi="Times New Roman" w:cs="Times New Roman"/>
          <w:color w:val="000000" w:themeColor="text1"/>
          <w:sz w:val="24"/>
          <w:szCs w:val="24"/>
        </w:rPr>
        <w:t>, naming peasants as an example</w:t>
      </w:r>
      <w:r w:rsidR="00081DD9" w:rsidRPr="009C30AA">
        <w:rPr>
          <w:rFonts w:ascii="Times New Roman" w:eastAsia="Times New Roman" w:hAnsi="Times New Roman" w:cs="Times New Roman"/>
          <w:color w:val="000000" w:themeColor="text1"/>
          <w:sz w:val="24"/>
          <w:szCs w:val="24"/>
        </w:rPr>
        <w:t>. Ostensibly th</w:t>
      </w:r>
      <w:r w:rsidR="00DB35B1" w:rsidRPr="009C30AA">
        <w:rPr>
          <w:rFonts w:ascii="Times New Roman" w:eastAsia="Times New Roman" w:hAnsi="Times New Roman" w:cs="Times New Roman"/>
          <w:color w:val="000000" w:themeColor="text1"/>
          <w:sz w:val="24"/>
          <w:szCs w:val="24"/>
        </w:rPr>
        <w:t>ese other groups</w:t>
      </w:r>
      <w:r w:rsidR="00081DD9" w:rsidRPr="009C30AA">
        <w:rPr>
          <w:rFonts w:ascii="Times New Roman" w:eastAsia="Times New Roman" w:hAnsi="Times New Roman" w:cs="Times New Roman"/>
          <w:color w:val="000000" w:themeColor="text1"/>
          <w:sz w:val="24"/>
          <w:szCs w:val="24"/>
        </w:rPr>
        <w:t xml:space="preserve"> include </w:t>
      </w:r>
      <w:r w:rsidR="00DB35B1" w:rsidRPr="009C30AA">
        <w:rPr>
          <w:rFonts w:ascii="Times New Roman" w:eastAsia="Times New Roman" w:hAnsi="Times New Roman" w:cs="Times New Roman"/>
          <w:color w:val="000000" w:themeColor="text1"/>
          <w:sz w:val="24"/>
          <w:szCs w:val="24"/>
        </w:rPr>
        <w:t>those who</w:t>
      </w:r>
      <w:r w:rsidR="00081DD9" w:rsidRPr="009C30AA">
        <w:rPr>
          <w:rFonts w:ascii="Times New Roman" w:eastAsia="Times New Roman" w:hAnsi="Times New Roman" w:cs="Times New Roman"/>
          <w:color w:val="000000" w:themeColor="text1"/>
          <w:sz w:val="24"/>
          <w:szCs w:val="24"/>
        </w:rPr>
        <w:t xml:space="preserve"> depend at least partially on land</w:t>
      </w:r>
      <w:r w:rsidRPr="009C30AA">
        <w:rPr>
          <w:rFonts w:ascii="Times New Roman" w:eastAsia="Times New Roman" w:hAnsi="Times New Roman" w:cs="Times New Roman"/>
          <w:color w:val="000000" w:themeColor="text1"/>
          <w:sz w:val="24"/>
          <w:szCs w:val="24"/>
        </w:rPr>
        <w:t xml:space="preserve">, </w:t>
      </w:r>
      <w:r w:rsidR="00DB35B1" w:rsidRPr="009C30AA">
        <w:rPr>
          <w:rFonts w:ascii="Times New Roman" w:eastAsia="Times New Roman" w:hAnsi="Times New Roman" w:cs="Times New Roman"/>
          <w:color w:val="000000" w:themeColor="text1"/>
          <w:sz w:val="24"/>
          <w:szCs w:val="24"/>
        </w:rPr>
        <w:t>totaling an estimated 2.5 billion people worldwide,</w:t>
      </w:r>
      <w:r w:rsidR="00DB35B1" w:rsidRPr="009C30AA">
        <w:rPr>
          <w:rStyle w:val="EndnoteReference"/>
          <w:rFonts w:ascii="Times New Roman" w:eastAsia="Times New Roman" w:hAnsi="Times New Roman" w:cs="Times New Roman"/>
          <w:sz w:val="24"/>
          <w:szCs w:val="24"/>
        </w:rPr>
        <w:endnoteReference w:id="7"/>
      </w:r>
      <w:r w:rsidR="00DB35B1" w:rsidRPr="009C30AA">
        <w:rPr>
          <w:rFonts w:ascii="Times New Roman" w:eastAsia="Times New Roman" w:hAnsi="Times New Roman" w:cs="Times New Roman"/>
          <w:color w:val="000000" w:themeColor="text1"/>
          <w:sz w:val="24"/>
          <w:szCs w:val="24"/>
        </w:rPr>
        <w:t xml:space="preserve"> and </w:t>
      </w:r>
      <w:r w:rsidRPr="009C30AA">
        <w:rPr>
          <w:rFonts w:ascii="Times New Roman" w:eastAsia="Times New Roman" w:hAnsi="Times New Roman" w:cs="Times New Roman"/>
          <w:color w:val="000000" w:themeColor="text1"/>
          <w:sz w:val="24"/>
          <w:szCs w:val="24"/>
        </w:rPr>
        <w:t>including</w:t>
      </w:r>
      <w:r w:rsidR="00DB35B1" w:rsidRPr="009C30AA">
        <w:rPr>
          <w:rFonts w:ascii="Times New Roman" w:eastAsia="Times New Roman" w:hAnsi="Times New Roman" w:cs="Times New Roman"/>
          <w:color w:val="000000" w:themeColor="text1"/>
          <w:sz w:val="24"/>
          <w:szCs w:val="24"/>
        </w:rPr>
        <w:t>: rural communities, Indigenous Peoples, and other groups with insecure land rights, and marginalized groups within these</w:t>
      </w:r>
      <w:r w:rsidRPr="009C30AA">
        <w:rPr>
          <w:rFonts w:ascii="Times New Roman" w:eastAsia="Times New Roman" w:hAnsi="Times New Roman" w:cs="Times New Roman"/>
          <w:color w:val="000000" w:themeColor="text1"/>
          <w:sz w:val="24"/>
          <w:szCs w:val="24"/>
        </w:rPr>
        <w:t xml:space="preserve"> </w:t>
      </w:r>
      <w:r w:rsidR="00DB35B1" w:rsidRPr="009C30AA">
        <w:rPr>
          <w:rFonts w:ascii="Times New Roman" w:eastAsia="Times New Roman" w:hAnsi="Times New Roman" w:cs="Times New Roman"/>
          <w:color w:val="000000" w:themeColor="text1"/>
          <w:sz w:val="24"/>
          <w:szCs w:val="24"/>
        </w:rPr>
        <w:t>groups (</w:t>
      </w:r>
      <w:r w:rsidRPr="009C30AA">
        <w:rPr>
          <w:rFonts w:ascii="Times New Roman" w:eastAsia="Times New Roman" w:hAnsi="Times New Roman" w:cs="Times New Roman"/>
          <w:color w:val="000000" w:themeColor="text1"/>
          <w:sz w:val="24"/>
          <w:szCs w:val="24"/>
        </w:rPr>
        <w:t>women, youth,</w:t>
      </w:r>
      <w:r w:rsidR="00DB35B1" w:rsidRPr="009C30AA">
        <w:rPr>
          <w:rFonts w:ascii="Times New Roman" w:eastAsia="Times New Roman" w:hAnsi="Times New Roman" w:cs="Times New Roman"/>
          <w:color w:val="000000" w:themeColor="text1"/>
          <w:sz w:val="24"/>
          <w:szCs w:val="24"/>
        </w:rPr>
        <w:t xml:space="preserve"> ethnic and religious minorities, disfavored castes, gender and sexual minorities, those living with disabilities, etc.).</w:t>
      </w:r>
      <w:r w:rsidRPr="009C30AA">
        <w:rPr>
          <w:rFonts w:ascii="Times New Roman" w:eastAsia="Times New Roman" w:hAnsi="Times New Roman" w:cs="Times New Roman"/>
          <w:color w:val="000000" w:themeColor="text1"/>
          <w:sz w:val="24"/>
          <w:szCs w:val="24"/>
        </w:rPr>
        <w:t xml:space="preserve"> </w:t>
      </w:r>
      <w:r w:rsidR="00081DD9" w:rsidRPr="009C30AA">
        <w:rPr>
          <w:rFonts w:ascii="Times New Roman" w:eastAsia="Times New Roman" w:hAnsi="Times New Roman" w:cs="Times New Roman"/>
          <w:color w:val="000000" w:themeColor="text1"/>
          <w:sz w:val="24"/>
          <w:szCs w:val="24"/>
        </w:rPr>
        <w:t xml:space="preserve">However, this distinction is still arbitrary, and leaves States Parties without </w:t>
      </w:r>
      <w:r w:rsidR="00DB35B1" w:rsidRPr="009C30AA">
        <w:rPr>
          <w:rFonts w:ascii="Times New Roman" w:eastAsia="Times New Roman" w:hAnsi="Times New Roman" w:cs="Times New Roman"/>
          <w:color w:val="000000" w:themeColor="text1"/>
          <w:sz w:val="24"/>
          <w:szCs w:val="24"/>
        </w:rPr>
        <w:t xml:space="preserve">a </w:t>
      </w:r>
      <w:r w:rsidR="00081DD9" w:rsidRPr="009C30AA">
        <w:rPr>
          <w:rFonts w:ascii="Times New Roman" w:eastAsia="Times New Roman" w:hAnsi="Times New Roman" w:cs="Times New Roman"/>
          <w:color w:val="000000" w:themeColor="text1"/>
          <w:sz w:val="24"/>
          <w:szCs w:val="24"/>
        </w:rPr>
        <w:t xml:space="preserve">clear </w:t>
      </w:r>
      <w:r w:rsidR="00DB35B1" w:rsidRPr="009C30AA">
        <w:rPr>
          <w:rFonts w:ascii="Times New Roman" w:eastAsia="Times New Roman" w:hAnsi="Times New Roman" w:cs="Times New Roman"/>
          <w:color w:val="000000" w:themeColor="text1"/>
          <w:sz w:val="24"/>
          <w:szCs w:val="24"/>
        </w:rPr>
        <w:t>obligation</w:t>
      </w:r>
      <w:r w:rsidR="00081DD9" w:rsidRPr="009C30AA">
        <w:rPr>
          <w:rFonts w:ascii="Times New Roman" w:eastAsia="Times New Roman" w:hAnsi="Times New Roman" w:cs="Times New Roman"/>
          <w:color w:val="000000" w:themeColor="text1"/>
          <w:sz w:val="24"/>
          <w:szCs w:val="24"/>
        </w:rPr>
        <w:t xml:space="preserve"> to fulfill Covenant rights related to land</w:t>
      </w:r>
      <w:r w:rsidR="00DB35B1" w:rsidRPr="009C30AA">
        <w:rPr>
          <w:rFonts w:ascii="Times New Roman" w:eastAsia="Times New Roman" w:hAnsi="Times New Roman" w:cs="Times New Roman"/>
          <w:color w:val="000000" w:themeColor="text1"/>
          <w:sz w:val="24"/>
          <w:szCs w:val="24"/>
        </w:rPr>
        <w:t xml:space="preserve"> for all within their jurisdiction</w:t>
      </w:r>
      <w:r w:rsidR="00081DD9" w:rsidRPr="009C30AA">
        <w:rPr>
          <w:rFonts w:ascii="Times New Roman" w:eastAsia="Times New Roman" w:hAnsi="Times New Roman" w:cs="Times New Roman"/>
          <w:color w:val="000000" w:themeColor="text1"/>
          <w:sz w:val="24"/>
          <w:szCs w:val="24"/>
        </w:rPr>
        <w:t>. The need to declare land as a human right is urgent in the face of trends threatening Covenant rights related to land, primarily the climate emergency, but also growing economic inequality, xenophobia and nationalism, technological and demographic shifts, and the migration and displacement that result from</w:t>
      </w:r>
      <w:r w:rsidR="00DB35B1" w:rsidRPr="009C30AA">
        <w:rPr>
          <w:rFonts w:ascii="Times New Roman" w:eastAsia="Times New Roman" w:hAnsi="Times New Roman" w:cs="Times New Roman"/>
          <w:color w:val="000000" w:themeColor="text1"/>
          <w:sz w:val="24"/>
          <w:szCs w:val="24"/>
        </w:rPr>
        <w:t xml:space="preserve"> and are interrelated with </w:t>
      </w:r>
      <w:r w:rsidR="00081DD9" w:rsidRPr="009C30AA">
        <w:rPr>
          <w:rFonts w:ascii="Times New Roman" w:eastAsia="Times New Roman" w:hAnsi="Times New Roman" w:cs="Times New Roman"/>
          <w:color w:val="000000" w:themeColor="text1"/>
          <w:sz w:val="24"/>
          <w:szCs w:val="24"/>
        </w:rPr>
        <w:t xml:space="preserve">these trends. </w:t>
      </w:r>
    </w:p>
    <w:p w14:paraId="22BF79B0" w14:textId="77777777" w:rsidR="00DB35B1" w:rsidRPr="009C30AA" w:rsidRDefault="00DB35B1" w:rsidP="00A45956">
      <w:pPr>
        <w:spacing w:after="0" w:line="240" w:lineRule="auto"/>
        <w:rPr>
          <w:rFonts w:ascii="Times New Roman" w:eastAsia="Times New Roman" w:hAnsi="Times New Roman" w:cs="Times New Roman"/>
          <w:color w:val="000000" w:themeColor="text1"/>
          <w:sz w:val="24"/>
          <w:szCs w:val="24"/>
        </w:rPr>
      </w:pPr>
    </w:p>
    <w:p w14:paraId="10C9C017" w14:textId="3B6130EB" w:rsidR="00F636F0" w:rsidRPr="009C30AA" w:rsidRDefault="00023EB2"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In deriving a freestanding right from others explicitly enumerated in </w:t>
      </w:r>
      <w:r w:rsidR="00DB35B1" w:rsidRPr="009C30AA">
        <w:rPr>
          <w:rFonts w:ascii="Times New Roman" w:eastAsia="Times New Roman" w:hAnsi="Times New Roman" w:cs="Times New Roman"/>
          <w:sz w:val="24"/>
          <w:szCs w:val="24"/>
        </w:rPr>
        <w:t xml:space="preserve">the </w:t>
      </w:r>
      <w:r w:rsidRPr="009C30AA">
        <w:rPr>
          <w:rFonts w:ascii="Times New Roman" w:eastAsia="Times New Roman" w:hAnsi="Times New Roman" w:cs="Times New Roman"/>
          <w:sz w:val="24"/>
          <w:szCs w:val="24"/>
        </w:rPr>
        <w:t>Covenant, the Committee would be following its own precedent, developed in its General Comment No. 15 on the right to water.</w:t>
      </w:r>
      <w:r w:rsidR="00F636F0" w:rsidRPr="009C30AA">
        <w:rPr>
          <w:rStyle w:val="EndnoteReference"/>
          <w:rFonts w:ascii="Times New Roman" w:eastAsia="Times New Roman" w:hAnsi="Times New Roman" w:cs="Times New Roman"/>
          <w:sz w:val="24"/>
          <w:szCs w:val="24"/>
        </w:rPr>
        <w:endnoteReference w:id="8"/>
      </w:r>
      <w:r w:rsidR="00F636F0" w:rsidRPr="009C30AA">
        <w:rPr>
          <w:rFonts w:ascii="Times New Roman" w:eastAsia="Times New Roman" w:hAnsi="Times New Roman" w:cs="Times New Roman"/>
          <w:sz w:val="24"/>
          <w:szCs w:val="24"/>
        </w:rPr>
        <w:t xml:space="preserve"> Article 11 of the Covenant asserts that a range of rights underlie the core right to an adequate standard of living, “including adequate food, clothing and housing.”</w:t>
      </w:r>
      <w:r w:rsidR="00F636F0" w:rsidRPr="009C30AA">
        <w:rPr>
          <w:rStyle w:val="EndnoteReference"/>
          <w:rFonts w:ascii="Times New Roman" w:eastAsia="Times New Roman" w:hAnsi="Times New Roman" w:cs="Times New Roman"/>
          <w:sz w:val="24"/>
          <w:szCs w:val="24"/>
        </w:rPr>
        <w:endnoteReference w:id="9"/>
      </w:r>
      <w:r w:rsidR="00F636F0" w:rsidRPr="009C30AA">
        <w:rPr>
          <w:rFonts w:ascii="Times New Roman" w:eastAsia="Times New Roman" w:hAnsi="Times New Roman" w:cs="Times New Roman"/>
          <w:sz w:val="24"/>
          <w:szCs w:val="24"/>
        </w:rPr>
        <w:t xml:space="preserve"> General comment No. 15 clarifies that the term “including,” implies that the enumerated rights are not exhausted, and that others, including the right to water, also fall within this category.</w:t>
      </w:r>
      <w:r w:rsidR="00F636F0" w:rsidRPr="009C30AA">
        <w:rPr>
          <w:rStyle w:val="EndnoteReference"/>
          <w:rFonts w:ascii="Times New Roman" w:eastAsia="Times New Roman" w:hAnsi="Times New Roman" w:cs="Times New Roman"/>
          <w:sz w:val="24"/>
          <w:szCs w:val="24"/>
        </w:rPr>
        <w:endnoteReference w:id="10"/>
      </w:r>
      <w:r w:rsidR="00F636F0" w:rsidRPr="009C30AA">
        <w:rPr>
          <w:rFonts w:ascii="Times New Roman" w:eastAsia="Times New Roman" w:hAnsi="Times New Roman" w:cs="Times New Roman"/>
          <w:sz w:val="24"/>
          <w:szCs w:val="24"/>
        </w:rPr>
        <w:t xml:space="preserve"> A right to secure land tenure deserves similar recognition as an implied (if unenumerated) right within the Covenant, given key similarities between the two resources. Both water and land are finite natural resources indispensable to an adequate standard of living. Secure rights to </w:t>
      </w:r>
      <w:r w:rsidR="00F636F0" w:rsidRPr="009C30AA">
        <w:rPr>
          <w:rFonts w:ascii="Times New Roman" w:eastAsia="Times New Roman" w:hAnsi="Times New Roman" w:cs="Times New Roman"/>
          <w:sz w:val="24"/>
          <w:szCs w:val="24"/>
        </w:rPr>
        <w:lastRenderedPageBreak/>
        <w:t>each are similarly crucial to addressing a range of intersectional inequalities, empowering individuals and communities, and addressing the widespread challenges of the trends named above, including climate impacts, food security, migration, displacement, urbanization, and youth unemployment or the “youth bulge” faced primarily by African and Asian countries.</w:t>
      </w:r>
    </w:p>
    <w:p w14:paraId="1A9E7825" w14:textId="77777777" w:rsidR="00DB35B1" w:rsidRPr="009C30AA" w:rsidRDefault="00DB35B1" w:rsidP="00A45956">
      <w:pPr>
        <w:spacing w:after="0" w:line="240" w:lineRule="auto"/>
        <w:rPr>
          <w:rFonts w:ascii="Times New Roman" w:eastAsia="Times New Roman" w:hAnsi="Times New Roman" w:cs="Times New Roman"/>
          <w:sz w:val="24"/>
          <w:szCs w:val="24"/>
        </w:rPr>
      </w:pPr>
    </w:p>
    <w:p w14:paraId="1374471B" w14:textId="09CD0C85" w:rsidR="00F636F0" w:rsidRPr="009C30AA" w:rsidRDefault="00F636F0"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An expansion of paragraph 52’s language to </w:t>
      </w:r>
      <w:r w:rsidR="00DB35B1" w:rsidRPr="009C30AA">
        <w:rPr>
          <w:rFonts w:ascii="Times New Roman" w:eastAsia="Times New Roman" w:hAnsi="Times New Roman" w:cs="Times New Roman"/>
          <w:sz w:val="24"/>
          <w:szCs w:val="24"/>
        </w:rPr>
        <w:t>a universal right</w:t>
      </w:r>
      <w:r w:rsidRPr="009C30AA">
        <w:rPr>
          <w:rFonts w:ascii="Times New Roman" w:eastAsia="Times New Roman" w:hAnsi="Times New Roman" w:cs="Times New Roman"/>
          <w:sz w:val="24"/>
          <w:szCs w:val="24"/>
        </w:rPr>
        <w:t xml:space="preserve"> would likewise align with </w:t>
      </w:r>
      <w:r w:rsidR="00DB35B1" w:rsidRPr="009C30AA">
        <w:rPr>
          <w:rFonts w:ascii="Times New Roman" w:eastAsia="Times New Roman" w:hAnsi="Times New Roman" w:cs="Times New Roman"/>
          <w:sz w:val="24"/>
          <w:szCs w:val="24"/>
        </w:rPr>
        <w:t xml:space="preserve">and build on </w:t>
      </w:r>
      <w:r w:rsidRPr="009C30AA">
        <w:rPr>
          <w:rFonts w:ascii="Times New Roman" w:eastAsia="Times New Roman" w:hAnsi="Times New Roman" w:cs="Times New Roman"/>
          <w:sz w:val="24"/>
          <w:szCs w:val="24"/>
        </w:rPr>
        <w:t>previously established international human rights norms.</w:t>
      </w:r>
      <w:r w:rsidRPr="009C30AA">
        <w:rPr>
          <w:rStyle w:val="EndnoteReference"/>
          <w:rFonts w:ascii="Times New Roman" w:eastAsia="Times New Roman" w:hAnsi="Times New Roman" w:cs="Times New Roman"/>
          <w:sz w:val="24"/>
          <w:szCs w:val="24"/>
        </w:rPr>
        <w:endnoteReference w:id="11"/>
      </w:r>
      <w:r w:rsidRPr="009C30AA">
        <w:rPr>
          <w:rFonts w:ascii="Times New Roman" w:eastAsia="Times New Roman" w:hAnsi="Times New Roman" w:cs="Times New Roman"/>
          <w:sz w:val="24"/>
          <w:szCs w:val="24"/>
        </w:rPr>
        <w:t xml:space="preserve"> Women’s rights to land and natural resources have been asserted by numerous international bodies, both as a freestanding right and as implicit in the enjoyment of other human rights.</w:t>
      </w:r>
      <w:r w:rsidRPr="009C30AA">
        <w:rPr>
          <w:rStyle w:val="EndnoteReference"/>
          <w:rFonts w:ascii="Times New Roman" w:eastAsia="Times New Roman" w:hAnsi="Times New Roman" w:cs="Times New Roman"/>
          <w:sz w:val="24"/>
          <w:szCs w:val="24"/>
        </w:rPr>
        <w:endnoteReference w:id="12"/>
      </w:r>
      <w:r w:rsidRPr="009C30AA">
        <w:rPr>
          <w:rFonts w:ascii="Times New Roman" w:eastAsia="Times New Roman" w:hAnsi="Times New Roman" w:cs="Times New Roman"/>
          <w:sz w:val="24"/>
          <w:szCs w:val="24"/>
        </w:rPr>
        <w:t xml:space="preserve"> Recognizing a right to land would also be consistent with recommendations to other international bodies. Special Rapporteurs on the rights to adequate housing and the right to food have urged that the Human Rights Council recognize land as a human right, in part </w:t>
      </w:r>
      <w:r w:rsidR="00DB35B1" w:rsidRPr="009C30AA">
        <w:rPr>
          <w:rFonts w:ascii="Times New Roman" w:eastAsia="Times New Roman" w:hAnsi="Times New Roman" w:cs="Times New Roman"/>
          <w:sz w:val="24"/>
          <w:szCs w:val="24"/>
        </w:rPr>
        <w:t>due to</w:t>
      </w:r>
      <w:r w:rsidRPr="009C30AA">
        <w:rPr>
          <w:rFonts w:ascii="Times New Roman" w:eastAsia="Times New Roman" w:hAnsi="Times New Roman" w:cs="Times New Roman"/>
          <w:sz w:val="24"/>
          <w:szCs w:val="24"/>
        </w:rPr>
        <w:t xml:space="preserve"> its </w:t>
      </w:r>
      <w:r w:rsidR="00DB35B1" w:rsidRPr="009C30AA">
        <w:rPr>
          <w:rFonts w:ascii="Times New Roman" w:eastAsia="Times New Roman" w:hAnsi="Times New Roman" w:cs="Times New Roman"/>
          <w:sz w:val="24"/>
          <w:szCs w:val="24"/>
        </w:rPr>
        <w:t>inextricable relationship</w:t>
      </w:r>
      <w:r w:rsidRPr="009C30AA">
        <w:rPr>
          <w:rFonts w:ascii="Times New Roman" w:eastAsia="Times New Roman" w:hAnsi="Times New Roman" w:cs="Times New Roman"/>
          <w:sz w:val="24"/>
          <w:szCs w:val="24"/>
        </w:rPr>
        <w:t xml:space="preserve"> to other key rights.</w:t>
      </w:r>
      <w:r w:rsidRPr="009C30AA">
        <w:rPr>
          <w:rStyle w:val="EndnoteReference"/>
          <w:rFonts w:ascii="Times New Roman" w:eastAsia="Times New Roman" w:hAnsi="Times New Roman" w:cs="Times New Roman"/>
          <w:sz w:val="24"/>
          <w:szCs w:val="24"/>
        </w:rPr>
        <w:endnoteReference w:id="13"/>
      </w:r>
    </w:p>
    <w:p w14:paraId="396EF564" w14:textId="77777777" w:rsidR="00DB35B1" w:rsidRPr="009C30AA" w:rsidRDefault="00DB35B1" w:rsidP="00A45956">
      <w:pPr>
        <w:spacing w:after="0" w:line="240" w:lineRule="auto"/>
        <w:rPr>
          <w:rFonts w:ascii="Times New Roman" w:eastAsia="Times New Roman" w:hAnsi="Times New Roman" w:cs="Times New Roman"/>
          <w:sz w:val="24"/>
          <w:szCs w:val="24"/>
        </w:rPr>
      </w:pPr>
    </w:p>
    <w:p w14:paraId="78E08653" w14:textId="01D95AD3" w:rsidR="00F636F0" w:rsidRPr="009C30AA" w:rsidRDefault="006E0DD3"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This </w:t>
      </w:r>
      <w:r w:rsidR="00F636F0" w:rsidRPr="009C30AA">
        <w:rPr>
          <w:rFonts w:ascii="Times New Roman" w:eastAsia="Times New Roman" w:hAnsi="Times New Roman" w:cs="Times New Roman"/>
          <w:sz w:val="24"/>
          <w:szCs w:val="24"/>
        </w:rPr>
        <w:t xml:space="preserve">General Comment presents an </w:t>
      </w:r>
      <w:r w:rsidRPr="009C30AA">
        <w:rPr>
          <w:rFonts w:ascii="Times New Roman" w:eastAsia="Times New Roman" w:hAnsi="Times New Roman" w:cs="Times New Roman"/>
          <w:sz w:val="24"/>
          <w:szCs w:val="24"/>
        </w:rPr>
        <w:t xml:space="preserve">unprecedented and urgent </w:t>
      </w:r>
      <w:r w:rsidR="00F636F0" w:rsidRPr="009C30AA">
        <w:rPr>
          <w:rFonts w:ascii="Times New Roman" w:eastAsia="Times New Roman" w:hAnsi="Times New Roman" w:cs="Times New Roman"/>
          <w:sz w:val="24"/>
          <w:szCs w:val="24"/>
        </w:rPr>
        <w:t xml:space="preserve">opportunity to </w:t>
      </w:r>
      <w:r w:rsidRPr="009C30AA">
        <w:rPr>
          <w:rFonts w:ascii="Times New Roman" w:eastAsia="Times New Roman" w:hAnsi="Times New Roman" w:cs="Times New Roman"/>
          <w:sz w:val="24"/>
          <w:szCs w:val="24"/>
        </w:rPr>
        <w:t>articulate</w:t>
      </w:r>
      <w:r w:rsidR="00F636F0" w:rsidRPr="009C30AA">
        <w:rPr>
          <w:rFonts w:ascii="Times New Roman" w:eastAsia="Times New Roman" w:hAnsi="Times New Roman" w:cs="Times New Roman"/>
          <w:sz w:val="24"/>
          <w:szCs w:val="24"/>
        </w:rPr>
        <w:t xml:space="preserve"> a freestanding right to land tenure security, and an obligation on the part of States Parties to establish and maintain land governance that meets agreed upon international standards and </w:t>
      </w:r>
      <w:r w:rsidRPr="009C30AA">
        <w:rPr>
          <w:rFonts w:ascii="Times New Roman" w:eastAsia="Times New Roman" w:hAnsi="Times New Roman" w:cs="Times New Roman"/>
          <w:sz w:val="24"/>
          <w:szCs w:val="24"/>
        </w:rPr>
        <w:t>guidance, in service of their obligations to Covenant rights</w:t>
      </w:r>
      <w:r w:rsidR="00F636F0" w:rsidRPr="009C30AA">
        <w:rPr>
          <w:rFonts w:ascii="Times New Roman" w:eastAsia="Times New Roman" w:hAnsi="Times New Roman" w:cs="Times New Roman"/>
          <w:sz w:val="24"/>
          <w:szCs w:val="24"/>
        </w:rPr>
        <w:t xml:space="preserve">. </w:t>
      </w:r>
    </w:p>
    <w:p w14:paraId="58582032" w14:textId="77777777" w:rsidR="006E0DD3" w:rsidRPr="009C30AA" w:rsidRDefault="006E0DD3" w:rsidP="00A45956">
      <w:pPr>
        <w:spacing w:after="0" w:line="240" w:lineRule="auto"/>
        <w:rPr>
          <w:rFonts w:ascii="Times New Roman" w:eastAsia="Times New Roman" w:hAnsi="Times New Roman" w:cs="Times New Roman"/>
          <w:sz w:val="24"/>
          <w:szCs w:val="24"/>
        </w:rPr>
      </w:pPr>
    </w:p>
    <w:p w14:paraId="5AD59538" w14:textId="5EA3AE1B" w:rsidR="00F636F0" w:rsidRPr="009C30AA" w:rsidRDefault="00F636F0" w:rsidP="00A45956">
      <w:pPr>
        <w:spacing w:after="0" w:line="240" w:lineRule="auto"/>
        <w:rPr>
          <w:rFonts w:ascii="Times New Roman" w:eastAsia="Times New Roman" w:hAnsi="Times New Roman" w:cs="Times New Roman"/>
          <w:b/>
          <w:bCs/>
          <w:i/>
          <w:iCs/>
          <w:sz w:val="24"/>
          <w:szCs w:val="24"/>
        </w:rPr>
      </w:pPr>
      <w:r w:rsidRPr="009C30AA">
        <w:rPr>
          <w:rFonts w:ascii="Times New Roman" w:eastAsia="Times New Roman" w:hAnsi="Times New Roman" w:cs="Times New Roman"/>
          <w:b/>
          <w:bCs/>
          <w:i/>
          <w:iCs/>
          <w:sz w:val="24"/>
          <w:szCs w:val="24"/>
        </w:rPr>
        <w:t xml:space="preserve">Integrate intersectionality, gender justice and social inclusion across the General Comment. </w:t>
      </w:r>
    </w:p>
    <w:p w14:paraId="739BB1EF" w14:textId="3D15BB4D" w:rsidR="00F1187A" w:rsidRPr="009C30AA" w:rsidRDefault="00F636F0"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The </w:t>
      </w:r>
      <w:r w:rsidR="006E0DD3" w:rsidRPr="009C30AA">
        <w:rPr>
          <w:rFonts w:ascii="Times New Roman" w:eastAsia="Times New Roman" w:hAnsi="Times New Roman" w:cs="Times New Roman"/>
          <w:sz w:val="24"/>
          <w:szCs w:val="24"/>
        </w:rPr>
        <w:t>Draft C</w:t>
      </w:r>
      <w:r w:rsidRPr="009C30AA">
        <w:rPr>
          <w:rFonts w:ascii="Times New Roman" w:eastAsia="Times New Roman" w:hAnsi="Times New Roman" w:cs="Times New Roman"/>
          <w:sz w:val="24"/>
          <w:szCs w:val="24"/>
        </w:rPr>
        <w:t xml:space="preserve">omment’s explicit discussion of the fundamental principles of non-discrimination and equality, in paragraphs 14 through 17, provide valuable context to subsequent explanations of state obligations to respect, protect, and fulfil land rights, particularly regarding women and Indigenous Peoples. </w:t>
      </w:r>
      <w:r w:rsidR="00937D4B" w:rsidRPr="009C30AA">
        <w:rPr>
          <w:rFonts w:ascii="Times New Roman" w:eastAsia="Times New Roman" w:hAnsi="Times New Roman" w:cs="Times New Roman"/>
          <w:sz w:val="24"/>
          <w:szCs w:val="24"/>
        </w:rPr>
        <w:t xml:space="preserve">However, we urge the Committee to </w:t>
      </w:r>
      <w:r w:rsidR="00946065" w:rsidRPr="009C30AA">
        <w:rPr>
          <w:rFonts w:ascii="Times New Roman" w:eastAsia="Times New Roman" w:hAnsi="Times New Roman" w:cs="Times New Roman"/>
          <w:sz w:val="24"/>
          <w:szCs w:val="24"/>
        </w:rPr>
        <w:t xml:space="preserve">explicitly </w:t>
      </w:r>
      <w:r w:rsidR="00937D4B" w:rsidRPr="009C30AA">
        <w:rPr>
          <w:rFonts w:ascii="Times New Roman" w:eastAsia="Times New Roman" w:hAnsi="Times New Roman" w:cs="Times New Roman"/>
          <w:sz w:val="24"/>
          <w:szCs w:val="24"/>
        </w:rPr>
        <w:t xml:space="preserve">adopt the standards and language included in </w:t>
      </w:r>
      <w:r w:rsidR="00946065" w:rsidRPr="009C30AA">
        <w:rPr>
          <w:rFonts w:ascii="Times New Roman" w:eastAsia="Times New Roman" w:hAnsi="Times New Roman" w:cs="Times New Roman"/>
          <w:sz w:val="24"/>
          <w:szCs w:val="24"/>
        </w:rPr>
        <w:t xml:space="preserve">the </w:t>
      </w:r>
      <w:r w:rsidR="00937D4B" w:rsidRPr="009C30AA">
        <w:rPr>
          <w:rFonts w:ascii="Times New Roman" w:eastAsia="Times New Roman" w:hAnsi="Times New Roman" w:cs="Times New Roman"/>
          <w:sz w:val="24"/>
          <w:szCs w:val="24"/>
        </w:rPr>
        <w:t xml:space="preserve">UNDROP and the </w:t>
      </w:r>
      <w:r w:rsidR="00937D4B" w:rsidRPr="009C30AA">
        <w:rPr>
          <w:rFonts w:ascii="Times New Roman" w:eastAsia="Times New Roman" w:hAnsi="Times New Roman" w:cs="Times New Roman"/>
          <w:sz w:val="24"/>
          <w:szCs w:val="24"/>
        </w:rPr>
        <w:lastRenderedPageBreak/>
        <w:t>VGGT</w:t>
      </w:r>
      <w:r w:rsidR="00F1187A" w:rsidRPr="009C30AA">
        <w:rPr>
          <w:rFonts w:ascii="Times New Roman" w:eastAsia="Times New Roman" w:hAnsi="Times New Roman" w:cs="Times New Roman"/>
          <w:sz w:val="24"/>
          <w:szCs w:val="24"/>
        </w:rPr>
        <w:t xml:space="preserve"> relating to intersecting forms of discrimination and social inclusion</w:t>
      </w:r>
      <w:r w:rsidR="00937D4B" w:rsidRPr="009C30AA">
        <w:rPr>
          <w:rFonts w:ascii="Times New Roman" w:eastAsia="Times New Roman" w:hAnsi="Times New Roman" w:cs="Times New Roman"/>
          <w:sz w:val="24"/>
          <w:szCs w:val="24"/>
        </w:rPr>
        <w:t>,</w:t>
      </w:r>
      <w:r w:rsidR="00946065" w:rsidRPr="009C30AA">
        <w:rPr>
          <w:rStyle w:val="EndnoteReference"/>
          <w:rFonts w:ascii="Times New Roman" w:eastAsia="Times New Roman" w:hAnsi="Times New Roman" w:cs="Times New Roman"/>
          <w:sz w:val="24"/>
          <w:szCs w:val="24"/>
        </w:rPr>
        <w:endnoteReference w:id="14"/>
      </w:r>
      <w:r w:rsidR="00937D4B" w:rsidRPr="009C30AA">
        <w:rPr>
          <w:rFonts w:ascii="Times New Roman" w:eastAsia="Times New Roman" w:hAnsi="Times New Roman" w:cs="Times New Roman"/>
          <w:sz w:val="24"/>
          <w:szCs w:val="24"/>
        </w:rPr>
        <w:t xml:space="preserve"> and to integrate gender</w:t>
      </w:r>
      <w:r w:rsidR="00F1187A" w:rsidRPr="009C30AA">
        <w:rPr>
          <w:rFonts w:ascii="Times New Roman" w:eastAsia="Times New Roman" w:hAnsi="Times New Roman" w:cs="Times New Roman"/>
          <w:sz w:val="24"/>
          <w:szCs w:val="24"/>
        </w:rPr>
        <w:t>ed</w:t>
      </w:r>
      <w:r w:rsidR="00937D4B" w:rsidRPr="009C30AA">
        <w:rPr>
          <w:rFonts w:ascii="Times New Roman" w:eastAsia="Times New Roman" w:hAnsi="Times New Roman" w:cs="Times New Roman"/>
          <w:sz w:val="24"/>
          <w:szCs w:val="24"/>
        </w:rPr>
        <w:t xml:space="preserve"> a</w:t>
      </w:r>
      <w:r w:rsidR="00F1187A" w:rsidRPr="009C30AA">
        <w:rPr>
          <w:rFonts w:ascii="Times New Roman" w:eastAsia="Times New Roman" w:hAnsi="Times New Roman" w:cs="Times New Roman"/>
          <w:sz w:val="24"/>
          <w:szCs w:val="24"/>
        </w:rPr>
        <w:t>nalysis</w:t>
      </w:r>
      <w:r w:rsidR="00937D4B" w:rsidRPr="009C30AA">
        <w:rPr>
          <w:rFonts w:ascii="Times New Roman" w:eastAsia="Times New Roman" w:hAnsi="Times New Roman" w:cs="Times New Roman"/>
          <w:sz w:val="24"/>
          <w:szCs w:val="24"/>
        </w:rPr>
        <w:t xml:space="preserve"> throughout rather than simply a focus on women. </w:t>
      </w:r>
    </w:p>
    <w:p w14:paraId="7CB89288" w14:textId="77777777" w:rsidR="00F1187A" w:rsidRPr="009C30AA" w:rsidRDefault="00F1187A" w:rsidP="00A45956">
      <w:pPr>
        <w:spacing w:after="0" w:line="240" w:lineRule="auto"/>
        <w:rPr>
          <w:rFonts w:ascii="Times New Roman" w:eastAsia="Times New Roman" w:hAnsi="Times New Roman" w:cs="Times New Roman"/>
          <w:sz w:val="24"/>
          <w:szCs w:val="24"/>
        </w:rPr>
      </w:pPr>
    </w:p>
    <w:p w14:paraId="02C56350" w14:textId="6D4F2444" w:rsidR="00F1187A" w:rsidRPr="009C30AA" w:rsidRDefault="00F1187A"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The negative impacts of the global trends listed above on land users are severely compounded by gender inequality</w:t>
      </w:r>
      <w:r w:rsidRPr="009C30AA">
        <w:rPr>
          <w:rStyle w:val="EndnoteReference"/>
          <w:rFonts w:ascii="Times New Roman" w:eastAsia="Times New Roman" w:hAnsi="Times New Roman" w:cs="Times New Roman"/>
          <w:sz w:val="24"/>
          <w:szCs w:val="24"/>
        </w:rPr>
        <w:endnoteReference w:id="15"/>
      </w:r>
      <w:r w:rsidRPr="009C30AA">
        <w:rPr>
          <w:rFonts w:ascii="Times New Roman" w:eastAsia="Times New Roman" w:hAnsi="Times New Roman" w:cs="Times New Roman"/>
          <w:sz w:val="24"/>
          <w:szCs w:val="24"/>
        </w:rPr>
        <w:t xml:space="preserve"> and intersecting forms of discrimination (age, race, religion, indigeneity, marital status, disability, sexual orientation, and other grounds).</w:t>
      </w:r>
      <w:r w:rsidRPr="009C30AA">
        <w:rPr>
          <w:rStyle w:val="EndnoteReference"/>
          <w:rFonts w:ascii="Times New Roman" w:eastAsia="Times New Roman" w:hAnsi="Times New Roman" w:cs="Times New Roman"/>
          <w:sz w:val="24"/>
          <w:szCs w:val="24"/>
        </w:rPr>
        <w:endnoteReference w:id="16"/>
      </w:r>
      <w:r w:rsidRPr="009C30AA">
        <w:rPr>
          <w:rFonts w:ascii="Times New Roman" w:eastAsia="Times New Roman" w:hAnsi="Times New Roman" w:cs="Times New Roman"/>
          <w:sz w:val="24"/>
          <w:szCs w:val="24"/>
        </w:rPr>
        <w:t xml:space="preserve"> Therefore the General Comment should explicitly recognize intersectional discrimination and include strong provisions requiring states and other actors to affirmatively address such discrimination, including through good practice approaches to shifting social norms.</w:t>
      </w:r>
      <w:r w:rsidRPr="009C30AA">
        <w:rPr>
          <w:rStyle w:val="EndnoteReference"/>
          <w:rFonts w:ascii="Times New Roman" w:eastAsia="Times New Roman" w:hAnsi="Times New Roman" w:cs="Times New Roman"/>
          <w:sz w:val="24"/>
          <w:szCs w:val="24"/>
        </w:rPr>
        <w:endnoteReference w:id="17"/>
      </w:r>
      <w:r w:rsidRPr="009C30AA">
        <w:rPr>
          <w:rFonts w:ascii="Times New Roman" w:eastAsia="Times New Roman" w:hAnsi="Times New Roman" w:cs="Times New Roman"/>
          <w:sz w:val="24"/>
          <w:szCs w:val="24"/>
        </w:rPr>
        <w:t xml:space="preserve"> Addressing intersectional discrimination will also reinforce sustainable land management and use, with positive impacts for both rural and urban well-being, including food systems, markets, and migration patterns.</w:t>
      </w:r>
      <w:r w:rsidRPr="009C30AA">
        <w:rPr>
          <w:rStyle w:val="EndnoteReference"/>
          <w:rFonts w:ascii="Times New Roman" w:eastAsia="Times New Roman" w:hAnsi="Times New Roman" w:cs="Times New Roman"/>
          <w:sz w:val="24"/>
          <w:szCs w:val="24"/>
        </w:rPr>
        <w:endnoteReference w:id="18"/>
      </w:r>
    </w:p>
    <w:p w14:paraId="102F3E3D" w14:textId="77777777" w:rsidR="006E47A6" w:rsidRPr="009C30AA" w:rsidRDefault="006E47A6" w:rsidP="00A45956">
      <w:pPr>
        <w:spacing w:after="0" w:line="240" w:lineRule="auto"/>
        <w:rPr>
          <w:rFonts w:ascii="Times New Roman" w:eastAsia="Times New Roman" w:hAnsi="Times New Roman" w:cs="Times New Roman"/>
          <w:sz w:val="24"/>
          <w:szCs w:val="24"/>
        </w:rPr>
      </w:pPr>
    </w:p>
    <w:p w14:paraId="51735D82" w14:textId="4725734E" w:rsidR="00F636F0" w:rsidRPr="009C30AA" w:rsidRDefault="00937D4B"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We also urge the Committee to consider the special position of youth and of Indigenous Peoples, and to include specific and expansive language on intersectionality and marginalization to ensure that those whose Covenant rights are most at risk are not excluded or less benefitted by the language of the General Comment. </w:t>
      </w:r>
    </w:p>
    <w:p w14:paraId="7DD92C44" w14:textId="77777777" w:rsidR="006E0DD3" w:rsidRPr="009C30AA" w:rsidRDefault="006E0DD3" w:rsidP="00A45956">
      <w:pPr>
        <w:spacing w:after="0" w:line="240" w:lineRule="auto"/>
        <w:rPr>
          <w:rFonts w:ascii="Times New Roman" w:eastAsia="Times New Roman" w:hAnsi="Times New Roman" w:cs="Times New Roman"/>
          <w:sz w:val="24"/>
          <w:szCs w:val="24"/>
        </w:rPr>
      </w:pPr>
    </w:p>
    <w:p w14:paraId="7D06A7E0" w14:textId="7F73759C" w:rsidR="00937D4B" w:rsidRPr="009C30AA" w:rsidRDefault="00937D4B" w:rsidP="00A45956">
      <w:pPr>
        <w:autoSpaceDE w:val="0"/>
        <w:autoSpaceDN w:val="0"/>
        <w:adjustRightInd w:val="0"/>
        <w:spacing w:after="0" w:line="240" w:lineRule="auto"/>
        <w:rPr>
          <w:rFonts w:ascii="Times New Roman" w:eastAsia="Times New Roman" w:hAnsi="Times New Roman" w:cs="Times New Roman"/>
          <w:sz w:val="24"/>
          <w:szCs w:val="24"/>
        </w:rPr>
      </w:pPr>
      <w:r w:rsidRPr="009C30AA">
        <w:rPr>
          <w:rFonts w:ascii="Times New Roman" w:hAnsi="Times New Roman" w:cs="Times New Roman"/>
          <w:sz w:val="24"/>
          <w:szCs w:val="24"/>
        </w:rPr>
        <w:t>Women’s land rights continue to be frequently denied.</w:t>
      </w:r>
      <w:r w:rsidRPr="009C30AA">
        <w:rPr>
          <w:rStyle w:val="EndnoteReference"/>
          <w:rFonts w:ascii="Times New Roman" w:hAnsi="Times New Roman" w:cs="Times New Roman"/>
          <w:sz w:val="24"/>
          <w:szCs w:val="24"/>
        </w:rPr>
        <w:endnoteReference w:id="19"/>
      </w:r>
      <w:r w:rsidRPr="009C30AA">
        <w:rPr>
          <w:rFonts w:ascii="Times New Roman" w:hAnsi="Times New Roman" w:cs="Times New Roman"/>
          <w:sz w:val="24"/>
          <w:szCs w:val="24"/>
        </w:rPr>
        <w:t xml:space="preserve"> Improvements in statutory laws have begun to address gendered inequality in land and property rights, but widespread de jure and de facto discrimination persists.</w:t>
      </w:r>
      <w:r w:rsidRPr="009C30AA">
        <w:rPr>
          <w:rStyle w:val="EndnoteReference"/>
          <w:rFonts w:ascii="Times New Roman" w:hAnsi="Times New Roman" w:cs="Times New Roman"/>
          <w:sz w:val="24"/>
          <w:szCs w:val="24"/>
        </w:rPr>
        <w:endnoteReference w:id="20"/>
      </w:r>
      <w:r w:rsidRPr="009C30AA">
        <w:rPr>
          <w:rFonts w:ascii="Times New Roman" w:hAnsi="Times New Roman" w:cs="Times New Roman"/>
          <w:sz w:val="24"/>
          <w:szCs w:val="24"/>
        </w:rPr>
        <w:t xml:space="preserve">  These realities flagrantly violate women’s human rights, undercutting women’s crucial contributions from household to global levels to natural resource management, climate action, food production, food sovereignty, and food security; reinforcing women’s unequal social, legal, political, and economic position within their families, communities and societies; and seriously limit</w:t>
      </w:r>
      <w:r w:rsidRPr="009C30AA">
        <w:rPr>
          <w:rFonts w:ascii="Times New Roman" w:hAnsi="Times New Roman" w:cs="Times New Roman"/>
          <w:sz w:val="24"/>
          <w:szCs w:val="24"/>
        </w:rPr>
        <w:lastRenderedPageBreak/>
        <w:t>ing their agency and opportunities.</w:t>
      </w:r>
      <w:r w:rsidRPr="009C30AA">
        <w:rPr>
          <w:rStyle w:val="EndnoteReference"/>
          <w:rFonts w:ascii="Times New Roman" w:hAnsi="Times New Roman" w:cs="Times New Roman"/>
          <w:sz w:val="24"/>
          <w:szCs w:val="24"/>
        </w:rPr>
        <w:endnoteReference w:id="21"/>
      </w:r>
      <w:r w:rsidRPr="009C30AA">
        <w:rPr>
          <w:rFonts w:ascii="Times New Roman" w:hAnsi="Times New Roman" w:cs="Times New Roman"/>
          <w:sz w:val="24"/>
          <w:szCs w:val="24"/>
        </w:rPr>
        <w:t xml:space="preserve"> This Committee has previously urged States Parties to employ legal solutions to these issues.</w:t>
      </w:r>
      <w:r w:rsidRPr="009C30AA">
        <w:rPr>
          <w:rStyle w:val="EndnoteReference"/>
          <w:rFonts w:ascii="Times New Roman" w:hAnsi="Times New Roman" w:cs="Times New Roman"/>
          <w:sz w:val="24"/>
          <w:szCs w:val="24"/>
        </w:rPr>
        <w:endnoteReference w:id="22"/>
      </w:r>
      <w:r w:rsidRPr="009C30AA">
        <w:rPr>
          <w:rFonts w:ascii="Times New Roman" w:hAnsi="Times New Roman" w:cs="Times New Roman"/>
          <w:sz w:val="24"/>
          <w:szCs w:val="24"/>
        </w:rPr>
        <w:t xml:space="preserve"> In the General Comment, the Committee can build on those recommendations </w:t>
      </w:r>
      <w:r w:rsidRPr="009C30AA">
        <w:rPr>
          <w:rFonts w:ascii="Times New Roman" w:eastAsia="Times New Roman" w:hAnsi="Times New Roman" w:cs="Times New Roman"/>
          <w:sz w:val="24"/>
          <w:szCs w:val="24"/>
        </w:rPr>
        <w:t xml:space="preserve">by </w:t>
      </w:r>
      <w:r w:rsidRPr="009C30AA">
        <w:rPr>
          <w:rFonts w:ascii="Times New Roman" w:hAnsi="Times New Roman" w:cs="Times New Roman"/>
          <w:sz w:val="24"/>
          <w:szCs w:val="24"/>
        </w:rPr>
        <w:t>integrating gender equality, justice, and social inclusion as core elements</w:t>
      </w:r>
      <w:r w:rsidRPr="009C30AA">
        <w:rPr>
          <w:rFonts w:ascii="Times New Roman" w:eastAsia="Times New Roman" w:hAnsi="Times New Roman" w:cs="Times New Roman"/>
          <w:sz w:val="24"/>
          <w:szCs w:val="24"/>
        </w:rPr>
        <w:t>.</w:t>
      </w:r>
      <w:r w:rsidRPr="009C30AA">
        <w:rPr>
          <w:rStyle w:val="EndnoteReference"/>
          <w:rFonts w:ascii="Times New Roman" w:eastAsia="Times New Roman" w:hAnsi="Times New Roman" w:cs="Times New Roman"/>
          <w:sz w:val="24"/>
          <w:szCs w:val="24"/>
        </w:rPr>
        <w:endnoteReference w:id="23"/>
      </w:r>
      <w:r w:rsidRPr="009C30AA">
        <w:rPr>
          <w:rFonts w:ascii="Times New Roman" w:eastAsia="Times New Roman" w:hAnsi="Times New Roman" w:cs="Times New Roman"/>
          <w:sz w:val="24"/>
          <w:szCs w:val="24"/>
        </w:rPr>
        <w:t xml:space="preserve"> </w:t>
      </w:r>
    </w:p>
    <w:p w14:paraId="0B73DE82" w14:textId="77777777" w:rsidR="006E47A6" w:rsidRPr="009C30AA" w:rsidRDefault="006E47A6" w:rsidP="00A45956">
      <w:pPr>
        <w:autoSpaceDE w:val="0"/>
        <w:autoSpaceDN w:val="0"/>
        <w:adjustRightInd w:val="0"/>
        <w:spacing w:after="0" w:line="240" w:lineRule="auto"/>
        <w:rPr>
          <w:rFonts w:ascii="Times New Roman" w:eastAsia="Times New Roman" w:hAnsi="Times New Roman" w:cs="Times New Roman"/>
          <w:sz w:val="24"/>
          <w:szCs w:val="24"/>
        </w:rPr>
      </w:pPr>
    </w:p>
    <w:p w14:paraId="1A5CF29B" w14:textId="036331A4" w:rsidR="00F636F0" w:rsidRPr="009C30AA" w:rsidRDefault="00F636F0"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Young people represent key members of rural and agricultural communities, essential to their long-term success.</w:t>
      </w:r>
      <w:r w:rsidRPr="009C30AA">
        <w:rPr>
          <w:rStyle w:val="EndnoteReference"/>
          <w:rFonts w:ascii="Times New Roman" w:eastAsia="Times New Roman" w:hAnsi="Times New Roman" w:cs="Times New Roman"/>
          <w:sz w:val="24"/>
          <w:szCs w:val="24"/>
        </w:rPr>
        <w:endnoteReference w:id="24"/>
      </w:r>
      <w:r w:rsidRPr="009C30AA">
        <w:rPr>
          <w:rFonts w:ascii="Times New Roman" w:eastAsia="Times New Roman" w:hAnsi="Times New Roman" w:cs="Times New Roman"/>
          <w:sz w:val="24"/>
          <w:szCs w:val="24"/>
        </w:rPr>
        <w:t xml:space="preserve"> Growing youth populations around the world, many of whom reside in rural areas, are often disproportionately not engaged in agricultural practices, stemming in significant part from a lack of access to land, as well as to necessary financing, credit, and training.</w:t>
      </w:r>
      <w:r w:rsidRPr="009C30AA">
        <w:rPr>
          <w:rStyle w:val="EndnoteReference"/>
          <w:rFonts w:ascii="Times New Roman" w:eastAsia="Times New Roman" w:hAnsi="Times New Roman" w:cs="Times New Roman"/>
          <w:sz w:val="24"/>
          <w:szCs w:val="24"/>
        </w:rPr>
        <w:endnoteReference w:id="25"/>
      </w:r>
      <w:r w:rsidRPr="009C30AA">
        <w:rPr>
          <w:rFonts w:ascii="Times New Roman" w:eastAsia="Times New Roman" w:hAnsi="Times New Roman" w:cs="Times New Roman"/>
          <w:sz w:val="24"/>
          <w:szCs w:val="24"/>
        </w:rPr>
        <w:t xml:space="preserve"> These barriers intersect with additional discriminatory practices relating to land, creating additional burdens and obstacles for girls and young women, and young members of other historically marginalized communities, including peasants and Indigenous Peoples. Paragraphs 24 and 35 of the Draft Comment call for meaningful youth participation in collective tenure systems, and youth prioritization in redistribution schemes. However, successfully addressing the challenge of insecure youth land rights and discrimination against youth land tenure requires more expansive and multifaceted solutions. </w:t>
      </w:r>
    </w:p>
    <w:p w14:paraId="5B6E2107" w14:textId="77777777" w:rsidR="006E0DD3" w:rsidRPr="009C30AA" w:rsidRDefault="006E0DD3" w:rsidP="00A45956">
      <w:pPr>
        <w:spacing w:after="0" w:line="240" w:lineRule="auto"/>
        <w:rPr>
          <w:rFonts w:ascii="Times New Roman" w:eastAsia="Times New Roman" w:hAnsi="Times New Roman" w:cs="Times New Roman"/>
          <w:sz w:val="24"/>
          <w:szCs w:val="24"/>
        </w:rPr>
      </w:pPr>
    </w:p>
    <w:p w14:paraId="6A0325E4" w14:textId="65586869" w:rsidR="00F636F0" w:rsidRPr="009C30AA" w:rsidRDefault="00F636F0" w:rsidP="00A45956">
      <w:pPr>
        <w:spacing w:after="0" w:line="240" w:lineRule="auto"/>
        <w:rPr>
          <w:rFonts w:ascii="Times New Roman" w:eastAsia="Times New Roman" w:hAnsi="Times New Roman" w:cs="Times New Roman"/>
          <w:b/>
          <w:bCs/>
          <w:i/>
          <w:iCs/>
          <w:sz w:val="24"/>
          <w:szCs w:val="24"/>
        </w:rPr>
      </w:pPr>
      <w:r w:rsidRPr="009C30AA">
        <w:rPr>
          <w:rFonts w:ascii="Times New Roman" w:eastAsia="Times New Roman" w:hAnsi="Times New Roman" w:cs="Times New Roman"/>
          <w:b/>
          <w:bCs/>
          <w:i/>
          <w:iCs/>
          <w:sz w:val="24"/>
          <w:szCs w:val="24"/>
        </w:rPr>
        <w:t>The following changes are suggested to facilitate an intersectional lens, and better focus specifically on gender</w:t>
      </w:r>
      <w:r w:rsidR="006E47A6" w:rsidRPr="009C30AA">
        <w:rPr>
          <w:rFonts w:ascii="Times New Roman" w:eastAsia="Times New Roman" w:hAnsi="Times New Roman" w:cs="Times New Roman"/>
          <w:b/>
          <w:bCs/>
          <w:i/>
          <w:iCs/>
          <w:sz w:val="24"/>
          <w:szCs w:val="24"/>
        </w:rPr>
        <w:t>-</w:t>
      </w:r>
      <w:r w:rsidRPr="009C30AA">
        <w:rPr>
          <w:rFonts w:ascii="Times New Roman" w:eastAsia="Times New Roman" w:hAnsi="Times New Roman" w:cs="Times New Roman"/>
          <w:b/>
          <w:bCs/>
          <w:i/>
          <w:iCs/>
          <w:sz w:val="24"/>
          <w:szCs w:val="24"/>
        </w:rPr>
        <w:t>equitable rights and inclusion of youth:</w:t>
      </w:r>
    </w:p>
    <w:p w14:paraId="4FE62CF6" w14:textId="77777777" w:rsidR="00F1187A" w:rsidRPr="009C30AA" w:rsidRDefault="0050103E"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We </w:t>
      </w:r>
      <w:r w:rsidRPr="009C30AA">
        <w:rPr>
          <w:rFonts w:ascii="Times New Roman" w:hAnsi="Times New Roman" w:cs="Times New Roman"/>
          <w:sz w:val="24"/>
          <w:szCs w:val="24"/>
        </w:rPr>
        <w:t xml:space="preserve">encourage the Committee to recognize marginalized groups and individuals as soon as possible in the General Comment, in the form of a “chapeau” statement, with a footnote to say that inclusive language will be integrated throughout, and to extrapolate on what inclusion means and how it is defined, so it can then be summed up by using “marginalized groups” at least in some places in the General Comment to save space. </w:t>
      </w:r>
    </w:p>
    <w:p w14:paraId="0D062BFB" w14:textId="5CA24875" w:rsidR="0050103E" w:rsidRPr="009C30AA" w:rsidRDefault="0050103E"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i/>
          <w:iCs/>
          <w:sz w:val="24"/>
          <w:szCs w:val="24"/>
        </w:rPr>
        <w:lastRenderedPageBreak/>
        <w:t xml:space="preserve">Para. 1, </w:t>
      </w:r>
      <w:r w:rsidR="00564FAC" w:rsidRPr="009C30AA">
        <w:rPr>
          <w:rFonts w:ascii="Times New Roman" w:eastAsia="Times New Roman" w:hAnsi="Times New Roman" w:cs="Times New Roman"/>
          <w:i/>
          <w:iCs/>
          <w:sz w:val="24"/>
          <w:szCs w:val="24"/>
        </w:rPr>
        <w:t xml:space="preserve">sentence </w:t>
      </w:r>
      <w:r w:rsidRPr="009C30AA">
        <w:rPr>
          <w:rFonts w:ascii="Times New Roman" w:eastAsia="Times New Roman" w:hAnsi="Times New Roman" w:cs="Times New Roman"/>
          <w:i/>
          <w:iCs/>
          <w:sz w:val="24"/>
          <w:szCs w:val="24"/>
        </w:rPr>
        <w:t>starting with, “Eradication of hunger…”</w:t>
      </w:r>
      <w:r w:rsidR="00564FAC" w:rsidRPr="009C30AA">
        <w:rPr>
          <w:rFonts w:ascii="Times New Roman" w:eastAsia="Times New Roman" w:hAnsi="Times New Roman" w:cs="Times New Roman"/>
          <w:i/>
          <w:iCs/>
          <w:sz w:val="24"/>
          <w:szCs w:val="24"/>
        </w:rPr>
        <w:t xml:space="preserve"> Suggested edit:</w:t>
      </w:r>
      <w:r w:rsidRPr="009C30AA">
        <w:rPr>
          <w:rFonts w:ascii="Times New Roman" w:eastAsia="Times New Roman" w:hAnsi="Times New Roman" w:cs="Times New Roman"/>
          <w:i/>
          <w:iCs/>
          <w:sz w:val="24"/>
          <w:szCs w:val="24"/>
        </w:rPr>
        <w:t xml:space="preserve"> “</w:t>
      </w:r>
      <w:r w:rsidRPr="009C30AA">
        <w:rPr>
          <w:rFonts w:ascii="Times New Roman" w:eastAsia="Times New Roman" w:hAnsi="Times New Roman" w:cs="Times New Roman"/>
          <w:sz w:val="24"/>
          <w:szCs w:val="24"/>
        </w:rPr>
        <w:t>…communities</w:t>
      </w:r>
      <w:r w:rsidRPr="009C30AA">
        <w:rPr>
          <w:rFonts w:ascii="Times New Roman" w:eastAsia="Times New Roman" w:hAnsi="Times New Roman" w:cs="Times New Roman"/>
          <w:i/>
          <w:iCs/>
          <w:sz w:val="24"/>
          <w:szCs w:val="24"/>
        </w:rPr>
        <w:t xml:space="preserve"> </w:t>
      </w:r>
      <w:r w:rsidRPr="009C30AA">
        <w:rPr>
          <w:rFonts w:ascii="Times New Roman" w:hAnsi="Times New Roman" w:cs="Times New Roman"/>
          <w:sz w:val="24"/>
          <w:szCs w:val="24"/>
        </w:rPr>
        <w:t>and especially women, youth, and other marginalized populations within groups and communities, as well as a focus on marginalized communities themselves (indigenous, rural, pastoralists, fishers, ethnic minorities, etc.).”</w:t>
      </w:r>
    </w:p>
    <w:p w14:paraId="7C3BF6AE" w14:textId="2162B294" w:rsidR="0050103E" w:rsidRPr="009C30AA" w:rsidRDefault="0050103E"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i/>
          <w:iCs/>
          <w:sz w:val="24"/>
          <w:szCs w:val="24"/>
        </w:rPr>
        <w:t>Para. 16, sentence starting with “In many countries…”</w:t>
      </w:r>
      <w:r w:rsidR="00564FAC" w:rsidRPr="009C30AA">
        <w:rPr>
          <w:rFonts w:ascii="Times New Roman" w:eastAsia="Times New Roman" w:hAnsi="Times New Roman" w:cs="Times New Roman"/>
          <w:i/>
          <w:iCs/>
          <w:sz w:val="24"/>
          <w:szCs w:val="24"/>
        </w:rPr>
        <w:t xml:space="preserve"> Suggested edit:</w:t>
      </w:r>
      <w:r w:rsidRPr="009C30AA">
        <w:rPr>
          <w:rFonts w:ascii="Times New Roman" w:eastAsia="Times New Roman" w:hAnsi="Times New Roman" w:cs="Times New Roman"/>
          <w:i/>
          <w:iCs/>
          <w:sz w:val="24"/>
          <w:szCs w:val="24"/>
        </w:rPr>
        <w:t xml:space="preserve"> </w:t>
      </w:r>
      <w:r w:rsidRPr="009C30AA">
        <w:rPr>
          <w:rFonts w:ascii="Times New Roman" w:hAnsi="Times New Roman" w:cs="Times New Roman"/>
          <w:sz w:val="24"/>
          <w:szCs w:val="24"/>
        </w:rPr>
        <w:t>“Women and girls are disproportionately adversely impacted by violations and abuses of Covenant obligations relating to land, and they are vulnerable to intersectional discrimination. States parties should recognize that gender inequalities and biases will be present in all arenas relating to land, and efforts to address and overcome them will be needed to fulfill women’s Covenant rights related to land.”</w:t>
      </w:r>
      <w:r w:rsidRPr="009C30AA">
        <w:rPr>
          <w:rFonts w:ascii="Times New Roman" w:eastAsia="Times New Roman" w:hAnsi="Times New Roman" w:cs="Times New Roman"/>
          <w:i/>
          <w:iCs/>
          <w:sz w:val="24"/>
          <w:szCs w:val="24"/>
        </w:rPr>
        <w:t xml:space="preserve"> </w:t>
      </w:r>
    </w:p>
    <w:p w14:paraId="3FF949FC" w14:textId="692CDAC8" w:rsidR="00F5416D" w:rsidRPr="009C30AA" w:rsidRDefault="00564FAC"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i/>
          <w:iCs/>
          <w:sz w:val="24"/>
          <w:szCs w:val="24"/>
        </w:rPr>
        <w:t xml:space="preserve">Para. 17, starting with “…but also by making women’s household’s… Suggested edit: </w:t>
      </w:r>
      <w:r w:rsidRPr="009C30AA">
        <w:rPr>
          <w:rFonts w:ascii="Times New Roman" w:hAnsi="Times New Roman" w:cs="Times New Roman"/>
          <w:sz w:val="24"/>
          <w:szCs w:val="24"/>
        </w:rPr>
        <w:t xml:space="preserve">“…also by making households more secure economically (likely reducing perpetration of violence), enhancing women’s ability to realize and exercise their agency, and by engaging men to realize and champion women’s agency and full and equal social, familial, and community status and participation.” The current language frames women’s subjugation as a women’s issue, without including men as actors or providing any gendered analysis or accountability. </w:t>
      </w:r>
    </w:p>
    <w:p w14:paraId="5EF64422" w14:textId="7FFD428D" w:rsidR="00564FAC" w:rsidRPr="009C30AA" w:rsidRDefault="00564FAC"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i/>
          <w:iCs/>
          <w:sz w:val="24"/>
          <w:szCs w:val="24"/>
        </w:rPr>
        <w:t xml:space="preserve">Para. 17, starting with “removing traditional structures that discriminate against women.” Suggested edit: </w:t>
      </w:r>
      <w:r w:rsidRPr="009C30AA">
        <w:rPr>
          <w:rFonts w:ascii="Times New Roman" w:eastAsia="Times New Roman" w:hAnsi="Times New Roman" w:cs="Times New Roman"/>
          <w:sz w:val="24"/>
          <w:szCs w:val="24"/>
        </w:rPr>
        <w:t>Replace “removing” with “transforming”</w:t>
      </w:r>
    </w:p>
    <w:p w14:paraId="31EF10F0" w14:textId="286AA373" w:rsidR="00564FAC" w:rsidRPr="009C30AA" w:rsidRDefault="00564FAC"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i/>
          <w:iCs/>
          <w:sz w:val="24"/>
          <w:szCs w:val="24"/>
        </w:rPr>
        <w:t>Para. 18, sentence starting with “</w:t>
      </w:r>
      <w:r w:rsidRPr="009C30AA">
        <w:rPr>
          <w:rFonts w:ascii="Times New Roman" w:hAnsi="Times New Roman" w:cs="Times New Roman"/>
          <w:i/>
          <w:iCs/>
          <w:sz w:val="24"/>
          <w:szCs w:val="24"/>
        </w:rPr>
        <w:t xml:space="preserve">In that regard, </w:t>
      </w:r>
      <w:r w:rsidRPr="009C30AA">
        <w:rPr>
          <w:rFonts w:ascii="Times New Roman" w:eastAsia="Times New Roman" w:hAnsi="Times New Roman" w:cs="Times New Roman"/>
          <w:i/>
          <w:iCs/>
          <w:sz w:val="24"/>
          <w:szCs w:val="24"/>
        </w:rPr>
        <w:t xml:space="preserve">States parties should develop relevant laws…” Suggested edit at end of that sentence: </w:t>
      </w:r>
      <w:r w:rsidRPr="009C30AA">
        <w:rPr>
          <w:rFonts w:ascii="Times New Roman" w:eastAsia="Times New Roman" w:hAnsi="Times New Roman" w:cs="Times New Roman"/>
          <w:sz w:val="24"/>
          <w:szCs w:val="24"/>
        </w:rPr>
        <w:t>“…in all land-related policies,</w:t>
      </w:r>
      <w:r w:rsidRPr="009C30AA">
        <w:rPr>
          <w:rFonts w:ascii="Times New Roman" w:eastAsia="Times New Roman" w:hAnsi="Times New Roman" w:cs="Times New Roman"/>
          <w:i/>
          <w:iCs/>
          <w:sz w:val="24"/>
          <w:szCs w:val="24"/>
        </w:rPr>
        <w:t xml:space="preserve"> </w:t>
      </w:r>
      <w:r w:rsidRPr="009C30AA">
        <w:rPr>
          <w:rFonts w:ascii="Times New Roman" w:hAnsi="Times New Roman" w:cs="Times New Roman"/>
          <w:sz w:val="24"/>
          <w:szCs w:val="24"/>
        </w:rPr>
        <w:t>and should pay particular attention in their development to integration of provisions providing explicitly for equitable treatment (including temporary special measures where needed) of women, youth, and other marginalized groups.”</w:t>
      </w:r>
    </w:p>
    <w:p w14:paraId="006544DF" w14:textId="1A396374" w:rsidR="00F636F0" w:rsidRPr="009C30AA" w:rsidRDefault="00564FAC" w:rsidP="00A45956">
      <w:pPr>
        <w:pStyle w:val="ListParagraph"/>
        <w:numPr>
          <w:ilvl w:val="0"/>
          <w:numId w:val="3"/>
        </w:numPr>
        <w:spacing w:after="0" w:line="240" w:lineRule="auto"/>
        <w:ind w:left="360"/>
        <w:rPr>
          <w:rFonts w:ascii="Times New Roman" w:eastAsia="Times New Roman" w:hAnsi="Times New Roman" w:cs="Times New Roman"/>
          <w:i/>
          <w:iCs/>
          <w:sz w:val="24"/>
          <w:szCs w:val="24"/>
        </w:rPr>
      </w:pPr>
      <w:r w:rsidRPr="009C30AA">
        <w:rPr>
          <w:rFonts w:ascii="Times New Roman" w:eastAsia="Times New Roman" w:hAnsi="Times New Roman" w:cs="Times New Roman"/>
          <w:i/>
          <w:iCs/>
          <w:sz w:val="24"/>
          <w:szCs w:val="24"/>
        </w:rPr>
        <w:lastRenderedPageBreak/>
        <w:t xml:space="preserve">Para. 21, sentence starting with “Land registration and land administration…” Suggested edit: </w:t>
      </w:r>
      <w:r w:rsidRPr="009C30AA">
        <w:rPr>
          <w:rFonts w:ascii="Times New Roman" w:hAnsi="Times New Roman" w:cs="Times New Roman"/>
          <w:sz w:val="24"/>
          <w:szCs w:val="24"/>
        </w:rPr>
        <w:t>“Land registration and land administration must be carried out with careful efforts to address social norms that discriminate on the basis of gender, to avoid further entrenching and even erasing the rights of women.”</w:t>
      </w:r>
      <w:r w:rsidR="001E0CA0" w:rsidRPr="009C30AA">
        <w:rPr>
          <w:rStyle w:val="EndnoteReference"/>
          <w:rFonts w:ascii="Times New Roman" w:hAnsi="Times New Roman" w:cs="Times New Roman"/>
          <w:sz w:val="24"/>
          <w:szCs w:val="24"/>
        </w:rPr>
        <w:endnoteReference w:id="26"/>
      </w:r>
    </w:p>
    <w:p w14:paraId="5E4D5DEF" w14:textId="0BAA5FC9" w:rsidR="00F636F0" w:rsidRPr="009C30AA" w:rsidRDefault="00007A7E" w:rsidP="00A45956">
      <w:pPr>
        <w:pStyle w:val="ListParagraph"/>
        <w:numPr>
          <w:ilvl w:val="0"/>
          <w:numId w:val="3"/>
        </w:numPr>
        <w:spacing w:after="0" w:line="240" w:lineRule="auto"/>
        <w:ind w:left="360"/>
        <w:rPr>
          <w:rFonts w:ascii="Times New Roman" w:hAnsi="Times New Roman" w:cs="Times New Roman"/>
          <w:sz w:val="24"/>
          <w:szCs w:val="24"/>
        </w:rPr>
      </w:pPr>
      <w:r w:rsidRPr="009C30AA">
        <w:rPr>
          <w:rFonts w:ascii="Times New Roman" w:eastAsia="Times New Roman" w:hAnsi="Times New Roman" w:cs="Times New Roman"/>
          <w:i/>
          <w:iCs/>
          <w:sz w:val="24"/>
          <w:szCs w:val="24"/>
        </w:rPr>
        <w:t xml:space="preserve">Para. 35, sentence starting with “Redistribution of land and agrarian reforms…” Suggested edit: </w:t>
      </w:r>
      <w:r w:rsidRPr="009C30AA">
        <w:rPr>
          <w:rFonts w:ascii="Times New Roman" w:eastAsia="Times New Roman" w:hAnsi="Times New Roman" w:cs="Times New Roman"/>
          <w:sz w:val="24"/>
          <w:szCs w:val="24"/>
        </w:rPr>
        <w:t>“Redistribution of land and agrarian reforms should pay particular attention to access to land by young people, and to the fulfillment of equal treatment of women (CEDAW, Art. 14(2)(g)), and respect…”</w:t>
      </w:r>
    </w:p>
    <w:p w14:paraId="6F2B1D70" w14:textId="77777777" w:rsidR="00F636F0" w:rsidRPr="009C30AA" w:rsidRDefault="00F636F0" w:rsidP="00A45956">
      <w:pPr>
        <w:pStyle w:val="ListParagraph"/>
        <w:numPr>
          <w:ilvl w:val="0"/>
          <w:numId w:val="3"/>
        </w:numPr>
        <w:spacing w:after="0" w:line="240" w:lineRule="auto"/>
        <w:ind w:left="360"/>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Explicit acknowledgement of marginalization faced by youth in accessing land in paragraph 10, and in discussion of equitable distribution through agrarian reform. </w:t>
      </w:r>
    </w:p>
    <w:p w14:paraId="64155137" w14:textId="77777777" w:rsidR="00F636F0" w:rsidRPr="009C30AA" w:rsidRDefault="00F636F0" w:rsidP="00A45956">
      <w:pPr>
        <w:pStyle w:val="ListParagraph"/>
        <w:numPr>
          <w:ilvl w:val="0"/>
          <w:numId w:val="3"/>
        </w:numPr>
        <w:spacing w:after="0" w:line="240" w:lineRule="auto"/>
        <w:ind w:left="360"/>
        <w:rPr>
          <w:rFonts w:ascii="Times New Roman" w:hAnsi="Times New Roman" w:cs="Times New Roman"/>
          <w:sz w:val="24"/>
          <w:szCs w:val="24"/>
        </w:rPr>
      </w:pPr>
      <w:r w:rsidRPr="009C30AA">
        <w:rPr>
          <w:rFonts w:ascii="Times New Roman" w:eastAsia="Times New Roman" w:hAnsi="Times New Roman" w:cs="Times New Roman"/>
          <w:sz w:val="24"/>
          <w:szCs w:val="24"/>
        </w:rPr>
        <w:t xml:space="preserve">Inclusion of youth as a group facing risk of discrimination in governance of land tenure, as well as emphasis on the intersectional nature of discrimination against youth, particularly girls and female youth, in non-discrimination and equality paragraphs. </w:t>
      </w:r>
    </w:p>
    <w:p w14:paraId="20D98AD1" w14:textId="635BCB3E" w:rsidR="00F636F0" w:rsidRPr="009C30AA" w:rsidRDefault="00F636F0" w:rsidP="00A45956">
      <w:pPr>
        <w:pStyle w:val="ListParagraph"/>
        <w:numPr>
          <w:ilvl w:val="0"/>
          <w:numId w:val="3"/>
        </w:numPr>
        <w:spacing w:after="0" w:line="240" w:lineRule="auto"/>
        <w:ind w:left="360"/>
        <w:rPr>
          <w:rFonts w:ascii="Times New Roman" w:hAnsi="Times New Roman" w:cs="Times New Roman"/>
          <w:sz w:val="24"/>
          <w:szCs w:val="24"/>
        </w:rPr>
      </w:pPr>
      <w:r w:rsidRPr="009C30AA">
        <w:rPr>
          <w:rFonts w:ascii="Times New Roman" w:eastAsia="Times New Roman" w:hAnsi="Times New Roman" w:cs="Times New Roman"/>
          <w:sz w:val="24"/>
          <w:szCs w:val="24"/>
        </w:rPr>
        <w:t xml:space="preserve">Paragraph 24 acknowledges the need for youth participation in collective tenure systems. This should </w:t>
      </w:r>
      <w:r w:rsidR="006E47A6" w:rsidRPr="009C30AA">
        <w:rPr>
          <w:rFonts w:ascii="Times New Roman" w:eastAsia="Times New Roman" w:hAnsi="Times New Roman" w:cs="Times New Roman"/>
          <w:sz w:val="24"/>
          <w:szCs w:val="24"/>
        </w:rPr>
        <w:t>also</w:t>
      </w:r>
      <w:r w:rsidRPr="009C30AA">
        <w:rPr>
          <w:rFonts w:ascii="Times New Roman" w:eastAsia="Times New Roman" w:hAnsi="Times New Roman" w:cs="Times New Roman"/>
          <w:sz w:val="24"/>
          <w:szCs w:val="24"/>
        </w:rPr>
        <w:t xml:space="preserve"> be reflected in areas of the Comment addressing participation in other decision-making bodies. Similarly, paragraph 24 </w:t>
      </w:r>
      <w:r w:rsidR="00F1187A" w:rsidRPr="009C30AA">
        <w:rPr>
          <w:rFonts w:ascii="Times New Roman" w:eastAsia="Times New Roman" w:hAnsi="Times New Roman" w:cs="Times New Roman"/>
          <w:sz w:val="24"/>
          <w:szCs w:val="24"/>
        </w:rPr>
        <w:t>c</w:t>
      </w:r>
      <w:r w:rsidRPr="009C30AA">
        <w:rPr>
          <w:rFonts w:ascii="Times New Roman" w:eastAsia="Times New Roman" w:hAnsi="Times New Roman" w:cs="Times New Roman"/>
          <w:sz w:val="24"/>
          <w:szCs w:val="24"/>
        </w:rPr>
        <w:t xml:space="preserve">ould articulate measures to foster youth participation, including encouragement to address customs that subordinate youth in inheritance and use of land. </w:t>
      </w:r>
    </w:p>
    <w:p w14:paraId="54AF339D" w14:textId="5390F4F8" w:rsidR="00F636F0" w:rsidRPr="009C30AA" w:rsidRDefault="00F636F0" w:rsidP="00A45956">
      <w:pPr>
        <w:pStyle w:val="ListParagraph"/>
        <w:numPr>
          <w:ilvl w:val="0"/>
          <w:numId w:val="3"/>
        </w:numPr>
        <w:spacing w:after="0" w:line="240" w:lineRule="auto"/>
        <w:ind w:left="360"/>
        <w:rPr>
          <w:rFonts w:ascii="Times New Roman" w:hAnsi="Times New Roman" w:cs="Times New Roman"/>
          <w:sz w:val="24"/>
          <w:szCs w:val="24"/>
        </w:rPr>
      </w:pPr>
      <w:r w:rsidRPr="009C30AA">
        <w:rPr>
          <w:rFonts w:ascii="Times New Roman" w:eastAsia="Times New Roman" w:hAnsi="Times New Roman" w:cs="Times New Roman"/>
          <w:sz w:val="24"/>
          <w:szCs w:val="24"/>
        </w:rPr>
        <w:t xml:space="preserve">Paragraph 28 should explicitly acknowledge the need for youth participation in recognition of informal tenure systems. </w:t>
      </w:r>
    </w:p>
    <w:p w14:paraId="605BF702" w14:textId="6B3E3B66" w:rsidR="00F636F0" w:rsidRPr="009C30AA" w:rsidRDefault="00F636F0" w:rsidP="00A45956">
      <w:pPr>
        <w:pStyle w:val="ListParagraph"/>
        <w:numPr>
          <w:ilvl w:val="0"/>
          <w:numId w:val="3"/>
        </w:numPr>
        <w:spacing w:after="0" w:line="240" w:lineRule="auto"/>
        <w:ind w:left="360"/>
        <w:rPr>
          <w:rFonts w:ascii="Times New Roman" w:hAnsi="Times New Roman" w:cs="Times New Roman"/>
          <w:sz w:val="24"/>
          <w:szCs w:val="24"/>
        </w:rPr>
      </w:pPr>
      <w:r w:rsidRPr="009C30AA">
        <w:rPr>
          <w:rFonts w:ascii="Times New Roman" w:eastAsia="Times New Roman" w:hAnsi="Times New Roman" w:cs="Times New Roman"/>
          <w:sz w:val="24"/>
          <w:szCs w:val="24"/>
        </w:rPr>
        <w:t>Paragraph 35 prioritizes youth access to land in agrarian reforms. However, it should also explicitly prioritize youth participation in and benefit from measures intended to support land use, to ensure that you</w:t>
      </w:r>
      <w:r w:rsidR="006E47A6" w:rsidRPr="009C30AA">
        <w:rPr>
          <w:rFonts w:ascii="Times New Roman" w:eastAsia="Times New Roman" w:hAnsi="Times New Roman" w:cs="Times New Roman"/>
          <w:sz w:val="24"/>
          <w:szCs w:val="24"/>
        </w:rPr>
        <w:t>th</w:t>
      </w:r>
      <w:r w:rsidRPr="009C30AA">
        <w:rPr>
          <w:rFonts w:ascii="Times New Roman" w:eastAsia="Times New Roman" w:hAnsi="Times New Roman" w:cs="Times New Roman"/>
          <w:sz w:val="24"/>
          <w:szCs w:val="24"/>
        </w:rPr>
        <w:t xml:space="preserve"> beneficiaries of agrarian reform can </w:t>
      </w:r>
      <w:r w:rsidR="006E47A6" w:rsidRPr="009C30AA">
        <w:rPr>
          <w:rFonts w:ascii="Times New Roman" w:eastAsia="Times New Roman" w:hAnsi="Times New Roman" w:cs="Times New Roman"/>
          <w:sz w:val="24"/>
          <w:szCs w:val="24"/>
        </w:rPr>
        <w:t>make</w:t>
      </w:r>
      <w:r w:rsidRPr="009C30AA">
        <w:rPr>
          <w:rFonts w:ascii="Times New Roman" w:eastAsia="Times New Roman" w:hAnsi="Times New Roman" w:cs="Times New Roman"/>
          <w:sz w:val="24"/>
          <w:szCs w:val="24"/>
        </w:rPr>
        <w:t xml:space="preserve"> land</w:t>
      </w:r>
      <w:r w:rsidR="006E47A6" w:rsidRPr="009C30AA">
        <w:rPr>
          <w:rFonts w:ascii="Times New Roman" w:eastAsia="Times New Roman" w:hAnsi="Times New Roman" w:cs="Times New Roman"/>
          <w:sz w:val="24"/>
          <w:szCs w:val="24"/>
        </w:rPr>
        <w:t xml:space="preserve"> productive</w:t>
      </w:r>
      <w:r w:rsidRPr="009C30AA">
        <w:rPr>
          <w:rFonts w:ascii="Times New Roman" w:eastAsia="Times New Roman" w:hAnsi="Times New Roman" w:cs="Times New Roman"/>
          <w:sz w:val="24"/>
          <w:szCs w:val="24"/>
        </w:rPr>
        <w:t xml:space="preserve">. </w:t>
      </w:r>
    </w:p>
    <w:p w14:paraId="24F071E8" w14:textId="77777777" w:rsidR="006E0DD3" w:rsidRPr="009C30AA" w:rsidRDefault="006E0DD3" w:rsidP="00A45956">
      <w:pPr>
        <w:spacing w:after="0" w:line="240" w:lineRule="auto"/>
        <w:rPr>
          <w:rFonts w:ascii="Times New Roman" w:eastAsia="Times New Roman" w:hAnsi="Times New Roman" w:cs="Times New Roman"/>
          <w:b/>
          <w:bCs/>
          <w:i/>
          <w:iCs/>
          <w:color w:val="000000" w:themeColor="text1"/>
          <w:sz w:val="24"/>
          <w:szCs w:val="24"/>
        </w:rPr>
      </w:pPr>
    </w:p>
    <w:p w14:paraId="6549992E" w14:textId="58C28BC4" w:rsidR="00F636F0" w:rsidRPr="009C30AA" w:rsidRDefault="00F636F0"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b/>
          <w:bCs/>
          <w:i/>
          <w:iCs/>
          <w:color w:val="000000" w:themeColor="text1"/>
          <w:sz w:val="24"/>
          <w:szCs w:val="24"/>
        </w:rPr>
        <w:lastRenderedPageBreak/>
        <w:t>Fulfil</w:t>
      </w:r>
      <w:r w:rsidR="00F1187A" w:rsidRPr="009C30AA">
        <w:rPr>
          <w:rFonts w:ascii="Times New Roman" w:eastAsia="Times New Roman" w:hAnsi="Times New Roman" w:cs="Times New Roman"/>
          <w:b/>
          <w:bCs/>
          <w:i/>
          <w:iCs/>
          <w:color w:val="000000" w:themeColor="text1"/>
          <w:sz w:val="24"/>
          <w:szCs w:val="24"/>
        </w:rPr>
        <w:t>l</w:t>
      </w:r>
      <w:r w:rsidRPr="009C30AA">
        <w:rPr>
          <w:rFonts w:ascii="Times New Roman" w:eastAsia="Times New Roman" w:hAnsi="Times New Roman" w:cs="Times New Roman"/>
          <w:b/>
          <w:bCs/>
          <w:i/>
          <w:iCs/>
          <w:color w:val="000000" w:themeColor="text1"/>
          <w:sz w:val="24"/>
          <w:szCs w:val="24"/>
        </w:rPr>
        <w:t xml:space="preserve"> rights to equal participation and representation in land administration and governance.</w:t>
      </w:r>
    </w:p>
    <w:p w14:paraId="7850E296" w14:textId="70327A7D" w:rsidR="00946065" w:rsidRPr="009C30AA" w:rsidRDefault="00946065" w:rsidP="00A45956">
      <w:pPr>
        <w:spacing w:after="0" w:line="240" w:lineRule="auto"/>
        <w:rPr>
          <w:rFonts w:ascii="Times New Roman" w:hAnsi="Times New Roman" w:cs="Times New Roman"/>
          <w:bCs/>
          <w:sz w:val="24"/>
          <w:szCs w:val="24"/>
        </w:rPr>
      </w:pPr>
      <w:r w:rsidRPr="009C30AA">
        <w:rPr>
          <w:rFonts w:ascii="Times New Roman" w:hAnsi="Times New Roman" w:cs="Times New Roman"/>
          <w:bCs/>
          <w:sz w:val="24"/>
          <w:szCs w:val="24"/>
        </w:rPr>
        <w:t xml:space="preserve">The Draft Comment </w:t>
      </w:r>
      <w:r w:rsidR="00A60AEB" w:rsidRPr="009C30AA">
        <w:rPr>
          <w:rFonts w:ascii="Times New Roman" w:hAnsi="Times New Roman" w:cs="Times New Roman"/>
          <w:bCs/>
          <w:sz w:val="24"/>
          <w:szCs w:val="24"/>
        </w:rPr>
        <w:t>notes several arenas where women remain disadvantaged in paragraph 17 (inheritance, representation among title holders, recognition of tenure), and why land rights are important for women and development outcomes, and Para. 16 also notes women’s exclusion from decision-making processes. But integration within the General Comment of States’ obligation to realize gender-equitable participation at a higher level would help</w:t>
      </w:r>
      <w:r w:rsidR="00D14FEC" w:rsidRPr="009C30AA">
        <w:rPr>
          <w:rFonts w:ascii="Times New Roman" w:hAnsi="Times New Roman" w:cs="Times New Roman"/>
          <w:bCs/>
          <w:sz w:val="24"/>
          <w:szCs w:val="24"/>
        </w:rPr>
        <w:t xml:space="preserve"> fulfill women’s Covenant rights specifically, but would fulfill Covenant rights for all more effectively. </w:t>
      </w:r>
    </w:p>
    <w:p w14:paraId="38CD509B" w14:textId="77777777" w:rsidR="0095311E" w:rsidRDefault="0095311E" w:rsidP="00A45956">
      <w:pPr>
        <w:spacing w:after="0" w:line="240" w:lineRule="auto"/>
        <w:rPr>
          <w:rFonts w:ascii="Times New Roman" w:hAnsi="Times New Roman" w:cs="Times New Roman"/>
          <w:bCs/>
          <w:sz w:val="24"/>
          <w:szCs w:val="24"/>
        </w:rPr>
      </w:pPr>
    </w:p>
    <w:p w14:paraId="656B3F6F" w14:textId="012663BF" w:rsidR="00946065" w:rsidRPr="009C30AA" w:rsidRDefault="00946065" w:rsidP="00A45956">
      <w:pPr>
        <w:spacing w:after="0" w:line="240" w:lineRule="auto"/>
        <w:rPr>
          <w:rFonts w:ascii="Times New Roman" w:hAnsi="Times New Roman" w:cs="Times New Roman"/>
          <w:bCs/>
          <w:sz w:val="24"/>
          <w:szCs w:val="24"/>
        </w:rPr>
      </w:pPr>
      <w:r w:rsidRPr="009C30AA">
        <w:rPr>
          <w:rFonts w:ascii="Times New Roman" w:hAnsi="Times New Roman" w:cs="Times New Roman"/>
          <w:bCs/>
          <w:sz w:val="24"/>
          <w:szCs w:val="24"/>
        </w:rPr>
        <w:t>Gendered inequalities with regard to decision-making, control, and economic opportunity and power related to land and natural resources are often exacerbated by women’s lack of representation in positions of political power. Parliaments and executive branches worldwide do not equitably represent the voices of those whose Covenant rights are most affected by their decisions.</w:t>
      </w:r>
      <w:r w:rsidRPr="009C30AA">
        <w:rPr>
          <w:rStyle w:val="EndnoteReference"/>
          <w:rFonts w:ascii="Times New Roman" w:hAnsi="Times New Roman" w:cs="Times New Roman"/>
          <w:bCs/>
          <w:sz w:val="24"/>
          <w:szCs w:val="24"/>
        </w:rPr>
        <w:endnoteReference w:id="27"/>
      </w:r>
      <w:r w:rsidRPr="009C30AA">
        <w:rPr>
          <w:rFonts w:ascii="Times New Roman" w:hAnsi="Times New Roman" w:cs="Times New Roman"/>
          <w:bCs/>
          <w:sz w:val="24"/>
          <w:szCs w:val="24"/>
        </w:rPr>
        <w:t xml:space="preserve"> Women and other marginalized groups have a human right to political participation; but land and natural resource management law and policy are among the most exclusive arenas, especially with regard to gender.</w:t>
      </w:r>
      <w:r w:rsidRPr="009C30AA">
        <w:rPr>
          <w:rStyle w:val="EndnoteReference"/>
          <w:rFonts w:ascii="Times New Roman" w:hAnsi="Times New Roman" w:cs="Times New Roman"/>
          <w:bCs/>
          <w:sz w:val="24"/>
          <w:szCs w:val="24"/>
        </w:rPr>
        <w:endnoteReference w:id="28"/>
      </w:r>
      <w:r w:rsidRPr="009C30AA">
        <w:rPr>
          <w:rFonts w:ascii="Times New Roman" w:hAnsi="Times New Roman" w:cs="Times New Roman"/>
          <w:bCs/>
          <w:sz w:val="24"/>
          <w:szCs w:val="24"/>
        </w:rPr>
        <w:t xml:space="preserve"> Legislative bodies with inadequate representation of women in turn inadequately protect and benefit women.</w:t>
      </w:r>
      <w:r w:rsidRPr="009C30AA">
        <w:rPr>
          <w:rStyle w:val="EndnoteReference"/>
          <w:rFonts w:ascii="Times New Roman" w:hAnsi="Times New Roman" w:cs="Times New Roman"/>
          <w:bCs/>
          <w:sz w:val="24"/>
          <w:szCs w:val="24"/>
        </w:rPr>
        <w:endnoteReference w:id="29"/>
      </w:r>
      <w:r w:rsidRPr="009C30AA">
        <w:rPr>
          <w:rFonts w:ascii="Times New Roman" w:hAnsi="Times New Roman" w:cs="Times New Roman"/>
          <w:bCs/>
          <w:sz w:val="24"/>
          <w:szCs w:val="24"/>
        </w:rPr>
        <w:t xml:space="preserve">  </w:t>
      </w:r>
    </w:p>
    <w:p w14:paraId="1D6F552E" w14:textId="77777777" w:rsidR="00A45956" w:rsidRDefault="00A45956" w:rsidP="00A45956">
      <w:pPr>
        <w:spacing w:after="0" w:line="240" w:lineRule="auto"/>
        <w:rPr>
          <w:rFonts w:ascii="Times New Roman" w:eastAsia="Times New Roman" w:hAnsi="Times New Roman" w:cs="Times New Roman"/>
          <w:sz w:val="24"/>
          <w:szCs w:val="24"/>
        </w:rPr>
      </w:pPr>
    </w:p>
    <w:p w14:paraId="0F0195A9" w14:textId="3B00815B" w:rsidR="00F636F0" w:rsidRPr="009C30AA" w:rsidRDefault="00F636F0" w:rsidP="00A45956">
      <w:pPr>
        <w:spacing w:after="0" w:line="240" w:lineRule="auto"/>
        <w:rPr>
          <w:rFonts w:ascii="Times New Roman" w:eastAsia="Times New Roman" w:hAnsi="Times New Roman" w:cs="Times New Roman"/>
          <w:sz w:val="24"/>
          <w:szCs w:val="24"/>
        </w:rPr>
      </w:pPr>
      <w:r w:rsidRPr="009C30AA">
        <w:rPr>
          <w:rFonts w:ascii="Times New Roman" w:eastAsia="Times New Roman" w:hAnsi="Times New Roman" w:cs="Times New Roman"/>
          <w:sz w:val="24"/>
          <w:szCs w:val="24"/>
        </w:rPr>
        <w:t xml:space="preserve">The </w:t>
      </w:r>
      <w:r w:rsidR="00D14FEC" w:rsidRPr="009C30AA">
        <w:rPr>
          <w:rFonts w:ascii="Times New Roman" w:eastAsia="Times New Roman" w:hAnsi="Times New Roman" w:cs="Times New Roman"/>
          <w:sz w:val="24"/>
          <w:szCs w:val="24"/>
        </w:rPr>
        <w:t>following changes are suggested</w:t>
      </w:r>
      <w:r w:rsidRPr="009C30AA">
        <w:rPr>
          <w:rFonts w:ascii="Times New Roman" w:eastAsia="Times New Roman" w:hAnsi="Times New Roman" w:cs="Times New Roman"/>
          <w:sz w:val="24"/>
          <w:szCs w:val="24"/>
        </w:rPr>
        <w:t>:</w:t>
      </w:r>
    </w:p>
    <w:p w14:paraId="218C2120" w14:textId="157C3F0F" w:rsidR="00D14FEC" w:rsidRPr="009C30AA" w:rsidRDefault="00D14FEC" w:rsidP="00A45956">
      <w:pPr>
        <w:pStyle w:val="ListParagraph"/>
        <w:numPr>
          <w:ilvl w:val="0"/>
          <w:numId w:val="1"/>
        </w:numPr>
        <w:spacing w:after="0" w:line="240" w:lineRule="auto"/>
        <w:rPr>
          <w:rFonts w:ascii="Times New Roman" w:eastAsiaTheme="minorEastAsia" w:hAnsi="Times New Roman" w:cs="Times New Roman"/>
          <w:sz w:val="24"/>
          <w:szCs w:val="24"/>
        </w:rPr>
      </w:pPr>
      <w:r w:rsidRPr="009C30AA">
        <w:rPr>
          <w:rFonts w:ascii="Times New Roman" w:eastAsiaTheme="minorEastAsia" w:hAnsi="Times New Roman" w:cs="Times New Roman"/>
          <w:sz w:val="24"/>
          <w:szCs w:val="24"/>
        </w:rPr>
        <w:t>Paragraph 17 should include a sentence noting that gender-equal representation in legislative and land administration bodies can and should be achieved via temporary special measures.</w:t>
      </w:r>
    </w:p>
    <w:p w14:paraId="430F78A2" w14:textId="471B8A1D" w:rsidR="00F636F0" w:rsidRPr="009C30AA" w:rsidRDefault="00F636F0" w:rsidP="00A45956">
      <w:pPr>
        <w:pStyle w:val="ListParagraph"/>
        <w:numPr>
          <w:ilvl w:val="0"/>
          <w:numId w:val="1"/>
        </w:numPr>
        <w:spacing w:after="0" w:line="240" w:lineRule="auto"/>
        <w:rPr>
          <w:rFonts w:ascii="Times New Roman" w:eastAsiaTheme="minorEastAsia" w:hAnsi="Times New Roman" w:cs="Times New Roman"/>
          <w:sz w:val="24"/>
          <w:szCs w:val="24"/>
        </w:rPr>
      </w:pPr>
      <w:r w:rsidRPr="009C30AA">
        <w:rPr>
          <w:rFonts w:ascii="Times New Roman" w:eastAsia="Times New Roman" w:hAnsi="Times New Roman" w:cs="Times New Roman"/>
          <w:sz w:val="24"/>
          <w:szCs w:val="24"/>
        </w:rPr>
        <w:t>Paragraph 18</w:t>
      </w:r>
      <w:r w:rsidR="005C3006" w:rsidRPr="009C30AA">
        <w:rPr>
          <w:rFonts w:ascii="Times New Roman" w:eastAsia="Times New Roman" w:hAnsi="Times New Roman" w:cs="Times New Roman"/>
          <w:sz w:val="24"/>
          <w:szCs w:val="24"/>
        </w:rPr>
        <w:t xml:space="preserve"> addresses</w:t>
      </w:r>
      <w:r w:rsidRPr="009C30AA">
        <w:rPr>
          <w:rFonts w:ascii="Times New Roman" w:eastAsia="Times New Roman" w:hAnsi="Times New Roman" w:cs="Times New Roman"/>
          <w:sz w:val="24"/>
          <w:szCs w:val="24"/>
        </w:rPr>
        <w:t xml:space="preserve"> the importance of engaging with Indigenous Peoples through free, prior and informed consent</w:t>
      </w:r>
      <w:r w:rsidR="005C3006" w:rsidRPr="009C30AA">
        <w:rPr>
          <w:rFonts w:ascii="Times New Roman" w:eastAsia="Times New Roman" w:hAnsi="Times New Roman" w:cs="Times New Roman"/>
          <w:sz w:val="24"/>
          <w:szCs w:val="24"/>
        </w:rPr>
        <w:t xml:space="preserve"> in land governance decisions</w:t>
      </w:r>
      <w:r w:rsidRPr="009C30AA">
        <w:rPr>
          <w:rFonts w:ascii="Times New Roman" w:eastAsia="Times New Roman" w:hAnsi="Times New Roman" w:cs="Times New Roman"/>
          <w:sz w:val="24"/>
          <w:szCs w:val="24"/>
        </w:rPr>
        <w:t>. However, it does not address pervasive social norms</w:t>
      </w:r>
      <w:r w:rsidR="005C3006" w:rsidRPr="009C30AA">
        <w:rPr>
          <w:rFonts w:ascii="Times New Roman" w:eastAsia="Times New Roman" w:hAnsi="Times New Roman" w:cs="Times New Roman"/>
          <w:sz w:val="24"/>
          <w:szCs w:val="24"/>
        </w:rPr>
        <w:t xml:space="preserve"> or</w:t>
      </w:r>
      <w:r w:rsidRPr="009C30AA">
        <w:rPr>
          <w:rFonts w:ascii="Times New Roman" w:eastAsia="Times New Roman" w:hAnsi="Times New Roman" w:cs="Times New Roman"/>
          <w:sz w:val="24"/>
          <w:szCs w:val="24"/>
        </w:rPr>
        <w:t xml:space="preserve"> legal standards in areas </w:t>
      </w:r>
      <w:r w:rsidRPr="009C30AA">
        <w:rPr>
          <w:rFonts w:ascii="Times New Roman" w:eastAsia="Times New Roman" w:hAnsi="Times New Roman" w:cs="Times New Roman"/>
          <w:sz w:val="24"/>
          <w:szCs w:val="24"/>
        </w:rPr>
        <w:lastRenderedPageBreak/>
        <w:t xml:space="preserve">like family law, </w:t>
      </w:r>
      <w:r w:rsidR="005C3006" w:rsidRPr="009C30AA">
        <w:rPr>
          <w:rFonts w:ascii="Times New Roman" w:eastAsia="Times New Roman" w:hAnsi="Times New Roman" w:cs="Times New Roman"/>
          <w:sz w:val="24"/>
          <w:szCs w:val="24"/>
        </w:rPr>
        <w:t xml:space="preserve">both of </w:t>
      </w:r>
      <w:r w:rsidRPr="009C30AA">
        <w:rPr>
          <w:rFonts w:ascii="Times New Roman" w:eastAsia="Times New Roman" w:hAnsi="Times New Roman" w:cs="Times New Roman"/>
          <w:sz w:val="24"/>
          <w:szCs w:val="24"/>
        </w:rPr>
        <w:t>which undermine women’s meaningful participation</w:t>
      </w:r>
      <w:r w:rsidR="00D14FEC" w:rsidRPr="009C30AA">
        <w:rPr>
          <w:rFonts w:ascii="Times New Roman" w:eastAsia="Times New Roman" w:hAnsi="Times New Roman" w:cs="Times New Roman"/>
          <w:sz w:val="24"/>
          <w:szCs w:val="24"/>
        </w:rPr>
        <w:t xml:space="preserve"> in these decisions</w:t>
      </w:r>
      <w:r w:rsidRPr="009C30AA">
        <w:rPr>
          <w:rFonts w:ascii="Times New Roman" w:eastAsia="Times New Roman" w:hAnsi="Times New Roman" w:cs="Times New Roman"/>
          <w:sz w:val="24"/>
          <w:szCs w:val="24"/>
        </w:rPr>
        <w:t>.</w:t>
      </w:r>
      <w:r w:rsidRPr="009C30AA">
        <w:rPr>
          <w:rStyle w:val="EndnoteReference"/>
          <w:rFonts w:ascii="Times New Roman" w:eastAsia="Times New Roman" w:hAnsi="Times New Roman" w:cs="Times New Roman"/>
          <w:sz w:val="24"/>
          <w:szCs w:val="24"/>
        </w:rPr>
        <w:endnoteReference w:id="30"/>
      </w:r>
      <w:r w:rsidRPr="009C30AA">
        <w:rPr>
          <w:rFonts w:ascii="Times New Roman" w:eastAsia="Times New Roman" w:hAnsi="Times New Roman" w:cs="Times New Roman"/>
          <w:sz w:val="24"/>
          <w:szCs w:val="24"/>
        </w:rPr>
        <w:t xml:space="preserve"> It</w:t>
      </w:r>
      <w:r w:rsidR="00D14FEC" w:rsidRPr="009C30AA">
        <w:rPr>
          <w:rFonts w:ascii="Times New Roman" w:eastAsia="Times New Roman" w:hAnsi="Times New Roman" w:cs="Times New Roman"/>
          <w:sz w:val="24"/>
          <w:szCs w:val="24"/>
        </w:rPr>
        <w:t xml:space="preserve"> should</w:t>
      </w:r>
      <w:r w:rsidRPr="009C30AA">
        <w:rPr>
          <w:rFonts w:ascii="Times New Roman" w:eastAsia="Times New Roman" w:hAnsi="Times New Roman" w:cs="Times New Roman"/>
          <w:sz w:val="24"/>
          <w:szCs w:val="24"/>
        </w:rPr>
        <w:t xml:space="preserve"> explicitly require women’s participation in decision-making, coupled with relevant mechanisms to ensure those rights to participation are not violated, and that contributions are meaningfully incorporated.</w:t>
      </w:r>
      <w:r w:rsidRPr="009C30AA">
        <w:rPr>
          <w:rStyle w:val="EndnoteReference"/>
          <w:rFonts w:ascii="Times New Roman" w:eastAsia="Times New Roman" w:hAnsi="Times New Roman" w:cs="Times New Roman"/>
          <w:sz w:val="24"/>
          <w:szCs w:val="24"/>
        </w:rPr>
        <w:endnoteReference w:id="31"/>
      </w:r>
    </w:p>
    <w:p w14:paraId="57C58DD6" w14:textId="31364A78" w:rsidR="00F636F0" w:rsidRPr="009C30AA" w:rsidRDefault="00D14FEC" w:rsidP="00A45956">
      <w:pPr>
        <w:pStyle w:val="ListParagraph"/>
        <w:numPr>
          <w:ilvl w:val="0"/>
          <w:numId w:val="1"/>
        </w:numPr>
        <w:spacing w:after="0" w:line="240" w:lineRule="auto"/>
        <w:rPr>
          <w:rFonts w:ascii="Times New Roman" w:eastAsiaTheme="minorEastAsia" w:hAnsi="Times New Roman" w:cs="Times New Roman"/>
          <w:sz w:val="24"/>
          <w:szCs w:val="24"/>
        </w:rPr>
      </w:pPr>
      <w:r w:rsidRPr="009C30AA">
        <w:rPr>
          <w:rFonts w:ascii="Times New Roman" w:eastAsiaTheme="minorEastAsia" w:hAnsi="Times New Roman" w:cs="Times New Roman"/>
          <w:i/>
          <w:iCs/>
          <w:sz w:val="24"/>
          <w:szCs w:val="24"/>
        </w:rPr>
        <w:t xml:space="preserve">Para. 24, sentence starting with “It is important that…” Suggested edit: </w:t>
      </w:r>
      <w:r w:rsidRPr="009C30AA">
        <w:rPr>
          <w:rFonts w:ascii="Times New Roman" w:hAnsi="Times New Roman" w:cs="Times New Roman"/>
          <w:sz w:val="24"/>
          <w:szCs w:val="24"/>
        </w:rPr>
        <w:t>“It is important that traditional institutions for collective tenure systems work to ensure equal representation of women in decision-making bodies, as well as meaningful participation and inclusion of all members, including young people, in decisions regarding the distribution of user rights.”</w:t>
      </w:r>
    </w:p>
    <w:p w14:paraId="19CED03C" w14:textId="6F7AC443" w:rsidR="00F636F0" w:rsidRPr="009C30AA" w:rsidRDefault="00F636F0" w:rsidP="00A45956">
      <w:pPr>
        <w:pStyle w:val="ListParagraph"/>
        <w:numPr>
          <w:ilvl w:val="0"/>
          <w:numId w:val="1"/>
        </w:numPr>
        <w:spacing w:after="0" w:line="240" w:lineRule="auto"/>
        <w:rPr>
          <w:rFonts w:ascii="Times New Roman" w:eastAsiaTheme="minorEastAsia" w:hAnsi="Times New Roman" w:cs="Times New Roman"/>
          <w:sz w:val="24"/>
          <w:szCs w:val="24"/>
        </w:rPr>
      </w:pPr>
      <w:r w:rsidRPr="009C30AA">
        <w:rPr>
          <w:rFonts w:ascii="Times New Roman" w:eastAsia="Times New Roman" w:hAnsi="Times New Roman" w:cs="Times New Roman"/>
          <w:sz w:val="24"/>
          <w:szCs w:val="24"/>
        </w:rPr>
        <w:t xml:space="preserve">The </w:t>
      </w:r>
      <w:r w:rsidR="00D14FEC" w:rsidRPr="009C30AA">
        <w:rPr>
          <w:rFonts w:ascii="Times New Roman" w:eastAsia="Times New Roman" w:hAnsi="Times New Roman" w:cs="Times New Roman"/>
          <w:sz w:val="24"/>
          <w:szCs w:val="24"/>
        </w:rPr>
        <w:t>reference in Paragraph 24</w:t>
      </w:r>
      <w:r w:rsidRPr="009C30AA">
        <w:rPr>
          <w:rFonts w:ascii="Times New Roman" w:eastAsia="Times New Roman" w:hAnsi="Times New Roman" w:cs="Times New Roman"/>
          <w:sz w:val="24"/>
          <w:szCs w:val="24"/>
        </w:rPr>
        <w:t xml:space="preserve"> and other references to customary tenure could be qualified by the obligation for states to respect custom and customary tenure to the extent that it does not violate fundamental principles of non-discrimination and gender equality. </w:t>
      </w:r>
    </w:p>
    <w:p w14:paraId="0D39B462" w14:textId="39A60EC8" w:rsidR="51979BAD" w:rsidRPr="009C30AA" w:rsidRDefault="00D14FEC" w:rsidP="00A45956">
      <w:pPr>
        <w:pStyle w:val="ListParagraph"/>
        <w:numPr>
          <w:ilvl w:val="0"/>
          <w:numId w:val="1"/>
        </w:numPr>
        <w:spacing w:after="0" w:line="240" w:lineRule="auto"/>
        <w:rPr>
          <w:rFonts w:ascii="Times New Roman" w:eastAsiaTheme="minorEastAsia" w:hAnsi="Times New Roman" w:cs="Times New Roman"/>
          <w:sz w:val="24"/>
          <w:szCs w:val="24"/>
        </w:rPr>
      </w:pPr>
      <w:r w:rsidRPr="009C30AA">
        <w:rPr>
          <w:rFonts w:ascii="Times New Roman" w:eastAsia="Times New Roman" w:hAnsi="Times New Roman" w:cs="Times New Roman"/>
          <w:sz w:val="24"/>
          <w:szCs w:val="24"/>
        </w:rPr>
        <w:t>Paragraph 30 references participation in investment decisions, and access to complaint mechanisms. Both should likewise emphasize gender equality.</w:t>
      </w:r>
      <w:r w:rsidRPr="009C30AA">
        <w:rPr>
          <w:rFonts w:ascii="Times New Roman" w:eastAsiaTheme="minorEastAsia" w:hAnsi="Times New Roman" w:cs="Times New Roman"/>
          <w:i/>
          <w:iCs/>
          <w:sz w:val="24"/>
          <w:szCs w:val="24"/>
        </w:rPr>
        <w:t xml:space="preserve"> </w:t>
      </w:r>
    </w:p>
    <w:sectPr w:rsidR="51979BAD" w:rsidRPr="009C30AA">
      <w:headerReference w:type="default" r:id="rId9"/>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4275" w14:textId="77777777" w:rsidR="006C3B1F" w:rsidRDefault="006C3B1F">
      <w:pPr>
        <w:spacing w:after="0" w:line="240" w:lineRule="auto"/>
      </w:pPr>
      <w:r>
        <w:separator/>
      </w:r>
    </w:p>
  </w:endnote>
  <w:endnote w:type="continuationSeparator" w:id="0">
    <w:p w14:paraId="72FE94F4" w14:textId="77777777" w:rsidR="006C3B1F" w:rsidRDefault="006C3B1F">
      <w:pPr>
        <w:spacing w:after="0" w:line="240" w:lineRule="auto"/>
      </w:pPr>
      <w:r>
        <w:continuationSeparator/>
      </w:r>
    </w:p>
  </w:endnote>
  <w:endnote w:id="1">
    <w:p w14:paraId="74330971" w14:textId="77777777" w:rsidR="00023EB2" w:rsidRPr="00D048A6" w:rsidRDefault="00023EB2" w:rsidP="00D048A6">
      <w:pPr>
        <w:pStyle w:val="NormalWeb"/>
        <w:spacing w:before="0" w:beforeAutospacing="0" w:after="0" w:afterAutospacing="0"/>
        <w:rPr>
          <w:color w:val="000000" w:themeColor="text1"/>
          <w:sz w:val="20"/>
          <w:szCs w:val="20"/>
        </w:rPr>
      </w:pPr>
      <w:r w:rsidRPr="00D048A6">
        <w:rPr>
          <w:rStyle w:val="EndnoteReference"/>
          <w:color w:val="000000" w:themeColor="text1"/>
          <w:sz w:val="20"/>
          <w:szCs w:val="20"/>
        </w:rPr>
        <w:endnoteRef/>
      </w:r>
      <w:r w:rsidRPr="00D048A6">
        <w:rPr>
          <w:color w:val="000000" w:themeColor="text1"/>
          <w:sz w:val="20"/>
          <w:szCs w:val="20"/>
        </w:rPr>
        <w:t xml:space="preserve"> UN Human Rights Council, Report of the Special Rapporteur on the Right to Food, Olivier De Schutter: Interim Report, Aug. 11, 2010, A65/281, para. 24.</w:t>
      </w:r>
    </w:p>
  </w:endnote>
  <w:endnote w:id="2">
    <w:p w14:paraId="64FE263D" w14:textId="77777777" w:rsidR="00023EB2" w:rsidRPr="00D048A6" w:rsidRDefault="00023EB2" w:rsidP="00D048A6">
      <w:pPr>
        <w:pStyle w:val="EndnoteText"/>
        <w:rPr>
          <w:color w:val="000000" w:themeColor="text1"/>
        </w:rPr>
      </w:pPr>
      <w:r w:rsidRPr="00D048A6">
        <w:rPr>
          <w:rStyle w:val="EndnoteReference"/>
          <w:color w:val="000000" w:themeColor="text1"/>
        </w:rPr>
        <w:endnoteRef/>
      </w:r>
      <w:r w:rsidRPr="00D048A6">
        <w:rPr>
          <w:color w:val="000000" w:themeColor="text1"/>
        </w:rPr>
        <w:t xml:space="preserve"> Committee on Economic, Social and Cultural Rights, g</w:t>
      </w:r>
      <w:r w:rsidRPr="00D048A6">
        <w:rPr>
          <w:rFonts w:eastAsia="SimSun"/>
          <w:color w:val="000000" w:themeColor="text1"/>
          <w:lang w:eastAsia="zh-CN"/>
        </w:rPr>
        <w:t>eneral comment</w:t>
      </w:r>
      <w:r w:rsidRPr="00D048A6">
        <w:rPr>
          <w:rFonts w:eastAsia="Calibri"/>
          <w:bCs/>
          <w:color w:val="000000" w:themeColor="text1"/>
        </w:rPr>
        <w:t xml:space="preserve"> No. 16 (2005)  on the equal right of men and women to the enjoyment of all economic, social and cultural rights, para. 28.  See also, general comment No. </w:t>
      </w:r>
      <w:r w:rsidRPr="00D048A6">
        <w:rPr>
          <w:color w:val="000000" w:themeColor="text1"/>
        </w:rPr>
        <w:t>7 on the right to adequate housing: forced evictions, para. 10.</w:t>
      </w:r>
    </w:p>
  </w:endnote>
  <w:endnote w:id="3">
    <w:p w14:paraId="050DEB79" w14:textId="77777777" w:rsidR="00023EB2" w:rsidRPr="00D048A6" w:rsidRDefault="00023EB2" w:rsidP="00D048A6">
      <w:pPr>
        <w:pStyle w:val="NormalWeb"/>
        <w:spacing w:before="0" w:beforeAutospacing="0" w:after="0" w:afterAutospacing="0"/>
        <w:rPr>
          <w:color w:val="000000" w:themeColor="text1"/>
          <w:sz w:val="20"/>
          <w:szCs w:val="20"/>
        </w:rPr>
      </w:pPr>
      <w:r w:rsidRPr="00D048A6">
        <w:rPr>
          <w:rStyle w:val="EndnoteReference"/>
          <w:color w:val="000000" w:themeColor="text1"/>
          <w:sz w:val="20"/>
          <w:szCs w:val="20"/>
        </w:rPr>
        <w:endnoteRef/>
      </w:r>
      <w:r w:rsidRPr="00D048A6">
        <w:rPr>
          <w:color w:val="000000" w:themeColor="text1"/>
          <w:sz w:val="20"/>
          <w:szCs w:val="20"/>
        </w:rPr>
        <w:t xml:space="preserve"> Article 25 of the Universal Declaration of Human Rights; Art. 11 of the International Covenant on Economic, Social and Cultural Rights (ICESCR).</w:t>
      </w:r>
    </w:p>
  </w:endnote>
  <w:endnote w:id="4">
    <w:p w14:paraId="020F375C" w14:textId="77777777" w:rsidR="00023EB2" w:rsidRPr="00D048A6" w:rsidRDefault="00023EB2" w:rsidP="00D048A6">
      <w:pPr>
        <w:pStyle w:val="NormalWeb"/>
        <w:spacing w:before="0" w:beforeAutospacing="0" w:after="0" w:afterAutospacing="0"/>
        <w:rPr>
          <w:color w:val="000000" w:themeColor="text1"/>
          <w:sz w:val="20"/>
          <w:szCs w:val="20"/>
        </w:rPr>
      </w:pPr>
      <w:r w:rsidRPr="00D048A6">
        <w:rPr>
          <w:rStyle w:val="EndnoteReference"/>
          <w:color w:val="000000" w:themeColor="text1"/>
          <w:sz w:val="20"/>
          <w:szCs w:val="20"/>
        </w:rPr>
        <w:endnoteRef/>
      </w:r>
      <w:r w:rsidRPr="00D048A6">
        <w:rPr>
          <w:color w:val="000000" w:themeColor="text1"/>
          <w:sz w:val="20"/>
          <w:szCs w:val="20"/>
        </w:rPr>
        <w:t xml:space="preserve"> ICESCR Article 2. </w:t>
      </w:r>
      <w:r w:rsidRPr="00D048A6">
        <w:rPr>
          <w:i/>
          <w:iCs/>
          <w:color w:val="000000" w:themeColor="text1"/>
          <w:sz w:val="20"/>
          <w:szCs w:val="20"/>
        </w:rPr>
        <w:t xml:space="preserve">See also </w:t>
      </w:r>
      <w:r w:rsidRPr="00D048A6">
        <w:rPr>
          <w:color w:val="000000" w:themeColor="text1"/>
          <w:sz w:val="20"/>
          <w:szCs w:val="20"/>
        </w:rPr>
        <w:t>Convention on the Elimination of All Forms of Discrimination against Women, December 18, 1979, A/RES/34/180; CEDAW, Article 5(a):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See also, General recommendation No. 28 (47</w:t>
      </w:r>
      <w:r w:rsidRPr="00D048A6">
        <w:rPr>
          <w:color w:val="000000" w:themeColor="text1"/>
          <w:sz w:val="20"/>
          <w:szCs w:val="20"/>
          <w:vertAlign w:val="superscript"/>
        </w:rPr>
        <w:t>th</w:t>
      </w:r>
      <w:r w:rsidRPr="00D048A6">
        <w:rPr>
          <w:color w:val="000000" w:themeColor="text1"/>
          <w:position w:val="6"/>
          <w:sz w:val="20"/>
          <w:szCs w:val="20"/>
          <w:vertAlign w:val="superscript"/>
        </w:rPr>
        <w:t xml:space="preserve"> </w:t>
      </w:r>
      <w:r w:rsidRPr="00D048A6">
        <w:rPr>
          <w:color w:val="000000" w:themeColor="text1"/>
          <w:sz w:val="20"/>
          <w:szCs w:val="20"/>
        </w:rPr>
        <w:t xml:space="preserve">sess., 2010); The Core Obligations of States Parties under Article 2 of the Convention on the Elimination of All Forms of Discrimination against Women, para. 31 (“States parties have an obligation to take steps to modify or abolish existing laws, regulations, customs and practices which constitute discrimination against women.”); </w:t>
      </w:r>
      <w:r w:rsidRPr="00D048A6">
        <w:rPr>
          <w:i/>
          <w:iCs/>
          <w:color w:val="000000" w:themeColor="text1"/>
          <w:sz w:val="20"/>
          <w:szCs w:val="20"/>
        </w:rPr>
        <w:t xml:space="preserve">and see generally </w:t>
      </w:r>
      <w:r w:rsidRPr="00D048A6">
        <w:rPr>
          <w:color w:val="000000" w:themeColor="text1"/>
          <w:sz w:val="20"/>
          <w:szCs w:val="20"/>
        </w:rPr>
        <w:t>GIESCR et al, ‘The International Covenant on Economic, Social, and Cultural Rights at 50: The Significance from a Women’s Rights Perspective,’ available at: http://globalinitiative-escr.org/wp-content/uploads/2016/10/ICESCR-and-Womens-ESC-Rights-FINAL.pdf</w:t>
      </w:r>
    </w:p>
  </w:endnote>
  <w:endnote w:id="5">
    <w:p w14:paraId="1CCB72F4" w14:textId="77777777" w:rsidR="00023EB2" w:rsidRPr="00D048A6" w:rsidRDefault="00023EB2" w:rsidP="00D048A6">
      <w:pPr>
        <w:pStyle w:val="NormalWeb"/>
        <w:spacing w:before="0" w:beforeAutospacing="0" w:after="0" w:afterAutospacing="0"/>
        <w:rPr>
          <w:color w:val="000000" w:themeColor="text1"/>
          <w:sz w:val="20"/>
          <w:szCs w:val="20"/>
        </w:rPr>
      </w:pPr>
      <w:r w:rsidRPr="00D048A6">
        <w:rPr>
          <w:rStyle w:val="EndnoteReference"/>
          <w:color w:val="000000" w:themeColor="text1"/>
          <w:sz w:val="20"/>
          <w:szCs w:val="20"/>
        </w:rPr>
        <w:endnoteRef/>
      </w:r>
      <w:r w:rsidRPr="00D048A6">
        <w:rPr>
          <w:color w:val="000000" w:themeColor="text1"/>
          <w:sz w:val="20"/>
          <w:szCs w:val="20"/>
        </w:rPr>
        <w:t xml:space="preserve"> CESCR, General Comment No. 4 (1991) on the Right to Adequate Housing, at paras. 8(a) and (e); CESCR, General Comment No. 7 (1997) on Forced Evictions, at paras. 2, 3, 7, 9, 15 and 16; CESCR, General Comment No. 12 (1999) on the Right to Adequate Food, UN Doc. E/C.12/1999/5, at paras. 12, 13 and 26; CESCR, General Comment No. 14 (2000) on the Right to the Highest Attainable Standard of Health, UN Doc. E/C.12/2000/4, at para. 27; CESCR, General Comment No. 15 (2002) on the Right to Water, UN Doc. E/C.12/2002/11, at paras. 16(c)-(d); CESCR, General Comment No. 16 (2005) on the Equal Right of Men and Women to the Enjoyment of all Economic, Social and Cultural Rights, UN Doc. E/C.12/2005/4, at para. 28; CESCR, General Comment No. 21 (2009) on the Right of Everyone to Take Part in Cultural Life, UN Doc. E/C.12/GC/21, at paras. 3, 15(b), 36, 49(d), and 50(c); and CESCR, General Comment No. 24 (2017) on State Obligations under the International Covenant on Economic, Social and Cultural Rights in the context of business activities, UN Doc. E/C.12/GC/24, at para. 8.</w:t>
      </w:r>
    </w:p>
  </w:endnote>
  <w:endnote w:id="6">
    <w:p w14:paraId="4405CCC4" w14:textId="77777777" w:rsidR="00023EB2" w:rsidRPr="00D048A6" w:rsidRDefault="00023EB2" w:rsidP="00D048A6">
      <w:pPr>
        <w:spacing w:after="0" w:line="240" w:lineRule="auto"/>
        <w:rPr>
          <w:rFonts w:ascii="Times New Roman" w:hAnsi="Times New Roman" w:cs="Times New Roman"/>
          <w:color w:val="000000" w:themeColor="text1"/>
          <w:sz w:val="20"/>
          <w:szCs w:val="20"/>
        </w:rPr>
      </w:pPr>
      <w:r w:rsidRPr="00D048A6">
        <w:rPr>
          <w:rStyle w:val="EndnoteReference"/>
          <w:rFonts w:ascii="Times New Roman" w:hAnsi="Times New Roman" w:cs="Times New Roman"/>
          <w:color w:val="000000" w:themeColor="text1"/>
          <w:sz w:val="20"/>
          <w:szCs w:val="20"/>
        </w:rPr>
        <w:endnoteRef/>
      </w:r>
      <w:r w:rsidRPr="00D048A6">
        <w:rPr>
          <w:rFonts w:ascii="Times New Roman" w:hAnsi="Times New Roman" w:cs="Times New Roman"/>
          <w:color w:val="000000" w:themeColor="text1"/>
          <w:sz w:val="20"/>
          <w:szCs w:val="20"/>
        </w:rPr>
        <w:t xml:space="preserve"> The 2018 United Nations Declaration on the Rights of Peasants and other people working in rural areas includes numerous specific references to land tenure, gender equality in access to land and resources, and the rights of indigenous peoples and customary communities U.N.G.A.,U.N. Declaration on the Rights of Peasants and Other People Working in Rural Areas, U.N. Doc. A/C.3/73/L.30, (Oct. 30, 2018), at Art. 7(3), Art. 17(3), Art. 4(1-2), Art. 2(3); the CESCR Committee’s work dovetails with the</w:t>
      </w:r>
      <w:r w:rsidRPr="00D048A6">
        <w:rPr>
          <w:rStyle w:val="Hyperlink"/>
          <w:rFonts w:ascii="Times New Roman" w:hAnsi="Times New Roman" w:cs="Times New Roman"/>
          <w:color w:val="000000" w:themeColor="text1"/>
          <w:sz w:val="20"/>
          <w:szCs w:val="20"/>
        </w:rPr>
        <w:t xml:space="preserve"> standard</w:t>
      </w:r>
      <w:r w:rsidRPr="00D048A6">
        <w:rPr>
          <w:rFonts w:ascii="Times New Roman" w:hAnsi="Times New Roman" w:cs="Times New Roman"/>
          <w:color w:val="000000" w:themeColor="text1"/>
          <w:sz w:val="20"/>
          <w:szCs w:val="20"/>
        </w:rPr>
        <w:t xml:space="preserve"> set by the Committee for the Elimination of Discrimination Against Women (</w:t>
      </w:r>
      <w:r w:rsidRPr="00D048A6">
        <w:rPr>
          <w:rStyle w:val="Hyperlink"/>
          <w:rFonts w:ascii="Times New Roman" w:hAnsi="Times New Roman" w:cs="Times New Roman"/>
          <w:color w:val="000000" w:themeColor="text1"/>
          <w:sz w:val="20"/>
          <w:szCs w:val="20"/>
        </w:rPr>
        <w:t>CEDAW</w:t>
      </w:r>
      <w:r w:rsidRPr="00D048A6">
        <w:rPr>
          <w:rFonts w:ascii="Times New Roman" w:hAnsi="Times New Roman" w:cs="Times New Roman"/>
          <w:color w:val="000000" w:themeColor="text1"/>
          <w:sz w:val="20"/>
          <w:szCs w:val="20"/>
        </w:rPr>
        <w:t xml:space="preserve">), explicitly declaring “Rural women’s rights to land and natural resources to be fundamental human rights” (CEDAW General Recommendation No. 34, at para 56). </w:t>
      </w:r>
    </w:p>
    <w:p w14:paraId="2D8D48AE" w14:textId="77777777" w:rsidR="00023EB2" w:rsidRPr="00D048A6" w:rsidRDefault="00023EB2" w:rsidP="00D048A6">
      <w:pPr>
        <w:spacing w:after="0" w:line="240" w:lineRule="auto"/>
        <w:rPr>
          <w:rFonts w:ascii="Times New Roman" w:hAnsi="Times New Roman" w:cs="Times New Roman"/>
          <w:color w:val="000000" w:themeColor="text1"/>
          <w:sz w:val="20"/>
          <w:szCs w:val="20"/>
        </w:rPr>
      </w:pPr>
      <w:r w:rsidRPr="00D048A6">
        <w:rPr>
          <w:rFonts w:ascii="Times New Roman" w:hAnsi="Times New Roman" w:cs="Times New Roman"/>
          <w:color w:val="000000" w:themeColor="text1"/>
          <w:sz w:val="20"/>
          <w:szCs w:val="20"/>
        </w:rPr>
        <w:t xml:space="preserve">Human rights bodies have also issued </w:t>
      </w:r>
      <w:r w:rsidRPr="00D048A6">
        <w:rPr>
          <w:rStyle w:val="Hyperlink"/>
          <w:rFonts w:ascii="Times New Roman" w:hAnsi="Times New Roman" w:cs="Times New Roman"/>
          <w:color w:val="000000" w:themeColor="text1"/>
          <w:sz w:val="20"/>
          <w:szCs w:val="20"/>
        </w:rPr>
        <w:t>survey reports on the right to land</w:t>
      </w:r>
      <w:r w:rsidRPr="00D048A6">
        <w:rPr>
          <w:rFonts w:ascii="Times New Roman" w:hAnsi="Times New Roman" w:cs="Times New Roman"/>
          <w:color w:val="000000" w:themeColor="text1"/>
          <w:sz w:val="20"/>
          <w:szCs w:val="20"/>
        </w:rPr>
        <w:t>, including the Office of the High Commissioner for Human Rights (</w:t>
      </w:r>
      <w:r w:rsidRPr="00D048A6">
        <w:rPr>
          <w:rFonts w:ascii="Times New Roman" w:hAnsi="Times New Roman" w:cs="Times New Roman"/>
          <w:i/>
          <w:color w:val="000000" w:themeColor="text1"/>
          <w:sz w:val="20"/>
          <w:szCs w:val="20"/>
        </w:rPr>
        <w:t>see</w:t>
      </w:r>
      <w:r w:rsidRPr="00D048A6">
        <w:rPr>
          <w:rFonts w:ascii="Times New Roman" w:hAnsi="Times New Roman" w:cs="Times New Roman"/>
          <w:color w:val="000000" w:themeColor="text1"/>
          <w:sz w:val="20"/>
          <w:szCs w:val="20"/>
        </w:rPr>
        <w:t xml:space="preserve"> HR/Pub/13/04 and HR/PUB/15/5/Add.1, and E/2014/86), and UN Women, on </w:t>
      </w:r>
      <w:r w:rsidRPr="00D048A6">
        <w:rPr>
          <w:rStyle w:val="Hyperlink"/>
          <w:rFonts w:ascii="Times New Roman" w:hAnsi="Times New Roman" w:cs="Times New Roman"/>
          <w:color w:val="000000" w:themeColor="text1"/>
          <w:sz w:val="20"/>
          <w:szCs w:val="20"/>
        </w:rPr>
        <w:t>women’s rights to land and natural resources (</w:t>
      </w:r>
      <w:r w:rsidRPr="00D048A6">
        <w:rPr>
          <w:rFonts w:ascii="Times New Roman" w:hAnsi="Times New Roman" w:cs="Times New Roman"/>
          <w:color w:val="000000" w:themeColor="text1"/>
          <w:sz w:val="20"/>
          <w:szCs w:val="20"/>
        </w:rPr>
        <w:t>HR/Pub/13/04). These standards join longer-standing human rights law implicating land: the United Nations Declaration on the Rights of Indigenous Peoples, the International Labor Organization’s Convention No. 169,</w:t>
      </w:r>
      <w:r w:rsidRPr="00D048A6">
        <w:rPr>
          <w:rStyle w:val="EndnoteReference"/>
          <w:rFonts w:ascii="Times New Roman" w:hAnsi="Times New Roman" w:cs="Times New Roman"/>
          <w:color w:val="000000" w:themeColor="text1"/>
          <w:sz w:val="20"/>
          <w:szCs w:val="20"/>
        </w:rPr>
        <w:t xml:space="preserve"> </w:t>
      </w:r>
      <w:r w:rsidRPr="00D048A6">
        <w:rPr>
          <w:rFonts w:ascii="Times New Roman" w:hAnsi="Times New Roman" w:cs="Times New Roman"/>
          <w:color w:val="000000" w:themeColor="text1"/>
          <w:sz w:val="20"/>
          <w:szCs w:val="20"/>
        </w:rPr>
        <w:t>and the Convention on the Elimination of all forms of Discrimination Against Women, which in addition to specific reference to women’s equal rights to land (Art 14) has issued a host of Concluding Observations relevant to women’s land, housing, and property rights. These hard law developments in international law are complemented and bolstered by a host of soft-law guidance on land at international and regional levels, including the Voluntary Guidelines on the Governance of Tenure (VGGT); the United Nations Guiding Principles on Business and Human Rights,</w:t>
      </w:r>
      <w:r w:rsidRPr="00D048A6">
        <w:rPr>
          <w:rStyle w:val="EndnoteReference"/>
          <w:rFonts w:ascii="Times New Roman" w:hAnsi="Times New Roman" w:cs="Times New Roman"/>
          <w:color w:val="000000" w:themeColor="text1"/>
          <w:sz w:val="20"/>
          <w:szCs w:val="20"/>
        </w:rPr>
        <w:t xml:space="preserve"> </w:t>
      </w:r>
      <w:r w:rsidRPr="00D048A6">
        <w:rPr>
          <w:rFonts w:ascii="Times New Roman" w:hAnsi="Times New Roman" w:cs="Times New Roman"/>
          <w:color w:val="000000" w:themeColor="text1"/>
          <w:sz w:val="20"/>
          <w:szCs w:val="20"/>
        </w:rPr>
        <w:t xml:space="preserve">the New Urban Agenda, and the African Union’s Framework and Guidelines on Land Policy in Africa, and a host of decisions on land rights from regional human rights courts; </w:t>
      </w:r>
      <w:r w:rsidRPr="00D048A6">
        <w:rPr>
          <w:rFonts w:ascii="Times New Roman" w:hAnsi="Times New Roman" w:cs="Times New Roman"/>
          <w:i/>
          <w:iCs/>
          <w:color w:val="000000" w:themeColor="text1"/>
          <w:sz w:val="20"/>
          <w:szCs w:val="20"/>
        </w:rPr>
        <w:t xml:space="preserve">see e.g., </w:t>
      </w:r>
      <w:r w:rsidRPr="00D048A6">
        <w:rPr>
          <w:rFonts w:ascii="Times New Roman" w:hAnsi="Times New Roman" w:cs="Times New Roman"/>
          <w:color w:val="000000" w:themeColor="text1"/>
          <w:sz w:val="20"/>
          <w:szCs w:val="20"/>
        </w:rPr>
        <w:t>Minority Rights, “Legal cases: Land Rights,” available at: https://minorityrights.org/our-work/law-legal-cases-introduction/land-rights/.</w:t>
      </w:r>
    </w:p>
  </w:endnote>
  <w:endnote w:id="7">
    <w:p w14:paraId="057F18CB" w14:textId="77777777" w:rsidR="00DB35B1" w:rsidRPr="006A4B84" w:rsidRDefault="00DB35B1" w:rsidP="00DB35B1">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Rights and Resources Initiative (RRI), Who Owns the World’s Land? A global baseline of formally recognized indigenous and community land rights, September 2015, at 1, available at http://www.rightsandresources.org/wp- content/uploads/GlobalBaseline_web.pdf.</w:t>
      </w:r>
    </w:p>
  </w:endnote>
  <w:endnote w:id="8">
    <w:p w14:paraId="3A0E4741" w14:textId="77777777" w:rsidR="00F636F0" w:rsidRPr="00D048A6" w:rsidRDefault="00F636F0" w:rsidP="00D048A6">
      <w:pPr>
        <w:pStyle w:val="EndnoteText"/>
      </w:pPr>
      <w:r w:rsidRPr="00D048A6">
        <w:rPr>
          <w:rStyle w:val="EndnoteReference"/>
        </w:rPr>
        <w:endnoteRef/>
      </w:r>
      <w:r w:rsidRPr="00D048A6">
        <w:t xml:space="preserve"> General comment No. 15 (2002), on water. </w:t>
      </w:r>
    </w:p>
  </w:endnote>
  <w:endnote w:id="9">
    <w:p w14:paraId="50D0594F" w14:textId="77777777" w:rsidR="00F636F0" w:rsidRPr="00D048A6" w:rsidRDefault="00F636F0" w:rsidP="00D048A6">
      <w:pPr>
        <w:pStyle w:val="EndnoteText"/>
      </w:pPr>
      <w:r w:rsidRPr="00D048A6">
        <w:rPr>
          <w:rStyle w:val="EndnoteReference"/>
        </w:rPr>
        <w:endnoteRef/>
      </w:r>
      <w:r w:rsidRPr="00D048A6">
        <w:t xml:space="preserve"> ICESCR, Article 11. </w:t>
      </w:r>
    </w:p>
  </w:endnote>
  <w:endnote w:id="10">
    <w:p w14:paraId="63FF1D97" w14:textId="77777777" w:rsidR="00F636F0" w:rsidRPr="00D048A6" w:rsidRDefault="00F636F0" w:rsidP="00D048A6">
      <w:pPr>
        <w:pStyle w:val="EndnoteText"/>
      </w:pPr>
      <w:r w:rsidRPr="00D048A6">
        <w:rPr>
          <w:rStyle w:val="EndnoteReference"/>
        </w:rPr>
        <w:endnoteRef/>
      </w:r>
      <w:r w:rsidRPr="00D048A6">
        <w:t xml:space="preserve"> General comment No. 15, para. 3. </w:t>
      </w:r>
    </w:p>
  </w:endnote>
  <w:endnote w:id="11">
    <w:p w14:paraId="0A9FD0BC" w14:textId="4DF84938" w:rsidR="00F636F0" w:rsidRPr="00D048A6" w:rsidRDefault="00F636F0" w:rsidP="00D048A6">
      <w:pPr>
        <w:pStyle w:val="EndnoteText"/>
      </w:pPr>
      <w:r w:rsidRPr="00D048A6">
        <w:rPr>
          <w:rStyle w:val="EndnoteReference"/>
        </w:rPr>
        <w:endnoteRef/>
      </w:r>
      <w:r w:rsidRPr="00D048A6">
        <w:t xml:space="preserve"> VGGT, Special Rapporteurs. </w:t>
      </w:r>
    </w:p>
  </w:endnote>
  <w:endnote w:id="12">
    <w:p w14:paraId="7A287B55" w14:textId="259EEFFF" w:rsidR="00F636F0" w:rsidRPr="00D048A6" w:rsidRDefault="00F636F0" w:rsidP="00D048A6">
      <w:pPr>
        <w:pStyle w:val="EndnoteText"/>
      </w:pPr>
      <w:r w:rsidRPr="00D048A6">
        <w:rPr>
          <w:rStyle w:val="EndnoteReference"/>
        </w:rPr>
        <w:endnoteRef/>
      </w:r>
      <w:r w:rsidRPr="00D048A6">
        <w:t xml:space="preserve"> Freestanding: CEDAW General Rec 34 – rural women; implicit: CESCR, UNDROP, VGGT, others. </w:t>
      </w:r>
    </w:p>
  </w:endnote>
  <w:endnote w:id="13">
    <w:p w14:paraId="256CB7BF" w14:textId="330BF533" w:rsidR="00F636F0" w:rsidRPr="00D048A6" w:rsidRDefault="00F636F0" w:rsidP="00D048A6">
      <w:pPr>
        <w:pStyle w:val="EndnoteText"/>
      </w:pPr>
      <w:r w:rsidRPr="00D048A6">
        <w:rPr>
          <w:rStyle w:val="EndnoteReference"/>
        </w:rPr>
        <w:endnoteRef/>
      </w:r>
      <w:r w:rsidRPr="00D048A6">
        <w:t xml:space="preserve"> E/C. 12/1999/5, para. 13 (on right to adequate housing); cited and affirmed in Report of Rapporteur on right to food, A/65/281, 11 Aug. 2010. </w:t>
      </w:r>
    </w:p>
  </w:endnote>
  <w:endnote w:id="14">
    <w:p w14:paraId="1AD59CEE" w14:textId="7B978FA7" w:rsidR="00946065" w:rsidRDefault="00946065" w:rsidP="00946065">
      <w:pPr>
        <w:pStyle w:val="EndnoteText"/>
      </w:pPr>
      <w:r>
        <w:rPr>
          <w:rStyle w:val="EndnoteReference"/>
        </w:rPr>
        <w:endnoteRef/>
      </w:r>
      <w:r>
        <w:t xml:space="preserve"> UNDROP Art. 2(2), 3(3); VGGT 3B Principles of Implementation.</w:t>
      </w:r>
    </w:p>
  </w:endnote>
  <w:endnote w:id="15">
    <w:p w14:paraId="2DADE18E" w14:textId="77777777" w:rsidR="00F1187A" w:rsidRPr="006A4B84" w:rsidRDefault="00F1187A" w:rsidP="00F1187A">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CEDAW, General Recommendation No. 34 on the rights of rural women (2016), UN Doc. CEDAW/C/GC/34. “Globally, and with few exceptions, on every gender and development indicator for which data are available, rural women fare worse than rural men and urban women and rural women disproportionately experience poverty and exclusion. They face systemic discrimination in accessing land and natural resources. They carry most of the unpaid work burden due to stereotyped gender roles, intra- household inequality, and lack of infrastructure and services, including with respect to food production and care work.” Id. at para. 5. </w:t>
      </w:r>
    </w:p>
  </w:endnote>
  <w:endnote w:id="16">
    <w:p w14:paraId="02B2BF09" w14:textId="77777777" w:rsidR="00F1187A" w:rsidRPr="006A4B84" w:rsidRDefault="00F1187A" w:rsidP="00F1187A">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“Women working in rural areas, including peasant, pastoralists, migrants, fisherfolk and landless, also suffer disproportionately from intersecting forms of discrimination.” Id at para. 14.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Id at para. 15 for guidance for States Parties with regard to intersectional discrimination related to gender.</w:t>
      </w:r>
    </w:p>
  </w:endnote>
  <w:endnote w:id="17">
    <w:p w14:paraId="1E576376" w14:textId="77777777" w:rsidR="00F1187A" w:rsidRPr="006A4B84" w:rsidRDefault="00F1187A" w:rsidP="00F1187A">
      <w:pPr>
        <w:pStyle w:val="NormalWeb"/>
        <w:spacing w:before="0" w:beforeAutospacing="0" w:after="0" w:afterAutospacing="0"/>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CEDAW Art 5(a).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endnote>
  <w:endnote w:id="18">
    <w:p w14:paraId="198F5946" w14:textId="77777777" w:rsidR="00F1187A" w:rsidRPr="006A4B84" w:rsidRDefault="00F1187A" w:rsidP="00F1187A">
      <w:pPr>
        <w:pStyle w:val="NormalWeb"/>
        <w:spacing w:before="0" w:beforeAutospacing="0" w:after="0" w:afterAutospacing="0"/>
        <w:rPr>
          <w:rFonts w:ascii="Georgia" w:hAnsi="Georgia"/>
          <w:color w:val="000000" w:themeColor="text1"/>
          <w:sz w:val="18"/>
          <w:szCs w:val="18"/>
          <w:lang w:val="fr-CH"/>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lang w:val="fr-CH"/>
        </w:rPr>
        <w:t xml:space="preserve"> </w:t>
      </w:r>
      <w:r w:rsidRPr="006A4B84">
        <w:rPr>
          <w:rFonts w:ascii="Georgia" w:hAnsi="Georgia"/>
          <w:i/>
          <w:iCs/>
          <w:color w:val="000000" w:themeColor="text1"/>
          <w:sz w:val="18"/>
          <w:szCs w:val="18"/>
          <w:lang w:val="fr-CH"/>
        </w:rPr>
        <w:t xml:space="preserve">See </w:t>
      </w:r>
      <w:r w:rsidRPr="006A4B84">
        <w:rPr>
          <w:rFonts w:ascii="Georgia" w:hAnsi="Georgia"/>
          <w:color w:val="000000" w:themeColor="text1"/>
          <w:sz w:val="18"/>
          <w:szCs w:val="18"/>
          <w:lang w:val="fr-CH"/>
        </w:rPr>
        <w:t>UN Habitat, New Urban Agenda (2017), UN Doc A/RES/71/256, at. paras 35, 49, 72, 95, 96, 107, available at: http://habitat3.org/wp-content/uploads/NUA-English.pdf</w:t>
      </w:r>
    </w:p>
  </w:endnote>
  <w:endnote w:id="19">
    <w:p w14:paraId="5B3AAB0E" w14:textId="77777777" w:rsidR="00937D4B" w:rsidRPr="006A4B84" w:rsidRDefault="00937D4B" w:rsidP="00937D4B">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Landesa, The Law of the Land: Women’s Rights to Land, 2016, infographic available athttps://www.landesa.org/resources/property-not-poverty/</w:t>
      </w:r>
    </w:p>
  </w:endnote>
  <w:endnote w:id="20">
    <w:p w14:paraId="74C11F7C" w14:textId="77777777" w:rsidR="00937D4B" w:rsidRPr="006A4B84" w:rsidRDefault="00937D4B" w:rsidP="00937D4B">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CEDAW General Recommendation No. 34 on the Rights of Rural Women contains comprehensive langauage on women’s rights to land and productive resources under Art. 14 of the Convention on the Elimination of all Forms of Discrimination against Women (UN Doc. </w:t>
      </w:r>
      <w:r w:rsidRPr="006A4B84">
        <w:rPr>
          <w:rStyle w:val="sessionsubtitle"/>
          <w:rFonts w:ascii="Georgia" w:hAnsi="Georgia" w:cstheme="minorHAnsi"/>
          <w:color w:val="000000" w:themeColor="text1"/>
          <w:sz w:val="18"/>
          <w:szCs w:val="18"/>
        </w:rPr>
        <w:t>CEDAW/C/GC/34, 2016)</w:t>
      </w:r>
      <w:r w:rsidRPr="006A4B84">
        <w:rPr>
          <w:rFonts w:ascii="Georgia" w:hAnsi="Georgia" w:cstheme="minorHAnsi"/>
          <w:color w:val="000000" w:themeColor="text1"/>
          <w:sz w:val="18"/>
          <w:szCs w:val="18"/>
        </w:rPr>
        <w:t>, as well as the position paper of the UN Working Group on the issue of discrimination against women in law and in practice on ‘Insecure land rights for women threaten progress on gender equality and sustainable development,’ 1 July 2017.  See also: Food and Agriculture Organization of the United Nations (FAO), ‘Gender and Land Rights:  Understanding Complexities, Adjusting Policies,’ Economic and Social Perspectives Policy Brief 8, 2010.</w:t>
      </w:r>
    </w:p>
  </w:endnote>
  <w:endnote w:id="21">
    <w:p w14:paraId="2FE1CB5D" w14:textId="77777777" w:rsidR="00937D4B" w:rsidRPr="006A4B84" w:rsidRDefault="00937D4B" w:rsidP="00937D4B">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UN-Women/OHCHR, ‘Realizing women’s rights to land and other productive resources,’ 2013.</w:t>
      </w:r>
    </w:p>
  </w:endnote>
  <w:endnote w:id="22">
    <w:p w14:paraId="0443773F" w14:textId="77777777" w:rsidR="00937D4B" w:rsidRPr="006A4B84" w:rsidRDefault="00937D4B" w:rsidP="00937D4B">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w:t>
      </w:r>
      <w:r w:rsidRPr="006A4B84">
        <w:rPr>
          <w:rFonts w:ascii="Georgia" w:hAnsi="Georgia" w:cstheme="minorHAnsi"/>
          <w:noProof w:val="0"/>
          <w:sz w:val="18"/>
          <w:szCs w:val="18"/>
        </w:rPr>
        <w:t xml:space="preserve">Establish women’s right to own, use or otherwise control land on an equal basis with men, and to access necessary resources to do so, and women’s equal inheritance rights, </w:t>
      </w:r>
      <w:r w:rsidRPr="006A4B84">
        <w:rPr>
          <w:rFonts w:ascii="Georgia" w:hAnsi="Georgia" w:cstheme="minorHAnsi"/>
          <w:color w:val="000000" w:themeColor="text1"/>
          <w:sz w:val="18"/>
          <w:szCs w:val="18"/>
        </w:rPr>
        <w:t>UN Committee on Economic, Social and Cultural Rights, General Comment 16, Article 3: the equal right of men and women to the enjoyment of all economic, social and cultural rights (UN Doc. E/C.12/2005/3, 2005);</w:t>
      </w:r>
      <w:r w:rsidRPr="006A4B84">
        <w:rPr>
          <w:rFonts w:ascii="Georgia" w:hAnsi="Georgia" w:cstheme="minorHAnsi"/>
          <w:noProof w:val="0"/>
          <w:sz w:val="18"/>
          <w:szCs w:val="18"/>
        </w:rPr>
        <w:t xml:space="preserve"> Recognize that the capacity of women to own property, including land, may not be restricted on the basis of marital status or any other discriminatory ground, </w:t>
      </w:r>
      <w:r w:rsidRPr="006A4B84">
        <w:rPr>
          <w:rFonts w:ascii="Georgia" w:hAnsi="Georgia" w:cstheme="minorHAnsi"/>
          <w:color w:val="000000" w:themeColor="text1"/>
          <w:sz w:val="18"/>
          <w:szCs w:val="18"/>
        </w:rPr>
        <w:t>UN Human Rights Committee</w:t>
      </w:r>
      <w:r w:rsidRPr="006A4B84">
        <w:rPr>
          <w:rStyle w:val="FootnoteTextCharCharChar1"/>
          <w:rFonts w:ascii="Georgia" w:hAnsi="Georgia" w:cstheme="minorHAnsi"/>
          <w:color w:val="000000" w:themeColor="text1"/>
          <w:sz w:val="18"/>
          <w:szCs w:val="18"/>
        </w:rPr>
        <w:t xml:space="preserve">, General Comment 28 on the Equality of Rights between Men and Women, Article 3 (UN Doc. CCPR/C/21/Rev.1/Add.10, 2000); </w:t>
      </w:r>
      <w:r w:rsidRPr="006A4B84">
        <w:rPr>
          <w:rFonts w:ascii="Georgia" w:hAnsi="Georgia" w:cstheme="minorHAnsi"/>
          <w:noProof w:val="0"/>
          <w:sz w:val="18"/>
          <w:szCs w:val="18"/>
        </w:rPr>
        <w:t xml:space="preserve">prevent discrimination in access to food or resources for food, including by guaranteeing full and equal access to economic resources, particularly for women, including the right to inheritance and the ownership of land, </w:t>
      </w:r>
      <w:r w:rsidRPr="006A4B84">
        <w:rPr>
          <w:rFonts w:ascii="Georgia" w:hAnsi="Georgia" w:cstheme="minorHAnsi"/>
          <w:color w:val="000000" w:themeColor="text1"/>
          <w:sz w:val="18"/>
          <w:szCs w:val="18"/>
        </w:rPr>
        <w:t xml:space="preserve">UN Committee on Economic, Social and Cultural Rights, General Comment 12, Right to adequate food (UN Doc. E/C.12/1999/5, 1999); and </w:t>
      </w:r>
      <w:r w:rsidRPr="006A4B84">
        <w:rPr>
          <w:rFonts w:ascii="Georgia" w:hAnsi="Georgia" w:cstheme="minorHAnsi"/>
          <w:noProof w:val="0"/>
          <w:sz w:val="18"/>
          <w:szCs w:val="18"/>
        </w:rPr>
        <w:t xml:space="preserve">address the disproportionate and negative impact of extractive industries and large scale land acquisitions on women’s land rights, </w:t>
      </w:r>
      <w:r w:rsidRPr="006A4B84">
        <w:rPr>
          <w:rFonts w:ascii="Georgia" w:hAnsi="Georgia"/>
          <w:color w:val="000000" w:themeColor="text1"/>
          <w:sz w:val="18"/>
          <w:szCs w:val="18"/>
        </w:rPr>
        <w:t xml:space="preserve">CESCR General Comment No. 24 (2017) on State Obligations under the International Covenant on Economic, Social and Cultural Rights in the context of business activities, UN Doc. E/C.12/GC/24. </w:t>
      </w:r>
      <w:r w:rsidRPr="006A4B84">
        <w:rPr>
          <w:rFonts w:ascii="Georgia" w:hAnsi="Georgia" w:cstheme="minorHAnsi"/>
          <w:color w:val="000000" w:themeColor="text1"/>
          <w:sz w:val="18"/>
          <w:szCs w:val="18"/>
        </w:rPr>
        <w:t>“…among the groups that are often disproportionately affected by the adverse impact of business activities are women, children, [and] indigenous peoples, particularly in relation to the development, utilization or exploitation of lands and natural resources…”</w:t>
      </w:r>
      <w:r w:rsidRPr="006A4B84">
        <w:rPr>
          <w:rFonts w:ascii="Georgia" w:hAnsi="Georgia" w:cstheme="minorHAnsi"/>
          <w:b/>
          <w:i/>
          <w:color w:val="000000" w:themeColor="text1"/>
          <w:sz w:val="18"/>
          <w:szCs w:val="18"/>
        </w:rPr>
        <w:t xml:space="preserve"> </w:t>
      </w:r>
      <w:r w:rsidRPr="006A4B84">
        <w:rPr>
          <w:rFonts w:ascii="Georgia" w:hAnsi="Georgia" w:cstheme="minorHAnsi"/>
          <w:bCs/>
          <w:iCs/>
          <w:color w:val="000000" w:themeColor="text1"/>
          <w:sz w:val="18"/>
          <w:szCs w:val="18"/>
        </w:rPr>
        <w:t xml:space="preserve">Id </w:t>
      </w:r>
      <w:r w:rsidRPr="006A4B84">
        <w:rPr>
          <w:rFonts w:ascii="Georgia" w:hAnsi="Georgia"/>
          <w:color w:val="000000" w:themeColor="text1"/>
          <w:sz w:val="18"/>
          <w:szCs w:val="18"/>
        </w:rPr>
        <w:t xml:space="preserve">at para. 8. </w:t>
      </w:r>
      <w:r w:rsidRPr="006A4B84">
        <w:rPr>
          <w:rFonts w:ascii="Georgia" w:hAnsi="Georgia" w:cstheme="minorHAnsi"/>
          <w:b/>
          <w:i/>
          <w:color w:val="000000" w:themeColor="text1"/>
          <w:sz w:val="18"/>
          <w:szCs w:val="18"/>
        </w:rPr>
        <w:t xml:space="preserve"> </w:t>
      </w:r>
      <w:r w:rsidRPr="006A4B84">
        <w:rPr>
          <w:rFonts w:ascii="Georgia" w:hAnsi="Georgia" w:cstheme="minorHAnsi"/>
          <w:bCs/>
          <w:i/>
          <w:color w:val="000000" w:themeColor="text1"/>
          <w:sz w:val="18"/>
          <w:szCs w:val="18"/>
        </w:rPr>
        <w:t xml:space="preserve">See also, </w:t>
      </w:r>
      <w:r w:rsidRPr="006A4B84">
        <w:rPr>
          <w:rFonts w:ascii="Georgia" w:hAnsi="Georgia" w:cstheme="minorHAnsi"/>
          <w:color w:val="000000" w:themeColor="text1"/>
          <w:sz w:val="18"/>
          <w:szCs w:val="18"/>
        </w:rPr>
        <w:t xml:space="preserve">CESCR Conclusing Observations on Uganda, 2015; </w:t>
      </w:r>
      <w:r w:rsidRPr="006A4B84">
        <w:rPr>
          <w:rFonts w:ascii="Georgia" w:hAnsi="Georgia" w:cstheme="minorHAnsi"/>
          <w:i/>
          <w:iCs/>
          <w:color w:val="000000" w:themeColor="text1"/>
          <w:sz w:val="18"/>
          <w:szCs w:val="18"/>
        </w:rPr>
        <w:t xml:space="preserve">and </w:t>
      </w:r>
      <w:r w:rsidRPr="006A4B84">
        <w:rPr>
          <w:rFonts w:ascii="Georgia" w:hAnsi="Georgia"/>
          <w:color w:val="000000" w:themeColor="text1"/>
          <w:sz w:val="18"/>
          <w:szCs w:val="18"/>
        </w:rPr>
        <w:t xml:space="preserve">Landesa, </w:t>
      </w:r>
      <w:r w:rsidRPr="006A4B84">
        <w:rPr>
          <w:rFonts w:ascii="Georgia" w:hAnsi="Georgia"/>
          <w:i/>
          <w:color w:val="000000" w:themeColor="text1"/>
          <w:sz w:val="18"/>
          <w:szCs w:val="18"/>
        </w:rPr>
        <w:t xml:space="preserve">What do we know about gender and large-scale land acquisitions? </w:t>
      </w:r>
      <w:r w:rsidRPr="006A4B84">
        <w:rPr>
          <w:rFonts w:ascii="Georgia" w:hAnsi="Georgia"/>
          <w:color w:val="000000" w:themeColor="text1"/>
          <w:sz w:val="18"/>
          <w:szCs w:val="18"/>
        </w:rPr>
        <w:t>(2016), hereinafter “Gender LSLA,” available at: https://landportal.org/blog-post/2016/02/what-do-we-know-about-gender-and-large-scale-land-acquisitions</w:t>
      </w:r>
    </w:p>
  </w:endnote>
  <w:endnote w:id="23">
    <w:p w14:paraId="2B4251CD" w14:textId="77777777" w:rsidR="00937D4B" w:rsidRPr="006A4B84" w:rsidRDefault="00937D4B" w:rsidP="00937D4B">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See</w:t>
      </w:r>
      <w:r w:rsidRPr="006A4B84">
        <w:rPr>
          <w:rFonts w:ascii="Georgia" w:hAnsi="Georgia"/>
          <w:color w:val="000000" w:themeColor="text1"/>
          <w:sz w:val="18"/>
          <w:szCs w:val="18"/>
        </w:rPr>
        <w:t xml:space="preserve"> CEDAW/C/GC/34 (supra note 12, 13) at para 14, 15 for guidance on gender and social inclusion and intersectionality.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Landesa (2018), Responsible Investments in Property and Land: Vulnerable Groups Primer, at 4, available at: http://ripl.stage.s3.amazonaws.com/uploads/primer_link/file/25/RIPL_Vulnerable_Groups_Primer_-_Final.pdf</w:t>
      </w:r>
    </w:p>
  </w:endnote>
  <w:endnote w:id="24">
    <w:p w14:paraId="74921032" w14:textId="77777777" w:rsidR="00F636F0" w:rsidRPr="00D048A6" w:rsidRDefault="00F636F0" w:rsidP="00D048A6">
      <w:pPr>
        <w:pStyle w:val="EndnoteText"/>
      </w:pPr>
      <w:r w:rsidRPr="00D048A6">
        <w:rPr>
          <w:rStyle w:val="EndnoteReference"/>
        </w:rPr>
        <w:endnoteRef/>
      </w:r>
      <w:r w:rsidRPr="00D048A6">
        <w:t xml:space="preserve"> Youth Land Rights – Landesa Fact Sheet, available at: https://www.landesa.org/wp-content/uploads/Youth-Issue-Brief-FINAL.pdf</w:t>
      </w:r>
    </w:p>
  </w:endnote>
  <w:endnote w:id="25">
    <w:p w14:paraId="22844FDE" w14:textId="77777777" w:rsidR="00F636F0" w:rsidRPr="00D048A6" w:rsidRDefault="00F636F0" w:rsidP="00D048A6">
      <w:pPr>
        <w:pStyle w:val="EndnoteText"/>
      </w:pPr>
      <w:r w:rsidRPr="00D048A6">
        <w:rPr>
          <w:rStyle w:val="EndnoteReference"/>
        </w:rPr>
        <w:endnoteRef/>
      </w:r>
      <w:r w:rsidRPr="00D048A6">
        <w:t xml:space="preserve"> YouthPower, </w:t>
      </w:r>
      <w:hyperlink r:id="rId1">
        <w:r w:rsidRPr="00D048A6">
          <w:rPr>
            <w:rStyle w:val="Hyperlink"/>
          </w:rPr>
          <w:t>https://www.youthpower.org/youthpower-issues/topics/what-works-youth-and-agriculture</w:t>
        </w:r>
      </w:hyperlink>
      <w:r w:rsidRPr="00D048A6">
        <w:t xml:space="preserve"> </w:t>
      </w:r>
    </w:p>
  </w:endnote>
  <w:endnote w:id="26">
    <w:p w14:paraId="26A90F04" w14:textId="7EE6729F" w:rsidR="001E0CA0" w:rsidRDefault="001E0CA0">
      <w:pPr>
        <w:pStyle w:val="EndnoteText"/>
      </w:pPr>
      <w:r>
        <w:rPr>
          <w:rStyle w:val="EndnoteReference"/>
        </w:rPr>
        <w:endnoteRef/>
      </w:r>
      <w:r>
        <w:t xml:space="preserve"> </w:t>
      </w:r>
      <w:r>
        <w:rPr>
          <w:i/>
          <w:iCs/>
        </w:rPr>
        <w:t xml:space="preserve">See e.g., </w:t>
      </w:r>
      <w:r>
        <w:t xml:space="preserve">Namati (2019). Gendered Aspects of Land Rights in Myanmar II: Evidence from Paralegal Casework, at 3-4, available at: </w:t>
      </w:r>
      <w:hyperlink r:id="rId2" w:history="1">
        <w:r w:rsidRPr="00FD1836">
          <w:rPr>
            <w:rStyle w:val="Hyperlink"/>
          </w:rPr>
          <w:t>https://namati.org/wp-content/uploads/2019/07/Gender-Brief_English_Online-Version-.pdf</w:t>
        </w:r>
      </w:hyperlink>
      <w:r>
        <w:t xml:space="preserve"> “The move towards land registration [in Myanmar] in its current state is formalizing a gender imbalance in land rights that could have serious and far-reaching effects on the socioeconomic status of women for decades to come.”</w:t>
      </w:r>
    </w:p>
  </w:endnote>
  <w:endnote w:id="27">
    <w:p w14:paraId="5E6D80CE" w14:textId="77777777" w:rsidR="00946065" w:rsidRPr="006A4B84" w:rsidRDefault="00946065" w:rsidP="00946065">
      <w:pPr>
        <w:rPr>
          <w:rFonts w:ascii="Georgia" w:eastAsia="Times New Roman"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eastAsia="Times New Roman" w:hAnsi="Georgia" w:cs="Tahoma"/>
          <w:color w:val="000000" w:themeColor="text1"/>
          <w:sz w:val="18"/>
          <w:szCs w:val="18"/>
          <w:shd w:val="clear" w:color="auto" w:fill="FFFFFF"/>
        </w:rPr>
        <w:t>Only 24.3 per cent of all national parliamentarians were women as of February 2019…” UN Women, Facts and Figures, available at: https://www.unwomen.org/en/what-we-do/leadership-and-political-participation/facts-and-figures</w:t>
      </w:r>
    </w:p>
  </w:endnote>
  <w:endnote w:id="28">
    <w:p w14:paraId="29F345DD" w14:textId="77777777" w:rsidR="00946065" w:rsidRPr="006A4B84" w:rsidRDefault="00946065" w:rsidP="00946065">
      <w:pPr>
        <w:pStyle w:val="EndnoteText"/>
        <w:rPr>
          <w:rFonts w:ascii="Georgia" w:hAnsi="Georgia"/>
          <w:i/>
          <w:iCs/>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e.g., </w:t>
      </w:r>
      <w:r w:rsidRPr="006A4B84">
        <w:rPr>
          <w:rFonts w:ascii="Georgia" w:hAnsi="Georgia"/>
          <w:color w:val="000000" w:themeColor="text1"/>
          <w:sz w:val="18"/>
          <w:szCs w:val="18"/>
        </w:rPr>
        <w:t xml:space="preserve">UNFCCC (2019). ‘Gender Equality on the Rise at UN Climate Meetings,’ noting that despite marked progress under the UNFCCC’s Gender Action Plan, the number of women leading national delegations is less than 30%. </w:t>
      </w:r>
      <w:hyperlink r:id="rId3" w:history="1">
        <w:r w:rsidRPr="006A4B84">
          <w:rPr>
            <w:rStyle w:val="Hyperlink"/>
            <w:rFonts w:ascii="Georgia" w:hAnsi="Georgia"/>
            <w:color w:val="000000" w:themeColor="text1"/>
            <w:sz w:val="18"/>
            <w:szCs w:val="18"/>
          </w:rPr>
          <w:t>https://unfccc.int/news/gender-equality-on-the-rise-at-un-climate-meetings</w:t>
        </w:r>
      </w:hyperlink>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 xml:space="preserve">Elizabeth Daley, et al. (2013). </w:t>
      </w:r>
      <w:r w:rsidRPr="006A4B84">
        <w:rPr>
          <w:rFonts w:ascii="Georgia" w:hAnsi="Georgia"/>
          <w:i/>
          <w:color w:val="000000" w:themeColor="text1"/>
          <w:sz w:val="18"/>
          <w:szCs w:val="18"/>
        </w:rPr>
        <w:t xml:space="preserve">Women’s Land Rights and Gender Justice in Land Governance: pillars in the promotion and protection of women’s human rights in rural areas, </w:t>
      </w:r>
      <w:r w:rsidRPr="006A4B84">
        <w:rPr>
          <w:rFonts w:ascii="Georgia" w:hAnsi="Georgia"/>
          <w:color w:val="000000" w:themeColor="text1"/>
          <w:sz w:val="18"/>
          <w:szCs w:val="18"/>
        </w:rPr>
        <w:t xml:space="preserve">International Land Coalition, at 10, hereinafter ILC, available at: </w:t>
      </w:r>
      <w:hyperlink r:id="rId4" w:history="1">
        <w:r w:rsidRPr="006A4B84">
          <w:rPr>
            <w:rStyle w:val="Hyperlink"/>
            <w:rFonts w:ascii="Georgia" w:hAnsi="Georgia"/>
            <w:color w:val="000000" w:themeColor="text1"/>
            <w:sz w:val="18"/>
            <w:szCs w:val="18"/>
          </w:rPr>
          <w:t>https://www.ohchr.org/Documents/HRBodies/CEDAW/RuralWomen/InternationalLandCoalition.pdf</w:t>
        </w:r>
      </w:hyperlink>
      <w:r w:rsidRPr="006A4B84">
        <w:rPr>
          <w:rFonts w:ascii="Georgia" w:hAnsi="Georgia"/>
          <w:color w:val="000000" w:themeColor="text1"/>
          <w:sz w:val="18"/>
          <w:szCs w:val="18"/>
        </w:rPr>
        <w:t xml:space="preserve">; and Landesa (2012). </w:t>
      </w:r>
      <w:r w:rsidRPr="006A4B84">
        <w:rPr>
          <w:rFonts w:ascii="Georgia" w:hAnsi="Georgia"/>
          <w:i/>
          <w:color w:val="000000" w:themeColor="text1"/>
          <w:sz w:val="18"/>
          <w:szCs w:val="18"/>
        </w:rPr>
        <w:t xml:space="preserve">Women’s Secure Rights to Land: Benefits, Barriers, and Best Practices. Available at: </w:t>
      </w:r>
      <w:r w:rsidRPr="006A4B84">
        <w:rPr>
          <w:rFonts w:ascii="Georgia" w:hAnsi="Georgia"/>
          <w:color w:val="000000" w:themeColor="text1"/>
          <w:sz w:val="18"/>
          <w:szCs w:val="18"/>
        </w:rPr>
        <w:t>https://www.landesa.org/wp-content/uploads/Landesa-Women-and-Land-Issue-Brief.pdf</w:t>
      </w:r>
    </w:p>
  </w:endnote>
  <w:endnote w:id="29">
    <w:p w14:paraId="74CBFFC1" w14:textId="77777777" w:rsidR="00946065" w:rsidRPr="006A4B84" w:rsidRDefault="00946065" w:rsidP="00946065">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Women Deliver, ‘Strengthen Women’s Political Participation and Decision-Making Power,’ https://womendeliver.org/investment/strengthen-womens-political-participation-decision-making-power/</w:t>
      </w:r>
    </w:p>
  </w:endnote>
  <w:endnote w:id="30">
    <w:p w14:paraId="55005588" w14:textId="33C7DC99" w:rsidR="00F636F0" w:rsidRPr="00D048A6" w:rsidRDefault="00F636F0" w:rsidP="00D048A6">
      <w:pPr>
        <w:pStyle w:val="EndnoteText"/>
      </w:pPr>
      <w:r w:rsidRPr="00D048A6">
        <w:rPr>
          <w:rStyle w:val="EndnoteReference"/>
        </w:rPr>
        <w:endnoteRef/>
      </w:r>
      <w:r w:rsidRPr="00D048A6">
        <w:t xml:space="preserve"> See, e.g. Gi-ESCR, ”CESCR at 50”</w:t>
      </w:r>
    </w:p>
  </w:endnote>
  <w:endnote w:id="31">
    <w:p w14:paraId="44537FEB" w14:textId="156665D7" w:rsidR="00F636F0" w:rsidRPr="00D048A6" w:rsidRDefault="00F636F0" w:rsidP="00D048A6">
      <w:pPr>
        <w:pStyle w:val="EndnoteText"/>
      </w:pPr>
      <w:r w:rsidRPr="00D048A6">
        <w:rPr>
          <w:rStyle w:val="EndnoteReference"/>
        </w:rPr>
        <w:endnoteRef/>
      </w:r>
      <w:r w:rsidRPr="00D048A6">
        <w:t xml:space="preserve"> E.g. High Commissioner/UN Women Report on Right to Land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0709076"/>
      <w:docPartObj>
        <w:docPartGallery w:val="Page Numbers (Bottom of Page)"/>
        <w:docPartUnique/>
      </w:docPartObj>
    </w:sdtPr>
    <w:sdtEndPr>
      <w:rPr>
        <w:rStyle w:val="PageNumber"/>
      </w:rPr>
    </w:sdtEndPr>
    <w:sdtContent>
      <w:p w14:paraId="71608395" w14:textId="37DC4DF1" w:rsidR="006E47A6" w:rsidRDefault="006E47A6" w:rsidP="00FD1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819C0" w14:textId="77777777" w:rsidR="006E47A6" w:rsidRDefault="006E47A6" w:rsidP="006E4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6084766"/>
      <w:docPartObj>
        <w:docPartGallery w:val="Page Numbers (Bottom of Page)"/>
        <w:docPartUnique/>
      </w:docPartObj>
    </w:sdtPr>
    <w:sdtEndPr>
      <w:rPr>
        <w:rStyle w:val="PageNumber"/>
      </w:rPr>
    </w:sdtEndPr>
    <w:sdtContent>
      <w:p w14:paraId="78E51BFB" w14:textId="721BEFC3" w:rsidR="006E47A6" w:rsidRDefault="006E47A6" w:rsidP="00FD1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3A64">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2348F74A" w14:paraId="2A298260" w14:textId="77777777" w:rsidTr="2348F74A">
      <w:tc>
        <w:tcPr>
          <w:tcW w:w="3120" w:type="dxa"/>
        </w:tcPr>
        <w:p w14:paraId="15AEE23C" w14:textId="42CC14FB" w:rsidR="2348F74A" w:rsidRDefault="2348F74A" w:rsidP="006E47A6">
          <w:pPr>
            <w:pStyle w:val="Header"/>
            <w:ind w:left="-115" w:right="360"/>
          </w:pPr>
        </w:p>
      </w:tc>
      <w:tc>
        <w:tcPr>
          <w:tcW w:w="3120" w:type="dxa"/>
        </w:tcPr>
        <w:p w14:paraId="7589EFE7" w14:textId="571CACCC" w:rsidR="2348F74A" w:rsidRDefault="2348F74A" w:rsidP="2348F74A">
          <w:pPr>
            <w:pStyle w:val="Header"/>
            <w:jc w:val="center"/>
          </w:pPr>
        </w:p>
      </w:tc>
      <w:tc>
        <w:tcPr>
          <w:tcW w:w="3120" w:type="dxa"/>
        </w:tcPr>
        <w:p w14:paraId="04B822A5" w14:textId="23AE1C4E" w:rsidR="2348F74A" w:rsidRDefault="2348F74A" w:rsidP="2348F74A">
          <w:pPr>
            <w:pStyle w:val="Header"/>
            <w:ind w:right="-115"/>
            <w:jc w:val="right"/>
          </w:pPr>
        </w:p>
      </w:tc>
    </w:tr>
  </w:tbl>
  <w:p w14:paraId="515C90BC" w14:textId="68FDC82B" w:rsidR="2348F74A" w:rsidRDefault="2348F74A" w:rsidP="2348F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3374C" w14:textId="77777777" w:rsidR="006C3B1F" w:rsidRDefault="006C3B1F">
      <w:pPr>
        <w:spacing w:after="0" w:line="240" w:lineRule="auto"/>
      </w:pPr>
      <w:r>
        <w:separator/>
      </w:r>
    </w:p>
  </w:footnote>
  <w:footnote w:type="continuationSeparator" w:id="0">
    <w:p w14:paraId="0D19D99C" w14:textId="77777777" w:rsidR="006C3B1F" w:rsidRDefault="006C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348F74A" w14:paraId="5D5531E6" w14:textId="77777777" w:rsidTr="2348F74A">
      <w:tc>
        <w:tcPr>
          <w:tcW w:w="3120" w:type="dxa"/>
        </w:tcPr>
        <w:p w14:paraId="75C2D428" w14:textId="0938AE44" w:rsidR="2348F74A" w:rsidRDefault="2348F74A" w:rsidP="2348F74A">
          <w:pPr>
            <w:pStyle w:val="Header"/>
            <w:ind w:left="-115"/>
          </w:pPr>
        </w:p>
      </w:tc>
      <w:tc>
        <w:tcPr>
          <w:tcW w:w="3120" w:type="dxa"/>
        </w:tcPr>
        <w:p w14:paraId="6137BC2A" w14:textId="58EE2C89" w:rsidR="2348F74A" w:rsidRDefault="2348F74A" w:rsidP="2348F74A">
          <w:pPr>
            <w:pStyle w:val="Header"/>
            <w:jc w:val="center"/>
          </w:pPr>
        </w:p>
      </w:tc>
      <w:tc>
        <w:tcPr>
          <w:tcW w:w="3120" w:type="dxa"/>
        </w:tcPr>
        <w:p w14:paraId="2DFDCBCF" w14:textId="454EE3F4" w:rsidR="2348F74A" w:rsidRDefault="2348F74A" w:rsidP="2348F74A">
          <w:pPr>
            <w:pStyle w:val="Header"/>
            <w:ind w:right="-115"/>
            <w:jc w:val="right"/>
          </w:pPr>
        </w:p>
      </w:tc>
    </w:tr>
  </w:tbl>
  <w:p w14:paraId="6FD92D95" w14:textId="38125B70" w:rsidR="2348F74A" w:rsidRDefault="2348F74A" w:rsidP="2348F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098"/>
    <w:multiLevelType w:val="hybridMultilevel"/>
    <w:tmpl w:val="1DDCC670"/>
    <w:lvl w:ilvl="0" w:tplc="60E46FE6">
      <w:start w:val="1"/>
      <w:numFmt w:val="bullet"/>
      <w:lvlText w:val=""/>
      <w:lvlJc w:val="left"/>
      <w:pPr>
        <w:ind w:left="720" w:hanging="360"/>
      </w:pPr>
      <w:rPr>
        <w:rFonts w:ascii="Symbol" w:hAnsi="Symbol" w:hint="default"/>
      </w:rPr>
    </w:lvl>
    <w:lvl w:ilvl="1" w:tplc="5A04B4DC">
      <w:start w:val="1"/>
      <w:numFmt w:val="bullet"/>
      <w:lvlText w:val="o"/>
      <w:lvlJc w:val="left"/>
      <w:pPr>
        <w:ind w:left="1440" w:hanging="360"/>
      </w:pPr>
      <w:rPr>
        <w:rFonts w:ascii="Courier New" w:hAnsi="Courier New" w:hint="default"/>
      </w:rPr>
    </w:lvl>
    <w:lvl w:ilvl="2" w:tplc="D702E6AE">
      <w:start w:val="1"/>
      <w:numFmt w:val="bullet"/>
      <w:lvlText w:val=""/>
      <w:lvlJc w:val="left"/>
      <w:pPr>
        <w:ind w:left="2160" w:hanging="360"/>
      </w:pPr>
      <w:rPr>
        <w:rFonts w:ascii="Wingdings" w:hAnsi="Wingdings" w:hint="default"/>
      </w:rPr>
    </w:lvl>
    <w:lvl w:ilvl="3" w:tplc="4F0296CE">
      <w:start w:val="1"/>
      <w:numFmt w:val="bullet"/>
      <w:lvlText w:val=""/>
      <w:lvlJc w:val="left"/>
      <w:pPr>
        <w:ind w:left="2880" w:hanging="360"/>
      </w:pPr>
      <w:rPr>
        <w:rFonts w:ascii="Symbol" w:hAnsi="Symbol" w:hint="default"/>
      </w:rPr>
    </w:lvl>
    <w:lvl w:ilvl="4" w:tplc="EF8E9D5C">
      <w:start w:val="1"/>
      <w:numFmt w:val="bullet"/>
      <w:lvlText w:val="o"/>
      <w:lvlJc w:val="left"/>
      <w:pPr>
        <w:ind w:left="3600" w:hanging="360"/>
      </w:pPr>
      <w:rPr>
        <w:rFonts w:ascii="Courier New" w:hAnsi="Courier New" w:hint="default"/>
      </w:rPr>
    </w:lvl>
    <w:lvl w:ilvl="5" w:tplc="5C0813A6">
      <w:start w:val="1"/>
      <w:numFmt w:val="bullet"/>
      <w:lvlText w:val=""/>
      <w:lvlJc w:val="left"/>
      <w:pPr>
        <w:ind w:left="4320" w:hanging="360"/>
      </w:pPr>
      <w:rPr>
        <w:rFonts w:ascii="Wingdings" w:hAnsi="Wingdings" w:hint="default"/>
      </w:rPr>
    </w:lvl>
    <w:lvl w:ilvl="6" w:tplc="26D06B30">
      <w:start w:val="1"/>
      <w:numFmt w:val="bullet"/>
      <w:lvlText w:val=""/>
      <w:lvlJc w:val="left"/>
      <w:pPr>
        <w:ind w:left="5040" w:hanging="360"/>
      </w:pPr>
      <w:rPr>
        <w:rFonts w:ascii="Symbol" w:hAnsi="Symbol" w:hint="default"/>
      </w:rPr>
    </w:lvl>
    <w:lvl w:ilvl="7" w:tplc="7FF8C372">
      <w:start w:val="1"/>
      <w:numFmt w:val="bullet"/>
      <w:lvlText w:val="o"/>
      <w:lvlJc w:val="left"/>
      <w:pPr>
        <w:ind w:left="5760" w:hanging="360"/>
      </w:pPr>
      <w:rPr>
        <w:rFonts w:ascii="Courier New" w:hAnsi="Courier New" w:hint="default"/>
      </w:rPr>
    </w:lvl>
    <w:lvl w:ilvl="8" w:tplc="8C10D9F4">
      <w:start w:val="1"/>
      <w:numFmt w:val="bullet"/>
      <w:lvlText w:val=""/>
      <w:lvlJc w:val="left"/>
      <w:pPr>
        <w:ind w:left="6480" w:hanging="360"/>
      </w:pPr>
      <w:rPr>
        <w:rFonts w:ascii="Wingdings" w:hAnsi="Wingdings" w:hint="default"/>
      </w:rPr>
    </w:lvl>
  </w:abstractNum>
  <w:abstractNum w:abstractNumId="1" w15:restartNumberingAfterBreak="0">
    <w:nsid w:val="0FBB2A4A"/>
    <w:multiLevelType w:val="hybridMultilevel"/>
    <w:tmpl w:val="2340D840"/>
    <w:lvl w:ilvl="0" w:tplc="A9DA8A70">
      <w:start w:val="1"/>
      <w:numFmt w:val="bullet"/>
      <w:lvlText w:val=""/>
      <w:lvlJc w:val="left"/>
      <w:pPr>
        <w:ind w:left="720" w:hanging="360"/>
      </w:pPr>
      <w:rPr>
        <w:rFonts w:ascii="Symbol" w:hAnsi="Symbol" w:hint="default"/>
      </w:rPr>
    </w:lvl>
    <w:lvl w:ilvl="1" w:tplc="93FE1804">
      <w:start w:val="1"/>
      <w:numFmt w:val="bullet"/>
      <w:lvlText w:val="o"/>
      <w:lvlJc w:val="left"/>
      <w:pPr>
        <w:ind w:left="1440" w:hanging="360"/>
      </w:pPr>
      <w:rPr>
        <w:rFonts w:ascii="Courier New" w:hAnsi="Courier New" w:hint="default"/>
      </w:rPr>
    </w:lvl>
    <w:lvl w:ilvl="2" w:tplc="C5D6558E">
      <w:start w:val="1"/>
      <w:numFmt w:val="bullet"/>
      <w:lvlText w:val=""/>
      <w:lvlJc w:val="left"/>
      <w:pPr>
        <w:ind w:left="2160" w:hanging="360"/>
      </w:pPr>
      <w:rPr>
        <w:rFonts w:ascii="Wingdings" w:hAnsi="Wingdings" w:hint="default"/>
      </w:rPr>
    </w:lvl>
    <w:lvl w:ilvl="3" w:tplc="AF1067CC">
      <w:start w:val="1"/>
      <w:numFmt w:val="bullet"/>
      <w:lvlText w:val=""/>
      <w:lvlJc w:val="left"/>
      <w:pPr>
        <w:ind w:left="2880" w:hanging="360"/>
      </w:pPr>
      <w:rPr>
        <w:rFonts w:ascii="Symbol" w:hAnsi="Symbol" w:hint="default"/>
      </w:rPr>
    </w:lvl>
    <w:lvl w:ilvl="4" w:tplc="79AAE2B0">
      <w:start w:val="1"/>
      <w:numFmt w:val="bullet"/>
      <w:lvlText w:val="o"/>
      <w:lvlJc w:val="left"/>
      <w:pPr>
        <w:ind w:left="3600" w:hanging="360"/>
      </w:pPr>
      <w:rPr>
        <w:rFonts w:ascii="Courier New" w:hAnsi="Courier New" w:hint="default"/>
      </w:rPr>
    </w:lvl>
    <w:lvl w:ilvl="5" w:tplc="2892E238">
      <w:start w:val="1"/>
      <w:numFmt w:val="bullet"/>
      <w:lvlText w:val=""/>
      <w:lvlJc w:val="left"/>
      <w:pPr>
        <w:ind w:left="4320" w:hanging="360"/>
      </w:pPr>
      <w:rPr>
        <w:rFonts w:ascii="Wingdings" w:hAnsi="Wingdings" w:hint="default"/>
      </w:rPr>
    </w:lvl>
    <w:lvl w:ilvl="6" w:tplc="2D2C4D8A">
      <w:start w:val="1"/>
      <w:numFmt w:val="bullet"/>
      <w:lvlText w:val=""/>
      <w:lvlJc w:val="left"/>
      <w:pPr>
        <w:ind w:left="5040" w:hanging="360"/>
      </w:pPr>
      <w:rPr>
        <w:rFonts w:ascii="Symbol" w:hAnsi="Symbol" w:hint="default"/>
      </w:rPr>
    </w:lvl>
    <w:lvl w:ilvl="7" w:tplc="08CA9FA2">
      <w:start w:val="1"/>
      <w:numFmt w:val="bullet"/>
      <w:lvlText w:val="o"/>
      <w:lvlJc w:val="left"/>
      <w:pPr>
        <w:ind w:left="5760" w:hanging="360"/>
      </w:pPr>
      <w:rPr>
        <w:rFonts w:ascii="Courier New" w:hAnsi="Courier New" w:hint="default"/>
      </w:rPr>
    </w:lvl>
    <w:lvl w:ilvl="8" w:tplc="89AAAFAC">
      <w:start w:val="1"/>
      <w:numFmt w:val="bullet"/>
      <w:lvlText w:val=""/>
      <w:lvlJc w:val="left"/>
      <w:pPr>
        <w:ind w:left="6480" w:hanging="360"/>
      </w:pPr>
      <w:rPr>
        <w:rFonts w:ascii="Wingdings" w:hAnsi="Wingdings" w:hint="default"/>
      </w:rPr>
    </w:lvl>
  </w:abstractNum>
  <w:abstractNum w:abstractNumId="2" w15:restartNumberingAfterBreak="0">
    <w:nsid w:val="11AC3877"/>
    <w:multiLevelType w:val="hybridMultilevel"/>
    <w:tmpl w:val="F5821C72"/>
    <w:lvl w:ilvl="0" w:tplc="A8A08048">
      <w:start w:val="1"/>
      <w:numFmt w:val="bullet"/>
      <w:lvlText w:val=""/>
      <w:lvlJc w:val="left"/>
      <w:pPr>
        <w:ind w:left="720" w:hanging="360"/>
      </w:pPr>
      <w:rPr>
        <w:rFonts w:ascii="Symbol" w:hAnsi="Symbol" w:hint="default"/>
      </w:rPr>
    </w:lvl>
    <w:lvl w:ilvl="1" w:tplc="C42C6A0E">
      <w:start w:val="1"/>
      <w:numFmt w:val="bullet"/>
      <w:lvlText w:val="o"/>
      <w:lvlJc w:val="left"/>
      <w:pPr>
        <w:ind w:left="1440" w:hanging="360"/>
      </w:pPr>
      <w:rPr>
        <w:rFonts w:ascii="Courier New" w:hAnsi="Courier New" w:hint="default"/>
      </w:rPr>
    </w:lvl>
    <w:lvl w:ilvl="2" w:tplc="F374391A">
      <w:start w:val="1"/>
      <w:numFmt w:val="bullet"/>
      <w:lvlText w:val=""/>
      <w:lvlJc w:val="left"/>
      <w:pPr>
        <w:ind w:left="2160" w:hanging="360"/>
      </w:pPr>
      <w:rPr>
        <w:rFonts w:ascii="Wingdings" w:hAnsi="Wingdings" w:hint="default"/>
      </w:rPr>
    </w:lvl>
    <w:lvl w:ilvl="3" w:tplc="ED625A1E">
      <w:start w:val="1"/>
      <w:numFmt w:val="bullet"/>
      <w:lvlText w:val=""/>
      <w:lvlJc w:val="left"/>
      <w:pPr>
        <w:ind w:left="2880" w:hanging="360"/>
      </w:pPr>
      <w:rPr>
        <w:rFonts w:ascii="Symbol" w:hAnsi="Symbol" w:hint="default"/>
      </w:rPr>
    </w:lvl>
    <w:lvl w:ilvl="4" w:tplc="8646BACC">
      <w:start w:val="1"/>
      <w:numFmt w:val="bullet"/>
      <w:lvlText w:val="o"/>
      <w:lvlJc w:val="left"/>
      <w:pPr>
        <w:ind w:left="3600" w:hanging="360"/>
      </w:pPr>
      <w:rPr>
        <w:rFonts w:ascii="Courier New" w:hAnsi="Courier New" w:hint="default"/>
      </w:rPr>
    </w:lvl>
    <w:lvl w:ilvl="5" w:tplc="C9184880">
      <w:start w:val="1"/>
      <w:numFmt w:val="bullet"/>
      <w:lvlText w:val=""/>
      <w:lvlJc w:val="left"/>
      <w:pPr>
        <w:ind w:left="4320" w:hanging="360"/>
      </w:pPr>
      <w:rPr>
        <w:rFonts w:ascii="Wingdings" w:hAnsi="Wingdings" w:hint="default"/>
      </w:rPr>
    </w:lvl>
    <w:lvl w:ilvl="6" w:tplc="C144D55A">
      <w:start w:val="1"/>
      <w:numFmt w:val="bullet"/>
      <w:lvlText w:val=""/>
      <w:lvlJc w:val="left"/>
      <w:pPr>
        <w:ind w:left="5040" w:hanging="360"/>
      </w:pPr>
      <w:rPr>
        <w:rFonts w:ascii="Symbol" w:hAnsi="Symbol" w:hint="default"/>
      </w:rPr>
    </w:lvl>
    <w:lvl w:ilvl="7" w:tplc="7AE4246E">
      <w:start w:val="1"/>
      <w:numFmt w:val="bullet"/>
      <w:lvlText w:val="o"/>
      <w:lvlJc w:val="left"/>
      <w:pPr>
        <w:ind w:left="5760" w:hanging="360"/>
      </w:pPr>
      <w:rPr>
        <w:rFonts w:ascii="Courier New" w:hAnsi="Courier New" w:hint="default"/>
      </w:rPr>
    </w:lvl>
    <w:lvl w:ilvl="8" w:tplc="18909EF2">
      <w:start w:val="1"/>
      <w:numFmt w:val="bullet"/>
      <w:lvlText w:val=""/>
      <w:lvlJc w:val="left"/>
      <w:pPr>
        <w:ind w:left="6480" w:hanging="360"/>
      </w:pPr>
      <w:rPr>
        <w:rFonts w:ascii="Wingdings" w:hAnsi="Wingdings" w:hint="default"/>
      </w:rPr>
    </w:lvl>
  </w:abstractNum>
  <w:abstractNum w:abstractNumId="3" w15:restartNumberingAfterBreak="0">
    <w:nsid w:val="15DA71F3"/>
    <w:multiLevelType w:val="hybridMultilevel"/>
    <w:tmpl w:val="7110F8D6"/>
    <w:lvl w:ilvl="0" w:tplc="B2C6CA90">
      <w:start w:val="1"/>
      <w:numFmt w:val="bullet"/>
      <w:lvlText w:val=""/>
      <w:lvlJc w:val="left"/>
      <w:pPr>
        <w:ind w:left="720" w:hanging="360"/>
      </w:pPr>
      <w:rPr>
        <w:rFonts w:ascii="Symbol" w:hAnsi="Symbol" w:hint="default"/>
      </w:rPr>
    </w:lvl>
    <w:lvl w:ilvl="1" w:tplc="97285076">
      <w:start w:val="1"/>
      <w:numFmt w:val="bullet"/>
      <w:lvlText w:val="o"/>
      <w:lvlJc w:val="left"/>
      <w:pPr>
        <w:ind w:left="1440" w:hanging="360"/>
      </w:pPr>
      <w:rPr>
        <w:rFonts w:ascii="Courier New" w:hAnsi="Courier New" w:hint="default"/>
      </w:rPr>
    </w:lvl>
    <w:lvl w:ilvl="2" w:tplc="421A5456">
      <w:start w:val="1"/>
      <w:numFmt w:val="bullet"/>
      <w:lvlText w:val=""/>
      <w:lvlJc w:val="left"/>
      <w:pPr>
        <w:ind w:left="2160" w:hanging="360"/>
      </w:pPr>
      <w:rPr>
        <w:rFonts w:ascii="Wingdings" w:hAnsi="Wingdings" w:hint="default"/>
      </w:rPr>
    </w:lvl>
    <w:lvl w:ilvl="3" w:tplc="02E2F4E2">
      <w:start w:val="1"/>
      <w:numFmt w:val="bullet"/>
      <w:lvlText w:val=""/>
      <w:lvlJc w:val="left"/>
      <w:pPr>
        <w:ind w:left="2880" w:hanging="360"/>
      </w:pPr>
      <w:rPr>
        <w:rFonts w:ascii="Symbol" w:hAnsi="Symbol" w:hint="default"/>
      </w:rPr>
    </w:lvl>
    <w:lvl w:ilvl="4" w:tplc="33722DA0">
      <w:start w:val="1"/>
      <w:numFmt w:val="bullet"/>
      <w:lvlText w:val="o"/>
      <w:lvlJc w:val="left"/>
      <w:pPr>
        <w:ind w:left="3600" w:hanging="360"/>
      </w:pPr>
      <w:rPr>
        <w:rFonts w:ascii="Courier New" w:hAnsi="Courier New" w:hint="default"/>
      </w:rPr>
    </w:lvl>
    <w:lvl w:ilvl="5" w:tplc="A87667EC">
      <w:start w:val="1"/>
      <w:numFmt w:val="bullet"/>
      <w:lvlText w:val=""/>
      <w:lvlJc w:val="left"/>
      <w:pPr>
        <w:ind w:left="4320" w:hanging="360"/>
      </w:pPr>
      <w:rPr>
        <w:rFonts w:ascii="Wingdings" w:hAnsi="Wingdings" w:hint="default"/>
      </w:rPr>
    </w:lvl>
    <w:lvl w:ilvl="6" w:tplc="5A54BF14">
      <w:start w:val="1"/>
      <w:numFmt w:val="bullet"/>
      <w:lvlText w:val=""/>
      <w:lvlJc w:val="left"/>
      <w:pPr>
        <w:ind w:left="5040" w:hanging="360"/>
      </w:pPr>
      <w:rPr>
        <w:rFonts w:ascii="Symbol" w:hAnsi="Symbol" w:hint="default"/>
      </w:rPr>
    </w:lvl>
    <w:lvl w:ilvl="7" w:tplc="17740B88">
      <w:start w:val="1"/>
      <w:numFmt w:val="bullet"/>
      <w:lvlText w:val="o"/>
      <w:lvlJc w:val="left"/>
      <w:pPr>
        <w:ind w:left="5760" w:hanging="360"/>
      </w:pPr>
      <w:rPr>
        <w:rFonts w:ascii="Courier New" w:hAnsi="Courier New" w:hint="default"/>
      </w:rPr>
    </w:lvl>
    <w:lvl w:ilvl="8" w:tplc="CA56BAD2">
      <w:start w:val="1"/>
      <w:numFmt w:val="bullet"/>
      <w:lvlText w:val=""/>
      <w:lvlJc w:val="left"/>
      <w:pPr>
        <w:ind w:left="6480" w:hanging="360"/>
      </w:pPr>
      <w:rPr>
        <w:rFonts w:ascii="Wingdings" w:hAnsi="Wingdings" w:hint="default"/>
      </w:rPr>
    </w:lvl>
  </w:abstractNum>
  <w:abstractNum w:abstractNumId="4" w15:restartNumberingAfterBreak="0">
    <w:nsid w:val="168F1455"/>
    <w:multiLevelType w:val="hybridMultilevel"/>
    <w:tmpl w:val="6A549414"/>
    <w:lvl w:ilvl="0" w:tplc="45BCC586">
      <w:start w:val="1"/>
      <w:numFmt w:val="decimal"/>
      <w:lvlText w:val="%1."/>
      <w:lvlJc w:val="left"/>
      <w:pPr>
        <w:ind w:left="720" w:hanging="360"/>
      </w:pPr>
    </w:lvl>
    <w:lvl w:ilvl="1" w:tplc="1818A128">
      <w:start w:val="1"/>
      <w:numFmt w:val="lowerLetter"/>
      <w:lvlText w:val="%2."/>
      <w:lvlJc w:val="left"/>
      <w:pPr>
        <w:ind w:left="1440" w:hanging="360"/>
      </w:pPr>
    </w:lvl>
    <w:lvl w:ilvl="2" w:tplc="E8360D00">
      <w:start w:val="1"/>
      <w:numFmt w:val="lowerRoman"/>
      <w:lvlText w:val="%3."/>
      <w:lvlJc w:val="right"/>
      <w:pPr>
        <w:ind w:left="2160" w:hanging="180"/>
      </w:pPr>
    </w:lvl>
    <w:lvl w:ilvl="3" w:tplc="02609A8E">
      <w:start w:val="1"/>
      <w:numFmt w:val="decimal"/>
      <w:lvlText w:val="%4."/>
      <w:lvlJc w:val="left"/>
      <w:pPr>
        <w:ind w:left="2880" w:hanging="360"/>
      </w:pPr>
    </w:lvl>
    <w:lvl w:ilvl="4" w:tplc="A716870A">
      <w:start w:val="1"/>
      <w:numFmt w:val="lowerLetter"/>
      <w:lvlText w:val="%5."/>
      <w:lvlJc w:val="left"/>
      <w:pPr>
        <w:ind w:left="3600" w:hanging="360"/>
      </w:pPr>
    </w:lvl>
    <w:lvl w:ilvl="5" w:tplc="153CEE0C">
      <w:start w:val="1"/>
      <w:numFmt w:val="lowerRoman"/>
      <w:lvlText w:val="%6."/>
      <w:lvlJc w:val="right"/>
      <w:pPr>
        <w:ind w:left="4320" w:hanging="180"/>
      </w:pPr>
    </w:lvl>
    <w:lvl w:ilvl="6" w:tplc="DCB47218">
      <w:start w:val="1"/>
      <w:numFmt w:val="decimal"/>
      <w:lvlText w:val="%7."/>
      <w:lvlJc w:val="left"/>
      <w:pPr>
        <w:ind w:left="5040" w:hanging="360"/>
      </w:pPr>
    </w:lvl>
    <w:lvl w:ilvl="7" w:tplc="75B6507A">
      <w:start w:val="1"/>
      <w:numFmt w:val="lowerLetter"/>
      <w:lvlText w:val="%8."/>
      <w:lvlJc w:val="left"/>
      <w:pPr>
        <w:ind w:left="5760" w:hanging="360"/>
      </w:pPr>
    </w:lvl>
    <w:lvl w:ilvl="8" w:tplc="A7EC76FE">
      <w:start w:val="1"/>
      <w:numFmt w:val="lowerRoman"/>
      <w:lvlText w:val="%9."/>
      <w:lvlJc w:val="right"/>
      <w:pPr>
        <w:ind w:left="6480" w:hanging="180"/>
      </w:pPr>
    </w:lvl>
  </w:abstractNum>
  <w:abstractNum w:abstractNumId="5" w15:restartNumberingAfterBreak="0">
    <w:nsid w:val="171C418F"/>
    <w:multiLevelType w:val="hybridMultilevel"/>
    <w:tmpl w:val="BFEEB2BE"/>
    <w:lvl w:ilvl="0" w:tplc="A168B040">
      <w:start w:val="1"/>
      <w:numFmt w:val="bullet"/>
      <w:lvlText w:val=""/>
      <w:lvlJc w:val="left"/>
      <w:pPr>
        <w:ind w:left="720" w:hanging="360"/>
      </w:pPr>
      <w:rPr>
        <w:rFonts w:ascii="Symbol" w:hAnsi="Symbol" w:hint="default"/>
      </w:rPr>
    </w:lvl>
    <w:lvl w:ilvl="1" w:tplc="0A5CED32">
      <w:start w:val="1"/>
      <w:numFmt w:val="bullet"/>
      <w:lvlText w:val="o"/>
      <w:lvlJc w:val="left"/>
      <w:pPr>
        <w:ind w:left="1440" w:hanging="360"/>
      </w:pPr>
      <w:rPr>
        <w:rFonts w:ascii="Courier New" w:hAnsi="Courier New" w:hint="default"/>
      </w:rPr>
    </w:lvl>
    <w:lvl w:ilvl="2" w:tplc="2576AD48">
      <w:start w:val="1"/>
      <w:numFmt w:val="bullet"/>
      <w:lvlText w:val=""/>
      <w:lvlJc w:val="left"/>
      <w:pPr>
        <w:ind w:left="2160" w:hanging="360"/>
      </w:pPr>
      <w:rPr>
        <w:rFonts w:ascii="Wingdings" w:hAnsi="Wingdings" w:hint="default"/>
      </w:rPr>
    </w:lvl>
    <w:lvl w:ilvl="3" w:tplc="26FAD270">
      <w:start w:val="1"/>
      <w:numFmt w:val="bullet"/>
      <w:lvlText w:val=""/>
      <w:lvlJc w:val="left"/>
      <w:pPr>
        <w:ind w:left="2880" w:hanging="360"/>
      </w:pPr>
      <w:rPr>
        <w:rFonts w:ascii="Symbol" w:hAnsi="Symbol" w:hint="default"/>
      </w:rPr>
    </w:lvl>
    <w:lvl w:ilvl="4" w:tplc="9AB21B66">
      <w:start w:val="1"/>
      <w:numFmt w:val="bullet"/>
      <w:lvlText w:val="o"/>
      <w:lvlJc w:val="left"/>
      <w:pPr>
        <w:ind w:left="3600" w:hanging="360"/>
      </w:pPr>
      <w:rPr>
        <w:rFonts w:ascii="Courier New" w:hAnsi="Courier New" w:hint="default"/>
      </w:rPr>
    </w:lvl>
    <w:lvl w:ilvl="5" w:tplc="9FC61C2E">
      <w:start w:val="1"/>
      <w:numFmt w:val="bullet"/>
      <w:lvlText w:val=""/>
      <w:lvlJc w:val="left"/>
      <w:pPr>
        <w:ind w:left="4320" w:hanging="360"/>
      </w:pPr>
      <w:rPr>
        <w:rFonts w:ascii="Wingdings" w:hAnsi="Wingdings" w:hint="default"/>
      </w:rPr>
    </w:lvl>
    <w:lvl w:ilvl="6" w:tplc="73A61314">
      <w:start w:val="1"/>
      <w:numFmt w:val="bullet"/>
      <w:lvlText w:val=""/>
      <w:lvlJc w:val="left"/>
      <w:pPr>
        <w:ind w:left="5040" w:hanging="360"/>
      </w:pPr>
      <w:rPr>
        <w:rFonts w:ascii="Symbol" w:hAnsi="Symbol" w:hint="default"/>
      </w:rPr>
    </w:lvl>
    <w:lvl w:ilvl="7" w:tplc="593A6E7E">
      <w:start w:val="1"/>
      <w:numFmt w:val="bullet"/>
      <w:lvlText w:val="o"/>
      <w:lvlJc w:val="left"/>
      <w:pPr>
        <w:ind w:left="5760" w:hanging="360"/>
      </w:pPr>
      <w:rPr>
        <w:rFonts w:ascii="Courier New" w:hAnsi="Courier New" w:hint="default"/>
      </w:rPr>
    </w:lvl>
    <w:lvl w:ilvl="8" w:tplc="3C145C7A">
      <w:start w:val="1"/>
      <w:numFmt w:val="bullet"/>
      <w:lvlText w:val=""/>
      <w:lvlJc w:val="left"/>
      <w:pPr>
        <w:ind w:left="6480" w:hanging="360"/>
      </w:pPr>
      <w:rPr>
        <w:rFonts w:ascii="Wingdings" w:hAnsi="Wingdings" w:hint="default"/>
      </w:rPr>
    </w:lvl>
  </w:abstractNum>
  <w:abstractNum w:abstractNumId="6" w15:restartNumberingAfterBreak="0">
    <w:nsid w:val="1CF40181"/>
    <w:multiLevelType w:val="hybridMultilevel"/>
    <w:tmpl w:val="DF043D7E"/>
    <w:lvl w:ilvl="0" w:tplc="0409000B">
      <w:start w:val="1"/>
      <w:numFmt w:val="bullet"/>
      <w:lvlText w:val=""/>
      <w:lvlJc w:val="left"/>
      <w:pPr>
        <w:ind w:left="360" w:hanging="360"/>
      </w:pPr>
      <w:rPr>
        <w:rFonts w:ascii="Wingdings" w:hAnsi="Wingdings" w:hint="default"/>
      </w:rPr>
    </w:lvl>
    <w:lvl w:ilvl="1" w:tplc="AE628214">
      <w:start w:val="1"/>
      <w:numFmt w:val="bullet"/>
      <w:lvlText w:val="o"/>
      <w:lvlJc w:val="left"/>
      <w:pPr>
        <w:ind w:left="1080" w:hanging="360"/>
      </w:pPr>
      <w:rPr>
        <w:rFonts w:ascii="Courier New" w:hAnsi="Courier New" w:hint="default"/>
      </w:rPr>
    </w:lvl>
    <w:lvl w:ilvl="2" w:tplc="B4800160">
      <w:start w:val="1"/>
      <w:numFmt w:val="bullet"/>
      <w:lvlText w:val=""/>
      <w:lvlJc w:val="left"/>
      <w:pPr>
        <w:ind w:left="1800" w:hanging="360"/>
      </w:pPr>
      <w:rPr>
        <w:rFonts w:ascii="Wingdings" w:hAnsi="Wingdings" w:hint="default"/>
      </w:rPr>
    </w:lvl>
    <w:lvl w:ilvl="3" w:tplc="0966D6CA">
      <w:start w:val="1"/>
      <w:numFmt w:val="bullet"/>
      <w:lvlText w:val=""/>
      <w:lvlJc w:val="left"/>
      <w:pPr>
        <w:ind w:left="2520" w:hanging="360"/>
      </w:pPr>
      <w:rPr>
        <w:rFonts w:ascii="Symbol" w:hAnsi="Symbol" w:hint="default"/>
      </w:rPr>
    </w:lvl>
    <w:lvl w:ilvl="4" w:tplc="A28691CA">
      <w:start w:val="1"/>
      <w:numFmt w:val="bullet"/>
      <w:lvlText w:val="o"/>
      <w:lvlJc w:val="left"/>
      <w:pPr>
        <w:ind w:left="3240" w:hanging="360"/>
      </w:pPr>
      <w:rPr>
        <w:rFonts w:ascii="Courier New" w:hAnsi="Courier New" w:hint="default"/>
      </w:rPr>
    </w:lvl>
    <w:lvl w:ilvl="5" w:tplc="7806DB78">
      <w:start w:val="1"/>
      <w:numFmt w:val="bullet"/>
      <w:lvlText w:val=""/>
      <w:lvlJc w:val="left"/>
      <w:pPr>
        <w:ind w:left="3960" w:hanging="360"/>
      </w:pPr>
      <w:rPr>
        <w:rFonts w:ascii="Wingdings" w:hAnsi="Wingdings" w:hint="default"/>
      </w:rPr>
    </w:lvl>
    <w:lvl w:ilvl="6" w:tplc="339C5258">
      <w:start w:val="1"/>
      <w:numFmt w:val="bullet"/>
      <w:lvlText w:val=""/>
      <w:lvlJc w:val="left"/>
      <w:pPr>
        <w:ind w:left="4680" w:hanging="360"/>
      </w:pPr>
      <w:rPr>
        <w:rFonts w:ascii="Symbol" w:hAnsi="Symbol" w:hint="default"/>
      </w:rPr>
    </w:lvl>
    <w:lvl w:ilvl="7" w:tplc="612C6DB8">
      <w:start w:val="1"/>
      <w:numFmt w:val="bullet"/>
      <w:lvlText w:val="o"/>
      <w:lvlJc w:val="left"/>
      <w:pPr>
        <w:ind w:left="5400" w:hanging="360"/>
      </w:pPr>
      <w:rPr>
        <w:rFonts w:ascii="Courier New" w:hAnsi="Courier New" w:hint="default"/>
      </w:rPr>
    </w:lvl>
    <w:lvl w:ilvl="8" w:tplc="B9466B84">
      <w:start w:val="1"/>
      <w:numFmt w:val="bullet"/>
      <w:lvlText w:val=""/>
      <w:lvlJc w:val="left"/>
      <w:pPr>
        <w:ind w:left="6120" w:hanging="360"/>
      </w:pPr>
      <w:rPr>
        <w:rFonts w:ascii="Wingdings" w:hAnsi="Wingdings" w:hint="default"/>
      </w:rPr>
    </w:lvl>
  </w:abstractNum>
  <w:abstractNum w:abstractNumId="7" w15:restartNumberingAfterBreak="0">
    <w:nsid w:val="28073E44"/>
    <w:multiLevelType w:val="hybridMultilevel"/>
    <w:tmpl w:val="FFDC2342"/>
    <w:lvl w:ilvl="0" w:tplc="E5F6B314">
      <w:start w:val="1"/>
      <w:numFmt w:val="decimal"/>
      <w:lvlText w:val="%1."/>
      <w:lvlJc w:val="left"/>
      <w:pPr>
        <w:ind w:left="720" w:hanging="360"/>
      </w:pPr>
    </w:lvl>
    <w:lvl w:ilvl="1" w:tplc="B270F0F2">
      <w:start w:val="1"/>
      <w:numFmt w:val="lowerLetter"/>
      <w:lvlText w:val="%2."/>
      <w:lvlJc w:val="left"/>
      <w:pPr>
        <w:ind w:left="1440" w:hanging="360"/>
      </w:pPr>
    </w:lvl>
    <w:lvl w:ilvl="2" w:tplc="1ECE39AE">
      <w:start w:val="1"/>
      <w:numFmt w:val="lowerRoman"/>
      <w:lvlText w:val="%3."/>
      <w:lvlJc w:val="right"/>
      <w:pPr>
        <w:ind w:left="2160" w:hanging="180"/>
      </w:pPr>
    </w:lvl>
    <w:lvl w:ilvl="3" w:tplc="28549D70">
      <w:start w:val="1"/>
      <w:numFmt w:val="decimal"/>
      <w:lvlText w:val="%4."/>
      <w:lvlJc w:val="left"/>
      <w:pPr>
        <w:ind w:left="2880" w:hanging="360"/>
      </w:pPr>
    </w:lvl>
    <w:lvl w:ilvl="4" w:tplc="506EE69A">
      <w:start w:val="1"/>
      <w:numFmt w:val="lowerLetter"/>
      <w:lvlText w:val="%5."/>
      <w:lvlJc w:val="left"/>
      <w:pPr>
        <w:ind w:left="3600" w:hanging="360"/>
      </w:pPr>
    </w:lvl>
    <w:lvl w:ilvl="5" w:tplc="53AA050A">
      <w:start w:val="1"/>
      <w:numFmt w:val="lowerRoman"/>
      <w:lvlText w:val="%6."/>
      <w:lvlJc w:val="right"/>
      <w:pPr>
        <w:ind w:left="4320" w:hanging="180"/>
      </w:pPr>
    </w:lvl>
    <w:lvl w:ilvl="6" w:tplc="88A8280E">
      <w:start w:val="1"/>
      <w:numFmt w:val="decimal"/>
      <w:lvlText w:val="%7."/>
      <w:lvlJc w:val="left"/>
      <w:pPr>
        <w:ind w:left="5040" w:hanging="360"/>
      </w:pPr>
    </w:lvl>
    <w:lvl w:ilvl="7" w:tplc="019634C4">
      <w:start w:val="1"/>
      <w:numFmt w:val="lowerLetter"/>
      <w:lvlText w:val="%8."/>
      <w:lvlJc w:val="left"/>
      <w:pPr>
        <w:ind w:left="5760" w:hanging="360"/>
      </w:pPr>
    </w:lvl>
    <w:lvl w:ilvl="8" w:tplc="B33A2B1C">
      <w:start w:val="1"/>
      <w:numFmt w:val="lowerRoman"/>
      <w:lvlText w:val="%9."/>
      <w:lvlJc w:val="right"/>
      <w:pPr>
        <w:ind w:left="6480" w:hanging="180"/>
      </w:pPr>
    </w:lvl>
  </w:abstractNum>
  <w:abstractNum w:abstractNumId="8" w15:restartNumberingAfterBreak="0">
    <w:nsid w:val="2D990002"/>
    <w:multiLevelType w:val="hybridMultilevel"/>
    <w:tmpl w:val="1BBC49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C223F"/>
    <w:multiLevelType w:val="hybridMultilevel"/>
    <w:tmpl w:val="0AAA76CA"/>
    <w:lvl w:ilvl="0" w:tplc="863041D4">
      <w:start w:val="1"/>
      <w:numFmt w:val="bullet"/>
      <w:lvlText w:val=""/>
      <w:lvlJc w:val="left"/>
      <w:pPr>
        <w:ind w:left="720" w:hanging="360"/>
      </w:pPr>
      <w:rPr>
        <w:rFonts w:ascii="Symbol" w:hAnsi="Symbol" w:hint="default"/>
      </w:rPr>
    </w:lvl>
    <w:lvl w:ilvl="1" w:tplc="D90AD64A">
      <w:start w:val="1"/>
      <w:numFmt w:val="bullet"/>
      <w:lvlText w:val="o"/>
      <w:lvlJc w:val="left"/>
      <w:pPr>
        <w:ind w:left="1440" w:hanging="360"/>
      </w:pPr>
      <w:rPr>
        <w:rFonts w:ascii="Courier New" w:hAnsi="Courier New" w:hint="default"/>
      </w:rPr>
    </w:lvl>
    <w:lvl w:ilvl="2" w:tplc="59022518">
      <w:start w:val="1"/>
      <w:numFmt w:val="bullet"/>
      <w:lvlText w:val=""/>
      <w:lvlJc w:val="left"/>
      <w:pPr>
        <w:ind w:left="2160" w:hanging="360"/>
      </w:pPr>
      <w:rPr>
        <w:rFonts w:ascii="Wingdings" w:hAnsi="Wingdings" w:hint="default"/>
      </w:rPr>
    </w:lvl>
    <w:lvl w:ilvl="3" w:tplc="94F4CC42">
      <w:start w:val="1"/>
      <w:numFmt w:val="bullet"/>
      <w:lvlText w:val=""/>
      <w:lvlJc w:val="left"/>
      <w:pPr>
        <w:ind w:left="2880" w:hanging="360"/>
      </w:pPr>
      <w:rPr>
        <w:rFonts w:ascii="Symbol" w:hAnsi="Symbol" w:hint="default"/>
      </w:rPr>
    </w:lvl>
    <w:lvl w:ilvl="4" w:tplc="76C02398">
      <w:start w:val="1"/>
      <w:numFmt w:val="bullet"/>
      <w:lvlText w:val="o"/>
      <w:lvlJc w:val="left"/>
      <w:pPr>
        <w:ind w:left="3600" w:hanging="360"/>
      </w:pPr>
      <w:rPr>
        <w:rFonts w:ascii="Courier New" w:hAnsi="Courier New" w:hint="default"/>
      </w:rPr>
    </w:lvl>
    <w:lvl w:ilvl="5" w:tplc="F0E643B6">
      <w:start w:val="1"/>
      <w:numFmt w:val="bullet"/>
      <w:lvlText w:val=""/>
      <w:lvlJc w:val="left"/>
      <w:pPr>
        <w:ind w:left="4320" w:hanging="360"/>
      </w:pPr>
      <w:rPr>
        <w:rFonts w:ascii="Wingdings" w:hAnsi="Wingdings" w:hint="default"/>
      </w:rPr>
    </w:lvl>
    <w:lvl w:ilvl="6" w:tplc="EC181ACA">
      <w:start w:val="1"/>
      <w:numFmt w:val="bullet"/>
      <w:lvlText w:val=""/>
      <w:lvlJc w:val="left"/>
      <w:pPr>
        <w:ind w:left="5040" w:hanging="360"/>
      </w:pPr>
      <w:rPr>
        <w:rFonts w:ascii="Symbol" w:hAnsi="Symbol" w:hint="default"/>
      </w:rPr>
    </w:lvl>
    <w:lvl w:ilvl="7" w:tplc="2B407C40">
      <w:start w:val="1"/>
      <w:numFmt w:val="bullet"/>
      <w:lvlText w:val="o"/>
      <w:lvlJc w:val="left"/>
      <w:pPr>
        <w:ind w:left="5760" w:hanging="360"/>
      </w:pPr>
      <w:rPr>
        <w:rFonts w:ascii="Courier New" w:hAnsi="Courier New" w:hint="default"/>
      </w:rPr>
    </w:lvl>
    <w:lvl w:ilvl="8" w:tplc="28D846B2">
      <w:start w:val="1"/>
      <w:numFmt w:val="bullet"/>
      <w:lvlText w:val=""/>
      <w:lvlJc w:val="left"/>
      <w:pPr>
        <w:ind w:left="6480" w:hanging="360"/>
      </w:pPr>
      <w:rPr>
        <w:rFonts w:ascii="Wingdings" w:hAnsi="Wingdings" w:hint="default"/>
      </w:rPr>
    </w:lvl>
  </w:abstractNum>
  <w:abstractNum w:abstractNumId="10" w15:restartNumberingAfterBreak="0">
    <w:nsid w:val="49D6594B"/>
    <w:multiLevelType w:val="hybridMultilevel"/>
    <w:tmpl w:val="98742338"/>
    <w:lvl w:ilvl="0" w:tplc="7CD0A496">
      <w:start w:val="1"/>
      <w:numFmt w:val="bullet"/>
      <w:lvlText w:val=""/>
      <w:lvlJc w:val="left"/>
      <w:pPr>
        <w:ind w:left="720" w:hanging="360"/>
      </w:pPr>
      <w:rPr>
        <w:rFonts w:ascii="Symbol" w:hAnsi="Symbol" w:hint="default"/>
      </w:rPr>
    </w:lvl>
    <w:lvl w:ilvl="1" w:tplc="AE4058CE">
      <w:start w:val="1"/>
      <w:numFmt w:val="bullet"/>
      <w:lvlText w:val="o"/>
      <w:lvlJc w:val="left"/>
      <w:pPr>
        <w:ind w:left="1440" w:hanging="360"/>
      </w:pPr>
      <w:rPr>
        <w:rFonts w:ascii="Courier New" w:hAnsi="Courier New" w:hint="default"/>
      </w:rPr>
    </w:lvl>
    <w:lvl w:ilvl="2" w:tplc="5FC6C022">
      <w:start w:val="1"/>
      <w:numFmt w:val="bullet"/>
      <w:lvlText w:val=""/>
      <w:lvlJc w:val="left"/>
      <w:pPr>
        <w:ind w:left="2160" w:hanging="360"/>
      </w:pPr>
      <w:rPr>
        <w:rFonts w:ascii="Wingdings" w:hAnsi="Wingdings" w:hint="default"/>
      </w:rPr>
    </w:lvl>
    <w:lvl w:ilvl="3" w:tplc="74E019B0">
      <w:start w:val="1"/>
      <w:numFmt w:val="bullet"/>
      <w:lvlText w:val=""/>
      <w:lvlJc w:val="left"/>
      <w:pPr>
        <w:ind w:left="2880" w:hanging="360"/>
      </w:pPr>
      <w:rPr>
        <w:rFonts w:ascii="Symbol" w:hAnsi="Symbol" w:hint="default"/>
      </w:rPr>
    </w:lvl>
    <w:lvl w:ilvl="4" w:tplc="F9A4AE7A">
      <w:start w:val="1"/>
      <w:numFmt w:val="bullet"/>
      <w:lvlText w:val="o"/>
      <w:lvlJc w:val="left"/>
      <w:pPr>
        <w:ind w:left="3600" w:hanging="360"/>
      </w:pPr>
      <w:rPr>
        <w:rFonts w:ascii="Courier New" w:hAnsi="Courier New" w:hint="default"/>
      </w:rPr>
    </w:lvl>
    <w:lvl w:ilvl="5" w:tplc="F650186C">
      <w:start w:val="1"/>
      <w:numFmt w:val="bullet"/>
      <w:lvlText w:val=""/>
      <w:lvlJc w:val="left"/>
      <w:pPr>
        <w:ind w:left="4320" w:hanging="360"/>
      </w:pPr>
      <w:rPr>
        <w:rFonts w:ascii="Wingdings" w:hAnsi="Wingdings" w:hint="default"/>
      </w:rPr>
    </w:lvl>
    <w:lvl w:ilvl="6" w:tplc="6C0449D0">
      <w:start w:val="1"/>
      <w:numFmt w:val="bullet"/>
      <w:lvlText w:val=""/>
      <w:lvlJc w:val="left"/>
      <w:pPr>
        <w:ind w:left="5040" w:hanging="360"/>
      </w:pPr>
      <w:rPr>
        <w:rFonts w:ascii="Symbol" w:hAnsi="Symbol" w:hint="default"/>
      </w:rPr>
    </w:lvl>
    <w:lvl w:ilvl="7" w:tplc="1D663256">
      <w:start w:val="1"/>
      <w:numFmt w:val="bullet"/>
      <w:lvlText w:val="o"/>
      <w:lvlJc w:val="left"/>
      <w:pPr>
        <w:ind w:left="5760" w:hanging="360"/>
      </w:pPr>
      <w:rPr>
        <w:rFonts w:ascii="Courier New" w:hAnsi="Courier New" w:hint="default"/>
      </w:rPr>
    </w:lvl>
    <w:lvl w:ilvl="8" w:tplc="97041A52">
      <w:start w:val="1"/>
      <w:numFmt w:val="bullet"/>
      <w:lvlText w:val=""/>
      <w:lvlJc w:val="left"/>
      <w:pPr>
        <w:ind w:left="6480" w:hanging="360"/>
      </w:pPr>
      <w:rPr>
        <w:rFonts w:ascii="Wingdings" w:hAnsi="Wingdings" w:hint="default"/>
      </w:rPr>
    </w:lvl>
  </w:abstractNum>
  <w:abstractNum w:abstractNumId="11" w15:restartNumberingAfterBreak="0">
    <w:nsid w:val="4B65305D"/>
    <w:multiLevelType w:val="hybridMultilevel"/>
    <w:tmpl w:val="514A121C"/>
    <w:lvl w:ilvl="0" w:tplc="22DCBB3E">
      <w:start w:val="1"/>
      <w:numFmt w:val="bullet"/>
      <w:lvlText w:val=""/>
      <w:lvlJc w:val="left"/>
      <w:pPr>
        <w:ind w:left="720" w:hanging="360"/>
      </w:pPr>
      <w:rPr>
        <w:rFonts w:ascii="Symbol" w:hAnsi="Symbol" w:hint="default"/>
      </w:rPr>
    </w:lvl>
    <w:lvl w:ilvl="1" w:tplc="BC0239CA">
      <w:start w:val="1"/>
      <w:numFmt w:val="bullet"/>
      <w:lvlText w:val="o"/>
      <w:lvlJc w:val="left"/>
      <w:pPr>
        <w:ind w:left="1440" w:hanging="360"/>
      </w:pPr>
      <w:rPr>
        <w:rFonts w:ascii="Courier New" w:hAnsi="Courier New" w:hint="default"/>
      </w:rPr>
    </w:lvl>
    <w:lvl w:ilvl="2" w:tplc="4F340FA8">
      <w:start w:val="1"/>
      <w:numFmt w:val="bullet"/>
      <w:lvlText w:val=""/>
      <w:lvlJc w:val="left"/>
      <w:pPr>
        <w:ind w:left="2160" w:hanging="360"/>
      </w:pPr>
      <w:rPr>
        <w:rFonts w:ascii="Wingdings" w:hAnsi="Wingdings" w:hint="default"/>
      </w:rPr>
    </w:lvl>
    <w:lvl w:ilvl="3" w:tplc="1E0876B2">
      <w:start w:val="1"/>
      <w:numFmt w:val="bullet"/>
      <w:lvlText w:val=""/>
      <w:lvlJc w:val="left"/>
      <w:pPr>
        <w:ind w:left="2880" w:hanging="360"/>
      </w:pPr>
      <w:rPr>
        <w:rFonts w:ascii="Symbol" w:hAnsi="Symbol" w:hint="default"/>
      </w:rPr>
    </w:lvl>
    <w:lvl w:ilvl="4" w:tplc="17D83A32">
      <w:start w:val="1"/>
      <w:numFmt w:val="bullet"/>
      <w:lvlText w:val="o"/>
      <w:lvlJc w:val="left"/>
      <w:pPr>
        <w:ind w:left="3600" w:hanging="360"/>
      </w:pPr>
      <w:rPr>
        <w:rFonts w:ascii="Courier New" w:hAnsi="Courier New" w:hint="default"/>
      </w:rPr>
    </w:lvl>
    <w:lvl w:ilvl="5" w:tplc="EBE08158">
      <w:start w:val="1"/>
      <w:numFmt w:val="bullet"/>
      <w:lvlText w:val=""/>
      <w:lvlJc w:val="left"/>
      <w:pPr>
        <w:ind w:left="4320" w:hanging="360"/>
      </w:pPr>
      <w:rPr>
        <w:rFonts w:ascii="Wingdings" w:hAnsi="Wingdings" w:hint="default"/>
      </w:rPr>
    </w:lvl>
    <w:lvl w:ilvl="6" w:tplc="865E4104">
      <w:start w:val="1"/>
      <w:numFmt w:val="bullet"/>
      <w:lvlText w:val=""/>
      <w:lvlJc w:val="left"/>
      <w:pPr>
        <w:ind w:left="5040" w:hanging="360"/>
      </w:pPr>
      <w:rPr>
        <w:rFonts w:ascii="Symbol" w:hAnsi="Symbol" w:hint="default"/>
      </w:rPr>
    </w:lvl>
    <w:lvl w:ilvl="7" w:tplc="835CC918">
      <w:start w:val="1"/>
      <w:numFmt w:val="bullet"/>
      <w:lvlText w:val="o"/>
      <w:lvlJc w:val="left"/>
      <w:pPr>
        <w:ind w:left="5760" w:hanging="360"/>
      </w:pPr>
      <w:rPr>
        <w:rFonts w:ascii="Courier New" w:hAnsi="Courier New" w:hint="default"/>
      </w:rPr>
    </w:lvl>
    <w:lvl w:ilvl="8" w:tplc="23FAA298">
      <w:start w:val="1"/>
      <w:numFmt w:val="bullet"/>
      <w:lvlText w:val=""/>
      <w:lvlJc w:val="left"/>
      <w:pPr>
        <w:ind w:left="6480" w:hanging="360"/>
      </w:pPr>
      <w:rPr>
        <w:rFonts w:ascii="Wingdings" w:hAnsi="Wingdings" w:hint="default"/>
      </w:rPr>
    </w:lvl>
  </w:abstractNum>
  <w:abstractNum w:abstractNumId="12" w15:restartNumberingAfterBreak="0">
    <w:nsid w:val="72B73725"/>
    <w:multiLevelType w:val="hybridMultilevel"/>
    <w:tmpl w:val="ADDEB358"/>
    <w:lvl w:ilvl="0" w:tplc="E960BD88">
      <w:start w:val="1"/>
      <w:numFmt w:val="decimal"/>
      <w:lvlText w:val="%1."/>
      <w:lvlJc w:val="left"/>
      <w:pPr>
        <w:ind w:left="720" w:hanging="360"/>
      </w:pPr>
    </w:lvl>
    <w:lvl w:ilvl="1" w:tplc="C1881528">
      <w:start w:val="1"/>
      <w:numFmt w:val="lowerLetter"/>
      <w:lvlText w:val="%2."/>
      <w:lvlJc w:val="left"/>
      <w:pPr>
        <w:ind w:left="1440" w:hanging="360"/>
      </w:pPr>
    </w:lvl>
    <w:lvl w:ilvl="2" w:tplc="05A876D4">
      <w:start w:val="1"/>
      <w:numFmt w:val="lowerRoman"/>
      <w:lvlText w:val="%3."/>
      <w:lvlJc w:val="right"/>
      <w:pPr>
        <w:ind w:left="2160" w:hanging="180"/>
      </w:pPr>
    </w:lvl>
    <w:lvl w:ilvl="3" w:tplc="32D0E3BC">
      <w:start w:val="1"/>
      <w:numFmt w:val="decimal"/>
      <w:lvlText w:val="%4."/>
      <w:lvlJc w:val="left"/>
      <w:pPr>
        <w:ind w:left="2880" w:hanging="360"/>
      </w:pPr>
    </w:lvl>
    <w:lvl w:ilvl="4" w:tplc="2B6E6D9E">
      <w:start w:val="1"/>
      <w:numFmt w:val="lowerLetter"/>
      <w:lvlText w:val="%5."/>
      <w:lvlJc w:val="left"/>
      <w:pPr>
        <w:ind w:left="3600" w:hanging="360"/>
      </w:pPr>
    </w:lvl>
    <w:lvl w:ilvl="5" w:tplc="E77C11B0">
      <w:start w:val="1"/>
      <w:numFmt w:val="lowerRoman"/>
      <w:lvlText w:val="%6."/>
      <w:lvlJc w:val="right"/>
      <w:pPr>
        <w:ind w:left="4320" w:hanging="180"/>
      </w:pPr>
    </w:lvl>
    <w:lvl w:ilvl="6" w:tplc="07FCC3F0">
      <w:start w:val="1"/>
      <w:numFmt w:val="decimal"/>
      <w:lvlText w:val="%7."/>
      <w:lvlJc w:val="left"/>
      <w:pPr>
        <w:ind w:left="5040" w:hanging="360"/>
      </w:pPr>
    </w:lvl>
    <w:lvl w:ilvl="7" w:tplc="5356870A">
      <w:start w:val="1"/>
      <w:numFmt w:val="lowerLetter"/>
      <w:lvlText w:val="%8."/>
      <w:lvlJc w:val="left"/>
      <w:pPr>
        <w:ind w:left="5760" w:hanging="360"/>
      </w:pPr>
    </w:lvl>
    <w:lvl w:ilvl="8" w:tplc="05EC96AE">
      <w:start w:val="1"/>
      <w:numFmt w:val="lowerRoman"/>
      <w:lvlText w:val="%9."/>
      <w:lvlJc w:val="right"/>
      <w:pPr>
        <w:ind w:left="6480" w:hanging="180"/>
      </w:pPr>
    </w:lvl>
  </w:abstractNum>
  <w:abstractNum w:abstractNumId="13" w15:restartNumberingAfterBreak="0">
    <w:nsid w:val="7D7308F0"/>
    <w:multiLevelType w:val="hybridMultilevel"/>
    <w:tmpl w:val="F0860192"/>
    <w:lvl w:ilvl="0" w:tplc="0409000B">
      <w:start w:val="1"/>
      <w:numFmt w:val="bullet"/>
      <w:lvlText w:val=""/>
      <w:lvlJc w:val="left"/>
      <w:pPr>
        <w:ind w:left="720" w:hanging="360"/>
      </w:pPr>
      <w:rPr>
        <w:rFonts w:ascii="Wingdings" w:hAnsi="Wingdings" w:hint="default"/>
      </w:rPr>
    </w:lvl>
    <w:lvl w:ilvl="1" w:tplc="B4B2C900">
      <w:start w:val="1"/>
      <w:numFmt w:val="bullet"/>
      <w:lvlText w:val="o"/>
      <w:lvlJc w:val="left"/>
      <w:pPr>
        <w:ind w:left="1440" w:hanging="360"/>
      </w:pPr>
      <w:rPr>
        <w:rFonts w:ascii="Courier New" w:hAnsi="Courier New" w:hint="default"/>
      </w:rPr>
    </w:lvl>
    <w:lvl w:ilvl="2" w:tplc="B5FAB190">
      <w:start w:val="1"/>
      <w:numFmt w:val="bullet"/>
      <w:lvlText w:val=""/>
      <w:lvlJc w:val="left"/>
      <w:pPr>
        <w:ind w:left="2160" w:hanging="360"/>
      </w:pPr>
      <w:rPr>
        <w:rFonts w:ascii="Wingdings" w:hAnsi="Wingdings" w:hint="default"/>
      </w:rPr>
    </w:lvl>
    <w:lvl w:ilvl="3" w:tplc="6EA07B44">
      <w:start w:val="1"/>
      <w:numFmt w:val="bullet"/>
      <w:lvlText w:val=""/>
      <w:lvlJc w:val="left"/>
      <w:pPr>
        <w:ind w:left="2880" w:hanging="360"/>
      </w:pPr>
      <w:rPr>
        <w:rFonts w:ascii="Symbol" w:hAnsi="Symbol" w:hint="default"/>
      </w:rPr>
    </w:lvl>
    <w:lvl w:ilvl="4" w:tplc="48C06792">
      <w:start w:val="1"/>
      <w:numFmt w:val="bullet"/>
      <w:lvlText w:val="o"/>
      <w:lvlJc w:val="left"/>
      <w:pPr>
        <w:ind w:left="3600" w:hanging="360"/>
      </w:pPr>
      <w:rPr>
        <w:rFonts w:ascii="Courier New" w:hAnsi="Courier New" w:hint="default"/>
      </w:rPr>
    </w:lvl>
    <w:lvl w:ilvl="5" w:tplc="C5303614">
      <w:start w:val="1"/>
      <w:numFmt w:val="bullet"/>
      <w:lvlText w:val=""/>
      <w:lvlJc w:val="left"/>
      <w:pPr>
        <w:ind w:left="4320" w:hanging="360"/>
      </w:pPr>
      <w:rPr>
        <w:rFonts w:ascii="Wingdings" w:hAnsi="Wingdings" w:hint="default"/>
      </w:rPr>
    </w:lvl>
    <w:lvl w:ilvl="6" w:tplc="F8B26C88">
      <w:start w:val="1"/>
      <w:numFmt w:val="bullet"/>
      <w:lvlText w:val=""/>
      <w:lvlJc w:val="left"/>
      <w:pPr>
        <w:ind w:left="5040" w:hanging="360"/>
      </w:pPr>
      <w:rPr>
        <w:rFonts w:ascii="Symbol" w:hAnsi="Symbol" w:hint="default"/>
      </w:rPr>
    </w:lvl>
    <w:lvl w:ilvl="7" w:tplc="0CE4E392">
      <w:start w:val="1"/>
      <w:numFmt w:val="bullet"/>
      <w:lvlText w:val="o"/>
      <w:lvlJc w:val="left"/>
      <w:pPr>
        <w:ind w:left="5760" w:hanging="360"/>
      </w:pPr>
      <w:rPr>
        <w:rFonts w:ascii="Courier New" w:hAnsi="Courier New" w:hint="default"/>
      </w:rPr>
    </w:lvl>
    <w:lvl w:ilvl="8" w:tplc="F27AC514">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3"/>
  </w:num>
  <w:num w:numId="5">
    <w:abstractNumId w:val="9"/>
  </w:num>
  <w:num w:numId="6">
    <w:abstractNumId w:val="11"/>
  </w:num>
  <w:num w:numId="7">
    <w:abstractNumId w:val="2"/>
  </w:num>
  <w:num w:numId="8">
    <w:abstractNumId w:val="7"/>
  </w:num>
  <w:num w:numId="9">
    <w:abstractNumId w:val="5"/>
  </w:num>
  <w:num w:numId="10">
    <w:abstractNumId w:val="0"/>
  </w:num>
  <w:num w:numId="11">
    <w:abstractNumId w:val="12"/>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BA08B"/>
    <w:rsid w:val="00007A7E"/>
    <w:rsid w:val="00023EB2"/>
    <w:rsid w:val="00081DD9"/>
    <w:rsid w:val="000A0DFC"/>
    <w:rsid w:val="000F553F"/>
    <w:rsid w:val="0011EFF3"/>
    <w:rsid w:val="00121BD1"/>
    <w:rsid w:val="00153254"/>
    <w:rsid w:val="001E0CA0"/>
    <w:rsid w:val="0029F891"/>
    <w:rsid w:val="003947F0"/>
    <w:rsid w:val="00430B19"/>
    <w:rsid w:val="0050103E"/>
    <w:rsid w:val="00564FAC"/>
    <w:rsid w:val="005C3006"/>
    <w:rsid w:val="0066159E"/>
    <w:rsid w:val="00680448"/>
    <w:rsid w:val="006C3B1F"/>
    <w:rsid w:val="006E0DD3"/>
    <w:rsid w:val="006E47A6"/>
    <w:rsid w:val="00710F39"/>
    <w:rsid w:val="00806A37"/>
    <w:rsid w:val="00937CC2"/>
    <w:rsid w:val="00937D4B"/>
    <w:rsid w:val="00946065"/>
    <w:rsid w:val="0095311E"/>
    <w:rsid w:val="00995224"/>
    <w:rsid w:val="009C30AA"/>
    <w:rsid w:val="00A45956"/>
    <w:rsid w:val="00A60AEB"/>
    <w:rsid w:val="00AD3A64"/>
    <w:rsid w:val="00BB28D2"/>
    <w:rsid w:val="00D048A6"/>
    <w:rsid w:val="00D14FEC"/>
    <w:rsid w:val="00DB35B1"/>
    <w:rsid w:val="00EC61FF"/>
    <w:rsid w:val="00F1187A"/>
    <w:rsid w:val="00F32282"/>
    <w:rsid w:val="00F5416D"/>
    <w:rsid w:val="00F636F0"/>
    <w:rsid w:val="010E9AFB"/>
    <w:rsid w:val="01186D7D"/>
    <w:rsid w:val="01251D5D"/>
    <w:rsid w:val="012F1782"/>
    <w:rsid w:val="015E9DF4"/>
    <w:rsid w:val="017D341B"/>
    <w:rsid w:val="01941327"/>
    <w:rsid w:val="019B068A"/>
    <w:rsid w:val="01E2DC59"/>
    <w:rsid w:val="01F434FB"/>
    <w:rsid w:val="0200CB65"/>
    <w:rsid w:val="020886B7"/>
    <w:rsid w:val="020A0C2F"/>
    <w:rsid w:val="020FB719"/>
    <w:rsid w:val="02148ABE"/>
    <w:rsid w:val="021AB67D"/>
    <w:rsid w:val="0227F0A4"/>
    <w:rsid w:val="0256061F"/>
    <w:rsid w:val="0270B8A3"/>
    <w:rsid w:val="02BA3010"/>
    <w:rsid w:val="02BD0D22"/>
    <w:rsid w:val="02D70D11"/>
    <w:rsid w:val="02EEE7A8"/>
    <w:rsid w:val="0301CBCE"/>
    <w:rsid w:val="031AF42B"/>
    <w:rsid w:val="032CEE6E"/>
    <w:rsid w:val="035374C6"/>
    <w:rsid w:val="043D0159"/>
    <w:rsid w:val="044A48C4"/>
    <w:rsid w:val="045B1DC2"/>
    <w:rsid w:val="0472DBA6"/>
    <w:rsid w:val="04770486"/>
    <w:rsid w:val="048794CC"/>
    <w:rsid w:val="049F8BF7"/>
    <w:rsid w:val="04B0E18C"/>
    <w:rsid w:val="05211473"/>
    <w:rsid w:val="05B51426"/>
    <w:rsid w:val="05BDF168"/>
    <w:rsid w:val="06052506"/>
    <w:rsid w:val="0636FBB2"/>
    <w:rsid w:val="06742D54"/>
    <w:rsid w:val="06B174DA"/>
    <w:rsid w:val="06B1CD8C"/>
    <w:rsid w:val="06C13D5D"/>
    <w:rsid w:val="06E08351"/>
    <w:rsid w:val="06E38867"/>
    <w:rsid w:val="06FB61C7"/>
    <w:rsid w:val="06FCB0C4"/>
    <w:rsid w:val="07766210"/>
    <w:rsid w:val="07D2CC13"/>
    <w:rsid w:val="07DB5DC9"/>
    <w:rsid w:val="07EABAE8"/>
    <w:rsid w:val="07EBF470"/>
    <w:rsid w:val="07FAC27E"/>
    <w:rsid w:val="084F8EDD"/>
    <w:rsid w:val="0885079F"/>
    <w:rsid w:val="08AEEB1C"/>
    <w:rsid w:val="08D4EE0C"/>
    <w:rsid w:val="0955F417"/>
    <w:rsid w:val="097DBA27"/>
    <w:rsid w:val="0992F86D"/>
    <w:rsid w:val="09A53BC1"/>
    <w:rsid w:val="09ABA49B"/>
    <w:rsid w:val="09CEE1BF"/>
    <w:rsid w:val="09DDA37F"/>
    <w:rsid w:val="09DDD9F1"/>
    <w:rsid w:val="09EDEE3E"/>
    <w:rsid w:val="0A1F9CA3"/>
    <w:rsid w:val="0A38C500"/>
    <w:rsid w:val="0A55292F"/>
    <w:rsid w:val="0A65F4C7"/>
    <w:rsid w:val="0A9B0806"/>
    <w:rsid w:val="0AA627BF"/>
    <w:rsid w:val="0AAEC1ED"/>
    <w:rsid w:val="0AAEF6AA"/>
    <w:rsid w:val="0AC732A6"/>
    <w:rsid w:val="0ACF9797"/>
    <w:rsid w:val="0AEC57DD"/>
    <w:rsid w:val="0B0D11FA"/>
    <w:rsid w:val="0B13D4AE"/>
    <w:rsid w:val="0B1DA975"/>
    <w:rsid w:val="0B6CAB38"/>
    <w:rsid w:val="0B9B1A40"/>
    <w:rsid w:val="0BA6D4B4"/>
    <w:rsid w:val="0BBE396D"/>
    <w:rsid w:val="0BD7A9CB"/>
    <w:rsid w:val="0C02EF92"/>
    <w:rsid w:val="0C0E6D71"/>
    <w:rsid w:val="0C58ECD3"/>
    <w:rsid w:val="0C8EEFAD"/>
    <w:rsid w:val="0CAA1AE0"/>
    <w:rsid w:val="0CE7C6E1"/>
    <w:rsid w:val="0D087B99"/>
    <w:rsid w:val="0D239665"/>
    <w:rsid w:val="0D52C9EB"/>
    <w:rsid w:val="0D573D65"/>
    <w:rsid w:val="0D615868"/>
    <w:rsid w:val="0D6AA34B"/>
    <w:rsid w:val="0DA0A64C"/>
    <w:rsid w:val="0E1670C7"/>
    <w:rsid w:val="0E1C6EB3"/>
    <w:rsid w:val="0E1DE6CC"/>
    <w:rsid w:val="0E5964B8"/>
    <w:rsid w:val="0E7F15FD"/>
    <w:rsid w:val="0EB1FAFC"/>
    <w:rsid w:val="0EF54EA1"/>
    <w:rsid w:val="0FB88634"/>
    <w:rsid w:val="0FE5716F"/>
    <w:rsid w:val="0FEE2CBB"/>
    <w:rsid w:val="0FF60927"/>
    <w:rsid w:val="108A5C14"/>
    <w:rsid w:val="10A7A2B7"/>
    <w:rsid w:val="10EF0892"/>
    <w:rsid w:val="11025C04"/>
    <w:rsid w:val="1104DB14"/>
    <w:rsid w:val="111E382E"/>
    <w:rsid w:val="11514243"/>
    <w:rsid w:val="115AFB29"/>
    <w:rsid w:val="116ADEA1"/>
    <w:rsid w:val="1197ACFC"/>
    <w:rsid w:val="11AED20F"/>
    <w:rsid w:val="11B71EF3"/>
    <w:rsid w:val="11E6A6FB"/>
    <w:rsid w:val="12415CFB"/>
    <w:rsid w:val="126AD91D"/>
    <w:rsid w:val="1274176F"/>
    <w:rsid w:val="12BCF81F"/>
    <w:rsid w:val="12C160E2"/>
    <w:rsid w:val="13045892"/>
    <w:rsid w:val="131D6C40"/>
    <w:rsid w:val="1330A691"/>
    <w:rsid w:val="1340B953"/>
    <w:rsid w:val="1342A9B8"/>
    <w:rsid w:val="13438CC7"/>
    <w:rsid w:val="1352D9F8"/>
    <w:rsid w:val="13618FE9"/>
    <w:rsid w:val="13A72BE3"/>
    <w:rsid w:val="13F3AEB0"/>
    <w:rsid w:val="140039A3"/>
    <w:rsid w:val="14045512"/>
    <w:rsid w:val="140FE7D0"/>
    <w:rsid w:val="1446897A"/>
    <w:rsid w:val="14A45B0B"/>
    <w:rsid w:val="14AF9D62"/>
    <w:rsid w:val="14E7AB74"/>
    <w:rsid w:val="14F7EA08"/>
    <w:rsid w:val="1501CA56"/>
    <w:rsid w:val="150A0225"/>
    <w:rsid w:val="150CEB63"/>
    <w:rsid w:val="15363A33"/>
    <w:rsid w:val="15869E1B"/>
    <w:rsid w:val="15F1D699"/>
    <w:rsid w:val="160D9A11"/>
    <w:rsid w:val="162182AC"/>
    <w:rsid w:val="16299675"/>
    <w:rsid w:val="1659ADC2"/>
    <w:rsid w:val="168247ED"/>
    <w:rsid w:val="1682E69A"/>
    <w:rsid w:val="16A313D9"/>
    <w:rsid w:val="16A5D286"/>
    <w:rsid w:val="16BF5A2F"/>
    <w:rsid w:val="16DBFAF0"/>
    <w:rsid w:val="16E523B0"/>
    <w:rsid w:val="16FE1FAB"/>
    <w:rsid w:val="170E6038"/>
    <w:rsid w:val="173080BC"/>
    <w:rsid w:val="1767F79F"/>
    <w:rsid w:val="17883FCE"/>
    <w:rsid w:val="17AC6195"/>
    <w:rsid w:val="17B71F23"/>
    <w:rsid w:val="17B7FF25"/>
    <w:rsid w:val="17B8A196"/>
    <w:rsid w:val="17DCE488"/>
    <w:rsid w:val="17F57E23"/>
    <w:rsid w:val="18046F7F"/>
    <w:rsid w:val="18531BC6"/>
    <w:rsid w:val="185B2A90"/>
    <w:rsid w:val="186222C9"/>
    <w:rsid w:val="18702F2D"/>
    <w:rsid w:val="18F41F5D"/>
    <w:rsid w:val="1945CEA7"/>
    <w:rsid w:val="19A9CCE7"/>
    <w:rsid w:val="19D3BBD9"/>
    <w:rsid w:val="19E04BB7"/>
    <w:rsid w:val="1A2C8270"/>
    <w:rsid w:val="1A393A79"/>
    <w:rsid w:val="1AD3DF33"/>
    <w:rsid w:val="1AE34177"/>
    <w:rsid w:val="1AE4A899"/>
    <w:rsid w:val="1B10CFF9"/>
    <w:rsid w:val="1B8ABC88"/>
    <w:rsid w:val="1B8F92A7"/>
    <w:rsid w:val="1BA1A944"/>
    <w:rsid w:val="1BCE161E"/>
    <w:rsid w:val="1BD13B7B"/>
    <w:rsid w:val="1C04B93F"/>
    <w:rsid w:val="1C11A55B"/>
    <w:rsid w:val="1C18CAEA"/>
    <w:rsid w:val="1C387302"/>
    <w:rsid w:val="1C415A8B"/>
    <w:rsid w:val="1C45428B"/>
    <w:rsid w:val="1C5B631A"/>
    <w:rsid w:val="1C600917"/>
    <w:rsid w:val="1C709FED"/>
    <w:rsid w:val="1C7C686A"/>
    <w:rsid w:val="1C828D73"/>
    <w:rsid w:val="1C92BD7D"/>
    <w:rsid w:val="1D13689C"/>
    <w:rsid w:val="1D15140A"/>
    <w:rsid w:val="1D35AA03"/>
    <w:rsid w:val="1D3870E2"/>
    <w:rsid w:val="1D3D79A5"/>
    <w:rsid w:val="1D440FD2"/>
    <w:rsid w:val="1D6B4170"/>
    <w:rsid w:val="1D9048C1"/>
    <w:rsid w:val="1E163AB8"/>
    <w:rsid w:val="1E2C28A3"/>
    <w:rsid w:val="1E5A72F4"/>
    <w:rsid w:val="1E705C90"/>
    <w:rsid w:val="1E7A4B41"/>
    <w:rsid w:val="1E7D8851"/>
    <w:rsid w:val="1E81C0A3"/>
    <w:rsid w:val="1E8DD6C9"/>
    <w:rsid w:val="1EC5D73F"/>
    <w:rsid w:val="1F09A686"/>
    <w:rsid w:val="1F0E2C32"/>
    <w:rsid w:val="1F0FB58C"/>
    <w:rsid w:val="1F1198B7"/>
    <w:rsid w:val="1F3E04AE"/>
    <w:rsid w:val="1F3EB235"/>
    <w:rsid w:val="1F3FF36E"/>
    <w:rsid w:val="1F4ABACC"/>
    <w:rsid w:val="1F4E6532"/>
    <w:rsid w:val="1F97A9D9"/>
    <w:rsid w:val="1F9C6F8F"/>
    <w:rsid w:val="1FC9B33D"/>
    <w:rsid w:val="1FCE9F91"/>
    <w:rsid w:val="1FED3EFB"/>
    <w:rsid w:val="1FFBEF48"/>
    <w:rsid w:val="207B5DCF"/>
    <w:rsid w:val="20858BA7"/>
    <w:rsid w:val="208F4A5A"/>
    <w:rsid w:val="2093B5E6"/>
    <w:rsid w:val="20BD7630"/>
    <w:rsid w:val="20F714E1"/>
    <w:rsid w:val="2123CAA1"/>
    <w:rsid w:val="2127773F"/>
    <w:rsid w:val="213757C8"/>
    <w:rsid w:val="21476554"/>
    <w:rsid w:val="21DAD3EA"/>
    <w:rsid w:val="21E456EC"/>
    <w:rsid w:val="220E5818"/>
    <w:rsid w:val="22172E30"/>
    <w:rsid w:val="2218AA78"/>
    <w:rsid w:val="225309B7"/>
    <w:rsid w:val="22569E9F"/>
    <w:rsid w:val="226C2213"/>
    <w:rsid w:val="22A37076"/>
    <w:rsid w:val="22D1BE0F"/>
    <w:rsid w:val="22ED19D4"/>
    <w:rsid w:val="22F37F4B"/>
    <w:rsid w:val="23157B12"/>
    <w:rsid w:val="2321E7FE"/>
    <w:rsid w:val="2348F74A"/>
    <w:rsid w:val="235B2415"/>
    <w:rsid w:val="2366E4C1"/>
    <w:rsid w:val="237300A9"/>
    <w:rsid w:val="23E01CBF"/>
    <w:rsid w:val="244FF946"/>
    <w:rsid w:val="24632D76"/>
    <w:rsid w:val="24858EE4"/>
    <w:rsid w:val="249D9C91"/>
    <w:rsid w:val="24CEE015"/>
    <w:rsid w:val="252519BD"/>
    <w:rsid w:val="25329E62"/>
    <w:rsid w:val="253DC865"/>
    <w:rsid w:val="25466293"/>
    <w:rsid w:val="25A47E59"/>
    <w:rsid w:val="25B8852E"/>
    <w:rsid w:val="25CE7278"/>
    <w:rsid w:val="263C5915"/>
    <w:rsid w:val="264C5C7C"/>
    <w:rsid w:val="265687B6"/>
    <w:rsid w:val="266C3607"/>
    <w:rsid w:val="268B0C2C"/>
    <w:rsid w:val="26AFB5BF"/>
    <w:rsid w:val="26B23EE1"/>
    <w:rsid w:val="26BA9072"/>
    <w:rsid w:val="26C40FAB"/>
    <w:rsid w:val="27008EB4"/>
    <w:rsid w:val="27237BE3"/>
    <w:rsid w:val="27384A4B"/>
    <w:rsid w:val="274278AC"/>
    <w:rsid w:val="274278CA"/>
    <w:rsid w:val="274D2ACD"/>
    <w:rsid w:val="274D3873"/>
    <w:rsid w:val="27511A7C"/>
    <w:rsid w:val="275F0241"/>
    <w:rsid w:val="276BC20C"/>
    <w:rsid w:val="2776E199"/>
    <w:rsid w:val="27D30AE9"/>
    <w:rsid w:val="286EE89C"/>
    <w:rsid w:val="289C8ACF"/>
    <w:rsid w:val="28A119DA"/>
    <w:rsid w:val="28A67FFA"/>
    <w:rsid w:val="2910304D"/>
    <w:rsid w:val="291654C3"/>
    <w:rsid w:val="29182D8A"/>
    <w:rsid w:val="298AAE6C"/>
    <w:rsid w:val="298FAEC0"/>
    <w:rsid w:val="29CDAC91"/>
    <w:rsid w:val="29D8C487"/>
    <w:rsid w:val="2A3D75C9"/>
    <w:rsid w:val="2A4B3019"/>
    <w:rsid w:val="2A88BB3E"/>
    <w:rsid w:val="2AC498BA"/>
    <w:rsid w:val="2AC9E938"/>
    <w:rsid w:val="2AD36B1E"/>
    <w:rsid w:val="2AF65B36"/>
    <w:rsid w:val="2B3A77D9"/>
    <w:rsid w:val="2B3C9503"/>
    <w:rsid w:val="2B5D7E2D"/>
    <w:rsid w:val="2B7AC35B"/>
    <w:rsid w:val="2B7E2C9C"/>
    <w:rsid w:val="2B9B31D2"/>
    <w:rsid w:val="2BAB72F0"/>
    <w:rsid w:val="2BB82935"/>
    <w:rsid w:val="2BC16215"/>
    <w:rsid w:val="2BD46597"/>
    <w:rsid w:val="2BFEDA8C"/>
    <w:rsid w:val="2C1630EE"/>
    <w:rsid w:val="2C295CD8"/>
    <w:rsid w:val="2C48A7A7"/>
    <w:rsid w:val="2C53DE71"/>
    <w:rsid w:val="2C60691B"/>
    <w:rsid w:val="2CB023CB"/>
    <w:rsid w:val="2CEE852C"/>
    <w:rsid w:val="2CFA4DB0"/>
    <w:rsid w:val="2D3CAE92"/>
    <w:rsid w:val="2D3DBA91"/>
    <w:rsid w:val="2D42E428"/>
    <w:rsid w:val="2D55953A"/>
    <w:rsid w:val="2D9953B2"/>
    <w:rsid w:val="2DB50CE6"/>
    <w:rsid w:val="2DB6D6E5"/>
    <w:rsid w:val="2DBDC1FB"/>
    <w:rsid w:val="2DCF9E99"/>
    <w:rsid w:val="2E0653B9"/>
    <w:rsid w:val="2E12EB34"/>
    <w:rsid w:val="2E393D0C"/>
    <w:rsid w:val="2E48713E"/>
    <w:rsid w:val="2E4E584F"/>
    <w:rsid w:val="2EAC3470"/>
    <w:rsid w:val="2EC0B0D3"/>
    <w:rsid w:val="2EC9109A"/>
    <w:rsid w:val="2F00943C"/>
    <w:rsid w:val="2F50DD47"/>
    <w:rsid w:val="2F579C16"/>
    <w:rsid w:val="2F8B7F33"/>
    <w:rsid w:val="2F90956A"/>
    <w:rsid w:val="2FABEAEE"/>
    <w:rsid w:val="2FCD4DE5"/>
    <w:rsid w:val="2FD6ED0A"/>
    <w:rsid w:val="2FF42568"/>
    <w:rsid w:val="3060D224"/>
    <w:rsid w:val="309A486A"/>
    <w:rsid w:val="30C31341"/>
    <w:rsid w:val="30E73100"/>
    <w:rsid w:val="310DB323"/>
    <w:rsid w:val="3118B685"/>
    <w:rsid w:val="313C40BB"/>
    <w:rsid w:val="31681904"/>
    <w:rsid w:val="31DF2938"/>
    <w:rsid w:val="3208027A"/>
    <w:rsid w:val="32747F5F"/>
    <w:rsid w:val="32A27FD9"/>
    <w:rsid w:val="32EA24F4"/>
    <w:rsid w:val="32ED7360"/>
    <w:rsid w:val="330254AA"/>
    <w:rsid w:val="33369648"/>
    <w:rsid w:val="338E810E"/>
    <w:rsid w:val="33F2125F"/>
    <w:rsid w:val="33F83A19"/>
    <w:rsid w:val="3413DB22"/>
    <w:rsid w:val="341AAF2B"/>
    <w:rsid w:val="3426BF48"/>
    <w:rsid w:val="345EF056"/>
    <w:rsid w:val="34672FD3"/>
    <w:rsid w:val="347003EF"/>
    <w:rsid w:val="3497A1CA"/>
    <w:rsid w:val="34BE5A7A"/>
    <w:rsid w:val="34E68970"/>
    <w:rsid w:val="3503F298"/>
    <w:rsid w:val="350A1D47"/>
    <w:rsid w:val="352831B0"/>
    <w:rsid w:val="354EA324"/>
    <w:rsid w:val="358DE2C0"/>
    <w:rsid w:val="35968464"/>
    <w:rsid w:val="35A58C8D"/>
    <w:rsid w:val="35D26F00"/>
    <w:rsid w:val="36077C2A"/>
    <w:rsid w:val="365379DD"/>
    <w:rsid w:val="367B68D9"/>
    <w:rsid w:val="368259D1"/>
    <w:rsid w:val="369EF2E1"/>
    <w:rsid w:val="36A8130D"/>
    <w:rsid w:val="36E49CD7"/>
    <w:rsid w:val="370277D3"/>
    <w:rsid w:val="372C924E"/>
    <w:rsid w:val="374D3EDF"/>
    <w:rsid w:val="376A3F2C"/>
    <w:rsid w:val="378F6E6E"/>
    <w:rsid w:val="379206D3"/>
    <w:rsid w:val="37992E1B"/>
    <w:rsid w:val="37BE2D8F"/>
    <w:rsid w:val="37E0EA99"/>
    <w:rsid w:val="37EEF359"/>
    <w:rsid w:val="37F2D672"/>
    <w:rsid w:val="38004987"/>
    <w:rsid w:val="38087BE1"/>
    <w:rsid w:val="38205541"/>
    <w:rsid w:val="385549B6"/>
    <w:rsid w:val="389DB8F6"/>
    <w:rsid w:val="38F8C4C8"/>
    <w:rsid w:val="38F939BE"/>
    <w:rsid w:val="3930BA58"/>
    <w:rsid w:val="394455B3"/>
    <w:rsid w:val="3946D9A3"/>
    <w:rsid w:val="3946D9A9"/>
    <w:rsid w:val="39662787"/>
    <w:rsid w:val="3966CED8"/>
    <w:rsid w:val="3974302B"/>
    <w:rsid w:val="39873D11"/>
    <w:rsid w:val="3989A589"/>
    <w:rsid w:val="398AC3BA"/>
    <w:rsid w:val="39B3099B"/>
    <w:rsid w:val="39D5A554"/>
    <w:rsid w:val="3A104284"/>
    <w:rsid w:val="3A6BAC23"/>
    <w:rsid w:val="3A7EE6D8"/>
    <w:rsid w:val="3A92948B"/>
    <w:rsid w:val="3AF0804A"/>
    <w:rsid w:val="3B2575EA"/>
    <w:rsid w:val="3B3CAD9E"/>
    <w:rsid w:val="3B53C88B"/>
    <w:rsid w:val="3B88581C"/>
    <w:rsid w:val="3BA83539"/>
    <w:rsid w:val="3BB1F283"/>
    <w:rsid w:val="3C108BFF"/>
    <w:rsid w:val="3C19A65D"/>
    <w:rsid w:val="3C4F32BD"/>
    <w:rsid w:val="3C79CE71"/>
    <w:rsid w:val="3CBA2263"/>
    <w:rsid w:val="3CC45031"/>
    <w:rsid w:val="3D0FFF41"/>
    <w:rsid w:val="3D396A87"/>
    <w:rsid w:val="3D973A6C"/>
    <w:rsid w:val="3D98F4A5"/>
    <w:rsid w:val="3DEB0C10"/>
    <w:rsid w:val="3DF44181"/>
    <w:rsid w:val="3DFC1FA9"/>
    <w:rsid w:val="3E28210C"/>
    <w:rsid w:val="3E3C533E"/>
    <w:rsid w:val="3E5AAFFE"/>
    <w:rsid w:val="3E637D78"/>
    <w:rsid w:val="3EB78E7A"/>
    <w:rsid w:val="3EF2BF4B"/>
    <w:rsid w:val="3F3D66AA"/>
    <w:rsid w:val="3F3EB7D5"/>
    <w:rsid w:val="3F5D3555"/>
    <w:rsid w:val="3F7B6C32"/>
    <w:rsid w:val="3F8BA350"/>
    <w:rsid w:val="3FCEE880"/>
    <w:rsid w:val="3FE371AF"/>
    <w:rsid w:val="4029EE36"/>
    <w:rsid w:val="405F64C4"/>
    <w:rsid w:val="40A36E62"/>
    <w:rsid w:val="40C768E2"/>
    <w:rsid w:val="40EC19F3"/>
    <w:rsid w:val="412B484B"/>
    <w:rsid w:val="4158C5CF"/>
    <w:rsid w:val="41854A2E"/>
    <w:rsid w:val="420EAC4D"/>
    <w:rsid w:val="42112394"/>
    <w:rsid w:val="42596525"/>
    <w:rsid w:val="4274534E"/>
    <w:rsid w:val="42B1DE73"/>
    <w:rsid w:val="42BE5A70"/>
    <w:rsid w:val="433ACF37"/>
    <w:rsid w:val="439A69C1"/>
    <w:rsid w:val="43AFCE30"/>
    <w:rsid w:val="43CBA08B"/>
    <w:rsid w:val="43D3CFDA"/>
    <w:rsid w:val="4438C07B"/>
    <w:rsid w:val="445A4D94"/>
    <w:rsid w:val="448CAF58"/>
    <w:rsid w:val="44A7F945"/>
    <w:rsid w:val="44B3DCC7"/>
    <w:rsid w:val="44CAD176"/>
    <w:rsid w:val="4527C866"/>
    <w:rsid w:val="452C018C"/>
    <w:rsid w:val="452D3CB5"/>
    <w:rsid w:val="45869A8C"/>
    <w:rsid w:val="461B9607"/>
    <w:rsid w:val="46255FBF"/>
    <w:rsid w:val="46269F02"/>
    <w:rsid w:val="464954D7"/>
    <w:rsid w:val="46738E03"/>
    <w:rsid w:val="468042FA"/>
    <w:rsid w:val="46A51EBE"/>
    <w:rsid w:val="46BC2F42"/>
    <w:rsid w:val="46D554A2"/>
    <w:rsid w:val="46FD3FB1"/>
    <w:rsid w:val="470DAC8D"/>
    <w:rsid w:val="4747C471"/>
    <w:rsid w:val="475C6A3B"/>
    <w:rsid w:val="479645D7"/>
    <w:rsid w:val="47AF6E34"/>
    <w:rsid w:val="47B19DA3"/>
    <w:rsid w:val="47F00631"/>
    <w:rsid w:val="47F13761"/>
    <w:rsid w:val="4809EAC8"/>
    <w:rsid w:val="483902DE"/>
    <w:rsid w:val="48583031"/>
    <w:rsid w:val="48A9A89E"/>
    <w:rsid w:val="48C4A422"/>
    <w:rsid w:val="48DC129D"/>
    <w:rsid w:val="48DC8069"/>
    <w:rsid w:val="48F72BD8"/>
    <w:rsid w:val="48FB33D1"/>
    <w:rsid w:val="49626820"/>
    <w:rsid w:val="49AA10BB"/>
    <w:rsid w:val="49B9210F"/>
    <w:rsid w:val="49C3E609"/>
    <w:rsid w:val="49E87DED"/>
    <w:rsid w:val="4A016E4D"/>
    <w:rsid w:val="4A3008DA"/>
    <w:rsid w:val="4A3BCF0A"/>
    <w:rsid w:val="4A693636"/>
    <w:rsid w:val="4AA4FC15"/>
    <w:rsid w:val="4AA7D4C3"/>
    <w:rsid w:val="4AEFEEC7"/>
    <w:rsid w:val="4B2038F6"/>
    <w:rsid w:val="4B2CFEF7"/>
    <w:rsid w:val="4B3711B8"/>
    <w:rsid w:val="4B855389"/>
    <w:rsid w:val="4B9BC4F2"/>
    <w:rsid w:val="4BCBABAD"/>
    <w:rsid w:val="4BD0E591"/>
    <w:rsid w:val="4C03A018"/>
    <w:rsid w:val="4C2ECC9A"/>
    <w:rsid w:val="4C354E7D"/>
    <w:rsid w:val="4C3F9B59"/>
    <w:rsid w:val="4C4C371C"/>
    <w:rsid w:val="4C6BE3C8"/>
    <w:rsid w:val="4CC6A756"/>
    <w:rsid w:val="4CD4ED5D"/>
    <w:rsid w:val="4D121F23"/>
    <w:rsid w:val="4D6189C3"/>
    <w:rsid w:val="4D61DF5B"/>
    <w:rsid w:val="4D72C481"/>
    <w:rsid w:val="4D9E42F7"/>
    <w:rsid w:val="4DB407A1"/>
    <w:rsid w:val="4DDFA2C1"/>
    <w:rsid w:val="4E0C1994"/>
    <w:rsid w:val="4E0FD1C6"/>
    <w:rsid w:val="4E177702"/>
    <w:rsid w:val="4E6078E5"/>
    <w:rsid w:val="4F07A495"/>
    <w:rsid w:val="4F088653"/>
    <w:rsid w:val="4F3131B3"/>
    <w:rsid w:val="4F3B40DA"/>
    <w:rsid w:val="4F52D656"/>
    <w:rsid w:val="4F5CE2CC"/>
    <w:rsid w:val="4F6864E7"/>
    <w:rsid w:val="4F68727F"/>
    <w:rsid w:val="4F687BC5"/>
    <w:rsid w:val="4F7AA013"/>
    <w:rsid w:val="4F890F84"/>
    <w:rsid w:val="4FB03EE3"/>
    <w:rsid w:val="4FD0DF5B"/>
    <w:rsid w:val="4FE8E796"/>
    <w:rsid w:val="4FF15643"/>
    <w:rsid w:val="5098ED22"/>
    <w:rsid w:val="50C6DC2B"/>
    <w:rsid w:val="50EA6F14"/>
    <w:rsid w:val="5119CB26"/>
    <w:rsid w:val="5131206B"/>
    <w:rsid w:val="515163C3"/>
    <w:rsid w:val="516F4D83"/>
    <w:rsid w:val="5176AE38"/>
    <w:rsid w:val="51979BAD"/>
    <w:rsid w:val="51993B15"/>
    <w:rsid w:val="51B640AA"/>
    <w:rsid w:val="51F600B0"/>
    <w:rsid w:val="52068CDB"/>
    <w:rsid w:val="5248149B"/>
    <w:rsid w:val="5262A048"/>
    <w:rsid w:val="526F9482"/>
    <w:rsid w:val="527F5B35"/>
    <w:rsid w:val="52A268E9"/>
    <w:rsid w:val="52C953F9"/>
    <w:rsid w:val="52E0AE2B"/>
    <w:rsid w:val="52F007DA"/>
    <w:rsid w:val="52F3CBCA"/>
    <w:rsid w:val="52F4504A"/>
    <w:rsid w:val="5324DEA1"/>
    <w:rsid w:val="5333EA08"/>
    <w:rsid w:val="5347F1CC"/>
    <w:rsid w:val="5365C5CC"/>
    <w:rsid w:val="53717E62"/>
    <w:rsid w:val="538F6033"/>
    <w:rsid w:val="53A29CD3"/>
    <w:rsid w:val="53A6D6D7"/>
    <w:rsid w:val="53C2BDF1"/>
    <w:rsid w:val="53DCB0FF"/>
    <w:rsid w:val="53E3E4FC"/>
    <w:rsid w:val="53E44CD8"/>
    <w:rsid w:val="54B3DE3F"/>
    <w:rsid w:val="54C5A3C2"/>
    <w:rsid w:val="54E74467"/>
    <w:rsid w:val="54ED7366"/>
    <w:rsid w:val="54EEE61D"/>
    <w:rsid w:val="5542B755"/>
    <w:rsid w:val="5573183F"/>
    <w:rsid w:val="557AC3A7"/>
    <w:rsid w:val="557B2CE0"/>
    <w:rsid w:val="558D6EF7"/>
    <w:rsid w:val="55A89471"/>
    <w:rsid w:val="55BE12AF"/>
    <w:rsid w:val="55D4DB24"/>
    <w:rsid w:val="55DF0932"/>
    <w:rsid w:val="55F8C237"/>
    <w:rsid w:val="5604918E"/>
    <w:rsid w:val="561B15EA"/>
    <w:rsid w:val="563CC2C0"/>
    <w:rsid w:val="56E721E7"/>
    <w:rsid w:val="56E87A84"/>
    <w:rsid w:val="5746CCAA"/>
    <w:rsid w:val="574FE784"/>
    <w:rsid w:val="575059F1"/>
    <w:rsid w:val="57614C8F"/>
    <w:rsid w:val="57738DAA"/>
    <w:rsid w:val="577AD993"/>
    <w:rsid w:val="579EDE9D"/>
    <w:rsid w:val="57C16A0B"/>
    <w:rsid w:val="57D419A6"/>
    <w:rsid w:val="58713D07"/>
    <w:rsid w:val="5885F0BD"/>
    <w:rsid w:val="588C6E28"/>
    <w:rsid w:val="589FAA97"/>
    <w:rsid w:val="59116969"/>
    <w:rsid w:val="59174B91"/>
    <w:rsid w:val="5932A7AA"/>
    <w:rsid w:val="59878CA2"/>
    <w:rsid w:val="598F8F14"/>
    <w:rsid w:val="59930D58"/>
    <w:rsid w:val="5993DC16"/>
    <w:rsid w:val="59992B99"/>
    <w:rsid w:val="59A8582D"/>
    <w:rsid w:val="5A11DE57"/>
    <w:rsid w:val="5A5A778F"/>
    <w:rsid w:val="5A82885A"/>
    <w:rsid w:val="5A8E1F3B"/>
    <w:rsid w:val="5AAB2E6C"/>
    <w:rsid w:val="5AB31BF2"/>
    <w:rsid w:val="5AC35270"/>
    <w:rsid w:val="5ACE780B"/>
    <w:rsid w:val="5ADD0F5F"/>
    <w:rsid w:val="5AFBF2FD"/>
    <w:rsid w:val="5B1D04A5"/>
    <w:rsid w:val="5B1F0464"/>
    <w:rsid w:val="5B27F41A"/>
    <w:rsid w:val="5B57AF54"/>
    <w:rsid w:val="5B5F4EF8"/>
    <w:rsid w:val="5B70CE95"/>
    <w:rsid w:val="5B78638D"/>
    <w:rsid w:val="5B9CE2F6"/>
    <w:rsid w:val="5BE6279D"/>
    <w:rsid w:val="5C1676C8"/>
    <w:rsid w:val="5C55175C"/>
    <w:rsid w:val="5C6A486C"/>
    <w:rsid w:val="5C9277AC"/>
    <w:rsid w:val="5CA0265E"/>
    <w:rsid w:val="5CC72FD6"/>
    <w:rsid w:val="5CF0736E"/>
    <w:rsid w:val="5D0471BF"/>
    <w:rsid w:val="5D0BF3F4"/>
    <w:rsid w:val="5D2516C6"/>
    <w:rsid w:val="5D3879F1"/>
    <w:rsid w:val="5D5EA3C7"/>
    <w:rsid w:val="5D5EB8D1"/>
    <w:rsid w:val="5DB49ABD"/>
    <w:rsid w:val="5DB8A022"/>
    <w:rsid w:val="5DD19457"/>
    <w:rsid w:val="5DEABCB4"/>
    <w:rsid w:val="5E0EAFB8"/>
    <w:rsid w:val="5E80279E"/>
    <w:rsid w:val="5E8FB88C"/>
    <w:rsid w:val="5E91191F"/>
    <w:rsid w:val="5E93EA85"/>
    <w:rsid w:val="5EB2CB4C"/>
    <w:rsid w:val="5EE9E0A5"/>
    <w:rsid w:val="5F2A3F3C"/>
    <w:rsid w:val="5F729744"/>
    <w:rsid w:val="5F84D232"/>
    <w:rsid w:val="5F868D15"/>
    <w:rsid w:val="5F9BFA12"/>
    <w:rsid w:val="5FC949FB"/>
    <w:rsid w:val="5FF64F1F"/>
    <w:rsid w:val="600D332C"/>
    <w:rsid w:val="604673E3"/>
    <w:rsid w:val="604796A1"/>
    <w:rsid w:val="60964489"/>
    <w:rsid w:val="61022675"/>
    <w:rsid w:val="61324950"/>
    <w:rsid w:val="6135729B"/>
    <w:rsid w:val="614F466B"/>
    <w:rsid w:val="615CB834"/>
    <w:rsid w:val="6161D08B"/>
    <w:rsid w:val="618E29D7"/>
    <w:rsid w:val="6194E057"/>
    <w:rsid w:val="61A0E63D"/>
    <w:rsid w:val="61B8826A"/>
    <w:rsid w:val="61C3F048"/>
    <w:rsid w:val="61C86DE3"/>
    <w:rsid w:val="61DAD14D"/>
    <w:rsid w:val="61F455D1"/>
    <w:rsid w:val="6211A9B2"/>
    <w:rsid w:val="62154B5F"/>
    <w:rsid w:val="6262C905"/>
    <w:rsid w:val="62A5057A"/>
    <w:rsid w:val="62B3C2D3"/>
    <w:rsid w:val="62D980FE"/>
    <w:rsid w:val="63090E36"/>
    <w:rsid w:val="631010F1"/>
    <w:rsid w:val="631EF01E"/>
    <w:rsid w:val="63383684"/>
    <w:rsid w:val="6373C546"/>
    <w:rsid w:val="637D9370"/>
    <w:rsid w:val="6390DD4B"/>
    <w:rsid w:val="63942D90"/>
    <w:rsid w:val="63A8B447"/>
    <w:rsid w:val="63C95C30"/>
    <w:rsid w:val="63CDE54B"/>
    <w:rsid w:val="63F1FE8F"/>
    <w:rsid w:val="6410B9C4"/>
    <w:rsid w:val="64888EE0"/>
    <w:rsid w:val="64D85B0D"/>
    <w:rsid w:val="64E4F95B"/>
    <w:rsid w:val="65020BA6"/>
    <w:rsid w:val="654941E4"/>
    <w:rsid w:val="65893679"/>
    <w:rsid w:val="6595D927"/>
    <w:rsid w:val="65D6C414"/>
    <w:rsid w:val="65DCF7F8"/>
    <w:rsid w:val="6601210D"/>
    <w:rsid w:val="6613AFF5"/>
    <w:rsid w:val="663BBD74"/>
    <w:rsid w:val="6641DA51"/>
    <w:rsid w:val="6659F468"/>
    <w:rsid w:val="669D4341"/>
    <w:rsid w:val="66B93A62"/>
    <w:rsid w:val="66D56C23"/>
    <w:rsid w:val="671FF1DB"/>
    <w:rsid w:val="6727A995"/>
    <w:rsid w:val="672915A5"/>
    <w:rsid w:val="67363D17"/>
    <w:rsid w:val="675FDD23"/>
    <w:rsid w:val="677793BF"/>
    <w:rsid w:val="677CF4B2"/>
    <w:rsid w:val="6785E8A9"/>
    <w:rsid w:val="678F92C3"/>
    <w:rsid w:val="679109AC"/>
    <w:rsid w:val="67932771"/>
    <w:rsid w:val="67B60AF8"/>
    <w:rsid w:val="67BB39F4"/>
    <w:rsid w:val="67D1ECED"/>
    <w:rsid w:val="68099051"/>
    <w:rsid w:val="683DA877"/>
    <w:rsid w:val="68459EAA"/>
    <w:rsid w:val="68623DA1"/>
    <w:rsid w:val="68849D16"/>
    <w:rsid w:val="68D9480B"/>
    <w:rsid w:val="68EF4A47"/>
    <w:rsid w:val="692FFBB4"/>
    <w:rsid w:val="69544CAA"/>
    <w:rsid w:val="69BA3CD7"/>
    <w:rsid w:val="69BC4B26"/>
    <w:rsid w:val="69CF9466"/>
    <w:rsid w:val="6A4249EA"/>
    <w:rsid w:val="6A54502E"/>
    <w:rsid w:val="6AEA6E7B"/>
    <w:rsid w:val="6B3AC702"/>
    <w:rsid w:val="6B3B159C"/>
    <w:rsid w:val="6B45E3B2"/>
    <w:rsid w:val="6B464BAA"/>
    <w:rsid w:val="6B4707C1"/>
    <w:rsid w:val="6BADE3F6"/>
    <w:rsid w:val="6BD5FEDD"/>
    <w:rsid w:val="6BFC33D3"/>
    <w:rsid w:val="6C01996E"/>
    <w:rsid w:val="6C023307"/>
    <w:rsid w:val="6C093D23"/>
    <w:rsid w:val="6C11AA78"/>
    <w:rsid w:val="6C2BC6FF"/>
    <w:rsid w:val="6C3CBF06"/>
    <w:rsid w:val="6C421FC7"/>
    <w:rsid w:val="6C63C120"/>
    <w:rsid w:val="6C91D69B"/>
    <w:rsid w:val="6C961B77"/>
    <w:rsid w:val="6CB7D065"/>
    <w:rsid w:val="6CC38DC4"/>
    <w:rsid w:val="6CD1D528"/>
    <w:rsid w:val="6D0CDAE3"/>
    <w:rsid w:val="6D16B8DC"/>
    <w:rsid w:val="6D26FC38"/>
    <w:rsid w:val="6D53FC12"/>
    <w:rsid w:val="6D70880B"/>
    <w:rsid w:val="6DE17DAF"/>
    <w:rsid w:val="6E109B9D"/>
    <w:rsid w:val="6E16F833"/>
    <w:rsid w:val="6E412C3F"/>
    <w:rsid w:val="6E97B315"/>
    <w:rsid w:val="6EADF003"/>
    <w:rsid w:val="6EDB7B14"/>
    <w:rsid w:val="6EEB66EE"/>
    <w:rsid w:val="6EFDCD05"/>
    <w:rsid w:val="6F4B4C2D"/>
    <w:rsid w:val="6F87FBFC"/>
    <w:rsid w:val="6F9B61E2"/>
    <w:rsid w:val="700715BC"/>
    <w:rsid w:val="7011EB56"/>
    <w:rsid w:val="70175603"/>
    <w:rsid w:val="70250F9D"/>
    <w:rsid w:val="7034ACA1"/>
    <w:rsid w:val="7048FBAE"/>
    <w:rsid w:val="7054DFBB"/>
    <w:rsid w:val="707E1B48"/>
    <w:rsid w:val="70C1E644"/>
    <w:rsid w:val="70E2B993"/>
    <w:rsid w:val="71094A96"/>
    <w:rsid w:val="711E09E6"/>
    <w:rsid w:val="712507BA"/>
    <w:rsid w:val="7128AFEC"/>
    <w:rsid w:val="712CD0E1"/>
    <w:rsid w:val="714DB261"/>
    <w:rsid w:val="716FDC98"/>
    <w:rsid w:val="71A9B510"/>
    <w:rsid w:val="71BC9732"/>
    <w:rsid w:val="71F74F06"/>
    <w:rsid w:val="720652BF"/>
    <w:rsid w:val="723379A6"/>
    <w:rsid w:val="7252648E"/>
    <w:rsid w:val="726DD6B7"/>
    <w:rsid w:val="72B8EB90"/>
    <w:rsid w:val="72BB2944"/>
    <w:rsid w:val="72C3F250"/>
    <w:rsid w:val="72C8A142"/>
    <w:rsid w:val="72D302A4"/>
    <w:rsid w:val="730661A9"/>
    <w:rsid w:val="730DDE00"/>
    <w:rsid w:val="7311E8A0"/>
    <w:rsid w:val="7322D34A"/>
    <w:rsid w:val="733A7880"/>
    <w:rsid w:val="736D20B3"/>
    <w:rsid w:val="737676AC"/>
    <w:rsid w:val="737DBC28"/>
    <w:rsid w:val="738FD83F"/>
    <w:rsid w:val="7392927F"/>
    <w:rsid w:val="739616C9"/>
    <w:rsid w:val="73A6EC8A"/>
    <w:rsid w:val="73BFC728"/>
    <w:rsid w:val="73F9870C"/>
    <w:rsid w:val="74031FFA"/>
    <w:rsid w:val="74815E00"/>
    <w:rsid w:val="749ACCE6"/>
    <w:rsid w:val="74BEA3AB"/>
    <w:rsid w:val="74F53885"/>
    <w:rsid w:val="74FE5FC4"/>
    <w:rsid w:val="752D94F4"/>
    <w:rsid w:val="753814FE"/>
    <w:rsid w:val="7542CF12"/>
    <w:rsid w:val="755F5E1D"/>
    <w:rsid w:val="756295F8"/>
    <w:rsid w:val="75635801"/>
    <w:rsid w:val="75723911"/>
    <w:rsid w:val="75D8234D"/>
    <w:rsid w:val="75F08C52"/>
    <w:rsid w:val="75FCF73D"/>
    <w:rsid w:val="76653815"/>
    <w:rsid w:val="7688FB00"/>
    <w:rsid w:val="7695EFBF"/>
    <w:rsid w:val="769B977C"/>
    <w:rsid w:val="76A488B6"/>
    <w:rsid w:val="76C3F8BA"/>
    <w:rsid w:val="76CA2AC9"/>
    <w:rsid w:val="76D41E0C"/>
    <w:rsid w:val="771E75ED"/>
    <w:rsid w:val="77252718"/>
    <w:rsid w:val="773AC0BC"/>
    <w:rsid w:val="774555F3"/>
    <w:rsid w:val="776EF056"/>
    <w:rsid w:val="7773F3AE"/>
    <w:rsid w:val="77A231CB"/>
    <w:rsid w:val="77ADA413"/>
    <w:rsid w:val="77DE6184"/>
    <w:rsid w:val="78173BB9"/>
    <w:rsid w:val="781B3995"/>
    <w:rsid w:val="782481A9"/>
    <w:rsid w:val="782653ED"/>
    <w:rsid w:val="786535B6"/>
    <w:rsid w:val="787C2C5A"/>
    <w:rsid w:val="7881A70D"/>
    <w:rsid w:val="789DB081"/>
    <w:rsid w:val="78A1C8AA"/>
    <w:rsid w:val="79437385"/>
    <w:rsid w:val="796801C7"/>
    <w:rsid w:val="797411E4"/>
    <w:rsid w:val="797865B2"/>
    <w:rsid w:val="79ABC9C6"/>
    <w:rsid w:val="79CF82E5"/>
    <w:rsid w:val="7A1128B2"/>
    <w:rsid w:val="7A265D8C"/>
    <w:rsid w:val="7A4AF439"/>
    <w:rsid w:val="7A72617E"/>
    <w:rsid w:val="7A9186E8"/>
    <w:rsid w:val="7AA9F81F"/>
    <w:rsid w:val="7ACAAEA3"/>
    <w:rsid w:val="7AE2053F"/>
    <w:rsid w:val="7B1A7940"/>
    <w:rsid w:val="7B263C54"/>
    <w:rsid w:val="7B4EBD97"/>
    <w:rsid w:val="7B5008B7"/>
    <w:rsid w:val="7B54CEC6"/>
    <w:rsid w:val="7B86D3C3"/>
    <w:rsid w:val="7B8CC331"/>
    <w:rsid w:val="7B9A1824"/>
    <w:rsid w:val="7BA0CC79"/>
    <w:rsid w:val="7BD7CF06"/>
    <w:rsid w:val="7BEB572E"/>
    <w:rsid w:val="7BEEEA35"/>
    <w:rsid w:val="7BF946D4"/>
    <w:rsid w:val="7BFE28C3"/>
    <w:rsid w:val="7BFFBFAB"/>
    <w:rsid w:val="7C31EF73"/>
    <w:rsid w:val="7C65B995"/>
    <w:rsid w:val="7C9B92C6"/>
    <w:rsid w:val="7CB490E2"/>
    <w:rsid w:val="7CB76AB0"/>
    <w:rsid w:val="7D0192C6"/>
    <w:rsid w:val="7D19F7DF"/>
    <w:rsid w:val="7D1C1825"/>
    <w:rsid w:val="7D2B0F3B"/>
    <w:rsid w:val="7D2F3E88"/>
    <w:rsid w:val="7D445B26"/>
    <w:rsid w:val="7D4A182C"/>
    <w:rsid w:val="7D63467B"/>
    <w:rsid w:val="7D67BFA4"/>
    <w:rsid w:val="7D711083"/>
    <w:rsid w:val="7D9BBD58"/>
    <w:rsid w:val="7DCC7220"/>
    <w:rsid w:val="7E06465B"/>
    <w:rsid w:val="7E478307"/>
    <w:rsid w:val="7E795347"/>
    <w:rsid w:val="7E8184EE"/>
    <w:rsid w:val="7EC60794"/>
    <w:rsid w:val="7EC6DF9C"/>
    <w:rsid w:val="7EEF92A7"/>
    <w:rsid w:val="7F034DFF"/>
    <w:rsid w:val="7F699035"/>
    <w:rsid w:val="7F852A4D"/>
    <w:rsid w:val="7F894C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A08B"/>
  <w15:chartTrackingRefBased/>
  <w15:docId w15:val="{136A94CC-30E6-4004-A508-E577E8E3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23EB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023EB2"/>
    <w:pPr>
      <w:spacing w:after="0" w:line="240" w:lineRule="auto"/>
    </w:pPr>
    <w:rPr>
      <w:rFonts w:ascii="Times New Roman" w:eastAsiaTheme="minorEastAsia" w:hAnsi="Times New Roman" w:cs="Times New Roman"/>
      <w:noProof/>
      <w:sz w:val="20"/>
      <w:szCs w:val="20"/>
      <w:lang w:eastAsia="fr-FR"/>
    </w:rPr>
  </w:style>
  <w:style w:type="character" w:customStyle="1" w:styleId="EndnoteTextChar">
    <w:name w:val="Endnote Text Char"/>
    <w:basedOn w:val="DefaultParagraphFont"/>
    <w:link w:val="EndnoteText"/>
    <w:uiPriority w:val="99"/>
    <w:rsid w:val="00023EB2"/>
    <w:rPr>
      <w:rFonts w:ascii="Times New Roman" w:eastAsiaTheme="minorEastAsia" w:hAnsi="Times New Roman" w:cs="Times New Roman"/>
      <w:noProof/>
      <w:sz w:val="20"/>
      <w:szCs w:val="20"/>
      <w:lang w:eastAsia="fr-FR"/>
    </w:rPr>
  </w:style>
  <w:style w:type="character" w:styleId="EndnoteReference">
    <w:name w:val="endnote reference"/>
    <w:basedOn w:val="DefaultParagraphFont"/>
    <w:uiPriority w:val="99"/>
    <w:unhideWhenUsed/>
    <w:rsid w:val="00023EB2"/>
    <w:rPr>
      <w:vertAlign w:val="superscript"/>
    </w:rPr>
  </w:style>
  <w:style w:type="character" w:customStyle="1" w:styleId="FootnoteTextCharCharChar1">
    <w:name w:val="Footnote Text Char Char Char1"/>
    <w:aliases w:val="Footnote Text Char Char1,Footnote Text Char Char Char Char Char Char,Footnote Text Char Char Char Char,Footnote Text Char Char Char Char Cha Char Char Char,Footnote Text Char Char Char Char Cha Char Char,Footnote Text Char2"/>
    <w:basedOn w:val="DefaultParagraphFont"/>
    <w:rsid w:val="00937D4B"/>
    <w:rPr>
      <w:rFonts w:ascii="Garamond" w:hAnsi="Garamond"/>
      <w:lang w:val="en-GB" w:eastAsia="en-US" w:bidi="ar-SA"/>
    </w:rPr>
  </w:style>
  <w:style w:type="character" w:customStyle="1" w:styleId="sessionsubtitle">
    <w:name w:val="sessionsubtitle"/>
    <w:basedOn w:val="DefaultParagraphFont"/>
    <w:rsid w:val="00937D4B"/>
  </w:style>
  <w:style w:type="character" w:customStyle="1" w:styleId="UnresolvedMention">
    <w:name w:val="Unresolved Mention"/>
    <w:basedOn w:val="DefaultParagraphFont"/>
    <w:uiPriority w:val="99"/>
    <w:semiHidden/>
    <w:unhideWhenUsed/>
    <w:rsid w:val="001E0CA0"/>
    <w:rPr>
      <w:color w:val="605E5C"/>
      <w:shd w:val="clear" w:color="auto" w:fill="E1DFDD"/>
    </w:rPr>
  </w:style>
  <w:style w:type="character" w:styleId="FollowedHyperlink">
    <w:name w:val="FollowedHyperlink"/>
    <w:basedOn w:val="DefaultParagraphFont"/>
    <w:uiPriority w:val="99"/>
    <w:semiHidden/>
    <w:unhideWhenUsed/>
    <w:rsid w:val="001E0CA0"/>
    <w:rPr>
      <w:color w:val="954F72" w:themeColor="followedHyperlink"/>
      <w:u w:val="single"/>
    </w:rPr>
  </w:style>
  <w:style w:type="character" w:styleId="PageNumber">
    <w:name w:val="page number"/>
    <w:basedOn w:val="DefaultParagraphFont"/>
    <w:uiPriority w:val="99"/>
    <w:semiHidden/>
    <w:unhideWhenUsed/>
    <w:rsid w:val="006E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unfccc.int/news/gender-equality-on-the-rise-at-un-climate-meetings" TargetMode="External"/><Relationship Id="rId2" Type="http://schemas.openxmlformats.org/officeDocument/2006/relationships/hyperlink" Target="https://namati.org/wp-content/uploads/2019/07/Gender-Brief_English_Online-Version-.pdf" TargetMode="External"/><Relationship Id="rId1" Type="http://schemas.openxmlformats.org/officeDocument/2006/relationships/hyperlink" Target="https://www.youthpower.org/youthpower-issues/topics/what-works-youth-and-agriculture" TargetMode="External"/><Relationship Id="rId4" Type="http://schemas.openxmlformats.org/officeDocument/2006/relationships/hyperlink" Target="https://www.ohchr.org/Documents/HRBodies/CEDAW/RuralWomen/InternationalLandCoal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8FA689-466E-49E9-830C-0B5C0447F9D6}">
  <ds:schemaRefs>
    <ds:schemaRef ds:uri="http://schemas.openxmlformats.org/officeDocument/2006/bibliography"/>
  </ds:schemaRefs>
</ds:datastoreItem>
</file>

<file path=customXml/itemProps2.xml><?xml version="1.0" encoding="utf-8"?>
<ds:datastoreItem xmlns:ds="http://schemas.openxmlformats.org/officeDocument/2006/customXml" ds:itemID="{754BBE23-940D-4B3D-887A-CCA1526DD1FB}"/>
</file>

<file path=customXml/itemProps3.xml><?xml version="1.0" encoding="utf-8"?>
<ds:datastoreItem xmlns:ds="http://schemas.openxmlformats.org/officeDocument/2006/customXml" ds:itemID="{016B3A0F-0187-43D8-85AA-8FF7E26F634F}"/>
</file>

<file path=customXml/itemProps4.xml><?xml version="1.0" encoding="utf-8"?>
<ds:datastoreItem xmlns:ds="http://schemas.openxmlformats.org/officeDocument/2006/customXml" ds:itemID="{9BFEADF8-0C39-4FC9-B602-7E55682A8917}"/>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13208</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Jenkins-Goetz</dc:creator>
  <cp:keywords/>
  <dc:description/>
  <cp:lastModifiedBy>KIM Jung Rin</cp:lastModifiedBy>
  <cp:revision>2</cp:revision>
  <dcterms:created xsi:type="dcterms:W3CDTF">2021-08-16T13:58:00Z</dcterms:created>
  <dcterms:modified xsi:type="dcterms:W3CDTF">2021-08-16T13:58:00Z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