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6E7D0134" w14:textId="77777777" w:rsidTr="00A864AC">
        <w:trPr>
          <w:cantSplit/>
          <w:trHeight w:hRule="exact" w:val="851"/>
        </w:trPr>
        <w:tc>
          <w:tcPr>
            <w:tcW w:w="1276" w:type="dxa"/>
            <w:tcBorders>
              <w:bottom w:val="single" w:sz="4" w:space="0" w:color="auto"/>
            </w:tcBorders>
            <w:vAlign w:val="bottom"/>
          </w:tcPr>
          <w:p w14:paraId="2DC2CCD2" w14:textId="77777777" w:rsidR="00B56E9C" w:rsidRDefault="00B56E9C" w:rsidP="00A864AC">
            <w:pPr>
              <w:spacing w:after="80"/>
            </w:pPr>
          </w:p>
        </w:tc>
        <w:tc>
          <w:tcPr>
            <w:tcW w:w="2268" w:type="dxa"/>
            <w:tcBorders>
              <w:bottom w:val="single" w:sz="4" w:space="0" w:color="auto"/>
            </w:tcBorders>
            <w:vAlign w:val="bottom"/>
          </w:tcPr>
          <w:p w14:paraId="25386D28" w14:textId="7F5C0CDB" w:rsidR="00B56E9C" w:rsidRPr="00B97172" w:rsidRDefault="00B56E9C" w:rsidP="00A864AC">
            <w:pPr>
              <w:spacing w:after="80" w:line="300" w:lineRule="exact"/>
              <w:rPr>
                <w:b/>
                <w:sz w:val="24"/>
                <w:szCs w:val="24"/>
              </w:rPr>
            </w:pPr>
          </w:p>
        </w:tc>
        <w:tc>
          <w:tcPr>
            <w:tcW w:w="6095" w:type="dxa"/>
            <w:gridSpan w:val="2"/>
            <w:tcBorders>
              <w:bottom w:val="single" w:sz="4" w:space="0" w:color="auto"/>
            </w:tcBorders>
            <w:vAlign w:val="bottom"/>
          </w:tcPr>
          <w:p w14:paraId="00C05B58" w14:textId="77777777" w:rsidR="00B56E9C" w:rsidRPr="00D47EEA" w:rsidRDefault="008B5551" w:rsidP="008B5551">
            <w:pPr>
              <w:spacing w:after="20" w:line="240" w:lineRule="atLeast"/>
              <w:jc w:val="right"/>
            </w:pPr>
            <w:r w:rsidRPr="008B5551">
              <w:rPr>
                <w:sz w:val="40"/>
              </w:rPr>
              <w:t>HRI</w:t>
            </w:r>
            <w:r>
              <w:t>/2019/1</w:t>
            </w:r>
          </w:p>
        </w:tc>
      </w:tr>
      <w:tr w:rsidR="00B56E9C" w14:paraId="0CFBD31C" w14:textId="77777777" w:rsidTr="00A864AC">
        <w:trPr>
          <w:cantSplit/>
          <w:trHeight w:hRule="exact" w:val="2835"/>
        </w:trPr>
        <w:tc>
          <w:tcPr>
            <w:tcW w:w="1276" w:type="dxa"/>
            <w:tcBorders>
              <w:top w:val="single" w:sz="4" w:space="0" w:color="auto"/>
              <w:bottom w:val="single" w:sz="12" w:space="0" w:color="auto"/>
            </w:tcBorders>
          </w:tcPr>
          <w:p w14:paraId="4CA4179C" w14:textId="73AFC032" w:rsidR="00B56E9C" w:rsidRDefault="00B56E9C" w:rsidP="00A864AC">
            <w:pPr>
              <w:spacing w:before="120"/>
            </w:pPr>
          </w:p>
        </w:tc>
        <w:tc>
          <w:tcPr>
            <w:tcW w:w="5528" w:type="dxa"/>
            <w:gridSpan w:val="2"/>
            <w:tcBorders>
              <w:top w:val="single" w:sz="4" w:space="0" w:color="auto"/>
              <w:bottom w:val="single" w:sz="12" w:space="0" w:color="auto"/>
            </w:tcBorders>
          </w:tcPr>
          <w:p w14:paraId="4E2A9A75" w14:textId="5F3C15C5" w:rsidR="00B56E9C" w:rsidRPr="00267F5F" w:rsidRDefault="00332C83" w:rsidP="00A864AC">
            <w:pPr>
              <w:spacing w:before="120" w:line="380" w:lineRule="exact"/>
              <w:rPr>
                <w:sz w:val="34"/>
              </w:rPr>
            </w:pPr>
            <w:r>
              <w:rPr>
                <w:b/>
                <w:sz w:val="34"/>
                <w:szCs w:val="40"/>
              </w:rPr>
              <w:t>Advance Edited V</w:t>
            </w:r>
            <w:bookmarkStart w:id="0" w:name="_GoBack"/>
            <w:bookmarkEnd w:id="0"/>
            <w:r>
              <w:rPr>
                <w:b/>
                <w:sz w:val="34"/>
                <w:szCs w:val="40"/>
              </w:rPr>
              <w:t>ersion</w:t>
            </w:r>
          </w:p>
        </w:tc>
        <w:tc>
          <w:tcPr>
            <w:tcW w:w="2835" w:type="dxa"/>
            <w:tcBorders>
              <w:top w:val="single" w:sz="4" w:space="0" w:color="auto"/>
              <w:bottom w:val="single" w:sz="12" w:space="0" w:color="auto"/>
            </w:tcBorders>
          </w:tcPr>
          <w:p w14:paraId="53744BBA" w14:textId="77777777" w:rsidR="00B56E9C" w:rsidRDefault="008B5551" w:rsidP="008B5551">
            <w:pPr>
              <w:spacing w:before="240"/>
            </w:pPr>
            <w:r>
              <w:t>Distr.: General</w:t>
            </w:r>
          </w:p>
          <w:p w14:paraId="2F89F484" w14:textId="77777777" w:rsidR="008B5551" w:rsidRDefault="008B5551" w:rsidP="008B5551">
            <w:r>
              <w:t>14 May 2020</w:t>
            </w:r>
          </w:p>
          <w:p w14:paraId="5A762C8A" w14:textId="77777777" w:rsidR="008B5551" w:rsidRDefault="008B5551" w:rsidP="008B5551"/>
          <w:p w14:paraId="02979A01" w14:textId="77777777" w:rsidR="008B5551" w:rsidRDefault="008B5551" w:rsidP="008B5551">
            <w:pPr>
              <w:spacing w:line="240" w:lineRule="atLeast"/>
            </w:pPr>
            <w:r>
              <w:t>Original: English</w:t>
            </w:r>
          </w:p>
        </w:tc>
      </w:tr>
    </w:tbl>
    <w:p w14:paraId="33DE9C3C" w14:textId="77777777" w:rsidR="008B5551" w:rsidRPr="001E1290" w:rsidRDefault="008B5551" w:rsidP="008B5551">
      <w:pPr>
        <w:pStyle w:val="HChG"/>
        <w:rPr>
          <w:sz w:val="34"/>
          <w:szCs w:val="34"/>
        </w:rPr>
      </w:pPr>
      <w:r>
        <w:rPr>
          <w:sz w:val="34"/>
          <w:szCs w:val="34"/>
        </w:rPr>
        <w:tab/>
      </w:r>
      <w:r>
        <w:rPr>
          <w:sz w:val="34"/>
          <w:szCs w:val="34"/>
        </w:rPr>
        <w:tab/>
      </w:r>
      <w:r w:rsidRPr="001E1290">
        <w:rPr>
          <w:sz w:val="34"/>
          <w:szCs w:val="34"/>
        </w:rPr>
        <w:t>Statement on human rights and climate change</w:t>
      </w:r>
    </w:p>
    <w:p w14:paraId="7E1C8A11" w14:textId="77777777" w:rsidR="008B5551" w:rsidRPr="00AC2BE8" w:rsidRDefault="008B5551" w:rsidP="008B5551">
      <w:pPr>
        <w:pStyle w:val="H1G"/>
        <w:rPr>
          <w:lang w:val="en-US"/>
        </w:rPr>
      </w:pPr>
      <w:r>
        <w:tab/>
      </w:r>
      <w:r>
        <w:tab/>
      </w:r>
      <w:r w:rsidRPr="001C7093">
        <w:t xml:space="preserve">Joint statement by the </w:t>
      </w:r>
      <w:r w:rsidRPr="0056445E">
        <w:t xml:space="preserve">Committee on the Elimination of Discrimination </w:t>
      </w:r>
      <w:r>
        <w:t>a</w:t>
      </w:r>
      <w:r w:rsidRPr="0056445E">
        <w:t>gainst Women</w:t>
      </w:r>
      <w:r>
        <w:t xml:space="preserve">, the </w:t>
      </w:r>
      <w:r w:rsidRPr="0056445E">
        <w:t>Committee on Economic, Social and Cultural Rights</w:t>
      </w:r>
      <w:r>
        <w:t xml:space="preserve">, the </w:t>
      </w:r>
      <w:r w:rsidRPr="00AC2BE8">
        <w:rPr>
          <w:lang w:val="en-US"/>
        </w:rPr>
        <w:t xml:space="preserve">Committee on the Protection of the Rights of All Migrant Workers and Members of </w:t>
      </w:r>
      <w:r>
        <w:rPr>
          <w:lang w:val="en-US"/>
        </w:rPr>
        <w:t>T</w:t>
      </w:r>
      <w:r w:rsidRPr="00AC2BE8">
        <w:rPr>
          <w:lang w:val="en-US"/>
        </w:rPr>
        <w:t>heir Families</w:t>
      </w:r>
      <w:r>
        <w:rPr>
          <w:lang w:val="en-US"/>
        </w:rPr>
        <w:t xml:space="preserve">, the </w:t>
      </w:r>
      <w:r w:rsidRPr="00B2182D">
        <w:t xml:space="preserve">Committee on the Rights of </w:t>
      </w:r>
      <w:r w:rsidRPr="00B2182D">
        <w:rPr>
          <w:rFonts w:hint="eastAsia"/>
        </w:rPr>
        <w:t xml:space="preserve">the </w:t>
      </w:r>
      <w:r w:rsidRPr="00B2182D">
        <w:t>Child</w:t>
      </w:r>
      <w:r>
        <w:t xml:space="preserve"> and</w:t>
      </w:r>
      <w:r w:rsidRPr="00B2182D">
        <w:t xml:space="preserve"> </w:t>
      </w:r>
      <w:r>
        <w:t xml:space="preserve">the </w:t>
      </w:r>
      <w:r>
        <w:rPr>
          <w:lang w:val="en-US"/>
        </w:rPr>
        <w:t>Committee on the Rights of Persons with Disabilities</w:t>
      </w:r>
    </w:p>
    <w:p w14:paraId="27E9AECB" w14:textId="77777777" w:rsidR="008B5551" w:rsidRPr="00064566" w:rsidRDefault="008B5551" w:rsidP="008B5551">
      <w:pPr>
        <w:pStyle w:val="SingleTxtG"/>
      </w:pPr>
      <w:r w:rsidRPr="00064566">
        <w:t>1.</w:t>
      </w:r>
      <w:r w:rsidRPr="00064566">
        <w:tab/>
        <w:t xml:space="preserve">The Committee on the Elimination of Discrimination against Women, the Committee on Economic, Social and Cultural Rights, the Committee on the Protection of the Rights of All Migrant Workers and Members of </w:t>
      </w:r>
      <w:r>
        <w:t>T</w:t>
      </w:r>
      <w:r w:rsidRPr="00064566">
        <w:t>heir Families, the Committee on the Rights of the Child and the Committee on the Rights of Persons with Disabilities welcome the convening of the Climate Action Summit by the U</w:t>
      </w:r>
      <w:r>
        <w:t xml:space="preserve">nited Nations </w:t>
      </w:r>
      <w:r w:rsidRPr="00064566">
        <w:t>Secretary</w:t>
      </w:r>
      <w:r>
        <w:t>-</w:t>
      </w:r>
      <w:r w:rsidRPr="00064566">
        <w:t xml:space="preserve">General in September 2019, to mobilize </w:t>
      </w:r>
      <w:r>
        <w:t>more ambitious</w:t>
      </w:r>
      <w:r w:rsidRPr="006E4CA2">
        <w:t xml:space="preserve"> </w:t>
      </w:r>
      <w:r w:rsidRPr="00DB7A54">
        <w:t>emissions reduction</w:t>
      </w:r>
      <w:r>
        <w:t xml:space="preserve"> </w:t>
      </w:r>
      <w:r w:rsidRPr="00064566">
        <w:t xml:space="preserve">plans and actions. </w:t>
      </w:r>
      <w:r>
        <w:t>The Committees</w:t>
      </w:r>
      <w:r w:rsidRPr="00064566">
        <w:t xml:space="preserve"> urge all States to take into consideration their human rights obligations as they review their climate commitments.</w:t>
      </w:r>
    </w:p>
    <w:p w14:paraId="4AE36050" w14:textId="77777777" w:rsidR="008B5551" w:rsidRPr="008B5551" w:rsidRDefault="008B5551" w:rsidP="008B5551">
      <w:pPr>
        <w:pStyle w:val="SingleTxtG"/>
        <w:rPr>
          <w:rStyle w:val="FootnoteReference"/>
        </w:rPr>
      </w:pPr>
      <w:r w:rsidRPr="008B5551">
        <w:t>2.</w:t>
      </w:r>
      <w:r w:rsidRPr="008B5551">
        <w:tab/>
      </w:r>
      <w:r w:rsidRPr="00064566">
        <w:t xml:space="preserve">The Committees </w:t>
      </w:r>
      <w:r>
        <w:t xml:space="preserve">also </w:t>
      </w:r>
      <w:r w:rsidRPr="00064566">
        <w:t>welcome the work of the international scientific community to further understand the implications of climate change and the solutions that could contribute to avoiding the most dangerous impacts of climate change. The Committees welcome in particular the report released in 2018 by the Intergovernmental Panel on Climate Change on global warming of 1.5°C</w:t>
      </w:r>
      <w:r w:rsidRPr="00C04055">
        <w:t xml:space="preserve"> </w:t>
      </w:r>
      <w:r w:rsidRPr="00880D3C">
        <w:t>above pre-industrial levels</w:t>
      </w:r>
      <w:r w:rsidRPr="00064566">
        <w:t>.</w:t>
      </w:r>
      <w:r w:rsidRPr="008B5551">
        <w:rPr>
          <w:rStyle w:val="FootnoteReference"/>
        </w:rPr>
        <w:footnoteReference w:id="2"/>
      </w:r>
    </w:p>
    <w:p w14:paraId="0FF2AA3E" w14:textId="77777777" w:rsidR="008B5551" w:rsidRPr="008B5551" w:rsidRDefault="008B5551" w:rsidP="008B5551">
      <w:pPr>
        <w:pStyle w:val="SingleTxtG"/>
        <w:rPr>
          <w:rStyle w:val="FootnoteReference"/>
        </w:rPr>
      </w:pPr>
      <w:r w:rsidRPr="008B5551">
        <w:t>3.</w:t>
      </w:r>
      <w:r w:rsidRPr="008B5551">
        <w:tab/>
      </w:r>
      <w:r w:rsidRPr="00064566">
        <w:t>Th</w:t>
      </w:r>
      <w:r>
        <w:t>at</w:t>
      </w:r>
      <w:r w:rsidRPr="00064566">
        <w:t xml:space="preserve"> report confirms that climate change poses significant risks to the enjoyment of the human rights protected </w:t>
      </w:r>
      <w:r>
        <w:t>in</w:t>
      </w:r>
      <w:r w:rsidRPr="00064566">
        <w:t xml:space="preserve"> the Convention on the Elimination of </w:t>
      </w:r>
      <w:r>
        <w:t>A</w:t>
      </w:r>
      <w:r w:rsidRPr="00064566">
        <w:t xml:space="preserve">ll Forms of Discrimination </w:t>
      </w:r>
      <w:r>
        <w:t>a</w:t>
      </w:r>
      <w:r w:rsidRPr="00064566">
        <w:t xml:space="preserve">gainst Women, the International Covenant on Economic, Social and Cultural Rights, the </w:t>
      </w:r>
      <w:hyperlink r:id="rId7" w:tooltip="International Convention on the Protection of the Rights of All Migrant Workers and Members of Their Familie" w:history="1">
        <w:r w:rsidRPr="00064566">
          <w:t>International Convention on the Protection of the Rights of All Migrant Workers and Members of Their Families</w:t>
        </w:r>
      </w:hyperlink>
      <w:r w:rsidRPr="00064566">
        <w:t>, the Convention on the Rights of the Child, and the Convention on the Rights of Persons with Disabilities. The adverse impacts identified in the report threaten, among others, the right</w:t>
      </w:r>
      <w:r>
        <w:t>s</w:t>
      </w:r>
      <w:r w:rsidRPr="00064566">
        <w:t xml:space="preserve"> to life, to adequate food, to adequate housing, to health</w:t>
      </w:r>
      <w:r>
        <w:t xml:space="preserve"> and</w:t>
      </w:r>
      <w:r w:rsidRPr="00064566">
        <w:t xml:space="preserve"> to water</w:t>
      </w:r>
      <w:r>
        <w:t>,</w:t>
      </w:r>
      <w:r w:rsidRPr="00064566">
        <w:t xml:space="preserve"> and cultural rights. These negative impacts are also illustrated in the damage suffered by ecosystems</w:t>
      </w:r>
      <w:r>
        <w:t>,</w:t>
      </w:r>
      <w:r w:rsidRPr="00064566">
        <w:t xml:space="preserve"> which in turn affect the enjoyment of human rights.</w:t>
      </w:r>
      <w:r w:rsidRPr="008B5551">
        <w:rPr>
          <w:rStyle w:val="FootnoteReference"/>
        </w:rPr>
        <w:footnoteReference w:id="3"/>
      </w:r>
      <w:r w:rsidRPr="00BF61AC">
        <w:t xml:space="preserve"> </w:t>
      </w:r>
      <w:r w:rsidRPr="00064566">
        <w:t>The risk of harm is particularly high for those se</w:t>
      </w:r>
      <w:r>
        <w:t>ctors</w:t>
      </w:r>
      <w:r w:rsidRPr="00064566">
        <w:t xml:space="preserve"> of the population </w:t>
      </w:r>
      <w:r>
        <w:t xml:space="preserve">that are </w:t>
      </w:r>
      <w:r w:rsidRPr="00064566">
        <w:t>already marginali</w:t>
      </w:r>
      <w:r>
        <w:t>z</w:t>
      </w:r>
      <w:r w:rsidRPr="00064566">
        <w:t xml:space="preserve">ed or in vulnerable situations or that, </w:t>
      </w:r>
      <w:r>
        <w:t>owing</w:t>
      </w:r>
      <w:r w:rsidRPr="00064566">
        <w:t xml:space="preserve"> to discrimination and pre-existing inequalities, have limited access to decision-making or resources, such as women, children, persons with disabilities, indigenous peoples and persons living in rural areas.</w:t>
      </w:r>
      <w:r w:rsidRPr="008B5551">
        <w:rPr>
          <w:rStyle w:val="FootnoteReference"/>
        </w:rPr>
        <w:footnoteReference w:id="4"/>
      </w:r>
      <w:r w:rsidRPr="00BF61AC">
        <w:t xml:space="preserve"> </w:t>
      </w:r>
      <w:r w:rsidRPr="00064566">
        <w:t xml:space="preserve">Children are </w:t>
      </w:r>
      <w:r>
        <w:lastRenderedPageBreak/>
        <w:t xml:space="preserve">at a </w:t>
      </w:r>
      <w:r w:rsidRPr="00064566">
        <w:t xml:space="preserve">particularly heightened risk of harm to their health, </w:t>
      </w:r>
      <w:r>
        <w:t>owing</w:t>
      </w:r>
      <w:r w:rsidRPr="00064566">
        <w:t xml:space="preserve"> to the immaturity of their body systems.</w:t>
      </w:r>
      <w:r w:rsidRPr="008B5551">
        <w:rPr>
          <w:rStyle w:val="FootnoteReference"/>
        </w:rPr>
        <w:footnoteReference w:id="5"/>
      </w:r>
    </w:p>
    <w:p w14:paraId="6B79C372" w14:textId="77777777" w:rsidR="008B5551" w:rsidRPr="00064566" w:rsidRDefault="008B5551" w:rsidP="008B5551">
      <w:pPr>
        <w:pStyle w:val="SingleTxtG"/>
      </w:pPr>
      <w:r w:rsidRPr="00064566">
        <w:t>4.</w:t>
      </w:r>
      <w:r w:rsidRPr="00064566">
        <w:tab/>
        <w:t xml:space="preserve">As reflected </w:t>
      </w:r>
      <w:r>
        <w:t xml:space="preserve">by the </w:t>
      </w:r>
      <w:r w:rsidRPr="00064566">
        <w:t xml:space="preserve">Committee on the Elimination of Discrimination against Women </w:t>
      </w:r>
      <w:r>
        <w:t>in its g</w:t>
      </w:r>
      <w:r w:rsidRPr="00064566">
        <w:t xml:space="preserve">eneral </w:t>
      </w:r>
      <w:r>
        <w:t>r</w:t>
      </w:r>
      <w:r w:rsidRPr="00064566">
        <w:t xml:space="preserve">ecommendation </w:t>
      </w:r>
      <w:r>
        <w:t xml:space="preserve">No. </w:t>
      </w:r>
      <w:r w:rsidRPr="00064566">
        <w:t>37 (</w:t>
      </w:r>
      <w:r>
        <w:t>2018</w:t>
      </w:r>
      <w:r w:rsidRPr="00064566">
        <w:t>)</w:t>
      </w:r>
      <w:r>
        <w:t xml:space="preserve"> on the gender-related dimensions of disaster risk reduction in the context of climate change</w:t>
      </w:r>
      <w:r w:rsidRPr="00064566">
        <w:t xml:space="preserve">, climate change and disasters affect women and men, girls and boys differently, with many women and girls facing disproportionate risks and impacts on their health, safety and livelihoods. Situations of crisis exacerbate pre-existing gender inequalities and compound </w:t>
      </w:r>
      <w:r>
        <w:t xml:space="preserve">the </w:t>
      </w:r>
      <w:r w:rsidRPr="00064566">
        <w:t>intersecting forms of discrimination that</w:t>
      </w:r>
      <w:r w:rsidRPr="006E4CA2">
        <w:t xml:space="preserve"> </w:t>
      </w:r>
      <w:r>
        <w:t>disproportionately</w:t>
      </w:r>
      <w:r w:rsidRPr="00064566">
        <w:t xml:space="preserve"> affect disadvantaged groups of women and girls, particularly those with disabilities.</w:t>
      </w:r>
      <w:r>
        <w:t xml:space="preserve"> Moreover,</w:t>
      </w:r>
      <w:r w:rsidRPr="00064566">
        <w:t xml:space="preserve"> climate change and disasters, including pandemics, influence the prevalence, distribution and severity of new and re-emerging diseases. The susceptibility of women and girls to disease is heightened as a result of inequalities in access to food, nutrition and health care a</w:t>
      </w:r>
      <w:r>
        <w:t>nd</w:t>
      </w:r>
      <w:r w:rsidRPr="00064566">
        <w:t xml:space="preserve"> </w:t>
      </w:r>
      <w:r>
        <w:t xml:space="preserve">the </w:t>
      </w:r>
      <w:r w:rsidRPr="00064566">
        <w:t>social expectations that women will act as primary caregivers for children, the elderly and the sick.</w:t>
      </w:r>
    </w:p>
    <w:p w14:paraId="394BCBB9" w14:textId="77777777" w:rsidR="008B5551" w:rsidRPr="00064566" w:rsidRDefault="008B5551" w:rsidP="008B5551">
      <w:pPr>
        <w:pStyle w:val="SingleTxtG"/>
      </w:pPr>
      <w:r w:rsidRPr="00064566">
        <w:t>5.</w:t>
      </w:r>
      <w:r w:rsidRPr="00064566">
        <w:tab/>
        <w:t xml:space="preserve">Such adverse impacts on human rights are already occurring </w:t>
      </w:r>
      <w:r>
        <w:t>with</w:t>
      </w:r>
      <w:r w:rsidRPr="00064566">
        <w:t xml:space="preserve"> 1°C of </w:t>
      </w:r>
      <w:r>
        <w:t xml:space="preserve">global </w:t>
      </w:r>
      <w:r w:rsidRPr="00064566">
        <w:t>warming</w:t>
      </w:r>
      <w:r>
        <w:t>;</w:t>
      </w:r>
      <w:r w:rsidRPr="00064566">
        <w:t xml:space="preserve"> every additional increase in temperature will further undermine the realization of rights. The </w:t>
      </w:r>
      <w:r>
        <w:t xml:space="preserve">report of the </w:t>
      </w:r>
      <w:r w:rsidRPr="00064566">
        <w:t>Intergovernmental Panel on Climate Change makes it clear that</w:t>
      </w:r>
      <w:r>
        <w:t>, in order</w:t>
      </w:r>
      <w:r w:rsidRPr="00064566">
        <w:t xml:space="preserve"> to avoid the risk of irreversible and large-scale systemic impacts, urgent and decisive climate action is required.</w:t>
      </w:r>
    </w:p>
    <w:p w14:paraId="2BD353D9" w14:textId="77777777" w:rsidR="008B5551" w:rsidRPr="00064566" w:rsidRDefault="008B5551" w:rsidP="008B5551">
      <w:pPr>
        <w:pStyle w:val="SingleTxtG"/>
      </w:pPr>
      <w:r w:rsidRPr="00064566">
        <w:t>6.</w:t>
      </w:r>
      <w:r w:rsidRPr="00064566">
        <w:tab/>
        <w:t xml:space="preserve">The report </w:t>
      </w:r>
      <w:r>
        <w:t xml:space="preserve">of the </w:t>
      </w:r>
      <w:r w:rsidRPr="00064566">
        <w:t xml:space="preserve">Intergovernmental Panel on Climate Change </w:t>
      </w:r>
      <w:r>
        <w:t>also</w:t>
      </w:r>
      <w:r w:rsidRPr="00064566">
        <w:t xml:space="preserve"> highlights</w:t>
      </w:r>
      <w:r>
        <w:t xml:space="preserve"> the fact</w:t>
      </w:r>
      <w:r w:rsidRPr="00064566">
        <w:t xml:space="preserve"> that adequate action to mitigate climate change would have significant social, environmental and economic benefits. </w:t>
      </w:r>
      <w:r>
        <w:t>The Panel</w:t>
      </w:r>
      <w:r w:rsidRPr="00064566">
        <w:t xml:space="preserve"> warns of the risk of social and environmental damage resulting from poorly designed climate measures, thereby highlighting the importance for human rights norms to be applied at every stage of the decision-making process of climate policies.</w:t>
      </w:r>
    </w:p>
    <w:p w14:paraId="654464ED" w14:textId="77777777" w:rsidR="008B5551" w:rsidRPr="00064566" w:rsidRDefault="008B5551" w:rsidP="008B5551">
      <w:pPr>
        <w:pStyle w:val="SingleTxtG"/>
      </w:pPr>
      <w:r w:rsidRPr="00064566">
        <w:t>7.</w:t>
      </w:r>
      <w:r w:rsidRPr="00064566">
        <w:tab/>
        <w:t xml:space="preserve">As emphasized </w:t>
      </w:r>
      <w:r>
        <w:t xml:space="preserve">by </w:t>
      </w:r>
      <w:bookmarkStart w:id="2" w:name="_Hlk17275646"/>
      <w:r w:rsidRPr="00064566">
        <w:t xml:space="preserve">the Committee on Economic, Social and Cultural Rights in </w:t>
      </w:r>
      <w:r>
        <w:t>its</w:t>
      </w:r>
      <w:r w:rsidRPr="00064566">
        <w:t xml:space="preserve"> </w:t>
      </w:r>
      <w:r>
        <w:t>2018 s</w:t>
      </w:r>
      <w:r w:rsidRPr="00064566">
        <w:t xml:space="preserve">tatement on </w:t>
      </w:r>
      <w:r>
        <w:t>c</w:t>
      </w:r>
      <w:r w:rsidRPr="00064566">
        <w:t xml:space="preserve">limate </w:t>
      </w:r>
      <w:r>
        <w:t>c</w:t>
      </w:r>
      <w:r w:rsidRPr="00064566">
        <w:t>hange and the International Covenant on Economic, Social and Cultural Rights</w:t>
      </w:r>
      <w:bookmarkEnd w:id="2"/>
      <w:r w:rsidRPr="00064566">
        <w:t xml:space="preserve">, human rights mechanisms have an </w:t>
      </w:r>
      <w:r>
        <w:t>essential</w:t>
      </w:r>
      <w:r w:rsidRPr="00064566">
        <w:t xml:space="preserve"> role to play in ensuring that States avoid taking measures that could accelerate climate change, and that they dedicate the maximum available resources to the adoption of measures aimed at mitigating climate change. </w:t>
      </w:r>
      <w:r>
        <w:t>In its statement, the Committee</w:t>
      </w:r>
      <w:r w:rsidRPr="00064566">
        <w:t xml:space="preserve"> </w:t>
      </w:r>
      <w:r>
        <w:t xml:space="preserve">also </w:t>
      </w:r>
      <w:r w:rsidRPr="00064566">
        <w:t xml:space="preserve">welcomed </w:t>
      </w:r>
      <w:r>
        <w:t xml:space="preserve">the fact </w:t>
      </w:r>
      <w:r w:rsidRPr="00064566">
        <w:t>that national judiciary and human rights institutions are increasingly engaged in ensuring that States comply with their duties under existing human rights instruments to combat climate change.</w:t>
      </w:r>
    </w:p>
    <w:p w14:paraId="0BE0C1AD" w14:textId="77777777" w:rsidR="008B5551" w:rsidRPr="00064566" w:rsidRDefault="008B5551" w:rsidP="008B5551">
      <w:pPr>
        <w:pStyle w:val="H23G"/>
      </w:pPr>
      <w:r>
        <w:tab/>
      </w:r>
      <w:r>
        <w:tab/>
      </w:r>
      <w:r w:rsidRPr="00064566">
        <w:t xml:space="preserve">Agency and </w:t>
      </w:r>
      <w:r>
        <w:t>c</w:t>
      </w:r>
      <w:r w:rsidRPr="00064566">
        <w:t xml:space="preserve">limate </w:t>
      </w:r>
      <w:r>
        <w:t>a</w:t>
      </w:r>
      <w:r w:rsidRPr="00064566">
        <w:t>ction</w:t>
      </w:r>
    </w:p>
    <w:p w14:paraId="4872BAB3" w14:textId="77777777" w:rsidR="008B5551" w:rsidRPr="00064566" w:rsidRDefault="008B5551" w:rsidP="008B5551">
      <w:pPr>
        <w:pStyle w:val="SingleTxtG"/>
      </w:pPr>
      <w:r w:rsidRPr="00064566">
        <w:t>8.</w:t>
      </w:r>
      <w:r w:rsidRPr="00064566">
        <w:tab/>
        <w:t>Women, children and other persons</w:t>
      </w:r>
      <w:r>
        <w:t>,</w:t>
      </w:r>
      <w:r w:rsidRPr="00064566">
        <w:t xml:space="preserve"> such as persons with disabilities, should not be seen only as victims or in terms of vulnerability. They should be recogni</w:t>
      </w:r>
      <w:r>
        <w:t>z</w:t>
      </w:r>
      <w:r w:rsidRPr="00064566">
        <w:t>ed as agents of change and essential partners in local, national and international efforts to tackle climate change.</w:t>
      </w:r>
      <w:r w:rsidRPr="008B5551">
        <w:rPr>
          <w:rStyle w:val="FootnoteReference"/>
        </w:rPr>
        <w:footnoteReference w:id="6"/>
      </w:r>
      <w:r w:rsidRPr="00BF61AC">
        <w:t xml:space="preserve"> </w:t>
      </w:r>
      <w:r w:rsidRPr="00064566">
        <w:t>The Committees emphasi</w:t>
      </w:r>
      <w:r>
        <w:t>z</w:t>
      </w:r>
      <w:r w:rsidRPr="00064566">
        <w:t>e that States must guarantee the</w:t>
      </w:r>
      <w:r>
        <w:t>se individuals’</w:t>
      </w:r>
      <w:r w:rsidRPr="00064566">
        <w:t xml:space="preserve"> human right to participate</w:t>
      </w:r>
      <w:r w:rsidRPr="008B5551">
        <w:rPr>
          <w:rStyle w:val="FootnoteReference"/>
        </w:rPr>
        <w:footnoteReference w:id="7"/>
      </w:r>
      <w:r w:rsidRPr="00BF61AC">
        <w:t xml:space="preserve"> </w:t>
      </w:r>
      <w:r w:rsidRPr="00064566">
        <w:t>in climate policymaking and that</w:t>
      </w:r>
      <w:r>
        <w:t>,</w:t>
      </w:r>
      <w:r w:rsidRPr="00064566">
        <w:t xml:space="preserve"> given the scale and complexity of the climate challenge, States must ensure </w:t>
      </w:r>
      <w:r>
        <w:t xml:space="preserve">that they take </w:t>
      </w:r>
      <w:r w:rsidRPr="00064566">
        <w:t xml:space="preserve">an inclusive multi-stakeholder approach </w:t>
      </w:r>
      <w:r>
        <w:t>that</w:t>
      </w:r>
      <w:r w:rsidRPr="00064566">
        <w:t xml:space="preserve"> harnesses the ideas, energy and ingenuity of all stakeholders.</w:t>
      </w:r>
    </w:p>
    <w:p w14:paraId="74714F59" w14:textId="77777777" w:rsidR="008B5551" w:rsidRPr="00064566" w:rsidRDefault="008B5551" w:rsidP="008B5551">
      <w:pPr>
        <w:pStyle w:val="SingleTxtG"/>
      </w:pPr>
      <w:r w:rsidRPr="00064566">
        <w:t>9.</w:t>
      </w:r>
      <w:r w:rsidRPr="00064566">
        <w:tab/>
        <w:t>The Committees welcome international cooperation to tackle climate change under the auspices of the U</w:t>
      </w:r>
      <w:r>
        <w:t xml:space="preserve">nited </w:t>
      </w:r>
      <w:r w:rsidRPr="00064566">
        <w:t>N</w:t>
      </w:r>
      <w:r>
        <w:t>ations</w:t>
      </w:r>
      <w:r w:rsidRPr="00064566">
        <w:t xml:space="preserve"> Framework Convention on Climate Change and the Paris Agreement, a</w:t>
      </w:r>
      <w:r>
        <w:t>nd</w:t>
      </w:r>
      <w:r w:rsidRPr="00064566">
        <w:t xml:space="preserve"> the national commitments and contributions made by all individual States to mitigate climate change. </w:t>
      </w:r>
      <w:r>
        <w:t>They</w:t>
      </w:r>
      <w:r w:rsidRPr="00064566">
        <w:t xml:space="preserve"> </w:t>
      </w:r>
      <w:r>
        <w:t xml:space="preserve">also </w:t>
      </w:r>
      <w:r w:rsidRPr="00064566">
        <w:t>welcome the mobili</w:t>
      </w:r>
      <w:r>
        <w:t>z</w:t>
      </w:r>
      <w:r w:rsidRPr="00064566">
        <w:t>ation by civil society, particular</w:t>
      </w:r>
      <w:r>
        <w:t>ly</w:t>
      </w:r>
      <w:r w:rsidRPr="00064566">
        <w:t xml:space="preserve"> women, children and you</w:t>
      </w:r>
      <w:r>
        <w:t>ng people</w:t>
      </w:r>
      <w:r w:rsidRPr="00064566">
        <w:t xml:space="preserve">, </w:t>
      </w:r>
      <w:r>
        <w:t xml:space="preserve">to </w:t>
      </w:r>
      <w:r w:rsidRPr="00064566">
        <w:t>urg</w:t>
      </w:r>
      <w:r>
        <w:t>e</w:t>
      </w:r>
      <w:r w:rsidRPr="00064566">
        <w:t xml:space="preserve"> </w:t>
      </w:r>
      <w:r>
        <w:t>G</w:t>
      </w:r>
      <w:r w:rsidRPr="00064566">
        <w:t xml:space="preserve">overnments to take more </w:t>
      </w:r>
      <w:r w:rsidRPr="00064566">
        <w:lastRenderedPageBreak/>
        <w:t>ambitious climate action. However, the Committees note with great concern that States</w:t>
      </w:r>
      <w:r>
        <w:t>’</w:t>
      </w:r>
      <w:r w:rsidRPr="00064566">
        <w:t xml:space="preserve"> current commitments under the Paris Agreement are insufficient to limit global warming to 1.5°C</w:t>
      </w:r>
      <w:r w:rsidRPr="00C04055">
        <w:t xml:space="preserve"> </w:t>
      </w:r>
      <w:r w:rsidRPr="00880D3C">
        <w:t>above pre-industrial levels</w:t>
      </w:r>
      <w:r>
        <w:t>,</w:t>
      </w:r>
      <w:r w:rsidRPr="008B5551">
        <w:rPr>
          <w:rStyle w:val="FootnoteReference"/>
        </w:rPr>
        <w:footnoteReference w:id="8"/>
      </w:r>
      <w:r w:rsidRPr="008B5551">
        <w:rPr>
          <w:rStyle w:val="FootnoteReference"/>
        </w:rPr>
        <w:t xml:space="preserve"> </w:t>
      </w:r>
      <w:r w:rsidRPr="00064566">
        <w:t xml:space="preserve">and that many States are not on track to meet their commitments. Consequently, States are exposing their populations and future generations to the significant threats to human rights associated with greater temperature increases. </w:t>
      </w:r>
    </w:p>
    <w:p w14:paraId="39FDFFDF" w14:textId="77777777" w:rsidR="008B5551" w:rsidRPr="00064566" w:rsidRDefault="008B5551" w:rsidP="008B5551">
      <w:pPr>
        <w:pStyle w:val="H23G"/>
      </w:pPr>
      <w:r>
        <w:tab/>
      </w:r>
      <w:r>
        <w:tab/>
      </w:r>
      <w:r w:rsidRPr="003D3128">
        <w:t>States</w:t>
      </w:r>
      <w:r>
        <w:t>’</w:t>
      </w:r>
      <w:r w:rsidRPr="003D3128">
        <w:t xml:space="preserve"> human rights obligations</w:t>
      </w:r>
      <w:r w:rsidRPr="00064566">
        <w:t xml:space="preserve"> </w:t>
      </w:r>
    </w:p>
    <w:p w14:paraId="604DCF46" w14:textId="5C6A47CE" w:rsidR="008B5551" w:rsidRPr="008B5551" w:rsidRDefault="008B5551" w:rsidP="008B5551">
      <w:pPr>
        <w:pStyle w:val="SingleTxtG"/>
        <w:rPr>
          <w:rStyle w:val="FootnoteReference"/>
        </w:rPr>
      </w:pPr>
      <w:r w:rsidRPr="008B5551">
        <w:t>10.</w:t>
      </w:r>
      <w:r w:rsidRPr="008B5551">
        <w:tab/>
      </w:r>
      <w:r w:rsidRPr="00064566">
        <w:t xml:space="preserve">Under the Convention on the Elimination of </w:t>
      </w:r>
      <w:r>
        <w:t>A</w:t>
      </w:r>
      <w:r w:rsidRPr="00064566">
        <w:t xml:space="preserve">ll Forms of Discrimination </w:t>
      </w:r>
      <w:r>
        <w:t>a</w:t>
      </w:r>
      <w:r w:rsidRPr="00064566">
        <w:t>gainst Women, the International Covenant on Economic, Social and Cultural Rights, the International Convention on the Protection of the Rights of All Migrant Workers and Members of Their Families, the Convention on the Rights of the Child, and the Convention on the Rights of Persons with Disabilities, State</w:t>
      </w:r>
      <w:r w:rsidR="00957B82">
        <w:t>s</w:t>
      </w:r>
      <w:r w:rsidRPr="00064566">
        <w:t xml:space="preserve"> parties have obligations, including extraterritorial obligations, to respect, protect and fulfil all human rights of all peoples.</w:t>
      </w:r>
      <w:r w:rsidRPr="008B5551">
        <w:rPr>
          <w:rStyle w:val="FootnoteReference"/>
        </w:rPr>
        <w:footnoteReference w:id="9"/>
      </w:r>
      <w:r w:rsidRPr="00BF61AC">
        <w:t xml:space="preserve"> </w:t>
      </w:r>
      <w:r w:rsidRPr="00064566">
        <w:t xml:space="preserve">Failure to take measures to prevent foreseeable harm </w:t>
      </w:r>
      <w:r>
        <w:t xml:space="preserve">to </w:t>
      </w:r>
      <w:r w:rsidRPr="00064566">
        <w:t>human rights caused by climate change, or to regulate activities contributing to such harm, could constitute a violation of States</w:t>
      </w:r>
      <w:r>
        <w:t>’</w:t>
      </w:r>
      <w:r w:rsidRPr="00064566">
        <w:t xml:space="preserve"> human rights obligations.</w:t>
      </w:r>
      <w:r w:rsidRPr="008B5551">
        <w:rPr>
          <w:rStyle w:val="FootnoteReference"/>
        </w:rPr>
        <w:footnoteReference w:id="10"/>
      </w:r>
    </w:p>
    <w:p w14:paraId="2415924A" w14:textId="77777777" w:rsidR="008B5551" w:rsidRPr="008B5551" w:rsidRDefault="008B5551" w:rsidP="008B5551">
      <w:pPr>
        <w:pStyle w:val="SingleTxtG"/>
        <w:rPr>
          <w:rStyle w:val="FootnoteReference"/>
        </w:rPr>
      </w:pPr>
      <w:r w:rsidRPr="008B5551">
        <w:t>11.</w:t>
      </w:r>
      <w:r w:rsidRPr="008B5551">
        <w:tab/>
      </w:r>
      <w:r w:rsidRPr="00684E3E">
        <w:t>In order for States to comply</w:t>
      </w:r>
      <w:r w:rsidRPr="00064566">
        <w:t xml:space="preserve"> with their human rights obligations and to realize the objectives of the Paris Agreement, they must adopt and implement policies aimed at reducing emissions</w:t>
      </w:r>
      <w:r>
        <w:t xml:space="preserve">. These policies must </w:t>
      </w:r>
      <w:r w:rsidRPr="00064566">
        <w:t>reflect the highest possible ambition, foster climate resilience and ensure that public and private investments are consistent with a pathway towards low carbon emissions and climate resilient development.</w:t>
      </w:r>
      <w:r w:rsidRPr="008B5551">
        <w:rPr>
          <w:rStyle w:val="FootnoteReference"/>
        </w:rPr>
        <w:footnoteReference w:id="11"/>
      </w:r>
    </w:p>
    <w:p w14:paraId="6A99DCE6" w14:textId="77777777" w:rsidR="008B5551" w:rsidRPr="00064566" w:rsidRDefault="008B5551" w:rsidP="008B5551">
      <w:pPr>
        <w:pStyle w:val="SingleTxtG"/>
      </w:pPr>
      <w:r w:rsidRPr="00064566">
        <w:t>12.</w:t>
      </w:r>
      <w:r w:rsidRPr="00064566">
        <w:tab/>
      </w:r>
      <w:r>
        <w:t>In their</w:t>
      </w:r>
      <w:r w:rsidRPr="00064566">
        <w:t xml:space="preserve"> efforts to reduce emissions, States parties should contribute effectively to phasing out fossils fuels, promoting renewable energy and addressing emissions from the land sector, including by combating deforestation.</w:t>
      </w:r>
      <w:r w:rsidRPr="008B5551">
        <w:rPr>
          <w:rStyle w:val="FootnoteReference"/>
        </w:rPr>
        <w:footnoteReference w:id="12"/>
      </w:r>
      <w:r w:rsidRPr="00BF61AC">
        <w:t xml:space="preserve"> </w:t>
      </w:r>
      <w:r>
        <w:t>In a</w:t>
      </w:r>
      <w:r w:rsidRPr="00064566">
        <w:t xml:space="preserve">ddition, States must regulate private actors, including by holding them accountable </w:t>
      </w:r>
      <w:bookmarkStart w:id="3" w:name="_Hlk17275917"/>
      <w:r w:rsidRPr="00064566">
        <w:t>for harm they generate both domestically and extraterritorially</w:t>
      </w:r>
      <w:bookmarkEnd w:id="3"/>
      <w:r w:rsidRPr="00064566">
        <w:t>.</w:t>
      </w:r>
      <w:r w:rsidRPr="008B5551">
        <w:rPr>
          <w:rStyle w:val="FootnoteReference"/>
        </w:rPr>
        <w:footnoteReference w:id="13"/>
      </w:r>
      <w:r w:rsidRPr="00BF61AC">
        <w:t xml:space="preserve"> </w:t>
      </w:r>
      <w:r w:rsidRPr="00064566">
        <w:t xml:space="preserve">States should also discontinue financial incentives or investments in activities and infrastructure </w:t>
      </w:r>
      <w:r>
        <w:t>that</w:t>
      </w:r>
      <w:r w:rsidRPr="00064566">
        <w:t xml:space="preserve"> are not consistent with low greenhouse gas emissions pathways, whether undertaken by public or private actors</w:t>
      </w:r>
      <w:r>
        <w:t>,</w:t>
      </w:r>
      <w:r w:rsidRPr="00064566">
        <w:t xml:space="preserve"> as a mitigation measure to prevent further damage and risk.</w:t>
      </w:r>
    </w:p>
    <w:p w14:paraId="2BBC505A" w14:textId="77777777" w:rsidR="008B5551" w:rsidRPr="00064566" w:rsidRDefault="008B5551" w:rsidP="008B5551">
      <w:pPr>
        <w:pStyle w:val="SingleTxtG"/>
      </w:pPr>
      <w:r w:rsidRPr="00064566">
        <w:t>13.</w:t>
      </w:r>
      <w:r w:rsidRPr="00064566">
        <w:tab/>
        <w:t xml:space="preserve">When reducing emissions and adapting to climate impacts, States must seek to address all forms of discrimination and inequality, including advancing substantive gender equality, protecting the rights of indigenous peoples and of persons with disabilities, and taking into consideration the best interests of the child. </w:t>
      </w:r>
    </w:p>
    <w:p w14:paraId="72635CA4" w14:textId="77777777" w:rsidR="008B5551" w:rsidRPr="00064566" w:rsidRDefault="008B5551" w:rsidP="008B5551">
      <w:pPr>
        <w:pStyle w:val="SingleTxtG"/>
      </w:pPr>
      <w:r w:rsidRPr="00064566">
        <w:t>14.</w:t>
      </w:r>
      <w:r w:rsidRPr="00064566">
        <w:tab/>
      </w:r>
      <w:r>
        <w:t xml:space="preserve">A growing number of people are </w:t>
      </w:r>
      <w:r w:rsidRPr="00064566">
        <w:rPr>
          <w:lang w:val="en-CA"/>
        </w:rPr>
        <w:t xml:space="preserve">are forced to migrate because their States of origin cannot ensure the enjoyment of adequate living conditions, </w:t>
      </w:r>
      <w:r>
        <w:rPr>
          <w:lang w:val="en-CA"/>
        </w:rPr>
        <w:t>owing</w:t>
      </w:r>
      <w:r w:rsidRPr="00064566">
        <w:rPr>
          <w:lang w:val="en-CA"/>
        </w:rPr>
        <w:t xml:space="preserve"> to the increase in hydrometeorological disasters, evacuations of areas at high risk of disasters, environmental </w:t>
      </w:r>
      <w:r w:rsidRPr="00064566">
        <w:rPr>
          <w:lang w:val="en-CA"/>
        </w:rPr>
        <w:lastRenderedPageBreak/>
        <w:t xml:space="preserve">degradation and slow-moving disasters, the disappearance of small island </w:t>
      </w:r>
      <w:r>
        <w:rPr>
          <w:lang w:val="en-CA"/>
        </w:rPr>
        <w:t>S</w:t>
      </w:r>
      <w:r w:rsidRPr="00064566">
        <w:rPr>
          <w:lang w:val="en-CA"/>
        </w:rPr>
        <w:t xml:space="preserve">tates </w:t>
      </w:r>
      <w:r>
        <w:rPr>
          <w:lang w:val="en-CA"/>
        </w:rPr>
        <w:t>as a result of</w:t>
      </w:r>
      <w:r w:rsidRPr="00064566">
        <w:rPr>
          <w:lang w:val="en-CA"/>
        </w:rPr>
        <w:t xml:space="preserve"> rising sea levels, and even the occurrence of conflicts over access to resources. Migration is a normal human adaptation strategy in the face of the effects of climate change and natural disasters, a</w:t>
      </w:r>
      <w:r>
        <w:rPr>
          <w:lang w:val="en-CA"/>
        </w:rPr>
        <w:t>nd</w:t>
      </w:r>
      <w:r w:rsidRPr="00064566">
        <w:rPr>
          <w:lang w:val="en-CA"/>
        </w:rPr>
        <w:t xml:space="preserve"> the only option for entire communities</w:t>
      </w:r>
      <w:r>
        <w:rPr>
          <w:lang w:val="en-CA"/>
        </w:rPr>
        <w:t>.</w:t>
      </w:r>
      <w:r w:rsidRPr="00064566">
        <w:rPr>
          <w:lang w:val="en-CA"/>
        </w:rPr>
        <w:t xml:space="preserve"> </w:t>
      </w:r>
      <w:bookmarkStart w:id="4" w:name="_Hlk40251154"/>
      <w:r>
        <w:t>Climate change</w:t>
      </w:r>
      <w:r w:rsidRPr="00AF0BF7">
        <w:t>-related migration</w:t>
      </w:r>
      <w:r w:rsidRPr="00064566">
        <w:rPr>
          <w:lang w:val="en-CA"/>
        </w:rPr>
        <w:t xml:space="preserve"> has to be addressed by the United Nations and </w:t>
      </w:r>
      <w:r>
        <w:rPr>
          <w:lang w:val="en-CA"/>
        </w:rPr>
        <w:t>by</w:t>
      </w:r>
      <w:r w:rsidRPr="00064566">
        <w:rPr>
          <w:lang w:val="en-CA"/>
        </w:rPr>
        <w:t xml:space="preserve"> States as an emerging </w:t>
      </w:r>
      <w:r w:rsidRPr="001E1290">
        <w:t>form of migration and</w:t>
      </w:r>
      <w:r w:rsidRPr="00064566">
        <w:rPr>
          <w:lang w:val="en-CA"/>
        </w:rPr>
        <w:t xml:space="preserve"> internal displacement.</w:t>
      </w:r>
      <w:bookmarkEnd w:id="4"/>
      <w:r w:rsidRPr="00064566">
        <w:rPr>
          <w:lang w:val="en-CA"/>
        </w:rPr>
        <w:t xml:space="preserve"> </w:t>
      </w:r>
    </w:p>
    <w:p w14:paraId="68E5F883" w14:textId="77777777" w:rsidR="008B5551" w:rsidRPr="00064566" w:rsidRDefault="008B5551" w:rsidP="008B5551">
      <w:pPr>
        <w:pStyle w:val="SingleTxtG"/>
      </w:pPr>
      <w:r w:rsidRPr="00064566">
        <w:t>15.</w:t>
      </w:r>
      <w:r w:rsidRPr="00064566">
        <w:tab/>
      </w:r>
      <w:r w:rsidRPr="00064566">
        <w:rPr>
          <w:lang w:val="en-CA"/>
        </w:rPr>
        <w:t xml:space="preserve">States must </w:t>
      </w:r>
      <w:r>
        <w:rPr>
          <w:lang w:val="en-CA"/>
        </w:rPr>
        <w:t xml:space="preserve">therefore </w:t>
      </w:r>
      <w:r w:rsidRPr="00064566">
        <w:rPr>
          <w:lang w:val="en-CA"/>
        </w:rPr>
        <w:t>address the effects of climate change, environmental degradation and natural disasters as drivers of migration and ensure that such factors do not hinder the enjoyment of the human rights of migrants and their families. In addition, States should offer migrant workers displaced across international borders in the context of climate change or disasters and who cannot return to their countries complementary protection mechanisms and temporary protection or stay arrangements.</w:t>
      </w:r>
    </w:p>
    <w:p w14:paraId="597B9A05" w14:textId="77777777" w:rsidR="008B5551" w:rsidRPr="00064566" w:rsidRDefault="008B5551" w:rsidP="008B5551">
      <w:pPr>
        <w:pStyle w:val="SingleTxtG"/>
      </w:pPr>
      <w:r w:rsidRPr="00064566">
        <w:t>16.</w:t>
      </w:r>
      <w:r w:rsidRPr="00064566">
        <w:tab/>
        <w:t>In the design and implementation of climate policies, States must also respect, protect and fulfil the rights of all, including by mandating human rights due diligence and ensuring access to education, awareness</w:t>
      </w:r>
      <w:r>
        <w:t>-</w:t>
      </w:r>
      <w:r w:rsidRPr="00064566">
        <w:t>raising</w:t>
      </w:r>
      <w:r>
        <w:t xml:space="preserve"> and</w:t>
      </w:r>
      <w:r w:rsidRPr="00064566">
        <w:t xml:space="preserve"> environmental information</w:t>
      </w:r>
      <w:r>
        <w:t>,</w:t>
      </w:r>
      <w:r w:rsidRPr="00064566">
        <w:t xml:space="preserve"> and public participation in decision-making. In particular, States have the responsibility to protect and defend effectively the rights of environmental human rights defenders, including women, indigenous and child environmental defenders.</w:t>
      </w:r>
    </w:p>
    <w:p w14:paraId="75D0A940" w14:textId="77777777" w:rsidR="008B5551" w:rsidRPr="00064566" w:rsidRDefault="008B5551" w:rsidP="008B5551">
      <w:pPr>
        <w:pStyle w:val="H23G"/>
      </w:pPr>
      <w:r>
        <w:tab/>
      </w:r>
      <w:r>
        <w:tab/>
      </w:r>
      <w:r w:rsidRPr="00064566">
        <w:t xml:space="preserve">International </w:t>
      </w:r>
      <w:r>
        <w:t>c</w:t>
      </w:r>
      <w:r w:rsidRPr="00064566">
        <w:t>ooperation</w:t>
      </w:r>
    </w:p>
    <w:p w14:paraId="60F9EA9E" w14:textId="77777777" w:rsidR="008B5551" w:rsidRPr="00064566" w:rsidRDefault="008B5551" w:rsidP="008B5551">
      <w:pPr>
        <w:pStyle w:val="SingleTxtG"/>
      </w:pPr>
      <w:r w:rsidRPr="00064566">
        <w:t>17.</w:t>
      </w:r>
      <w:r w:rsidRPr="00064566">
        <w:tab/>
        <w:t>As part of international assistance and cooperation towards the realization of human rights, high-income States should support adaptation and mitigation efforts in developing countries by facilitating transfers of green technologies and by contributing to financing climate mitigation and adaptation. In addition, States must cooperate in good faith in the establishment of global responses addressing climate-related loss and damage suffered by the most vulnerable countries, paying particular attention to safeguarding the rights of those who are at particular risk of climate harm and addressing the devastating impact</w:t>
      </w:r>
      <w:r>
        <w:t xml:space="preserve"> of climate disruptions</w:t>
      </w:r>
      <w:r w:rsidRPr="00064566">
        <w:t>, including on women, children, persons with disabilities and indigenous peoples.</w:t>
      </w:r>
      <w:r>
        <w:t xml:space="preserve"> </w:t>
      </w:r>
    </w:p>
    <w:p w14:paraId="6EAA9EAA" w14:textId="77777777" w:rsidR="008B5551" w:rsidRPr="00064566" w:rsidRDefault="008B5551" w:rsidP="008B5551">
      <w:pPr>
        <w:pStyle w:val="H23G"/>
      </w:pPr>
      <w:r>
        <w:tab/>
      </w:r>
      <w:r>
        <w:tab/>
        <w:t>R</w:t>
      </w:r>
      <w:r w:rsidRPr="00064566">
        <w:t>ole of the Committees</w:t>
      </w:r>
    </w:p>
    <w:p w14:paraId="2295D5D9" w14:textId="77777777" w:rsidR="008B5551" w:rsidRDefault="008B5551" w:rsidP="008B5551">
      <w:pPr>
        <w:pStyle w:val="SingleTxtG"/>
      </w:pPr>
      <w:r>
        <w:t>18.</w:t>
      </w:r>
      <w:r>
        <w:tab/>
      </w:r>
      <w:r w:rsidRPr="00064566">
        <w:t xml:space="preserve">In their future work, the Committees </w:t>
      </w:r>
      <w:r>
        <w:t>wi</w:t>
      </w:r>
      <w:r w:rsidRPr="00064566">
        <w:t>ll continue to keep under review the impacts of climate change and climate</w:t>
      </w:r>
      <w:r>
        <w:t>-</w:t>
      </w:r>
      <w:r w:rsidRPr="00064566">
        <w:t>induced disasters on the rights holders protected under their respective treaties</w:t>
      </w:r>
      <w:r>
        <w:t xml:space="preserve">. They will also continue to </w:t>
      </w:r>
      <w:r w:rsidRPr="00064566">
        <w:t xml:space="preserve">provide </w:t>
      </w:r>
      <w:r>
        <w:t xml:space="preserve">States parties with </w:t>
      </w:r>
      <w:r w:rsidRPr="00064566">
        <w:t>guidance on how they can meet their obligations under these instruments in relation to mitigation and adaptation to climate change.</w:t>
      </w:r>
    </w:p>
    <w:p w14:paraId="6939A37F" w14:textId="77777777" w:rsidR="00D35EEF" w:rsidRPr="00332C83" w:rsidRDefault="008B5551" w:rsidP="008B5551">
      <w:pPr>
        <w:pStyle w:val="SingleTxtG"/>
        <w:spacing w:before="240" w:after="0"/>
        <w:jc w:val="center"/>
      </w:pPr>
      <w:r>
        <w:rPr>
          <w:u w:val="single"/>
        </w:rPr>
        <w:tab/>
      </w:r>
      <w:r>
        <w:rPr>
          <w:u w:val="single"/>
        </w:rPr>
        <w:tab/>
      </w:r>
      <w:r>
        <w:rPr>
          <w:u w:val="single"/>
        </w:rPr>
        <w:tab/>
      </w:r>
    </w:p>
    <w:sectPr w:rsidR="00D35EEF" w:rsidRPr="00332C83" w:rsidSect="006C5DD3">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80AB1" w14:textId="77777777" w:rsidR="00B45A97" w:rsidRDefault="00B45A97"/>
  </w:endnote>
  <w:endnote w:type="continuationSeparator" w:id="0">
    <w:p w14:paraId="1614CC5F" w14:textId="77777777" w:rsidR="00B45A97" w:rsidRDefault="00B45A97"/>
  </w:endnote>
  <w:endnote w:type="continuationNotice" w:id="1">
    <w:p w14:paraId="5B53F8D4" w14:textId="77777777" w:rsidR="00B45A97" w:rsidRDefault="00B4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6909" w14:textId="4E873F42" w:rsidR="008B5551" w:rsidRDefault="008B5551" w:rsidP="008B5551">
    <w:pPr>
      <w:pStyle w:val="Footer"/>
      <w:tabs>
        <w:tab w:val="right" w:pos="9638"/>
      </w:tabs>
    </w:pPr>
    <w:r w:rsidRPr="008B5551">
      <w:rPr>
        <w:b/>
        <w:bCs/>
        <w:sz w:val="18"/>
      </w:rPr>
      <w:fldChar w:fldCharType="begin"/>
    </w:r>
    <w:r w:rsidRPr="008B5551">
      <w:rPr>
        <w:b/>
        <w:bCs/>
        <w:sz w:val="18"/>
      </w:rPr>
      <w:instrText xml:space="preserve"> PAGE  \* MERGEFORMAT </w:instrText>
    </w:r>
    <w:r w:rsidRPr="008B5551">
      <w:rPr>
        <w:b/>
        <w:bCs/>
        <w:sz w:val="18"/>
      </w:rPr>
      <w:fldChar w:fldCharType="separate"/>
    </w:r>
    <w:r w:rsidR="00332C83">
      <w:rPr>
        <w:b/>
        <w:bCs/>
        <w:noProof/>
        <w:sz w:val="18"/>
      </w:rPr>
      <w:t>2</w:t>
    </w:r>
    <w:r w:rsidRPr="008B555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9962" w14:textId="0B9CB62B" w:rsidR="008B5551" w:rsidRDefault="008B5551" w:rsidP="008B5551">
    <w:pPr>
      <w:pStyle w:val="Footer"/>
      <w:tabs>
        <w:tab w:val="right" w:pos="9638"/>
      </w:tabs>
    </w:pPr>
    <w:r>
      <w:tab/>
    </w:r>
    <w:r w:rsidRPr="008B5551">
      <w:rPr>
        <w:b/>
        <w:bCs/>
        <w:sz w:val="18"/>
      </w:rPr>
      <w:fldChar w:fldCharType="begin"/>
    </w:r>
    <w:r w:rsidRPr="008B5551">
      <w:rPr>
        <w:b/>
        <w:bCs/>
        <w:sz w:val="18"/>
      </w:rPr>
      <w:instrText xml:space="preserve"> PAGE  \* MERGEFORMAT </w:instrText>
    </w:r>
    <w:r w:rsidRPr="008B5551">
      <w:rPr>
        <w:b/>
        <w:bCs/>
        <w:sz w:val="18"/>
      </w:rPr>
      <w:fldChar w:fldCharType="separate"/>
    </w:r>
    <w:r w:rsidR="00332C83">
      <w:rPr>
        <w:b/>
        <w:bCs/>
        <w:noProof/>
        <w:sz w:val="18"/>
      </w:rPr>
      <w:t>3</w:t>
    </w:r>
    <w:r w:rsidRPr="008B555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A7F1" w14:textId="77777777" w:rsidR="00584036" w:rsidRDefault="00584036" w:rsidP="0069577F">
    <w:pPr>
      <w:pStyle w:val="FootnoteText"/>
      <w:tabs>
        <w:tab w:val="clear" w:pos="1021"/>
        <w:tab w:val="right" w:pos="10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43A0" w14:textId="77777777" w:rsidR="00B45A97" w:rsidRPr="000B175B" w:rsidRDefault="00B45A97" w:rsidP="000B175B">
      <w:pPr>
        <w:tabs>
          <w:tab w:val="right" w:pos="2155"/>
        </w:tabs>
        <w:spacing w:after="80"/>
        <w:ind w:left="680"/>
        <w:rPr>
          <w:u w:val="single"/>
        </w:rPr>
      </w:pPr>
      <w:r>
        <w:rPr>
          <w:u w:val="single"/>
        </w:rPr>
        <w:tab/>
      </w:r>
    </w:p>
  </w:footnote>
  <w:footnote w:type="continuationSeparator" w:id="0">
    <w:p w14:paraId="5BC08FD9" w14:textId="77777777" w:rsidR="00B45A97" w:rsidRPr="00FC68B7" w:rsidRDefault="00B45A97" w:rsidP="00FC68B7">
      <w:pPr>
        <w:tabs>
          <w:tab w:val="left" w:pos="2155"/>
        </w:tabs>
        <w:spacing w:after="80"/>
        <w:ind w:left="680"/>
        <w:rPr>
          <w:u w:val="single"/>
        </w:rPr>
      </w:pPr>
      <w:r>
        <w:rPr>
          <w:u w:val="single"/>
        </w:rPr>
        <w:tab/>
      </w:r>
    </w:p>
  </w:footnote>
  <w:footnote w:type="continuationNotice" w:id="1">
    <w:p w14:paraId="1D7E0C75" w14:textId="77777777" w:rsidR="00B45A97" w:rsidRDefault="00B45A97"/>
  </w:footnote>
  <w:footnote w:id="2">
    <w:p w14:paraId="4822CD7C" w14:textId="77777777" w:rsidR="008B5551" w:rsidRPr="00C8782C" w:rsidRDefault="008B5551" w:rsidP="008B5551">
      <w:pPr>
        <w:pStyle w:val="FootnoteText"/>
      </w:pPr>
      <w:r>
        <w:tab/>
      </w:r>
      <w:r w:rsidRPr="008B5551">
        <w:rPr>
          <w:rStyle w:val="FootnoteReference"/>
        </w:rPr>
        <w:footnoteRef/>
      </w:r>
      <w:r w:rsidRPr="008B5551">
        <w:rPr>
          <w:rStyle w:val="FootnoteReference"/>
        </w:rPr>
        <w:tab/>
      </w:r>
      <w:r>
        <w:t xml:space="preserve">See </w:t>
      </w:r>
      <w:r w:rsidRPr="00C8782C">
        <w:t>www.ipcc.ch/sr15/</w:t>
      </w:r>
      <w:r>
        <w:t>.</w:t>
      </w:r>
    </w:p>
  </w:footnote>
  <w:footnote w:id="3">
    <w:p w14:paraId="7A31FB84" w14:textId="77777777" w:rsidR="008B5551" w:rsidRPr="00C8782C" w:rsidRDefault="008B5551" w:rsidP="008B5551">
      <w:pPr>
        <w:pStyle w:val="FootnoteText"/>
        <w:rPr>
          <w:lang w:val="en-US"/>
        </w:rPr>
      </w:pPr>
      <w:r>
        <w:tab/>
      </w:r>
      <w:r w:rsidRPr="008B5551">
        <w:rPr>
          <w:rStyle w:val="FootnoteReference"/>
        </w:rPr>
        <w:footnoteRef/>
      </w:r>
      <w:r w:rsidRPr="008B5551">
        <w:rPr>
          <w:rStyle w:val="FootnoteReference"/>
        </w:rPr>
        <w:tab/>
      </w:r>
      <w:bookmarkStart w:id="1" w:name="_Toc472589396"/>
      <w:r>
        <w:t>See the r</w:t>
      </w:r>
      <w:r w:rsidRPr="00C8782C">
        <w:t xml:space="preserve">eport of the Special Rapporteur on the issue of human rights obligations relating to the enjoyment of a safe, clean, </w:t>
      </w:r>
      <w:r w:rsidRPr="00064566">
        <w:t>healthy</w:t>
      </w:r>
      <w:r w:rsidRPr="00C8782C">
        <w:t xml:space="preserve"> and sustainable environment</w:t>
      </w:r>
      <w:bookmarkEnd w:id="1"/>
      <w:r w:rsidRPr="00C8782C">
        <w:t xml:space="preserve"> on the human rights obligations relating to the conservation and sustainable use of biological diversity </w:t>
      </w:r>
      <w:r>
        <w:t>(</w:t>
      </w:r>
      <w:r w:rsidRPr="00C8782C">
        <w:t>A/HRC/34/49</w:t>
      </w:r>
      <w:r>
        <w:t>)</w:t>
      </w:r>
      <w:r w:rsidRPr="00C8782C">
        <w:t>.</w:t>
      </w:r>
    </w:p>
  </w:footnote>
  <w:footnote w:id="4">
    <w:p w14:paraId="6A8ADF40" w14:textId="77777777" w:rsidR="008B5551" w:rsidRPr="00C8782C" w:rsidRDefault="008B5551" w:rsidP="008B5551">
      <w:pPr>
        <w:pStyle w:val="FootnoteText"/>
      </w:pPr>
      <w:r>
        <w:tab/>
      </w:r>
      <w:r w:rsidRPr="008B5551">
        <w:rPr>
          <w:rStyle w:val="FootnoteReference"/>
        </w:rPr>
        <w:footnoteRef/>
      </w:r>
      <w:r w:rsidRPr="008B5551">
        <w:rPr>
          <w:rStyle w:val="FootnoteReference"/>
        </w:rPr>
        <w:tab/>
      </w:r>
      <w:r>
        <w:t>See the a</w:t>
      </w:r>
      <w:r w:rsidRPr="00C8782C">
        <w:t xml:space="preserve">nalytical study </w:t>
      </w:r>
      <w:r>
        <w:t xml:space="preserve">conducted by the </w:t>
      </w:r>
      <w:r w:rsidRPr="00C8782C">
        <w:t xml:space="preserve">Office of the United Nations High Commissioner for Human Rights on the relationship between climate change and the full and effective enjoyment of the rights of the child </w:t>
      </w:r>
      <w:r>
        <w:t>(</w:t>
      </w:r>
      <w:r w:rsidRPr="00C8782C">
        <w:t>A/HRC/35/13</w:t>
      </w:r>
      <w:r>
        <w:t>).</w:t>
      </w:r>
    </w:p>
  </w:footnote>
  <w:footnote w:id="5">
    <w:p w14:paraId="6CA39475" w14:textId="77777777" w:rsidR="008B5551" w:rsidRPr="00C8782C" w:rsidRDefault="008B5551" w:rsidP="008B5551">
      <w:pPr>
        <w:pStyle w:val="FootnoteText"/>
      </w:pPr>
      <w:r>
        <w:tab/>
      </w:r>
      <w:r w:rsidRPr="008B5551">
        <w:rPr>
          <w:rStyle w:val="FootnoteReference"/>
        </w:rPr>
        <w:footnoteRef/>
      </w:r>
      <w:r w:rsidRPr="008B5551">
        <w:rPr>
          <w:rStyle w:val="FootnoteReference"/>
        </w:rPr>
        <w:tab/>
      </w:r>
      <w:r>
        <w:t xml:space="preserve">See Fiona </w:t>
      </w:r>
      <w:r w:rsidRPr="00C8782C">
        <w:t>Stanley</w:t>
      </w:r>
      <w:r>
        <w:t xml:space="preserve"> and</w:t>
      </w:r>
      <w:r w:rsidRPr="00C8782C">
        <w:t xml:space="preserve"> </w:t>
      </w:r>
      <w:r>
        <w:t xml:space="preserve">Brad </w:t>
      </w:r>
      <w:r w:rsidRPr="00C8782C">
        <w:t xml:space="preserve">Farrant, </w:t>
      </w:r>
      <w:r>
        <w:t>“</w:t>
      </w:r>
      <w:r w:rsidRPr="00C8782C">
        <w:t xml:space="preserve">Climate </w:t>
      </w:r>
      <w:r>
        <w:t>c</w:t>
      </w:r>
      <w:r w:rsidRPr="00C8782C">
        <w:t xml:space="preserve">hange and </w:t>
      </w:r>
      <w:r>
        <w:t>c</w:t>
      </w:r>
      <w:r w:rsidRPr="00C8782C">
        <w:t>hildren</w:t>
      </w:r>
      <w:r>
        <w:t>’</w:t>
      </w:r>
      <w:r w:rsidRPr="00C8782C">
        <w:t xml:space="preserve">s </w:t>
      </w:r>
      <w:r>
        <w:t>h</w:t>
      </w:r>
      <w:r w:rsidRPr="00C8782C">
        <w:t xml:space="preserve">ealth: </w:t>
      </w:r>
      <w:r>
        <w:t>a</w:t>
      </w:r>
      <w:r w:rsidRPr="00C8782C">
        <w:t xml:space="preserve"> </w:t>
      </w:r>
      <w:r>
        <w:t>c</w:t>
      </w:r>
      <w:r w:rsidRPr="00C8782C">
        <w:t>ommentary</w:t>
      </w:r>
      <w:r>
        <w:t>”,</w:t>
      </w:r>
      <w:r w:rsidRPr="00C8782C">
        <w:t xml:space="preserve"> </w:t>
      </w:r>
      <w:r w:rsidRPr="001E1290">
        <w:rPr>
          <w:i/>
          <w:iCs/>
        </w:rPr>
        <w:t>Children</w:t>
      </w:r>
      <w:r>
        <w:t xml:space="preserve">, vol. 2, No. 4 </w:t>
      </w:r>
      <w:r w:rsidRPr="00C8782C">
        <w:t>(</w:t>
      </w:r>
      <w:r>
        <w:t xml:space="preserve">October </w:t>
      </w:r>
      <w:r w:rsidRPr="00C8782C">
        <w:t>2015);</w:t>
      </w:r>
      <w:r>
        <w:t xml:space="preserve"> and Council on Environmental Health, “</w:t>
      </w:r>
      <w:r w:rsidRPr="00FD7F5F">
        <w:t xml:space="preserve">Global </w:t>
      </w:r>
      <w:r>
        <w:t>c</w:t>
      </w:r>
      <w:r w:rsidRPr="00FD7F5F">
        <w:t xml:space="preserve">limate </w:t>
      </w:r>
      <w:r>
        <w:t>c</w:t>
      </w:r>
      <w:r w:rsidRPr="00FD7F5F">
        <w:t xml:space="preserve">hange and </w:t>
      </w:r>
      <w:r>
        <w:t>c</w:t>
      </w:r>
      <w:r w:rsidRPr="00FD7F5F">
        <w:t>hildren</w:t>
      </w:r>
      <w:r>
        <w:t>’</w:t>
      </w:r>
      <w:r w:rsidRPr="00FD7F5F">
        <w:t xml:space="preserve">s </w:t>
      </w:r>
      <w:r>
        <w:t>h</w:t>
      </w:r>
      <w:r w:rsidRPr="00FD7F5F">
        <w:t>ealth</w:t>
      </w:r>
      <w:r>
        <w:t xml:space="preserve">”, </w:t>
      </w:r>
      <w:r w:rsidRPr="001E1290">
        <w:rPr>
          <w:i/>
          <w:iCs/>
        </w:rPr>
        <w:t>Pediatrics</w:t>
      </w:r>
      <w:r>
        <w:t>, vol. 136, No. 5 (November 2015).</w:t>
      </w:r>
    </w:p>
  </w:footnote>
  <w:footnote w:id="6">
    <w:p w14:paraId="5A833028" w14:textId="77777777" w:rsidR="008B5551" w:rsidRPr="001E1290" w:rsidRDefault="008B5551" w:rsidP="008B5551">
      <w:pPr>
        <w:pStyle w:val="FootnoteText"/>
        <w:rPr>
          <w:szCs w:val="18"/>
          <w:lang w:val="en-US"/>
        </w:rPr>
      </w:pPr>
      <w:r w:rsidRPr="001E262C">
        <w:rPr>
          <w:szCs w:val="18"/>
        </w:rPr>
        <w:tab/>
      </w:r>
      <w:r w:rsidRPr="008B5551">
        <w:rPr>
          <w:rStyle w:val="FootnoteReference"/>
        </w:rPr>
        <w:footnoteRef/>
      </w:r>
      <w:r w:rsidRPr="008B5551">
        <w:rPr>
          <w:rStyle w:val="FootnoteReference"/>
        </w:rPr>
        <w:tab/>
      </w:r>
      <w:r w:rsidRPr="00064566">
        <w:t>Committee on the Elimination of Discrimination against Women</w:t>
      </w:r>
      <w:r>
        <w:t>,</w:t>
      </w:r>
      <w:r w:rsidRPr="001E1290">
        <w:rPr>
          <w:szCs w:val="18"/>
          <w:lang w:val="en-US"/>
        </w:rPr>
        <w:t xml:space="preserve"> general recommendation No. 37, paras. 7–8.</w:t>
      </w:r>
    </w:p>
  </w:footnote>
  <w:footnote w:id="7">
    <w:p w14:paraId="75DB5ED9" w14:textId="77777777" w:rsidR="008B5551" w:rsidRPr="001E1290" w:rsidRDefault="008B5551" w:rsidP="008B5551">
      <w:pPr>
        <w:pStyle w:val="FootnoteText"/>
        <w:rPr>
          <w:lang w:val="en-US"/>
        </w:rPr>
      </w:pPr>
      <w:r w:rsidRPr="001E1290">
        <w:rPr>
          <w:lang w:val="en-US"/>
        </w:rPr>
        <w:tab/>
      </w:r>
      <w:r w:rsidRPr="008B5551">
        <w:rPr>
          <w:rStyle w:val="FootnoteReference"/>
        </w:rPr>
        <w:footnoteRef/>
      </w:r>
      <w:r w:rsidRPr="008B5551">
        <w:rPr>
          <w:rStyle w:val="FootnoteReference"/>
        </w:rPr>
        <w:tab/>
      </w:r>
      <w:r w:rsidRPr="001E1290">
        <w:rPr>
          <w:lang w:val="en-US"/>
        </w:rPr>
        <w:t>Ibid., paras. 32</w:t>
      </w:r>
      <w:r w:rsidRPr="001E1290">
        <w:rPr>
          <w:szCs w:val="18"/>
          <w:lang w:val="en-US"/>
        </w:rPr>
        <w:t>–</w:t>
      </w:r>
      <w:r w:rsidRPr="001E1290">
        <w:rPr>
          <w:lang w:val="en-US"/>
        </w:rPr>
        <w:t xml:space="preserve">36; </w:t>
      </w:r>
      <w:r w:rsidRPr="00064566">
        <w:t xml:space="preserve">Convention on the Elimination of </w:t>
      </w:r>
      <w:r>
        <w:t>A</w:t>
      </w:r>
      <w:r w:rsidRPr="00064566">
        <w:t xml:space="preserve">ll Forms of Discrimination </w:t>
      </w:r>
      <w:r>
        <w:t>a</w:t>
      </w:r>
      <w:r w:rsidRPr="00064566">
        <w:t>gainst Women</w:t>
      </w:r>
      <w:r>
        <w:t>,</w:t>
      </w:r>
      <w:r w:rsidRPr="001E1290">
        <w:rPr>
          <w:lang w:val="en-US"/>
        </w:rPr>
        <w:t xml:space="preserve"> arts. 7, 8 and 14; </w:t>
      </w:r>
      <w:r w:rsidRPr="00064566">
        <w:t>Convention on the Rights of the Child</w:t>
      </w:r>
      <w:r>
        <w:t>,</w:t>
      </w:r>
      <w:r w:rsidRPr="001E1290">
        <w:rPr>
          <w:lang w:val="en-US"/>
        </w:rPr>
        <w:t xml:space="preserve"> art. 12; Universal Declaration of Human Rights, art. 21; International Covenant on Civil and Political Rights, art. 25; </w:t>
      </w:r>
      <w:r>
        <w:rPr>
          <w:lang w:val="en-US"/>
        </w:rPr>
        <w:t xml:space="preserve">and </w:t>
      </w:r>
      <w:r w:rsidRPr="00064566">
        <w:t>Convention on the Rights of Persons with Disabilities</w:t>
      </w:r>
      <w:r>
        <w:t>,</w:t>
      </w:r>
      <w:r w:rsidRPr="001E1290">
        <w:rPr>
          <w:lang w:val="en-US"/>
        </w:rPr>
        <w:t xml:space="preserve"> arts. 4 (3), 29 and 33 (3).</w:t>
      </w:r>
    </w:p>
  </w:footnote>
  <w:footnote w:id="8">
    <w:p w14:paraId="7BD28F62" w14:textId="77777777" w:rsidR="008B5551" w:rsidRPr="001E1290" w:rsidRDefault="008B5551" w:rsidP="008B5551">
      <w:pPr>
        <w:pStyle w:val="FootnoteText"/>
        <w:rPr>
          <w:szCs w:val="18"/>
          <w:lang w:val="en-US"/>
        </w:rPr>
      </w:pPr>
      <w:r w:rsidRPr="001E1290">
        <w:rPr>
          <w:szCs w:val="18"/>
          <w:lang w:val="en-US"/>
        </w:rPr>
        <w:tab/>
      </w:r>
      <w:r w:rsidRPr="008B5551">
        <w:rPr>
          <w:rStyle w:val="FootnoteReference"/>
        </w:rPr>
        <w:footnoteRef/>
      </w:r>
      <w:r w:rsidRPr="008B5551">
        <w:rPr>
          <w:rStyle w:val="FootnoteReference"/>
        </w:rPr>
        <w:tab/>
      </w:r>
      <w:hyperlink r:id="rId1" w:history="1">
        <w:r w:rsidRPr="001E1290">
          <w:rPr>
            <w:szCs w:val="18"/>
            <w:lang w:val="en-US"/>
          </w:rPr>
          <w:t>See www.ipcc.ch/sr15/</w:t>
        </w:r>
      </w:hyperlink>
      <w:r w:rsidRPr="008B5551">
        <w:rPr>
          <w:color w:val="1155CC"/>
          <w:szCs w:val="18"/>
          <w:lang w:val="en-US"/>
        </w:rPr>
        <w:t>.</w:t>
      </w:r>
    </w:p>
  </w:footnote>
  <w:footnote w:id="9">
    <w:p w14:paraId="57D399D0" w14:textId="77777777" w:rsidR="008B5551" w:rsidRPr="006E4CA2" w:rsidRDefault="008B5551" w:rsidP="008B5551">
      <w:pPr>
        <w:pStyle w:val="FootnoteText"/>
      </w:pPr>
      <w:r w:rsidRPr="001E1290">
        <w:rPr>
          <w:lang w:val="en-US"/>
        </w:rPr>
        <w:tab/>
      </w:r>
      <w:r w:rsidRPr="008B5551">
        <w:rPr>
          <w:rStyle w:val="FootnoteReference"/>
        </w:rPr>
        <w:footnoteRef/>
      </w:r>
      <w:r w:rsidRPr="008B5551">
        <w:rPr>
          <w:rStyle w:val="FootnoteReference"/>
        </w:rPr>
        <w:tab/>
      </w:r>
      <w:r>
        <w:t xml:space="preserve">In this context, see also the </w:t>
      </w:r>
      <w:r w:rsidRPr="004912C5">
        <w:t>Charter of the United Nations, Arts. 55–56</w:t>
      </w:r>
      <w:r w:rsidRPr="00C8782C">
        <w:t xml:space="preserve">; </w:t>
      </w:r>
      <w:r w:rsidRPr="00064566">
        <w:t>Committee on Economic, Social and Cultural Rights</w:t>
      </w:r>
      <w:r>
        <w:t>,</w:t>
      </w:r>
      <w:r w:rsidRPr="00C8782C">
        <w:t xml:space="preserve"> </w:t>
      </w:r>
      <w:r>
        <w:t>g</w:t>
      </w:r>
      <w:r w:rsidRPr="00C8782C">
        <w:t xml:space="preserve">eneral </w:t>
      </w:r>
      <w:r>
        <w:t>c</w:t>
      </w:r>
      <w:r w:rsidRPr="00C8782C">
        <w:t xml:space="preserve">omment </w:t>
      </w:r>
      <w:r>
        <w:t xml:space="preserve">No. </w:t>
      </w:r>
      <w:r w:rsidRPr="00C8782C">
        <w:t>24 (</w:t>
      </w:r>
      <w:r>
        <w:t>2017</w:t>
      </w:r>
      <w:r w:rsidRPr="00C8782C">
        <w:t>)</w:t>
      </w:r>
      <w:r>
        <w:t xml:space="preserve"> on State obligations under the International Covenant on Economic, Social and Cultural Rights in the context of business activities</w:t>
      </w:r>
      <w:r w:rsidRPr="00C8782C">
        <w:t>, paras</w:t>
      </w:r>
      <w:r>
        <w:t>.</w:t>
      </w:r>
      <w:r w:rsidRPr="00C8782C">
        <w:t xml:space="preserve"> </w:t>
      </w:r>
      <w:r w:rsidRPr="001E1290">
        <w:rPr>
          <w:lang w:val="pt-BR"/>
        </w:rPr>
        <w:t xml:space="preserve">26–28; </w:t>
      </w:r>
      <w:r w:rsidRPr="008B5551">
        <w:rPr>
          <w:rFonts w:asciiTheme="majorBidi" w:hAnsiTheme="majorBidi" w:cstheme="majorBidi"/>
          <w:szCs w:val="18"/>
          <w:lang w:val="pt-BR"/>
        </w:rPr>
        <w:t>E/C.12/AUS/CO/5</w:t>
      </w:r>
      <w:r w:rsidRPr="001E1290">
        <w:rPr>
          <w:lang w:val="pt-BR"/>
        </w:rPr>
        <w:t xml:space="preserve">, paras. 11–12; E/C.12/ARG/CO/4, paras. </w:t>
      </w:r>
      <w:r w:rsidRPr="00C8782C">
        <w:t>13</w:t>
      </w:r>
      <w:r>
        <w:t>–</w:t>
      </w:r>
      <w:r w:rsidRPr="00C8782C">
        <w:t xml:space="preserve">14; </w:t>
      </w:r>
      <w:r w:rsidRPr="00A964FA">
        <w:t>CRC/C/NOR/CO/5-6</w:t>
      </w:r>
      <w:r w:rsidRPr="00C8782C">
        <w:t>, para</w:t>
      </w:r>
      <w:r>
        <w:t>.</w:t>
      </w:r>
      <w:r w:rsidRPr="00C8782C">
        <w:t xml:space="preserve"> 27; </w:t>
      </w:r>
      <w:r w:rsidRPr="00A964FA">
        <w:t>CRC/C/JPN/CO/4-5</w:t>
      </w:r>
      <w:r w:rsidRPr="00C8782C">
        <w:t>, para</w:t>
      </w:r>
      <w:r>
        <w:t>.</w:t>
      </w:r>
      <w:r w:rsidRPr="00C8782C">
        <w:t xml:space="preserve"> 37; Committee on the Elimination of Discrimination </w:t>
      </w:r>
      <w:r>
        <w:t>a</w:t>
      </w:r>
      <w:r w:rsidRPr="00C8782C">
        <w:t>gainst Women</w:t>
      </w:r>
      <w:r>
        <w:t>,</w:t>
      </w:r>
      <w:r w:rsidRPr="00C8782C">
        <w:t xml:space="preserve"> </w:t>
      </w:r>
      <w:r>
        <w:t>g</w:t>
      </w:r>
      <w:r w:rsidRPr="00C8782C">
        <w:t xml:space="preserve">eneral </w:t>
      </w:r>
      <w:r>
        <w:t>r</w:t>
      </w:r>
      <w:r w:rsidRPr="00C8782C">
        <w:t xml:space="preserve">ecommendation </w:t>
      </w:r>
      <w:r>
        <w:t xml:space="preserve">No. </w:t>
      </w:r>
      <w:r w:rsidRPr="00E24A9E">
        <w:t>37, paras. 43–46</w:t>
      </w:r>
      <w:r>
        <w:t xml:space="preserve">; </w:t>
      </w:r>
      <w:r w:rsidRPr="007A15BF">
        <w:t xml:space="preserve">CEDAW/C/AUS/CO/8, paras. 29–30; </w:t>
      </w:r>
      <w:r>
        <w:t>and</w:t>
      </w:r>
      <w:r w:rsidRPr="001E1290">
        <w:t xml:space="preserve"> </w:t>
      </w:r>
      <w:r w:rsidRPr="007A15BF">
        <w:t xml:space="preserve">CEDAW/C/NOR/CO/9, paras. </w:t>
      </w:r>
      <w:r w:rsidRPr="006E4CA2">
        <w:t>14–15.</w:t>
      </w:r>
    </w:p>
  </w:footnote>
  <w:footnote w:id="10">
    <w:p w14:paraId="6BC09A19" w14:textId="77777777" w:rsidR="008B5551" w:rsidRPr="00C8782C" w:rsidRDefault="008B5551" w:rsidP="008B5551">
      <w:pPr>
        <w:pStyle w:val="FootnoteText"/>
      </w:pPr>
      <w:r w:rsidRPr="006E4CA2">
        <w:tab/>
      </w:r>
      <w:r w:rsidRPr="008B5551">
        <w:rPr>
          <w:rStyle w:val="FootnoteReference"/>
        </w:rPr>
        <w:footnoteRef/>
      </w:r>
      <w:r w:rsidRPr="008B5551">
        <w:rPr>
          <w:rStyle w:val="FootnoteReference"/>
        </w:rPr>
        <w:tab/>
      </w:r>
      <w:r w:rsidRPr="006E4CA2">
        <w:t xml:space="preserve">CRC/C/ESP/CO/5-6, para. </w:t>
      </w:r>
      <w:r w:rsidRPr="00C8782C">
        <w:t xml:space="preserve">36; </w:t>
      </w:r>
      <w:r w:rsidRPr="0041220A">
        <w:t>CRC/C/GBR/CO/</w:t>
      </w:r>
      <w:r>
        <w:t>5 and Corr.1</w:t>
      </w:r>
      <w:r w:rsidRPr="00C8782C">
        <w:t>, para</w:t>
      </w:r>
      <w:r>
        <w:t>s.</w:t>
      </w:r>
      <w:r w:rsidRPr="00C8782C">
        <w:t xml:space="preserve"> 68</w:t>
      </w:r>
      <w:r>
        <w:t>–69</w:t>
      </w:r>
      <w:r w:rsidRPr="00C8782C">
        <w:t xml:space="preserve">; </w:t>
      </w:r>
      <w:r w:rsidRPr="00064566">
        <w:t>Committee on Economic, Social and Cultural Rights</w:t>
      </w:r>
      <w:r>
        <w:t>, s</w:t>
      </w:r>
      <w:r w:rsidRPr="00C8782C">
        <w:t xml:space="preserve">tatement on </w:t>
      </w:r>
      <w:r>
        <w:t>c</w:t>
      </w:r>
      <w:r w:rsidRPr="00C8782C">
        <w:t xml:space="preserve">limate </w:t>
      </w:r>
      <w:r>
        <w:t>c</w:t>
      </w:r>
      <w:r w:rsidRPr="00C8782C">
        <w:t xml:space="preserve">hange and the International Covenant on Economic, Social and Cultural Rights; </w:t>
      </w:r>
      <w:r w:rsidRPr="008B5551">
        <w:rPr>
          <w:rFonts w:asciiTheme="majorBidi" w:hAnsiTheme="majorBidi" w:cstheme="majorBidi"/>
          <w:szCs w:val="18"/>
        </w:rPr>
        <w:t>E/C.12/AUS/CO/5</w:t>
      </w:r>
      <w:r w:rsidRPr="00C8782C">
        <w:t xml:space="preserve">; Committee on the Elimination of Discrimination </w:t>
      </w:r>
      <w:r>
        <w:t>a</w:t>
      </w:r>
      <w:r w:rsidRPr="00C8782C">
        <w:t>gainst Women</w:t>
      </w:r>
      <w:r>
        <w:t>,</w:t>
      </w:r>
      <w:r w:rsidRPr="00C8782C">
        <w:t xml:space="preserve"> </w:t>
      </w:r>
      <w:r>
        <w:t>g</w:t>
      </w:r>
      <w:r w:rsidRPr="00C8782C">
        <w:t xml:space="preserve">eneral </w:t>
      </w:r>
      <w:r>
        <w:t>r</w:t>
      </w:r>
      <w:r w:rsidRPr="00C8782C">
        <w:t xml:space="preserve">ecommendation </w:t>
      </w:r>
      <w:r>
        <w:t xml:space="preserve">No. </w:t>
      </w:r>
      <w:r w:rsidRPr="00C8782C">
        <w:t>37, para</w:t>
      </w:r>
      <w:r>
        <w:t>.</w:t>
      </w:r>
      <w:r w:rsidRPr="00C8782C">
        <w:t xml:space="preserve"> 14; </w:t>
      </w:r>
      <w:r>
        <w:t xml:space="preserve">and </w:t>
      </w:r>
      <w:r w:rsidRPr="00A964FA">
        <w:t>CEDAW/C/NOR/CO/9</w:t>
      </w:r>
      <w:r w:rsidRPr="00C8782C">
        <w:t>.</w:t>
      </w:r>
    </w:p>
  </w:footnote>
  <w:footnote w:id="11">
    <w:p w14:paraId="56E4B39B" w14:textId="77777777" w:rsidR="008B5551" w:rsidRPr="00C8782C" w:rsidRDefault="008B5551" w:rsidP="008B5551">
      <w:pPr>
        <w:pStyle w:val="FootnoteText"/>
      </w:pPr>
      <w:r>
        <w:tab/>
      </w:r>
      <w:r w:rsidRPr="008B5551">
        <w:rPr>
          <w:rStyle w:val="FootnoteReference"/>
        </w:rPr>
        <w:footnoteRef/>
      </w:r>
      <w:r w:rsidRPr="008B5551">
        <w:rPr>
          <w:rStyle w:val="FootnoteReference"/>
        </w:rPr>
        <w:tab/>
      </w:r>
      <w:r w:rsidRPr="00C8782C">
        <w:t>Paris Agreement</w:t>
      </w:r>
      <w:r>
        <w:t>,</w:t>
      </w:r>
      <w:r w:rsidRPr="0041220A">
        <w:t xml:space="preserve"> </w:t>
      </w:r>
      <w:r>
        <w:t>a</w:t>
      </w:r>
      <w:r w:rsidRPr="00C8782C">
        <w:t>rt</w:t>
      </w:r>
      <w:r>
        <w:t>.</w:t>
      </w:r>
      <w:r w:rsidRPr="00C8782C">
        <w:t xml:space="preserve"> 2.1</w:t>
      </w:r>
      <w:r>
        <w:t>.</w:t>
      </w:r>
    </w:p>
  </w:footnote>
  <w:footnote w:id="12">
    <w:p w14:paraId="1ECB2B56" w14:textId="77777777" w:rsidR="008B5551" w:rsidRPr="0056445E" w:rsidRDefault="008B5551" w:rsidP="008B5551">
      <w:pPr>
        <w:pStyle w:val="FootnoteText"/>
      </w:pPr>
      <w:r>
        <w:tab/>
      </w:r>
      <w:r w:rsidRPr="008B5551">
        <w:rPr>
          <w:rStyle w:val="FootnoteReference"/>
        </w:rPr>
        <w:footnoteRef/>
      </w:r>
      <w:r w:rsidRPr="008B5551">
        <w:rPr>
          <w:rStyle w:val="FootnoteReference"/>
        </w:rPr>
        <w:tab/>
      </w:r>
      <w:r w:rsidRPr="00C8782C">
        <w:t xml:space="preserve">Committee on the Elimination of Discrimination </w:t>
      </w:r>
      <w:r>
        <w:t>a</w:t>
      </w:r>
      <w:r w:rsidRPr="00C8782C">
        <w:t>gainst Women</w:t>
      </w:r>
      <w:r>
        <w:t>,</w:t>
      </w:r>
      <w:r w:rsidRPr="00C8782C">
        <w:t xml:space="preserve"> </w:t>
      </w:r>
      <w:r>
        <w:t>g</w:t>
      </w:r>
      <w:r w:rsidRPr="00C8782C">
        <w:t xml:space="preserve">eneral </w:t>
      </w:r>
      <w:r>
        <w:t>r</w:t>
      </w:r>
      <w:r w:rsidRPr="00C8782C">
        <w:t xml:space="preserve">ecommendation </w:t>
      </w:r>
      <w:r>
        <w:t xml:space="preserve">No. </w:t>
      </w:r>
      <w:r w:rsidRPr="00C8782C">
        <w:t xml:space="preserve">37; </w:t>
      </w:r>
      <w:r w:rsidRPr="00A964FA">
        <w:t>CEDAW/C/AUS/CO/8</w:t>
      </w:r>
      <w:r w:rsidRPr="00C8782C">
        <w:t>;</w:t>
      </w:r>
      <w:r>
        <w:t xml:space="preserve"> </w:t>
      </w:r>
      <w:r w:rsidRPr="0041220A">
        <w:t>CRC/C/NER/CO/3-5</w:t>
      </w:r>
      <w:r w:rsidRPr="00C8782C">
        <w:t xml:space="preserve">; </w:t>
      </w:r>
      <w:r w:rsidRPr="00064566">
        <w:t>Committee on Economic, Social and Cultural Rights</w:t>
      </w:r>
      <w:r>
        <w:t>,</w:t>
      </w:r>
      <w:r w:rsidRPr="00C8782C">
        <w:t xml:space="preserve"> </w:t>
      </w:r>
      <w:r>
        <w:t>s</w:t>
      </w:r>
      <w:r w:rsidRPr="00C8782C">
        <w:t xml:space="preserve">tatement on </w:t>
      </w:r>
      <w:r>
        <w:t>c</w:t>
      </w:r>
      <w:r w:rsidRPr="00C8782C">
        <w:t xml:space="preserve">limate </w:t>
      </w:r>
      <w:r>
        <w:t>c</w:t>
      </w:r>
      <w:r w:rsidRPr="00C8782C">
        <w:t xml:space="preserve">hange and the </w:t>
      </w:r>
      <w:r w:rsidRPr="00064566">
        <w:t>International Covenant on Economic, Social and Cultural Rights</w:t>
      </w:r>
      <w:r>
        <w:t>; and</w:t>
      </w:r>
      <w:r w:rsidRPr="007A15BF">
        <w:t xml:space="preserve"> </w:t>
      </w:r>
      <w:r>
        <w:t>E/C.12/ARG/CO/4</w:t>
      </w:r>
      <w:r w:rsidRPr="00C8782C">
        <w:t>.</w:t>
      </w:r>
    </w:p>
  </w:footnote>
  <w:footnote w:id="13">
    <w:p w14:paraId="734A368A" w14:textId="77777777" w:rsidR="008B5551" w:rsidRPr="00C8782C" w:rsidRDefault="008B5551" w:rsidP="008B5551">
      <w:pPr>
        <w:pStyle w:val="FootnoteText"/>
      </w:pPr>
      <w:r>
        <w:tab/>
      </w:r>
      <w:r w:rsidRPr="008B5551">
        <w:rPr>
          <w:rStyle w:val="FootnoteReference"/>
        </w:rPr>
        <w:footnoteRef/>
      </w:r>
      <w:r w:rsidRPr="008B5551">
        <w:rPr>
          <w:rStyle w:val="FootnoteReference"/>
        </w:rPr>
        <w:tab/>
      </w:r>
      <w:r w:rsidRPr="00064566">
        <w:t>Committee on Economic, Social and Cultural Rights</w:t>
      </w:r>
      <w:r>
        <w:t>,</w:t>
      </w:r>
      <w:r w:rsidRPr="00C8782C">
        <w:t xml:space="preserve"> </w:t>
      </w:r>
      <w:r>
        <w:t>s</w:t>
      </w:r>
      <w:r w:rsidRPr="00C8782C">
        <w:t xml:space="preserve">tatement on </w:t>
      </w:r>
      <w:r>
        <w:t>c</w:t>
      </w:r>
      <w:r w:rsidRPr="00C8782C">
        <w:t xml:space="preserve">limate </w:t>
      </w:r>
      <w:r>
        <w:t>c</w:t>
      </w:r>
      <w:r w:rsidRPr="00C8782C">
        <w:t xml:space="preserve">hange and the </w:t>
      </w:r>
      <w:r w:rsidRPr="00064566">
        <w:t>International Covenant on Economic, Social and Cultural Rights</w:t>
      </w:r>
      <w:r w:rsidRPr="00C8782C">
        <w:t xml:space="preserve">; Committee on the Elimination of Discrimination </w:t>
      </w:r>
      <w:r>
        <w:t>a</w:t>
      </w:r>
      <w:r w:rsidRPr="00C8782C">
        <w:t>gainst Women</w:t>
      </w:r>
      <w:r>
        <w:t>,</w:t>
      </w:r>
      <w:r w:rsidRPr="00C8782C">
        <w:t xml:space="preserve"> </w:t>
      </w:r>
      <w:r>
        <w:t>g</w:t>
      </w:r>
      <w:r w:rsidRPr="00C8782C">
        <w:t xml:space="preserve">eneral </w:t>
      </w:r>
      <w:r>
        <w:t>r</w:t>
      </w:r>
      <w:r w:rsidRPr="00C8782C">
        <w:t xml:space="preserve">ecommendation </w:t>
      </w:r>
      <w:r>
        <w:t xml:space="preserve">No. </w:t>
      </w:r>
      <w:r w:rsidRPr="00C8782C">
        <w:t xml:space="preserve">37; </w:t>
      </w:r>
      <w:r w:rsidRPr="0041220A">
        <w:t>CEDAW/C/FJI/CO/5</w:t>
      </w:r>
      <w:r w:rsidRPr="00C8782C">
        <w:t xml:space="preserve">; </w:t>
      </w:r>
      <w:r>
        <w:t xml:space="preserve">and </w:t>
      </w:r>
      <w:r w:rsidRPr="00A964FA">
        <w:t>CRC/C/ESP/CO/5-6</w:t>
      </w:r>
      <w:r w:rsidRPr="00C8782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E476" w14:textId="77777777" w:rsidR="008B5551" w:rsidRDefault="008B5551" w:rsidP="008B5551">
    <w:pPr>
      <w:pStyle w:val="Header"/>
    </w:pPr>
    <w:r>
      <w:t>HRI/2019/1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10CE" w14:textId="77777777" w:rsidR="008B5551" w:rsidRDefault="008B5551" w:rsidP="008B5551">
    <w:pPr>
      <w:pStyle w:val="Header"/>
      <w:jc w:val="right"/>
    </w:pPr>
    <w:r>
      <w:t>HRI/2019/1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97"/>
    <w:rsid w:val="00016EDB"/>
    <w:rsid w:val="00050F6B"/>
    <w:rsid w:val="00057E97"/>
    <w:rsid w:val="00060C3A"/>
    <w:rsid w:val="000726BE"/>
    <w:rsid w:val="00072C8C"/>
    <w:rsid w:val="000733B5"/>
    <w:rsid w:val="00081815"/>
    <w:rsid w:val="0008312D"/>
    <w:rsid w:val="000931C0"/>
    <w:rsid w:val="000B13D5"/>
    <w:rsid w:val="000B175B"/>
    <w:rsid w:val="000B3A0F"/>
    <w:rsid w:val="000B4EF7"/>
    <w:rsid w:val="000C2C03"/>
    <w:rsid w:val="000C2D2E"/>
    <w:rsid w:val="000E0415"/>
    <w:rsid w:val="000F1023"/>
    <w:rsid w:val="001103AA"/>
    <w:rsid w:val="001657D0"/>
    <w:rsid w:val="00165F3A"/>
    <w:rsid w:val="00183968"/>
    <w:rsid w:val="001A11B7"/>
    <w:rsid w:val="001A6686"/>
    <w:rsid w:val="001B4B04"/>
    <w:rsid w:val="001B4E45"/>
    <w:rsid w:val="001C6663"/>
    <w:rsid w:val="001C7895"/>
    <w:rsid w:val="001D0C8C"/>
    <w:rsid w:val="001D12AE"/>
    <w:rsid w:val="001D26DF"/>
    <w:rsid w:val="001D3A03"/>
    <w:rsid w:val="001F20C3"/>
    <w:rsid w:val="00202DA8"/>
    <w:rsid w:val="00211E0B"/>
    <w:rsid w:val="0023210C"/>
    <w:rsid w:val="00267F5F"/>
    <w:rsid w:val="00286B4D"/>
    <w:rsid w:val="002937F7"/>
    <w:rsid w:val="002B274B"/>
    <w:rsid w:val="002F175C"/>
    <w:rsid w:val="00314242"/>
    <w:rsid w:val="003229D8"/>
    <w:rsid w:val="00332C83"/>
    <w:rsid w:val="00352709"/>
    <w:rsid w:val="00367567"/>
    <w:rsid w:val="00371178"/>
    <w:rsid w:val="003A6810"/>
    <w:rsid w:val="003C2CC4"/>
    <w:rsid w:val="003D3599"/>
    <w:rsid w:val="003D4B23"/>
    <w:rsid w:val="003F5C11"/>
    <w:rsid w:val="00410C89"/>
    <w:rsid w:val="00426B9B"/>
    <w:rsid w:val="004325CB"/>
    <w:rsid w:val="00436B33"/>
    <w:rsid w:val="00442A83"/>
    <w:rsid w:val="0045495B"/>
    <w:rsid w:val="00487488"/>
    <w:rsid w:val="0052136D"/>
    <w:rsid w:val="0052775E"/>
    <w:rsid w:val="005420F2"/>
    <w:rsid w:val="005628B6"/>
    <w:rsid w:val="00584036"/>
    <w:rsid w:val="005848B3"/>
    <w:rsid w:val="00584DAE"/>
    <w:rsid w:val="00597051"/>
    <w:rsid w:val="005B3DB3"/>
    <w:rsid w:val="005F7717"/>
    <w:rsid w:val="005F7B75"/>
    <w:rsid w:val="006001EE"/>
    <w:rsid w:val="00605042"/>
    <w:rsid w:val="00611FC4"/>
    <w:rsid w:val="006176FB"/>
    <w:rsid w:val="00640B26"/>
    <w:rsid w:val="00652D0A"/>
    <w:rsid w:val="00662BB6"/>
    <w:rsid w:val="00684C21"/>
    <w:rsid w:val="0069577F"/>
    <w:rsid w:val="006C5DD3"/>
    <w:rsid w:val="006D37AF"/>
    <w:rsid w:val="006D51D0"/>
    <w:rsid w:val="006E564B"/>
    <w:rsid w:val="006E7191"/>
    <w:rsid w:val="00703577"/>
    <w:rsid w:val="0072632A"/>
    <w:rsid w:val="007327D5"/>
    <w:rsid w:val="00733979"/>
    <w:rsid w:val="00754AE5"/>
    <w:rsid w:val="007629C8"/>
    <w:rsid w:val="00782B1B"/>
    <w:rsid w:val="007A51B0"/>
    <w:rsid w:val="007B6BA5"/>
    <w:rsid w:val="007C3390"/>
    <w:rsid w:val="007C4F4B"/>
    <w:rsid w:val="007C784F"/>
    <w:rsid w:val="007E01B9"/>
    <w:rsid w:val="007E0B2D"/>
    <w:rsid w:val="007F6611"/>
    <w:rsid w:val="008242D7"/>
    <w:rsid w:val="008257B1"/>
    <w:rsid w:val="00843767"/>
    <w:rsid w:val="008679D9"/>
    <w:rsid w:val="0087353A"/>
    <w:rsid w:val="008979B1"/>
    <w:rsid w:val="008A1DB2"/>
    <w:rsid w:val="008A6B25"/>
    <w:rsid w:val="008A6C4F"/>
    <w:rsid w:val="008B2335"/>
    <w:rsid w:val="008B5551"/>
    <w:rsid w:val="008E0678"/>
    <w:rsid w:val="00910F40"/>
    <w:rsid w:val="0091168A"/>
    <w:rsid w:val="00912C08"/>
    <w:rsid w:val="009223CA"/>
    <w:rsid w:val="00940F93"/>
    <w:rsid w:val="0095347F"/>
    <w:rsid w:val="00957B82"/>
    <w:rsid w:val="00967D17"/>
    <w:rsid w:val="009760F3"/>
    <w:rsid w:val="009909F5"/>
    <w:rsid w:val="009A0E8D"/>
    <w:rsid w:val="009A4916"/>
    <w:rsid w:val="009B26E7"/>
    <w:rsid w:val="009C0F71"/>
    <w:rsid w:val="00A00A3F"/>
    <w:rsid w:val="00A00E5E"/>
    <w:rsid w:val="00A01489"/>
    <w:rsid w:val="00A2046E"/>
    <w:rsid w:val="00A31B6F"/>
    <w:rsid w:val="00A338F1"/>
    <w:rsid w:val="00A404FE"/>
    <w:rsid w:val="00A609B0"/>
    <w:rsid w:val="00A64FD8"/>
    <w:rsid w:val="00A72F22"/>
    <w:rsid w:val="00A7360F"/>
    <w:rsid w:val="00A748A6"/>
    <w:rsid w:val="00A769F4"/>
    <w:rsid w:val="00A776B4"/>
    <w:rsid w:val="00A864AC"/>
    <w:rsid w:val="00A94361"/>
    <w:rsid w:val="00AA293C"/>
    <w:rsid w:val="00B13E9B"/>
    <w:rsid w:val="00B30179"/>
    <w:rsid w:val="00B30325"/>
    <w:rsid w:val="00B339A7"/>
    <w:rsid w:val="00B45A97"/>
    <w:rsid w:val="00B56E4A"/>
    <w:rsid w:val="00B56E9C"/>
    <w:rsid w:val="00B64B1F"/>
    <w:rsid w:val="00B6553F"/>
    <w:rsid w:val="00B66E5E"/>
    <w:rsid w:val="00B77D05"/>
    <w:rsid w:val="00B81206"/>
    <w:rsid w:val="00B81E12"/>
    <w:rsid w:val="00B9067B"/>
    <w:rsid w:val="00BC2C23"/>
    <w:rsid w:val="00BC74E9"/>
    <w:rsid w:val="00BE0C8E"/>
    <w:rsid w:val="00BF5011"/>
    <w:rsid w:val="00BF61AC"/>
    <w:rsid w:val="00BF68A8"/>
    <w:rsid w:val="00C11A03"/>
    <w:rsid w:val="00C31678"/>
    <w:rsid w:val="00C429C5"/>
    <w:rsid w:val="00C463DD"/>
    <w:rsid w:val="00C4724C"/>
    <w:rsid w:val="00C629A0"/>
    <w:rsid w:val="00C745C3"/>
    <w:rsid w:val="00CE4A8F"/>
    <w:rsid w:val="00CF50E6"/>
    <w:rsid w:val="00D00828"/>
    <w:rsid w:val="00D2031B"/>
    <w:rsid w:val="00D25FE2"/>
    <w:rsid w:val="00D35EEF"/>
    <w:rsid w:val="00D41E8D"/>
    <w:rsid w:val="00D43252"/>
    <w:rsid w:val="00D47EEA"/>
    <w:rsid w:val="00D87F85"/>
    <w:rsid w:val="00D95303"/>
    <w:rsid w:val="00D978C6"/>
    <w:rsid w:val="00DA3111"/>
    <w:rsid w:val="00DA3C1C"/>
    <w:rsid w:val="00DB0C79"/>
    <w:rsid w:val="00DC1590"/>
    <w:rsid w:val="00E27346"/>
    <w:rsid w:val="00E71BC8"/>
    <w:rsid w:val="00E7260F"/>
    <w:rsid w:val="00E779FC"/>
    <w:rsid w:val="00E9170F"/>
    <w:rsid w:val="00E96630"/>
    <w:rsid w:val="00EA4C9B"/>
    <w:rsid w:val="00EB2581"/>
    <w:rsid w:val="00ED7A2A"/>
    <w:rsid w:val="00EF1D7F"/>
    <w:rsid w:val="00EF77B0"/>
    <w:rsid w:val="00F20C3D"/>
    <w:rsid w:val="00F43E9E"/>
    <w:rsid w:val="00F7110B"/>
    <w:rsid w:val="00F9057C"/>
    <w:rsid w:val="00F906D7"/>
    <w:rsid w:val="00F93781"/>
    <w:rsid w:val="00FB613B"/>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2F62E"/>
  <w15:docId w15:val="{2F45D727-287A-4F26-9244-C80779FD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551"/>
    <w:rPr>
      <w:rFonts w:eastAsia="SimSun"/>
    </w:rPr>
  </w:style>
  <w:style w:type="paragraph" w:styleId="Heading1">
    <w:name w:val="heading 1"/>
    <w:aliases w:val="Table_G"/>
    <w:basedOn w:val="SingleTxtG"/>
    <w:next w:val="SingleTxtG"/>
    <w:link w:val="Heading1Char"/>
    <w:rsid w:val="008B5551"/>
    <w:pPr>
      <w:spacing w:after="0"/>
      <w:ind w:right="0"/>
      <w:jc w:val="left"/>
      <w:outlineLvl w:val="0"/>
    </w:pPr>
  </w:style>
  <w:style w:type="paragraph" w:styleId="Heading2">
    <w:name w:val="heading 2"/>
    <w:basedOn w:val="Normal"/>
    <w:next w:val="Normal"/>
    <w:link w:val="Heading2Char"/>
    <w:rsid w:val="008B5551"/>
    <w:pPr>
      <w:outlineLvl w:val="1"/>
    </w:pPr>
  </w:style>
  <w:style w:type="paragraph" w:styleId="Heading3">
    <w:name w:val="heading 3"/>
    <w:basedOn w:val="Normal"/>
    <w:next w:val="Normal"/>
    <w:link w:val="Heading3Char"/>
    <w:rsid w:val="008B5551"/>
    <w:pPr>
      <w:outlineLvl w:val="2"/>
    </w:pPr>
  </w:style>
  <w:style w:type="paragraph" w:styleId="Heading4">
    <w:name w:val="heading 4"/>
    <w:basedOn w:val="Normal"/>
    <w:next w:val="Normal"/>
    <w:link w:val="Heading4Char"/>
    <w:rsid w:val="008B5551"/>
    <w:pPr>
      <w:outlineLvl w:val="3"/>
    </w:pPr>
  </w:style>
  <w:style w:type="paragraph" w:styleId="Heading5">
    <w:name w:val="heading 5"/>
    <w:basedOn w:val="Normal"/>
    <w:next w:val="Normal"/>
    <w:link w:val="Heading5Char"/>
    <w:rsid w:val="008B5551"/>
    <w:pPr>
      <w:outlineLvl w:val="4"/>
    </w:pPr>
  </w:style>
  <w:style w:type="paragraph" w:styleId="Heading6">
    <w:name w:val="heading 6"/>
    <w:basedOn w:val="Normal"/>
    <w:next w:val="Normal"/>
    <w:link w:val="Heading6Char"/>
    <w:rsid w:val="008B5551"/>
    <w:pPr>
      <w:outlineLvl w:val="5"/>
    </w:pPr>
  </w:style>
  <w:style w:type="paragraph" w:styleId="Heading7">
    <w:name w:val="heading 7"/>
    <w:basedOn w:val="Normal"/>
    <w:next w:val="Normal"/>
    <w:link w:val="Heading7Char"/>
    <w:rsid w:val="008B5551"/>
    <w:pPr>
      <w:outlineLvl w:val="6"/>
    </w:pPr>
  </w:style>
  <w:style w:type="paragraph" w:styleId="Heading8">
    <w:name w:val="heading 8"/>
    <w:basedOn w:val="Normal"/>
    <w:next w:val="Normal"/>
    <w:link w:val="Heading8Char"/>
    <w:rsid w:val="008B5551"/>
    <w:pPr>
      <w:outlineLvl w:val="7"/>
    </w:pPr>
  </w:style>
  <w:style w:type="paragraph" w:styleId="Heading9">
    <w:name w:val="heading 9"/>
    <w:basedOn w:val="Normal"/>
    <w:next w:val="Normal"/>
    <w:link w:val="Heading9Char"/>
    <w:rsid w:val="008B55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8B555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8B5551"/>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8B5551"/>
    <w:pPr>
      <w:numPr>
        <w:numId w:val="3"/>
      </w:numPr>
    </w:pPr>
  </w:style>
  <w:style w:type="paragraph" w:customStyle="1" w:styleId="SingleTxtG">
    <w:name w:val="_ Single Txt_G"/>
    <w:basedOn w:val="Normal"/>
    <w:rsid w:val="008B5551"/>
    <w:pPr>
      <w:spacing w:after="120"/>
      <w:ind w:left="1134" w:right="1134"/>
      <w:jc w:val="both"/>
    </w:pPr>
  </w:style>
  <w:style w:type="character" w:styleId="EndnoteReference">
    <w:name w:val="endnote reference"/>
    <w:aliases w:val="1_G"/>
    <w:rsid w:val="008B5551"/>
    <w:rPr>
      <w:rFonts w:ascii="Times New Roman" w:hAnsi="Times New Roman"/>
      <w:sz w:val="18"/>
      <w:vertAlign w:val="superscript"/>
    </w:rPr>
  </w:style>
  <w:style w:type="character" w:customStyle="1" w:styleId="FootnoteTextChar">
    <w:name w:val="Footnote Text Char"/>
    <w:aliases w:val="5_G Char"/>
    <w:basedOn w:val="DefaultParagraphFont"/>
    <w:link w:val="FootnoteText"/>
    <w:rsid w:val="008B5551"/>
    <w:rPr>
      <w:rFonts w:eastAsia="SimSun"/>
      <w:sz w:val="18"/>
    </w:rPr>
  </w:style>
  <w:style w:type="paragraph" w:styleId="BalloonText">
    <w:name w:val="Balloon Text"/>
    <w:basedOn w:val="Normal"/>
    <w:link w:val="BalloonTextChar"/>
    <w:uiPriority w:val="99"/>
    <w:semiHidden/>
    <w:unhideWhenUsed/>
    <w:rsid w:val="008B5551"/>
    <w:rPr>
      <w:rFonts w:ascii="Tahoma" w:hAnsi="Tahoma" w:cs="Tahoma"/>
      <w:sz w:val="16"/>
      <w:szCs w:val="16"/>
    </w:rPr>
  </w:style>
  <w:style w:type="character" w:customStyle="1" w:styleId="BalloonTextChar">
    <w:name w:val="Balloon Text Char"/>
    <w:basedOn w:val="DefaultParagraphFont"/>
    <w:link w:val="BalloonText"/>
    <w:uiPriority w:val="99"/>
    <w:semiHidden/>
    <w:rsid w:val="008B5551"/>
    <w:rPr>
      <w:rFonts w:ascii="Tahoma" w:eastAsia="SimSun" w:hAnsi="Tahoma" w:cs="Tahoma"/>
      <w:sz w:val="16"/>
      <w:szCs w:val="16"/>
    </w:rPr>
  </w:style>
  <w:style w:type="paragraph" w:styleId="EndnoteText">
    <w:name w:val="endnote text"/>
    <w:aliases w:val="2_G"/>
    <w:basedOn w:val="FootnoteText"/>
    <w:link w:val="EndnoteTextChar"/>
    <w:rsid w:val="008B5551"/>
  </w:style>
  <w:style w:type="paragraph" w:customStyle="1" w:styleId="SMG">
    <w:name w:val="__S_M_G"/>
    <w:basedOn w:val="Normal"/>
    <w:next w:val="Normal"/>
    <w:rsid w:val="008B5551"/>
    <w:pPr>
      <w:keepNext/>
      <w:keepLines/>
      <w:spacing w:before="240" w:after="240" w:line="420" w:lineRule="exact"/>
      <w:ind w:left="1134" w:right="1134"/>
    </w:pPr>
    <w:rPr>
      <w:b/>
      <w:sz w:val="40"/>
    </w:rPr>
  </w:style>
  <w:style w:type="paragraph" w:customStyle="1" w:styleId="SLG">
    <w:name w:val="__S_L_G"/>
    <w:basedOn w:val="Normal"/>
    <w:next w:val="Normal"/>
    <w:rsid w:val="008B5551"/>
    <w:pPr>
      <w:keepNext/>
      <w:keepLines/>
      <w:spacing w:before="240" w:after="240" w:line="580" w:lineRule="exact"/>
      <w:ind w:left="1134" w:right="1134"/>
    </w:pPr>
    <w:rPr>
      <w:b/>
      <w:sz w:val="56"/>
    </w:rPr>
  </w:style>
  <w:style w:type="paragraph" w:customStyle="1" w:styleId="SSG">
    <w:name w:val="__S_S_G"/>
    <w:basedOn w:val="Normal"/>
    <w:next w:val="Normal"/>
    <w:rsid w:val="008B5551"/>
    <w:pPr>
      <w:keepNext/>
      <w:keepLines/>
      <w:spacing w:before="240" w:after="240" w:line="300" w:lineRule="exact"/>
      <w:ind w:left="1134" w:right="1134"/>
    </w:pPr>
    <w:rPr>
      <w:b/>
      <w:sz w:val="28"/>
    </w:rPr>
  </w:style>
  <w:style w:type="character" w:customStyle="1" w:styleId="EndnoteTextChar">
    <w:name w:val="Endnote Text Char"/>
    <w:aliases w:val="2_G Char"/>
    <w:basedOn w:val="DefaultParagraphFont"/>
    <w:link w:val="EndnoteText"/>
    <w:rsid w:val="008B5551"/>
    <w:rPr>
      <w:rFonts w:eastAsia="SimSun"/>
      <w:sz w:val="18"/>
    </w:rPr>
  </w:style>
  <w:style w:type="character" w:styleId="FootnoteReference">
    <w:name w:val="footnote reference"/>
    <w:aliases w:val="4_G"/>
    <w:rsid w:val="008B5551"/>
    <w:rPr>
      <w:rFonts w:ascii="Times New Roman" w:hAnsi="Times New Roman"/>
      <w:sz w:val="18"/>
      <w:vertAlign w:val="superscript"/>
    </w:rPr>
  </w:style>
  <w:style w:type="paragraph" w:styleId="FootnoteText">
    <w:name w:val="footnote text"/>
    <w:aliases w:val="5_G"/>
    <w:basedOn w:val="Normal"/>
    <w:link w:val="FootnoteTextChar"/>
    <w:rsid w:val="008B5551"/>
    <w:pPr>
      <w:tabs>
        <w:tab w:val="right" w:pos="1021"/>
      </w:tabs>
      <w:spacing w:line="220" w:lineRule="exact"/>
      <w:ind w:left="1134" w:right="1134" w:hanging="1134"/>
    </w:pPr>
    <w:rPr>
      <w:sz w:val="18"/>
    </w:rPr>
  </w:style>
  <w:style w:type="paragraph" w:customStyle="1" w:styleId="XLargeG">
    <w:name w:val="__XLarge_G"/>
    <w:basedOn w:val="Normal"/>
    <w:next w:val="Normal"/>
    <w:rsid w:val="008B5551"/>
    <w:pPr>
      <w:keepNext/>
      <w:keepLines/>
      <w:spacing w:before="240" w:after="240" w:line="420" w:lineRule="exact"/>
      <w:ind w:left="1134" w:right="1134"/>
    </w:pPr>
    <w:rPr>
      <w:b/>
      <w:sz w:val="40"/>
    </w:rPr>
  </w:style>
  <w:style w:type="paragraph" w:customStyle="1" w:styleId="Bullet1G">
    <w:name w:val="_Bullet 1_G"/>
    <w:basedOn w:val="Normal"/>
    <w:rsid w:val="008B5551"/>
    <w:pPr>
      <w:numPr>
        <w:numId w:val="1"/>
      </w:numPr>
      <w:spacing w:after="120"/>
      <w:ind w:right="1134"/>
      <w:jc w:val="both"/>
    </w:pPr>
  </w:style>
  <w:style w:type="character" w:customStyle="1" w:styleId="FooterChar">
    <w:name w:val="Footer Char"/>
    <w:aliases w:val="3_G Char"/>
    <w:basedOn w:val="DefaultParagraphFont"/>
    <w:link w:val="Footer"/>
    <w:rsid w:val="008B5551"/>
    <w:rPr>
      <w:rFonts w:eastAsia="SimSun"/>
      <w:sz w:val="16"/>
    </w:rPr>
  </w:style>
  <w:style w:type="character" w:customStyle="1" w:styleId="HeaderChar">
    <w:name w:val="Header Char"/>
    <w:aliases w:val="6_G Char"/>
    <w:basedOn w:val="DefaultParagraphFont"/>
    <w:link w:val="Header"/>
    <w:rsid w:val="008B5551"/>
    <w:rPr>
      <w:rFonts w:eastAsia="SimSun"/>
      <w:b/>
      <w:sz w:val="18"/>
    </w:rPr>
  </w:style>
  <w:style w:type="character" w:customStyle="1" w:styleId="Heading1Char">
    <w:name w:val="Heading 1 Char"/>
    <w:aliases w:val="Table_G Char"/>
    <w:basedOn w:val="DefaultParagraphFont"/>
    <w:link w:val="Heading1"/>
    <w:rsid w:val="008B5551"/>
    <w:rPr>
      <w:rFonts w:eastAsia="SimSun"/>
    </w:rPr>
  </w:style>
  <w:style w:type="character" w:customStyle="1" w:styleId="Heading2Char">
    <w:name w:val="Heading 2 Char"/>
    <w:basedOn w:val="DefaultParagraphFont"/>
    <w:link w:val="Heading2"/>
    <w:rsid w:val="008B5551"/>
    <w:rPr>
      <w:rFonts w:eastAsia="SimSun"/>
    </w:rPr>
  </w:style>
  <w:style w:type="paragraph" w:customStyle="1" w:styleId="Bullet2G">
    <w:name w:val="_Bullet 2_G"/>
    <w:basedOn w:val="Normal"/>
    <w:rsid w:val="008B5551"/>
    <w:pPr>
      <w:numPr>
        <w:numId w:val="2"/>
      </w:numPr>
      <w:spacing w:after="120"/>
      <w:ind w:right="1134"/>
      <w:jc w:val="both"/>
    </w:pPr>
  </w:style>
  <w:style w:type="paragraph" w:customStyle="1" w:styleId="H1G">
    <w:name w:val="_ H_1_G"/>
    <w:basedOn w:val="Normal"/>
    <w:next w:val="Normal"/>
    <w:rsid w:val="008B5551"/>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8B555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8B555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B5551"/>
    <w:pPr>
      <w:keepNext/>
      <w:keepLines/>
      <w:tabs>
        <w:tab w:val="right" w:pos="851"/>
      </w:tabs>
      <w:spacing w:before="240" w:after="120" w:line="240" w:lineRule="exact"/>
      <w:ind w:left="1134" w:right="1134" w:hanging="1134"/>
    </w:pPr>
  </w:style>
  <w:style w:type="numbering" w:styleId="111111">
    <w:name w:val="Outline List 2"/>
    <w:basedOn w:val="NoList"/>
    <w:semiHidden/>
    <w:rsid w:val="008B5551"/>
    <w:pPr>
      <w:numPr>
        <w:numId w:val="4"/>
      </w:numPr>
    </w:pPr>
  </w:style>
  <w:style w:type="numbering" w:styleId="1ai">
    <w:name w:val="Outline List 1"/>
    <w:basedOn w:val="NoList"/>
    <w:semiHidden/>
    <w:rsid w:val="008B5551"/>
    <w:pPr>
      <w:numPr>
        <w:numId w:val="5"/>
      </w:numPr>
    </w:pPr>
  </w:style>
  <w:style w:type="character" w:customStyle="1" w:styleId="Heading3Char">
    <w:name w:val="Heading 3 Char"/>
    <w:basedOn w:val="DefaultParagraphFont"/>
    <w:link w:val="Heading3"/>
    <w:rsid w:val="008B5551"/>
    <w:rPr>
      <w:rFonts w:eastAsia="SimSun"/>
    </w:rPr>
  </w:style>
  <w:style w:type="character" w:customStyle="1" w:styleId="Heading4Char">
    <w:name w:val="Heading 4 Char"/>
    <w:basedOn w:val="DefaultParagraphFont"/>
    <w:link w:val="Heading4"/>
    <w:rsid w:val="008B5551"/>
    <w:rPr>
      <w:rFonts w:eastAsia="SimSun"/>
    </w:rPr>
  </w:style>
  <w:style w:type="character" w:customStyle="1" w:styleId="Heading5Char">
    <w:name w:val="Heading 5 Char"/>
    <w:basedOn w:val="DefaultParagraphFont"/>
    <w:link w:val="Heading5"/>
    <w:rsid w:val="008B5551"/>
    <w:rPr>
      <w:rFonts w:eastAsia="SimSun"/>
    </w:rPr>
  </w:style>
  <w:style w:type="character" w:customStyle="1" w:styleId="Heading6Char">
    <w:name w:val="Heading 6 Char"/>
    <w:basedOn w:val="DefaultParagraphFont"/>
    <w:link w:val="Heading6"/>
    <w:rsid w:val="008B5551"/>
    <w:rPr>
      <w:rFonts w:eastAsia="SimSun"/>
    </w:rPr>
  </w:style>
  <w:style w:type="character" w:customStyle="1" w:styleId="Heading7Char">
    <w:name w:val="Heading 7 Char"/>
    <w:basedOn w:val="DefaultParagraphFont"/>
    <w:link w:val="Heading7"/>
    <w:rsid w:val="008B5551"/>
    <w:rPr>
      <w:rFonts w:eastAsia="SimSun"/>
    </w:rPr>
  </w:style>
  <w:style w:type="character" w:customStyle="1" w:styleId="Heading8Char">
    <w:name w:val="Heading 8 Char"/>
    <w:basedOn w:val="DefaultParagraphFont"/>
    <w:link w:val="Heading8"/>
    <w:rsid w:val="008B5551"/>
    <w:rPr>
      <w:rFonts w:eastAsia="SimSun"/>
    </w:rPr>
  </w:style>
  <w:style w:type="character" w:customStyle="1" w:styleId="Heading9Char">
    <w:name w:val="Heading 9 Char"/>
    <w:basedOn w:val="DefaultParagraphFont"/>
    <w:link w:val="Heading9"/>
    <w:rsid w:val="008B5551"/>
    <w:rPr>
      <w:rFonts w:eastAsia="SimSun"/>
    </w:rPr>
  </w:style>
  <w:style w:type="character" w:styleId="PageNumber">
    <w:name w:val="page number"/>
    <w:aliases w:val="7_G"/>
    <w:semiHidden/>
    <w:rsid w:val="008B5551"/>
    <w:rPr>
      <w:rFonts w:ascii="Times New Roman" w:hAnsi="Times New Roman"/>
      <w:b/>
      <w:sz w:val="18"/>
    </w:rPr>
  </w:style>
  <w:style w:type="table" w:styleId="TableGrid">
    <w:name w:val="Table Grid"/>
    <w:basedOn w:val="TableNormal"/>
    <w:rsid w:val="008B555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9170F"/>
    <w:rPr>
      <w:sz w:val="16"/>
      <w:szCs w:val="16"/>
    </w:rPr>
  </w:style>
  <w:style w:type="paragraph" w:styleId="CommentText">
    <w:name w:val="annotation text"/>
    <w:basedOn w:val="Normal"/>
    <w:link w:val="CommentTextChar"/>
    <w:semiHidden/>
    <w:unhideWhenUsed/>
    <w:rsid w:val="00E9170F"/>
  </w:style>
  <w:style w:type="character" w:customStyle="1" w:styleId="CommentTextChar">
    <w:name w:val="Comment Text Char"/>
    <w:basedOn w:val="DefaultParagraphFont"/>
    <w:link w:val="CommentText"/>
    <w:semiHidden/>
    <w:rsid w:val="00E9170F"/>
    <w:rPr>
      <w:rFonts w:eastAsia="SimSun"/>
    </w:rPr>
  </w:style>
  <w:style w:type="paragraph" w:styleId="CommentSubject">
    <w:name w:val="annotation subject"/>
    <w:basedOn w:val="CommentText"/>
    <w:next w:val="CommentText"/>
    <w:link w:val="CommentSubjectChar"/>
    <w:semiHidden/>
    <w:unhideWhenUsed/>
    <w:rsid w:val="00E9170F"/>
    <w:rPr>
      <w:b/>
      <w:bCs/>
    </w:rPr>
  </w:style>
  <w:style w:type="character" w:customStyle="1" w:styleId="CommentSubjectChar">
    <w:name w:val="Comment Subject Char"/>
    <w:basedOn w:val="CommentTextChar"/>
    <w:link w:val="CommentSubject"/>
    <w:semiHidden/>
    <w:rsid w:val="00E9170F"/>
    <w:rPr>
      <w:rFonts w:eastAsia="SimSun"/>
      <w:b/>
      <w:bCs/>
    </w:rPr>
  </w:style>
  <w:style w:type="paragraph" w:styleId="Footer">
    <w:name w:val="footer"/>
    <w:aliases w:val="3_G"/>
    <w:basedOn w:val="Normal"/>
    <w:link w:val="FooterChar"/>
    <w:rsid w:val="008B5551"/>
    <w:rPr>
      <w:sz w:val="16"/>
    </w:rPr>
  </w:style>
  <w:style w:type="paragraph" w:styleId="Header">
    <w:name w:val="header"/>
    <w:aliases w:val="6_G"/>
    <w:basedOn w:val="Normal"/>
    <w:link w:val="HeaderChar"/>
    <w:rsid w:val="008B5551"/>
    <w:pPr>
      <w:pBdr>
        <w:bottom w:val="single" w:sz="4" w:space="4" w:color="auto"/>
      </w:pBdr>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ProfessionalInterest/Pages/CMW.aspx"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deschutter/Library/Containers/com.apple.mail/Data/Library/Mail%20Downloads/D47912FD-EE8E-4AFF-A3E1-05B00DCECFC0/See%20www.ipcc.ch/sr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HR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D50411-85B5-42B9-BA89-3DD87493289A}"/>
</file>

<file path=customXml/itemProps2.xml><?xml version="1.0" encoding="utf-8"?>
<ds:datastoreItem xmlns:ds="http://schemas.openxmlformats.org/officeDocument/2006/customXml" ds:itemID="{EC5E0013-AC67-4D94-A8AE-886BC8C21DC8}"/>
</file>

<file path=customXml/itemProps3.xml><?xml version="1.0" encoding="utf-8"?>
<ds:datastoreItem xmlns:ds="http://schemas.openxmlformats.org/officeDocument/2006/customXml" ds:itemID="{9DD7C4E2-9E7C-4D79-8D37-A4E8425D2DA4}"/>
</file>

<file path=docProps/app.xml><?xml version="1.0" encoding="utf-8"?>
<Properties xmlns="http://schemas.openxmlformats.org/officeDocument/2006/extended-properties" xmlns:vt="http://schemas.openxmlformats.org/officeDocument/2006/docPropsVTypes">
  <Template>HRI.dotm</Template>
  <TotalTime>1</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HRI/2019/1</vt:lpstr>
    </vt:vector>
  </TitlesOfParts>
  <Company>CSD</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HRI/2019/1</dc:title>
  <dc:subject>2005801</dc:subject>
  <dc:creator>AVT</dc:creator>
  <cp:keywords/>
  <dc:description/>
  <cp:lastModifiedBy>augusta devos</cp:lastModifiedBy>
  <cp:revision>2</cp:revision>
  <cp:lastPrinted>2011-07-01T12:27:00Z</cp:lastPrinted>
  <dcterms:created xsi:type="dcterms:W3CDTF">2020-05-14T12:58:00Z</dcterms:created>
  <dcterms:modified xsi:type="dcterms:W3CDTF">2020-05-14T12:58:00Z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