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A4823" w14:paraId="19071A58" w14:textId="77777777" w:rsidTr="00E12184">
        <w:trPr>
          <w:trHeight w:val="851"/>
        </w:trPr>
        <w:tc>
          <w:tcPr>
            <w:tcW w:w="1259" w:type="dxa"/>
            <w:tcBorders>
              <w:top w:val="nil"/>
              <w:left w:val="nil"/>
              <w:bottom w:val="single" w:sz="4" w:space="0" w:color="auto"/>
              <w:right w:val="nil"/>
            </w:tcBorders>
          </w:tcPr>
          <w:p w14:paraId="304CD0C5" w14:textId="77777777" w:rsidR="00446DE4" w:rsidRPr="000A4823" w:rsidRDefault="00446DE4" w:rsidP="00197DDD">
            <w:pPr>
              <w:spacing w:after="80" w:line="340" w:lineRule="exact"/>
            </w:pPr>
          </w:p>
        </w:tc>
        <w:tc>
          <w:tcPr>
            <w:tcW w:w="2236" w:type="dxa"/>
            <w:tcBorders>
              <w:top w:val="nil"/>
              <w:left w:val="nil"/>
              <w:bottom w:val="single" w:sz="4" w:space="0" w:color="auto"/>
              <w:right w:val="nil"/>
            </w:tcBorders>
            <w:vAlign w:val="bottom"/>
          </w:tcPr>
          <w:p w14:paraId="0DF1EC1D" w14:textId="77777777" w:rsidR="00446DE4" w:rsidRPr="000A4823" w:rsidRDefault="00B3317B" w:rsidP="00197DDD">
            <w:pPr>
              <w:spacing w:after="80" w:line="340" w:lineRule="exact"/>
              <w:rPr>
                <w:sz w:val="28"/>
                <w:szCs w:val="28"/>
              </w:rPr>
            </w:pPr>
            <w:r w:rsidRPr="000A4823">
              <w:rPr>
                <w:sz w:val="28"/>
                <w:szCs w:val="28"/>
              </w:rPr>
              <w:t>United Nations</w:t>
            </w:r>
          </w:p>
        </w:tc>
        <w:tc>
          <w:tcPr>
            <w:tcW w:w="6144" w:type="dxa"/>
            <w:gridSpan w:val="2"/>
            <w:tcBorders>
              <w:top w:val="nil"/>
              <w:left w:val="nil"/>
              <w:bottom w:val="single" w:sz="4" w:space="0" w:color="auto"/>
              <w:right w:val="nil"/>
            </w:tcBorders>
            <w:vAlign w:val="bottom"/>
          </w:tcPr>
          <w:p w14:paraId="14FBC025" w14:textId="77777777" w:rsidR="00446DE4" w:rsidRPr="000A4823" w:rsidRDefault="00734D8C" w:rsidP="00734D8C">
            <w:pPr>
              <w:jc w:val="right"/>
            </w:pPr>
            <w:r w:rsidRPr="000A4823">
              <w:rPr>
                <w:sz w:val="40"/>
              </w:rPr>
              <w:t>CRC</w:t>
            </w:r>
            <w:r w:rsidRPr="000A4823">
              <w:t>/C/82/R.1</w:t>
            </w:r>
          </w:p>
        </w:tc>
      </w:tr>
      <w:tr w:rsidR="003107FA" w:rsidRPr="000A4823" w14:paraId="7C0AE85E" w14:textId="77777777" w:rsidTr="00E12184">
        <w:trPr>
          <w:trHeight w:val="2835"/>
        </w:trPr>
        <w:tc>
          <w:tcPr>
            <w:tcW w:w="1259" w:type="dxa"/>
            <w:tcBorders>
              <w:top w:val="single" w:sz="4" w:space="0" w:color="auto"/>
              <w:left w:val="nil"/>
              <w:bottom w:val="single" w:sz="12" w:space="0" w:color="auto"/>
              <w:right w:val="nil"/>
            </w:tcBorders>
          </w:tcPr>
          <w:p w14:paraId="408A5FB6" w14:textId="77777777" w:rsidR="003107FA" w:rsidRPr="000A4823" w:rsidRDefault="0050468A" w:rsidP="00197DDD">
            <w:pPr>
              <w:spacing w:before="120"/>
              <w:jc w:val="center"/>
            </w:pPr>
            <w:r w:rsidRPr="000A4823">
              <w:rPr>
                <w:noProof/>
                <w:lang w:eastAsia="en-GB"/>
              </w:rPr>
              <w:drawing>
                <wp:inline distT="0" distB="0" distL="0" distR="0" wp14:anchorId="413286A8" wp14:editId="4A64A85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786965F" w14:textId="77777777" w:rsidR="003107FA" w:rsidRPr="00405DA5" w:rsidRDefault="001E3807" w:rsidP="00197DDD">
            <w:pPr>
              <w:spacing w:before="120" w:line="420" w:lineRule="exact"/>
              <w:rPr>
                <w:b/>
                <w:sz w:val="40"/>
                <w:szCs w:val="40"/>
              </w:rPr>
            </w:pPr>
            <w:r w:rsidRPr="00405DA5">
              <w:rPr>
                <w:b/>
                <w:sz w:val="40"/>
                <w:szCs w:val="40"/>
              </w:rPr>
              <w:t>Convention on the</w:t>
            </w:r>
            <w:r w:rsidRPr="00405DA5">
              <w:rPr>
                <w:b/>
                <w:sz w:val="40"/>
                <w:szCs w:val="40"/>
              </w:rPr>
              <w:br/>
              <w:t>Rights of the Child</w:t>
            </w:r>
          </w:p>
        </w:tc>
        <w:tc>
          <w:tcPr>
            <w:tcW w:w="2930" w:type="dxa"/>
            <w:tcBorders>
              <w:top w:val="single" w:sz="4" w:space="0" w:color="auto"/>
              <w:left w:val="nil"/>
              <w:bottom w:val="single" w:sz="12" w:space="0" w:color="auto"/>
              <w:right w:val="nil"/>
            </w:tcBorders>
          </w:tcPr>
          <w:p w14:paraId="21437868" w14:textId="77777777" w:rsidR="003107FA" w:rsidRPr="00405DA5" w:rsidRDefault="00734D8C" w:rsidP="00734D8C">
            <w:pPr>
              <w:spacing w:before="240" w:line="240" w:lineRule="exact"/>
            </w:pPr>
            <w:r w:rsidRPr="00405DA5">
              <w:t>Distr.: Restricted</w:t>
            </w:r>
            <w:r w:rsidR="00901205" w:rsidRPr="00405DA5">
              <w:rPr>
                <w:rStyle w:val="FootnoteReference"/>
                <w:sz w:val="20"/>
                <w:vertAlign w:val="baseline"/>
              </w:rPr>
              <w:footnoteReference w:customMarkFollows="1" w:id="2"/>
              <w:t>*</w:t>
            </w:r>
          </w:p>
          <w:p w14:paraId="346EE29B" w14:textId="77777777" w:rsidR="00734D8C" w:rsidRPr="00405DA5" w:rsidRDefault="00454402" w:rsidP="00734D8C">
            <w:pPr>
              <w:spacing w:line="240" w:lineRule="exact"/>
            </w:pPr>
            <w:r w:rsidRPr="00405DA5">
              <w:t xml:space="preserve">25 </w:t>
            </w:r>
            <w:r w:rsidR="00734D8C" w:rsidRPr="00405DA5">
              <w:t>July 2019</w:t>
            </w:r>
          </w:p>
          <w:p w14:paraId="1CF83053" w14:textId="77777777" w:rsidR="00734D8C" w:rsidRPr="00405DA5" w:rsidRDefault="00734D8C" w:rsidP="00734D8C">
            <w:pPr>
              <w:spacing w:line="240" w:lineRule="exact"/>
            </w:pPr>
          </w:p>
          <w:p w14:paraId="786295B9" w14:textId="77777777" w:rsidR="00734D8C" w:rsidRPr="00405DA5" w:rsidRDefault="00734D8C" w:rsidP="00734D8C">
            <w:pPr>
              <w:spacing w:line="240" w:lineRule="exact"/>
            </w:pPr>
            <w:r w:rsidRPr="00405DA5">
              <w:t>Original: English</w:t>
            </w:r>
          </w:p>
          <w:p w14:paraId="7916D589" w14:textId="77777777" w:rsidR="00697153" w:rsidRPr="00405DA5" w:rsidRDefault="00697153" w:rsidP="00734D8C">
            <w:pPr>
              <w:spacing w:line="240" w:lineRule="exact"/>
            </w:pPr>
            <w:r w:rsidRPr="00405DA5">
              <w:t>E</w:t>
            </w:r>
            <w:r w:rsidR="008B6453" w:rsidRPr="00405DA5">
              <w:t>nglish, French and Spanish only</w:t>
            </w:r>
          </w:p>
        </w:tc>
      </w:tr>
    </w:tbl>
    <w:p w14:paraId="49816B3D" w14:textId="77777777" w:rsidR="00E12184" w:rsidRPr="000A4823" w:rsidRDefault="00E12184" w:rsidP="00E12184">
      <w:pPr>
        <w:spacing w:before="120"/>
        <w:rPr>
          <w:b/>
          <w:bCs/>
          <w:sz w:val="24"/>
          <w:szCs w:val="24"/>
        </w:rPr>
      </w:pPr>
      <w:r w:rsidRPr="000A4823">
        <w:rPr>
          <w:b/>
          <w:bCs/>
          <w:sz w:val="24"/>
          <w:szCs w:val="24"/>
        </w:rPr>
        <w:t>Committee on the Rights of the Child</w:t>
      </w:r>
    </w:p>
    <w:p w14:paraId="04FBDE34" w14:textId="77777777" w:rsidR="00E12184" w:rsidRPr="000A4823" w:rsidRDefault="00E12184" w:rsidP="00E12184">
      <w:pPr>
        <w:rPr>
          <w:b/>
          <w:bCs/>
        </w:rPr>
      </w:pPr>
      <w:r w:rsidRPr="000A4823">
        <w:rPr>
          <w:b/>
          <w:bCs/>
        </w:rPr>
        <w:t>Eighty-</w:t>
      </w:r>
      <w:r w:rsidR="006D2E1B" w:rsidRPr="000A4823">
        <w:rPr>
          <w:b/>
          <w:bCs/>
        </w:rPr>
        <w:t>second</w:t>
      </w:r>
      <w:r w:rsidRPr="000A4823">
        <w:rPr>
          <w:b/>
          <w:bCs/>
        </w:rPr>
        <w:t xml:space="preserve"> session</w:t>
      </w:r>
    </w:p>
    <w:p w14:paraId="4D88189A" w14:textId="77777777" w:rsidR="00E12184" w:rsidRPr="000A4823" w:rsidRDefault="006D2E1B" w:rsidP="00E12184">
      <w:r w:rsidRPr="000A4823">
        <w:t>9–27</w:t>
      </w:r>
      <w:r w:rsidR="00E12184" w:rsidRPr="000A4823">
        <w:t xml:space="preserve"> </w:t>
      </w:r>
      <w:r w:rsidRPr="000A4823">
        <w:t>September</w:t>
      </w:r>
      <w:r w:rsidR="00E12184" w:rsidRPr="000A4823">
        <w:t xml:space="preserve"> 2019</w:t>
      </w:r>
    </w:p>
    <w:p w14:paraId="7924B01F" w14:textId="77777777" w:rsidR="00E12184" w:rsidRPr="000A4823" w:rsidRDefault="00E12184" w:rsidP="00E12184">
      <w:r w:rsidRPr="000A4823">
        <w:t>Item 7 of the provisional agenda</w:t>
      </w:r>
    </w:p>
    <w:p w14:paraId="0F858FD9" w14:textId="3C5FFEEE" w:rsidR="00E12184" w:rsidRPr="000A4823" w:rsidRDefault="00E12184" w:rsidP="00E12184">
      <w:pPr>
        <w:rPr>
          <w:b/>
          <w:bCs/>
        </w:rPr>
      </w:pPr>
      <w:r w:rsidRPr="000A4823">
        <w:rPr>
          <w:b/>
          <w:bCs/>
        </w:rPr>
        <w:t xml:space="preserve">Activities of the Committee under the Optional </w:t>
      </w:r>
      <w:r w:rsidRPr="000A4823">
        <w:rPr>
          <w:b/>
          <w:bCs/>
        </w:rPr>
        <w:br/>
        <w:t xml:space="preserve">Protocol to the Convention on the Rights of the Child </w:t>
      </w:r>
      <w:r w:rsidRPr="000A4823">
        <w:rPr>
          <w:b/>
          <w:bCs/>
        </w:rPr>
        <w:br/>
        <w:t>on a communications procedure</w:t>
      </w:r>
    </w:p>
    <w:p w14:paraId="11EC319B" w14:textId="77777777" w:rsidR="00697153" w:rsidRPr="000A4823" w:rsidRDefault="00697153" w:rsidP="00697153">
      <w:pPr>
        <w:pStyle w:val="HChG"/>
      </w:pPr>
      <w:r w:rsidRPr="000A4823">
        <w:tab/>
      </w:r>
      <w:r w:rsidRPr="000A4823">
        <w:tab/>
        <w:t>Follow-up progress report on individual communications</w:t>
      </w:r>
    </w:p>
    <w:p w14:paraId="2D37BC82" w14:textId="77777777" w:rsidR="00697153" w:rsidRPr="000A4823" w:rsidRDefault="00697153" w:rsidP="00697153">
      <w:pPr>
        <w:pStyle w:val="HChG"/>
        <w:jc w:val="both"/>
        <w:rPr>
          <w:sz w:val="24"/>
          <w:szCs w:val="24"/>
        </w:rPr>
      </w:pPr>
      <w:r w:rsidRPr="000A4823">
        <w:tab/>
      </w:r>
      <w:r w:rsidRPr="000A4823">
        <w:rPr>
          <w:sz w:val="24"/>
          <w:szCs w:val="24"/>
        </w:rPr>
        <w:tab/>
        <w:t>Draft prepared by the Special Rapporteurs</w:t>
      </w:r>
    </w:p>
    <w:p w14:paraId="4E479FB7" w14:textId="77777777" w:rsidR="00697153" w:rsidRPr="000A4823" w:rsidRDefault="00E4213A" w:rsidP="00E4213A">
      <w:pPr>
        <w:pStyle w:val="H1G"/>
      </w:pPr>
      <w:r w:rsidRPr="000A4823">
        <w:tab/>
        <w:t>A.</w:t>
      </w:r>
      <w:r w:rsidRPr="000A4823">
        <w:tab/>
      </w:r>
      <w:r w:rsidR="00697153" w:rsidRPr="000A4823">
        <w:t>Introduction</w:t>
      </w:r>
    </w:p>
    <w:p w14:paraId="2CC71D2D" w14:textId="00C3D611" w:rsidR="00734D8C" w:rsidRPr="000A4823" w:rsidRDefault="00697153" w:rsidP="00AB3237">
      <w:pPr>
        <w:pStyle w:val="SingleTxtG"/>
        <w:ind w:firstLine="567"/>
      </w:pPr>
      <w:r w:rsidRPr="000A4823">
        <w:t>The present report is a compilation of information received from States parties and complainants on measures taken to implement the Views and recommendations on individual communications submitted under the Optional Protocol to the Convention on the Rights to the Child</w:t>
      </w:r>
      <w:r w:rsidR="006B4CA1">
        <w:t xml:space="preserve"> on a communications procedure</w:t>
      </w:r>
      <w:r w:rsidRPr="000A4823">
        <w:t xml:space="preserve">. This information has been processed in the framework of the follow-up procedure established </w:t>
      </w:r>
      <w:r w:rsidR="001218F3">
        <w:t>under</w:t>
      </w:r>
      <w:r w:rsidRPr="000A4823">
        <w:t xml:space="preserve"> article 11 of the Optional Protocol and rule 28 of the </w:t>
      </w:r>
      <w:r w:rsidR="006B4CA1">
        <w:t>r</w:t>
      </w:r>
      <w:r w:rsidRPr="000A4823">
        <w:t xml:space="preserve">ules of </w:t>
      </w:r>
      <w:r w:rsidR="006B4CA1">
        <w:t>p</w:t>
      </w:r>
      <w:r w:rsidRPr="000A4823">
        <w:t xml:space="preserve">rocedure </w:t>
      </w:r>
      <w:r w:rsidR="006B4CA1">
        <w:t>under</w:t>
      </w:r>
      <w:r w:rsidRPr="000A4823">
        <w:t xml:space="preserve"> the Optional Protocol to the Convention on the Rights to the Child on a communication procedure.</w:t>
      </w:r>
      <w:r w:rsidR="001218F3">
        <w:t xml:space="preserve"> The assessment criteria were as follows: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654"/>
        <w:gridCol w:w="7851"/>
      </w:tblGrid>
      <w:tr w:rsidR="00971624" w:rsidRPr="000A4823" w14:paraId="250E0549" w14:textId="77777777" w:rsidTr="005B3AB1">
        <w:trPr>
          <w:cantSplit/>
        </w:trPr>
        <w:tc>
          <w:tcPr>
            <w:tcW w:w="8505" w:type="dxa"/>
            <w:gridSpan w:val="2"/>
            <w:tcBorders>
              <w:top w:val="single" w:sz="4" w:space="0" w:color="auto"/>
              <w:bottom w:val="single" w:sz="12" w:space="0" w:color="auto"/>
            </w:tcBorders>
            <w:shd w:val="clear" w:color="auto" w:fill="auto"/>
            <w:vAlign w:val="bottom"/>
          </w:tcPr>
          <w:p w14:paraId="6DB71E30" w14:textId="77777777" w:rsidR="00971624" w:rsidRPr="000A4823" w:rsidRDefault="00971624" w:rsidP="005B3AB1">
            <w:pPr>
              <w:suppressAutoHyphens w:val="0"/>
              <w:spacing w:before="80" w:after="80" w:line="200" w:lineRule="exact"/>
              <w:ind w:right="113"/>
              <w:rPr>
                <w:i/>
              </w:rPr>
            </w:pPr>
            <w:r w:rsidRPr="000A4823">
              <w:rPr>
                <w:i/>
              </w:rPr>
              <w:t>Assessment criteria</w:t>
            </w:r>
          </w:p>
        </w:tc>
      </w:tr>
      <w:tr w:rsidR="00971624" w:rsidRPr="000A4823" w14:paraId="729BE3E7" w14:textId="77777777" w:rsidTr="005B3AB1">
        <w:trPr>
          <w:cantSplit/>
        </w:trPr>
        <w:tc>
          <w:tcPr>
            <w:tcW w:w="654" w:type="dxa"/>
            <w:shd w:val="clear" w:color="auto" w:fill="auto"/>
          </w:tcPr>
          <w:p w14:paraId="25ED8016" w14:textId="77777777" w:rsidR="00971624" w:rsidRPr="000A4823" w:rsidRDefault="00971624" w:rsidP="005B3AB1">
            <w:pPr>
              <w:suppressAutoHyphens w:val="0"/>
              <w:spacing w:before="40" w:after="120"/>
              <w:ind w:right="113"/>
              <w:rPr>
                <w:b/>
                <w:bCs/>
              </w:rPr>
            </w:pPr>
            <w:r w:rsidRPr="000A4823">
              <w:rPr>
                <w:b/>
                <w:bCs/>
              </w:rPr>
              <w:t>A</w:t>
            </w:r>
          </w:p>
        </w:tc>
        <w:tc>
          <w:tcPr>
            <w:tcW w:w="7851" w:type="dxa"/>
            <w:shd w:val="clear" w:color="auto" w:fill="auto"/>
          </w:tcPr>
          <w:p w14:paraId="2357992C" w14:textId="73F7F748" w:rsidR="00971624" w:rsidRPr="000A4823" w:rsidRDefault="00971624" w:rsidP="005B3AB1">
            <w:pPr>
              <w:suppressAutoHyphens w:val="0"/>
              <w:spacing w:before="40" w:after="120"/>
              <w:ind w:right="113"/>
            </w:pPr>
            <w:r w:rsidRPr="000A4823">
              <w:t xml:space="preserve">Measures taken are satisfactory </w:t>
            </w:r>
            <w:r w:rsidR="001218F3">
              <w:t>or</w:t>
            </w:r>
            <w:r w:rsidRPr="000A4823">
              <w:t xml:space="preserve"> largely satisfactory</w:t>
            </w:r>
          </w:p>
        </w:tc>
      </w:tr>
      <w:tr w:rsidR="00971624" w:rsidRPr="000A4823" w14:paraId="7B8D373B" w14:textId="77777777" w:rsidTr="005B3AB1">
        <w:trPr>
          <w:cantSplit/>
        </w:trPr>
        <w:tc>
          <w:tcPr>
            <w:tcW w:w="654" w:type="dxa"/>
            <w:shd w:val="clear" w:color="auto" w:fill="auto"/>
          </w:tcPr>
          <w:p w14:paraId="61831A97" w14:textId="77777777" w:rsidR="00971624" w:rsidRPr="000A4823" w:rsidRDefault="00971624" w:rsidP="005B3AB1">
            <w:pPr>
              <w:suppressAutoHyphens w:val="0"/>
              <w:spacing w:before="40" w:after="120"/>
              <w:ind w:right="113"/>
              <w:rPr>
                <w:b/>
                <w:bCs/>
              </w:rPr>
            </w:pPr>
            <w:r w:rsidRPr="000A4823">
              <w:rPr>
                <w:b/>
                <w:bCs/>
              </w:rPr>
              <w:t>B</w:t>
            </w:r>
          </w:p>
        </w:tc>
        <w:tc>
          <w:tcPr>
            <w:tcW w:w="7851" w:type="dxa"/>
            <w:shd w:val="clear" w:color="auto" w:fill="auto"/>
          </w:tcPr>
          <w:p w14:paraId="7D9FEE7D" w14:textId="5F06E2E7" w:rsidR="00971624" w:rsidRPr="000A4823" w:rsidRDefault="00971624" w:rsidP="005B3AB1">
            <w:pPr>
              <w:suppressAutoHyphens w:val="0"/>
              <w:spacing w:before="40" w:after="120"/>
              <w:ind w:right="113"/>
            </w:pPr>
            <w:r w:rsidRPr="000A4823">
              <w:t xml:space="preserve">Measures taken are </w:t>
            </w:r>
            <w:r w:rsidR="001218F3">
              <w:t>partially</w:t>
            </w:r>
            <w:r w:rsidRPr="000A4823">
              <w:t xml:space="preserve"> satisfactory, but additional information</w:t>
            </w:r>
            <w:r w:rsidR="001218F3">
              <w:t xml:space="preserve"> or </w:t>
            </w:r>
            <w:r w:rsidRPr="000A4823">
              <w:t>action is required</w:t>
            </w:r>
          </w:p>
        </w:tc>
      </w:tr>
      <w:tr w:rsidR="00971624" w:rsidRPr="000A4823" w14:paraId="23040E9A" w14:textId="77777777" w:rsidTr="005B3AB1">
        <w:trPr>
          <w:cantSplit/>
        </w:trPr>
        <w:tc>
          <w:tcPr>
            <w:tcW w:w="654" w:type="dxa"/>
            <w:shd w:val="clear" w:color="auto" w:fill="auto"/>
          </w:tcPr>
          <w:p w14:paraId="738CBC28" w14:textId="77777777" w:rsidR="00971624" w:rsidRPr="000A4823" w:rsidRDefault="00971624" w:rsidP="005B3AB1">
            <w:pPr>
              <w:suppressAutoHyphens w:val="0"/>
              <w:spacing w:before="40" w:after="120"/>
              <w:ind w:right="113"/>
              <w:rPr>
                <w:b/>
                <w:bCs/>
              </w:rPr>
            </w:pPr>
            <w:r w:rsidRPr="000A4823">
              <w:rPr>
                <w:b/>
                <w:bCs/>
              </w:rPr>
              <w:t>C</w:t>
            </w:r>
          </w:p>
        </w:tc>
        <w:tc>
          <w:tcPr>
            <w:tcW w:w="7851" w:type="dxa"/>
            <w:shd w:val="clear" w:color="auto" w:fill="auto"/>
          </w:tcPr>
          <w:p w14:paraId="791B2FC2" w14:textId="56732FBA" w:rsidR="00971624" w:rsidRPr="000A4823" w:rsidRDefault="00971624" w:rsidP="005B3AB1">
            <w:pPr>
              <w:suppressAutoHyphens w:val="0"/>
              <w:spacing w:before="40" w:after="120"/>
              <w:ind w:right="113"/>
            </w:pPr>
            <w:r w:rsidRPr="000A4823">
              <w:t xml:space="preserve">Reply received but measures taken are not satisfactory </w:t>
            </w:r>
            <w:r w:rsidR="001218F3">
              <w:t>or</w:t>
            </w:r>
            <w:r w:rsidRPr="000A4823">
              <w:t xml:space="preserve"> do not implement the Views </w:t>
            </w:r>
            <w:r w:rsidR="001218F3">
              <w:t>or</w:t>
            </w:r>
            <w:r w:rsidRPr="000A4823">
              <w:t xml:space="preserve"> are irrelevant to the Views</w:t>
            </w:r>
          </w:p>
        </w:tc>
      </w:tr>
      <w:tr w:rsidR="00971624" w:rsidRPr="000A4823" w14:paraId="6F91D396" w14:textId="77777777" w:rsidTr="005B3AB1">
        <w:trPr>
          <w:cantSplit/>
        </w:trPr>
        <w:tc>
          <w:tcPr>
            <w:tcW w:w="654" w:type="dxa"/>
            <w:tcBorders>
              <w:top w:val="nil"/>
            </w:tcBorders>
            <w:shd w:val="clear" w:color="auto" w:fill="auto"/>
          </w:tcPr>
          <w:p w14:paraId="6DB0FDCA" w14:textId="77777777" w:rsidR="00971624" w:rsidRPr="000A4823" w:rsidRDefault="00971624" w:rsidP="005B3AB1">
            <w:pPr>
              <w:keepNext/>
              <w:keepLines/>
              <w:suppressAutoHyphens w:val="0"/>
              <w:spacing w:before="40" w:after="120"/>
              <w:ind w:right="113"/>
              <w:rPr>
                <w:b/>
                <w:bCs/>
              </w:rPr>
            </w:pPr>
            <w:r w:rsidRPr="000A4823">
              <w:rPr>
                <w:b/>
                <w:bCs/>
              </w:rPr>
              <w:t>D</w:t>
            </w:r>
          </w:p>
        </w:tc>
        <w:tc>
          <w:tcPr>
            <w:tcW w:w="7851" w:type="dxa"/>
            <w:tcBorders>
              <w:top w:val="nil"/>
            </w:tcBorders>
            <w:shd w:val="clear" w:color="auto" w:fill="auto"/>
          </w:tcPr>
          <w:p w14:paraId="3A05120A" w14:textId="1BFAC4FE" w:rsidR="00971624" w:rsidRPr="000A4823" w:rsidRDefault="00971624" w:rsidP="005B3AB1">
            <w:pPr>
              <w:keepNext/>
              <w:keepLines/>
              <w:suppressAutoHyphens w:val="0"/>
              <w:spacing w:before="40" w:after="120"/>
              <w:ind w:right="113"/>
            </w:pPr>
            <w:r w:rsidRPr="000A4823">
              <w:t xml:space="preserve">No cooperation </w:t>
            </w:r>
            <w:r w:rsidR="001218F3">
              <w:t>or</w:t>
            </w:r>
            <w:r w:rsidRPr="000A4823">
              <w:t xml:space="preserve"> no reply received</w:t>
            </w:r>
          </w:p>
        </w:tc>
      </w:tr>
    </w:tbl>
    <w:p w14:paraId="486F060C" w14:textId="77777777" w:rsidR="00496277" w:rsidRPr="000A4823" w:rsidRDefault="00496277" w:rsidP="001D26DF"/>
    <w:p w14:paraId="6647CB34" w14:textId="77777777" w:rsidR="00496277" w:rsidRPr="000A4823" w:rsidRDefault="00496277">
      <w:pPr>
        <w:suppressAutoHyphens w:val="0"/>
        <w:spacing w:line="240" w:lineRule="auto"/>
      </w:pPr>
      <w:r w:rsidRPr="000A4823">
        <w:br w:type="page"/>
      </w:r>
    </w:p>
    <w:p w14:paraId="6B4B89B7" w14:textId="77777777" w:rsidR="003972E0" w:rsidRPr="000A4823" w:rsidRDefault="00496277" w:rsidP="00496277">
      <w:pPr>
        <w:pStyle w:val="H1G"/>
      </w:pPr>
      <w:r w:rsidRPr="000A4823">
        <w:lastRenderedPageBreak/>
        <w:tab/>
        <w:t>B.</w:t>
      </w:r>
      <w:r w:rsidRPr="000A4823">
        <w:tab/>
        <w:t>Communications</w:t>
      </w:r>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496277" w:rsidRPr="000A4823" w14:paraId="319FA057" w14:textId="77777777" w:rsidTr="00370553">
        <w:tc>
          <w:tcPr>
            <w:tcW w:w="7370" w:type="dxa"/>
            <w:gridSpan w:val="2"/>
            <w:tcBorders>
              <w:top w:val="single" w:sz="4" w:space="0" w:color="auto"/>
              <w:bottom w:val="single" w:sz="12" w:space="0" w:color="auto"/>
            </w:tcBorders>
            <w:shd w:val="clear" w:color="auto" w:fill="auto"/>
            <w:vAlign w:val="bottom"/>
          </w:tcPr>
          <w:p w14:paraId="4BEF2D09" w14:textId="308409DA" w:rsidR="00496277" w:rsidRPr="000A4823" w:rsidRDefault="00D05C85" w:rsidP="00370553">
            <w:pPr>
              <w:suppressAutoHyphens w:val="0"/>
              <w:spacing w:before="80" w:after="80" w:line="200" w:lineRule="exact"/>
              <w:rPr>
                <w:i/>
                <w:spacing w:val="4"/>
                <w:w w:val="103"/>
                <w:kern w:val="14"/>
                <w:sz w:val="16"/>
              </w:rPr>
            </w:pPr>
            <w:r>
              <w:rPr>
                <w:i/>
                <w:spacing w:val="4"/>
                <w:w w:val="103"/>
                <w:kern w:val="14"/>
                <w:sz w:val="16"/>
              </w:rPr>
              <w:t>I.A.M.</w:t>
            </w:r>
            <w:r w:rsidR="00496277" w:rsidRPr="000A4823">
              <w:rPr>
                <w:i/>
                <w:spacing w:val="4"/>
                <w:w w:val="103"/>
                <w:kern w:val="14"/>
                <w:sz w:val="16"/>
              </w:rPr>
              <w:t xml:space="preserve"> v. Denmark</w:t>
            </w:r>
            <w:r w:rsidR="00A713B0">
              <w:rPr>
                <w:i/>
                <w:spacing w:val="4"/>
                <w:w w:val="103"/>
                <w:kern w:val="14"/>
                <w:sz w:val="16"/>
              </w:rPr>
              <w:t xml:space="preserve"> </w:t>
            </w:r>
            <w:r w:rsidR="00A713B0" w:rsidRPr="00A713B0">
              <w:rPr>
                <w:i/>
                <w:spacing w:val="4"/>
                <w:w w:val="103"/>
                <w:kern w:val="14"/>
                <w:sz w:val="16"/>
              </w:rPr>
              <w:t>(CRC/C/77/D/3/2016)</w:t>
            </w:r>
          </w:p>
        </w:tc>
      </w:tr>
      <w:tr w:rsidR="00837247" w:rsidRPr="000A4823" w14:paraId="39516EE5" w14:textId="77777777" w:rsidTr="00370553">
        <w:tblPrEx>
          <w:tblBorders>
            <w:top w:val="none" w:sz="0" w:space="0" w:color="auto"/>
            <w:bottom w:val="none" w:sz="0" w:space="0" w:color="auto"/>
          </w:tblBorders>
        </w:tblPrEx>
        <w:trPr>
          <w:trHeight w:hRule="exact" w:val="113"/>
        </w:trPr>
        <w:tc>
          <w:tcPr>
            <w:tcW w:w="3685" w:type="dxa"/>
            <w:tcBorders>
              <w:top w:val="single" w:sz="12" w:space="0" w:color="auto"/>
            </w:tcBorders>
            <w:shd w:val="clear" w:color="auto" w:fill="auto"/>
            <w:vAlign w:val="bottom"/>
          </w:tcPr>
          <w:p w14:paraId="53D6FCED" w14:textId="77777777" w:rsidR="00837247" w:rsidRPr="000A4823" w:rsidRDefault="00837247" w:rsidP="00837247">
            <w:pPr>
              <w:spacing w:before="80" w:after="80" w:line="200" w:lineRule="exact"/>
              <w:ind w:right="113"/>
              <w:rPr>
                <w:i/>
                <w:sz w:val="16"/>
              </w:rPr>
            </w:pPr>
          </w:p>
        </w:tc>
        <w:tc>
          <w:tcPr>
            <w:tcW w:w="3685" w:type="dxa"/>
            <w:tcBorders>
              <w:top w:val="single" w:sz="12" w:space="0" w:color="auto"/>
            </w:tcBorders>
            <w:shd w:val="clear" w:color="auto" w:fill="auto"/>
            <w:vAlign w:val="bottom"/>
          </w:tcPr>
          <w:p w14:paraId="79B1E956" w14:textId="77777777" w:rsidR="00837247" w:rsidRPr="000A4823" w:rsidRDefault="00837247" w:rsidP="00837247">
            <w:pPr>
              <w:spacing w:before="80" w:after="80" w:line="200" w:lineRule="exact"/>
              <w:ind w:right="113"/>
              <w:rPr>
                <w:i/>
                <w:sz w:val="16"/>
              </w:rPr>
            </w:pPr>
          </w:p>
        </w:tc>
      </w:tr>
      <w:tr w:rsidR="005B1D09" w:rsidRPr="000A4823" w14:paraId="6D39F476" w14:textId="77777777" w:rsidTr="00837247">
        <w:tblPrEx>
          <w:tblBorders>
            <w:top w:val="none" w:sz="0" w:space="0" w:color="auto"/>
            <w:bottom w:val="none" w:sz="0" w:space="0" w:color="auto"/>
          </w:tblBorders>
        </w:tblPrEx>
        <w:tc>
          <w:tcPr>
            <w:tcW w:w="3685" w:type="dxa"/>
            <w:shd w:val="clear" w:color="auto" w:fill="auto"/>
          </w:tcPr>
          <w:p w14:paraId="04181B57" w14:textId="68074267" w:rsidR="005B1D09" w:rsidRPr="000A4823" w:rsidRDefault="0089469C" w:rsidP="00837247">
            <w:pPr>
              <w:spacing w:before="40" w:after="120"/>
              <w:ind w:right="113"/>
            </w:pPr>
            <w:r>
              <w:t>Views</w:t>
            </w:r>
            <w:r w:rsidR="005B1D09" w:rsidRPr="000A4823">
              <w:t xml:space="preserve"> adopted:</w:t>
            </w:r>
          </w:p>
        </w:tc>
        <w:tc>
          <w:tcPr>
            <w:tcW w:w="3685" w:type="dxa"/>
            <w:shd w:val="clear" w:color="auto" w:fill="auto"/>
          </w:tcPr>
          <w:p w14:paraId="2BDD8B69" w14:textId="77777777" w:rsidR="005B1D09" w:rsidRPr="000A4823" w:rsidRDefault="005B1D09" w:rsidP="006D2E1B">
            <w:pPr>
              <w:spacing w:before="40" w:after="120"/>
              <w:ind w:right="113"/>
              <w:jc w:val="both"/>
            </w:pPr>
            <w:r w:rsidRPr="000A4823">
              <w:t>25 January 2018</w:t>
            </w:r>
          </w:p>
        </w:tc>
      </w:tr>
      <w:tr w:rsidR="00837247" w:rsidRPr="000A4823" w14:paraId="5D088C85" w14:textId="77777777" w:rsidTr="00837247">
        <w:tblPrEx>
          <w:tblBorders>
            <w:top w:val="none" w:sz="0" w:space="0" w:color="auto"/>
            <w:bottom w:val="none" w:sz="0" w:space="0" w:color="auto"/>
          </w:tblBorders>
        </w:tblPrEx>
        <w:tc>
          <w:tcPr>
            <w:tcW w:w="3685" w:type="dxa"/>
            <w:shd w:val="clear" w:color="auto" w:fill="auto"/>
          </w:tcPr>
          <w:p w14:paraId="63645158" w14:textId="77777777" w:rsidR="00837247" w:rsidRPr="000A4823" w:rsidRDefault="00837247" w:rsidP="00837247">
            <w:pPr>
              <w:spacing w:before="40" w:after="120"/>
              <w:ind w:right="113"/>
            </w:pPr>
            <w:r w:rsidRPr="000A4823">
              <w:t>Subject matter:</w:t>
            </w:r>
            <w:bookmarkStart w:id="0" w:name="_GoBack"/>
            <w:bookmarkEnd w:id="0"/>
          </w:p>
        </w:tc>
        <w:tc>
          <w:tcPr>
            <w:tcW w:w="3685" w:type="dxa"/>
            <w:shd w:val="clear" w:color="auto" w:fill="auto"/>
          </w:tcPr>
          <w:p w14:paraId="1A918E30" w14:textId="72D5FC26" w:rsidR="00837247" w:rsidRPr="000A4823" w:rsidRDefault="00837247" w:rsidP="00BC03E5">
            <w:pPr>
              <w:spacing w:before="40" w:after="120"/>
              <w:ind w:right="113"/>
              <w:jc w:val="both"/>
            </w:pPr>
            <w:r w:rsidRPr="000A4823">
              <w:t xml:space="preserve">Deportation of a single mother and </w:t>
            </w:r>
            <w:r w:rsidR="007708D8">
              <w:t xml:space="preserve">her </w:t>
            </w:r>
            <w:r w:rsidRPr="000A4823">
              <w:t>baby daughter to the Puntland</w:t>
            </w:r>
            <w:r w:rsidR="004751A1">
              <w:t>,</w:t>
            </w:r>
            <w:r w:rsidRPr="000A4823">
              <w:t xml:space="preserve"> Somalia. The author claimed that, as a single mother, she would be unable to resist social and family pressure to subject her daughter to female genital mutilation against her will.</w:t>
            </w:r>
          </w:p>
        </w:tc>
      </w:tr>
      <w:tr w:rsidR="00837247" w:rsidRPr="000A4823" w14:paraId="154A11D3" w14:textId="77777777" w:rsidTr="00837247">
        <w:tblPrEx>
          <w:tblBorders>
            <w:top w:val="none" w:sz="0" w:space="0" w:color="auto"/>
            <w:bottom w:val="none" w:sz="0" w:space="0" w:color="auto"/>
          </w:tblBorders>
        </w:tblPrEx>
        <w:tc>
          <w:tcPr>
            <w:tcW w:w="3685" w:type="dxa"/>
            <w:shd w:val="clear" w:color="auto" w:fill="auto"/>
          </w:tcPr>
          <w:p w14:paraId="2C03B64A" w14:textId="5EA377DF" w:rsidR="00837247" w:rsidRPr="000A4823" w:rsidRDefault="0089469C" w:rsidP="00837247">
            <w:pPr>
              <w:spacing w:before="40" w:after="120"/>
              <w:ind w:right="113"/>
            </w:pPr>
            <w:r>
              <w:t>Articles v</w:t>
            </w:r>
            <w:r w:rsidR="00837247" w:rsidRPr="000A4823">
              <w:t>iolat</w:t>
            </w:r>
            <w:r>
              <w:t>ed:</w:t>
            </w:r>
          </w:p>
        </w:tc>
        <w:tc>
          <w:tcPr>
            <w:tcW w:w="3685" w:type="dxa"/>
            <w:shd w:val="clear" w:color="auto" w:fill="auto"/>
          </w:tcPr>
          <w:p w14:paraId="257504E8" w14:textId="77777777" w:rsidR="00837247" w:rsidRPr="000A4823" w:rsidRDefault="00837247" w:rsidP="00837247">
            <w:pPr>
              <w:spacing w:before="40" w:after="120"/>
              <w:ind w:right="113"/>
            </w:pPr>
            <w:r w:rsidRPr="000A4823">
              <w:t>Articles 3 and 19 of the Convention</w:t>
            </w:r>
          </w:p>
        </w:tc>
      </w:tr>
      <w:tr w:rsidR="00837247" w:rsidRPr="000A4823" w14:paraId="75238D64" w14:textId="77777777" w:rsidTr="00837247">
        <w:tblPrEx>
          <w:tblBorders>
            <w:top w:val="none" w:sz="0" w:space="0" w:color="auto"/>
            <w:bottom w:val="none" w:sz="0" w:space="0" w:color="auto"/>
          </w:tblBorders>
        </w:tblPrEx>
        <w:tc>
          <w:tcPr>
            <w:tcW w:w="3685" w:type="dxa"/>
            <w:shd w:val="clear" w:color="auto" w:fill="auto"/>
          </w:tcPr>
          <w:p w14:paraId="559A8173" w14:textId="77777777" w:rsidR="00837247" w:rsidRPr="000A4823" w:rsidRDefault="00837247" w:rsidP="00837247">
            <w:pPr>
              <w:spacing w:before="40" w:after="120"/>
              <w:ind w:right="113"/>
            </w:pPr>
            <w:r w:rsidRPr="000A4823">
              <w:t>Remedy:</w:t>
            </w:r>
          </w:p>
        </w:tc>
        <w:tc>
          <w:tcPr>
            <w:tcW w:w="3685" w:type="dxa"/>
            <w:shd w:val="clear" w:color="auto" w:fill="auto"/>
          </w:tcPr>
          <w:p w14:paraId="236502A7" w14:textId="403A8AB7" w:rsidR="00837247" w:rsidRPr="000A4823" w:rsidRDefault="00837247" w:rsidP="006D2E1B">
            <w:pPr>
              <w:spacing w:before="40" w:after="120"/>
              <w:ind w:right="113"/>
              <w:jc w:val="both"/>
            </w:pPr>
            <w:r w:rsidRPr="000A4823">
              <w:t xml:space="preserve">The State party is under an obligation to refrain from deporting the author and her daughter to Puntland. The State party is also under an obligation to take all steps necessary to prevent similar violations from occurring in the future. </w:t>
            </w:r>
            <w:r w:rsidR="004751A1">
              <w:t>T</w:t>
            </w:r>
            <w:r w:rsidRPr="000A4823">
              <w:t>he State party is requested to publish the present Views and to have them widely disseminated in the official language of the State party.</w:t>
            </w:r>
          </w:p>
        </w:tc>
      </w:tr>
      <w:tr w:rsidR="00837247" w:rsidRPr="000A4823" w14:paraId="3D25D105" w14:textId="77777777" w:rsidTr="00837247">
        <w:tblPrEx>
          <w:tblBorders>
            <w:top w:val="none" w:sz="0" w:space="0" w:color="auto"/>
            <w:bottom w:val="none" w:sz="0" w:space="0" w:color="auto"/>
          </w:tblBorders>
        </w:tblPrEx>
        <w:tc>
          <w:tcPr>
            <w:tcW w:w="3685" w:type="dxa"/>
            <w:shd w:val="clear" w:color="auto" w:fill="auto"/>
          </w:tcPr>
          <w:p w14:paraId="6FF43587" w14:textId="77777777" w:rsidR="00837247" w:rsidRPr="000A4823" w:rsidRDefault="00837247" w:rsidP="00837247">
            <w:pPr>
              <w:spacing w:before="40" w:after="120"/>
              <w:ind w:right="113"/>
            </w:pPr>
            <w:r w:rsidRPr="000A4823">
              <w:t>State party’s response:</w:t>
            </w:r>
          </w:p>
        </w:tc>
        <w:tc>
          <w:tcPr>
            <w:tcW w:w="3685" w:type="dxa"/>
            <w:shd w:val="clear" w:color="auto" w:fill="auto"/>
          </w:tcPr>
          <w:p w14:paraId="06B67428" w14:textId="06F19678" w:rsidR="00837247" w:rsidRPr="000A4823" w:rsidRDefault="00837247" w:rsidP="00837247">
            <w:pPr>
              <w:suppressAutoHyphens w:val="0"/>
              <w:spacing w:before="40" w:after="120"/>
              <w:ind w:right="113"/>
              <w:jc w:val="both"/>
            </w:pPr>
            <w:r w:rsidRPr="000A4823">
              <w:t xml:space="preserve">In its submission </w:t>
            </w:r>
            <w:r w:rsidR="00984B8A">
              <w:t>dated</w:t>
            </w:r>
            <w:r w:rsidRPr="000A4823">
              <w:t xml:space="preserve"> 5 September 2018, the State party observes that it is standard practice for the Refugee Appeals Board to reopen cases in which a </w:t>
            </w:r>
            <w:r w:rsidR="00984B8A">
              <w:t>United Nations</w:t>
            </w:r>
            <w:r w:rsidRPr="000A4823">
              <w:t xml:space="preserve"> </w:t>
            </w:r>
            <w:r w:rsidR="00984B8A">
              <w:t>c</w:t>
            </w:r>
            <w:r w:rsidRPr="000A4823">
              <w:t xml:space="preserve">ommittee has found that the decision made by the Board is contrary to an international convention. However, the Board found no basis for reopening the case at hand given that the author and her </w:t>
            </w:r>
            <w:r w:rsidR="00C81A78">
              <w:t>daughter</w:t>
            </w:r>
            <w:r w:rsidR="00301FC2">
              <w:t xml:space="preserve"> had</w:t>
            </w:r>
            <w:r w:rsidRPr="000A4823">
              <w:t xml:space="preserve"> left Denmark and the Danish authorities are not aware of their whereabouts. Even </w:t>
            </w:r>
            <w:r w:rsidR="00C6379B">
              <w:t>though</w:t>
            </w:r>
            <w:r w:rsidRPr="000A4823">
              <w:t xml:space="preserve"> the Government and the Board suspended the time limit for the</w:t>
            </w:r>
            <w:r w:rsidR="00984B8A">
              <w:t xml:space="preserve"> departure of the</w:t>
            </w:r>
            <w:r w:rsidRPr="000A4823">
              <w:t xml:space="preserve"> author and her </w:t>
            </w:r>
            <w:r w:rsidR="00C81A78">
              <w:t>daughter</w:t>
            </w:r>
            <w:r w:rsidRPr="000A4823">
              <w:t xml:space="preserve">, the Board accepted as a fact that the author and her </w:t>
            </w:r>
            <w:r w:rsidR="00301FC2">
              <w:t>daughter had</w:t>
            </w:r>
            <w:r w:rsidRPr="000A4823">
              <w:t xml:space="preserve"> left Denmark</w:t>
            </w:r>
            <w:r w:rsidR="00FC3046">
              <w:t>,</w:t>
            </w:r>
            <w:r w:rsidRPr="000A4823">
              <w:t xml:space="preserve"> given their unknown location since early 2017.</w:t>
            </w:r>
          </w:p>
          <w:p w14:paraId="2092DC9A" w14:textId="4642F868" w:rsidR="00837247" w:rsidRPr="000A4823" w:rsidRDefault="00837247" w:rsidP="00A52465">
            <w:pPr>
              <w:spacing w:before="40" w:after="120"/>
              <w:ind w:right="113"/>
              <w:jc w:val="both"/>
            </w:pPr>
            <w:r w:rsidRPr="000A4823">
              <w:t>In reference to the request to publish the Committee</w:t>
            </w:r>
            <w:r w:rsidR="00FC3046">
              <w:t>’</w:t>
            </w:r>
            <w:r w:rsidRPr="000A4823">
              <w:t xml:space="preserve">s Views, the State party reports that the Views and decisions of the </w:t>
            </w:r>
            <w:r w:rsidR="00FC3046">
              <w:t>United Nations</w:t>
            </w:r>
            <w:r w:rsidRPr="000A4823">
              <w:t xml:space="preserve"> committees in cases against Denmark involving the Refugee Appeals Board and information </w:t>
            </w:r>
            <w:r w:rsidR="00A52465">
              <w:t>on</w:t>
            </w:r>
            <w:r w:rsidRPr="000A4823">
              <w:t xml:space="preserve"> further measures taken by the Board are uploaded to the </w:t>
            </w:r>
            <w:r w:rsidR="00A52465">
              <w:t xml:space="preserve">Board’s </w:t>
            </w:r>
            <w:r w:rsidRPr="000A4823">
              <w:t>website as quick</w:t>
            </w:r>
            <w:r w:rsidR="00C6379B">
              <w:t>ly</w:t>
            </w:r>
            <w:r w:rsidRPr="000A4823">
              <w:t xml:space="preserve"> as possible after the Views </w:t>
            </w:r>
            <w:r w:rsidR="00A52465">
              <w:t>and</w:t>
            </w:r>
            <w:r w:rsidRPr="000A4823">
              <w:t xml:space="preserve"> decisions have been adopted. The Views and information on the present case were posted on 9 February 2018. In addition, the Board publishes </w:t>
            </w:r>
            <w:r w:rsidR="00A52465">
              <w:t xml:space="preserve">in its annual report </w:t>
            </w:r>
            <w:r w:rsidRPr="000A4823">
              <w:t xml:space="preserve">the </w:t>
            </w:r>
            <w:r w:rsidR="00A52465">
              <w:t xml:space="preserve">Views and </w:t>
            </w:r>
            <w:r w:rsidRPr="000A4823">
              <w:t xml:space="preserve">decisions of the committees in cases against Denmark. </w:t>
            </w:r>
            <w:r w:rsidR="00A52465">
              <w:t>T</w:t>
            </w:r>
            <w:r w:rsidRPr="000A4823">
              <w:t xml:space="preserve">he Ministry of Foreign Affairs has </w:t>
            </w:r>
            <w:r w:rsidR="00A52465">
              <w:t xml:space="preserve">also </w:t>
            </w:r>
            <w:r w:rsidRPr="000A4823">
              <w:t>made the Committee</w:t>
            </w:r>
            <w:r w:rsidR="00A52465">
              <w:t>’</w:t>
            </w:r>
            <w:r w:rsidRPr="000A4823">
              <w:t xml:space="preserve">s views publicly available on its website. The State party </w:t>
            </w:r>
            <w:r w:rsidR="00A52465">
              <w:t>asserts</w:t>
            </w:r>
            <w:r w:rsidRPr="000A4823">
              <w:t xml:space="preserve"> that</w:t>
            </w:r>
            <w:r w:rsidR="00A52465">
              <w:t>,</w:t>
            </w:r>
            <w:r w:rsidRPr="000A4823">
              <w:t xml:space="preserve"> given the prevalence of English language skills in </w:t>
            </w:r>
            <w:r w:rsidRPr="000A4823">
              <w:lastRenderedPageBreak/>
              <w:t>Denmark, the Government sees no reason for full translation of the Committee</w:t>
            </w:r>
            <w:r w:rsidR="00A52465">
              <w:t>’</w:t>
            </w:r>
            <w:r w:rsidRPr="000A4823">
              <w:t xml:space="preserve">s </w:t>
            </w:r>
            <w:r w:rsidR="00A52465">
              <w:t>V</w:t>
            </w:r>
            <w:r w:rsidRPr="000A4823">
              <w:t>iews into Danish.</w:t>
            </w:r>
          </w:p>
        </w:tc>
      </w:tr>
      <w:tr w:rsidR="00837247" w:rsidRPr="000A4823" w14:paraId="04D9DCCE" w14:textId="77777777" w:rsidTr="00837247">
        <w:tblPrEx>
          <w:tblBorders>
            <w:top w:val="none" w:sz="0" w:space="0" w:color="auto"/>
            <w:bottom w:val="none" w:sz="0" w:space="0" w:color="auto"/>
          </w:tblBorders>
        </w:tblPrEx>
        <w:tc>
          <w:tcPr>
            <w:tcW w:w="3685" w:type="dxa"/>
            <w:shd w:val="clear" w:color="auto" w:fill="auto"/>
          </w:tcPr>
          <w:p w14:paraId="6ED074D2" w14:textId="77777777" w:rsidR="00837247" w:rsidRPr="000A4823" w:rsidRDefault="00837247" w:rsidP="00837247">
            <w:pPr>
              <w:spacing w:before="40" w:after="120"/>
              <w:ind w:right="113"/>
            </w:pPr>
            <w:r w:rsidRPr="000A4823">
              <w:lastRenderedPageBreak/>
              <w:t>Counsel’s comments:</w:t>
            </w:r>
          </w:p>
        </w:tc>
        <w:tc>
          <w:tcPr>
            <w:tcW w:w="3685" w:type="dxa"/>
            <w:shd w:val="clear" w:color="auto" w:fill="auto"/>
          </w:tcPr>
          <w:p w14:paraId="4E1E8B7B" w14:textId="25AD8084" w:rsidR="00837247" w:rsidRPr="000A4823" w:rsidRDefault="00837247" w:rsidP="006D2E1B">
            <w:pPr>
              <w:spacing w:before="40" w:after="120"/>
              <w:ind w:right="113"/>
              <w:jc w:val="both"/>
            </w:pPr>
            <w:r w:rsidRPr="000A4823">
              <w:t xml:space="preserve">In his comments dated 26 April 2019, </w:t>
            </w:r>
            <w:r w:rsidR="00A52465">
              <w:t xml:space="preserve">the author’s </w:t>
            </w:r>
            <w:r w:rsidRPr="000A4823">
              <w:t xml:space="preserve">counsel states that he was not informed by </w:t>
            </w:r>
            <w:r w:rsidR="00A52465">
              <w:t>the author of</w:t>
            </w:r>
            <w:r w:rsidRPr="000A4823">
              <w:t xml:space="preserve"> </w:t>
            </w:r>
            <w:r w:rsidR="00317DE2">
              <w:t>her</w:t>
            </w:r>
            <w:r w:rsidRPr="000A4823">
              <w:t xml:space="preserve"> new location or residence. However, he note</w:t>
            </w:r>
            <w:r w:rsidR="00317DE2">
              <w:t>s</w:t>
            </w:r>
            <w:r w:rsidRPr="000A4823">
              <w:t xml:space="preserve"> that the Government </w:t>
            </w:r>
            <w:r w:rsidR="00317DE2">
              <w:t xml:space="preserve">has </w:t>
            </w:r>
            <w:r w:rsidRPr="000A4823">
              <w:t>refrain</w:t>
            </w:r>
            <w:r w:rsidR="00317DE2">
              <w:t>ed</w:t>
            </w:r>
            <w:r w:rsidRPr="000A4823">
              <w:t xml:space="preserve"> from </w:t>
            </w:r>
            <w:r w:rsidR="00317DE2">
              <w:t>responding</w:t>
            </w:r>
            <w:r w:rsidRPr="000A4823">
              <w:t xml:space="preserve"> to the Committee’s Views in relation to the prevention of similar violations in the future. He notes that a press release was published on the Refugee Appeals Board</w:t>
            </w:r>
            <w:r w:rsidR="00317DE2">
              <w:t>’s</w:t>
            </w:r>
            <w:r w:rsidRPr="000A4823">
              <w:t xml:space="preserve"> website stating </w:t>
            </w:r>
            <w:r w:rsidR="00317DE2">
              <w:t>that the</w:t>
            </w:r>
            <w:r w:rsidRPr="000A4823">
              <w:t xml:space="preserve"> Board </w:t>
            </w:r>
            <w:r w:rsidR="00317DE2">
              <w:t xml:space="preserve">was </w:t>
            </w:r>
            <w:r w:rsidRPr="000A4823">
              <w:t>maintain</w:t>
            </w:r>
            <w:r w:rsidR="00317DE2">
              <w:t>ing its</w:t>
            </w:r>
            <w:r w:rsidRPr="000A4823">
              <w:t xml:space="preserve"> practice despite criticism from the Committee</w:t>
            </w:r>
            <w:r w:rsidR="00A713B0">
              <w:t>.</w:t>
            </w:r>
            <w:r w:rsidRPr="000A4823">
              <w:t xml:space="preserve"> </w:t>
            </w:r>
            <w:r w:rsidR="00A713B0">
              <w:t>I</w:t>
            </w:r>
            <w:r w:rsidRPr="000A4823">
              <w:t xml:space="preserve">n </w:t>
            </w:r>
            <w:r w:rsidR="00A713B0">
              <w:t>that press release,</w:t>
            </w:r>
            <w:r w:rsidRPr="000A4823">
              <w:t xml:space="preserve"> the Board explains that the decision of the Committee is against </w:t>
            </w:r>
            <w:r w:rsidR="00A713B0">
              <w:t>its</w:t>
            </w:r>
            <w:r w:rsidRPr="000A4823">
              <w:t xml:space="preserve"> practice and </w:t>
            </w:r>
            <w:r w:rsidR="00317DE2">
              <w:t xml:space="preserve">against </w:t>
            </w:r>
            <w:r w:rsidRPr="000A4823">
              <w:t xml:space="preserve">the jurisprudence of the European Court of Human Rights, and that the decisive factor must therefore be whether the family can be assumed to be </w:t>
            </w:r>
            <w:r w:rsidR="00317DE2">
              <w:t>capable of</w:t>
            </w:r>
            <w:r w:rsidRPr="000A4823">
              <w:t xml:space="preserve"> protect</w:t>
            </w:r>
            <w:r w:rsidR="00317DE2">
              <w:t>ing</w:t>
            </w:r>
            <w:r w:rsidRPr="000A4823">
              <w:t xml:space="preserve"> the child from circumcision.</w:t>
            </w:r>
          </w:p>
        </w:tc>
      </w:tr>
      <w:tr w:rsidR="00837247" w:rsidRPr="000A4823" w14:paraId="7669CACD" w14:textId="77777777" w:rsidTr="00837247">
        <w:tblPrEx>
          <w:tblBorders>
            <w:top w:val="none" w:sz="0" w:space="0" w:color="auto"/>
            <w:bottom w:val="none" w:sz="0" w:space="0" w:color="auto"/>
          </w:tblBorders>
        </w:tblPrEx>
        <w:tc>
          <w:tcPr>
            <w:tcW w:w="3685" w:type="dxa"/>
            <w:shd w:val="clear" w:color="auto" w:fill="auto"/>
          </w:tcPr>
          <w:p w14:paraId="34F88CA0" w14:textId="77777777" w:rsidR="00837247" w:rsidRPr="000A4823" w:rsidRDefault="00837247" w:rsidP="00837247">
            <w:pPr>
              <w:spacing w:before="40" w:after="120"/>
              <w:ind w:right="113"/>
            </w:pPr>
            <w:r w:rsidRPr="000A4823">
              <w:t>Decision of the Committee:</w:t>
            </w:r>
          </w:p>
        </w:tc>
        <w:tc>
          <w:tcPr>
            <w:tcW w:w="3685" w:type="dxa"/>
            <w:shd w:val="clear" w:color="auto" w:fill="auto"/>
          </w:tcPr>
          <w:p w14:paraId="3E379C09" w14:textId="09E27140" w:rsidR="00837247" w:rsidRPr="000A4823" w:rsidRDefault="00837247" w:rsidP="006D2E1B">
            <w:pPr>
              <w:spacing w:before="40" w:after="120"/>
              <w:ind w:right="113"/>
              <w:jc w:val="both"/>
            </w:pPr>
            <w:r w:rsidRPr="000A4823">
              <w:t xml:space="preserve">Given the absence of information and </w:t>
            </w:r>
            <w:r w:rsidR="00317DE2">
              <w:t xml:space="preserve">of </w:t>
            </w:r>
            <w:r w:rsidRPr="000A4823">
              <w:t xml:space="preserve">contact </w:t>
            </w:r>
            <w:r w:rsidR="00317DE2">
              <w:t>between the author and her</w:t>
            </w:r>
            <w:r w:rsidRPr="000A4823">
              <w:t xml:space="preserve"> counsel since early 2017, and the impossibility </w:t>
            </w:r>
            <w:r w:rsidR="00317DE2">
              <w:t>of</w:t>
            </w:r>
            <w:r w:rsidRPr="000A4823">
              <w:t xml:space="preserve"> implement</w:t>
            </w:r>
            <w:r w:rsidR="00317DE2">
              <w:t>ing</w:t>
            </w:r>
            <w:r w:rsidRPr="000A4823">
              <w:t xml:space="preserve"> the Committee’s Views, the Committee decides to close the follow-up dialogue with </w:t>
            </w:r>
            <w:r w:rsidR="009D78B9">
              <w:t>an “A” assessment</w:t>
            </w:r>
            <w:r w:rsidRPr="000A4823">
              <w:t>.</w:t>
            </w:r>
          </w:p>
        </w:tc>
      </w:tr>
    </w:tbl>
    <w:p w14:paraId="539609E4" w14:textId="77777777" w:rsidR="007C4BC2" w:rsidRPr="000A4823" w:rsidRDefault="007C4BC2">
      <w:r w:rsidRPr="000A4823">
        <w:br w:type="page"/>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370553" w:rsidRPr="000A4823" w14:paraId="12DA7012" w14:textId="77777777" w:rsidTr="00406ABA">
        <w:tc>
          <w:tcPr>
            <w:tcW w:w="7370" w:type="dxa"/>
            <w:gridSpan w:val="2"/>
            <w:tcBorders>
              <w:top w:val="single" w:sz="4" w:space="0" w:color="auto"/>
              <w:bottom w:val="single" w:sz="12" w:space="0" w:color="auto"/>
            </w:tcBorders>
            <w:shd w:val="clear" w:color="auto" w:fill="auto"/>
            <w:vAlign w:val="bottom"/>
          </w:tcPr>
          <w:p w14:paraId="3E064D90" w14:textId="0318D95B" w:rsidR="00370553" w:rsidRPr="00405DA5" w:rsidRDefault="00370553" w:rsidP="00406ABA">
            <w:pPr>
              <w:suppressAutoHyphens w:val="0"/>
              <w:spacing w:before="80" w:after="80" w:line="200" w:lineRule="exact"/>
              <w:rPr>
                <w:iCs/>
                <w:spacing w:val="4"/>
                <w:w w:val="103"/>
                <w:kern w:val="14"/>
                <w:sz w:val="16"/>
              </w:rPr>
            </w:pPr>
            <w:r w:rsidRPr="000A4823">
              <w:rPr>
                <w:i/>
                <w:spacing w:val="4"/>
                <w:w w:val="103"/>
                <w:kern w:val="14"/>
                <w:sz w:val="16"/>
              </w:rPr>
              <w:lastRenderedPageBreak/>
              <w:t>N.B.F. v. Spain</w:t>
            </w:r>
            <w:r w:rsidR="00732FA2">
              <w:rPr>
                <w:iCs/>
                <w:spacing w:val="4"/>
                <w:w w:val="103"/>
                <w:kern w:val="14"/>
                <w:sz w:val="16"/>
              </w:rPr>
              <w:t xml:space="preserve"> </w:t>
            </w:r>
            <w:r w:rsidR="00732FA2" w:rsidRPr="00732FA2">
              <w:rPr>
                <w:iCs/>
                <w:spacing w:val="4"/>
                <w:w w:val="103"/>
                <w:kern w:val="14"/>
                <w:sz w:val="16"/>
              </w:rPr>
              <w:t>(CRC/C/79/D/11/2017)</w:t>
            </w:r>
          </w:p>
        </w:tc>
      </w:tr>
      <w:tr w:rsidR="00370553" w:rsidRPr="000A4823" w14:paraId="36A5FF7E" w14:textId="77777777" w:rsidTr="00406ABA">
        <w:trPr>
          <w:trHeight w:hRule="exact" w:val="113"/>
        </w:trPr>
        <w:tc>
          <w:tcPr>
            <w:tcW w:w="3685" w:type="dxa"/>
            <w:tcBorders>
              <w:top w:val="single" w:sz="12" w:space="0" w:color="auto"/>
            </w:tcBorders>
            <w:shd w:val="clear" w:color="auto" w:fill="auto"/>
            <w:vAlign w:val="bottom"/>
          </w:tcPr>
          <w:p w14:paraId="610A2573" w14:textId="77777777" w:rsidR="00370553" w:rsidRPr="000A4823" w:rsidRDefault="00370553" w:rsidP="00370553">
            <w:pPr>
              <w:spacing w:before="80" w:after="80" w:line="200" w:lineRule="exact"/>
              <w:ind w:right="113"/>
              <w:rPr>
                <w:i/>
                <w:sz w:val="16"/>
              </w:rPr>
            </w:pPr>
          </w:p>
        </w:tc>
        <w:tc>
          <w:tcPr>
            <w:tcW w:w="3685" w:type="dxa"/>
            <w:tcBorders>
              <w:top w:val="single" w:sz="12" w:space="0" w:color="auto"/>
            </w:tcBorders>
            <w:shd w:val="clear" w:color="auto" w:fill="auto"/>
            <w:vAlign w:val="bottom"/>
          </w:tcPr>
          <w:p w14:paraId="5D4B8E7B" w14:textId="77777777" w:rsidR="00370553" w:rsidRPr="000A4823" w:rsidRDefault="00370553" w:rsidP="00370553">
            <w:pPr>
              <w:spacing w:before="80" w:after="80" w:line="200" w:lineRule="exact"/>
              <w:ind w:right="113"/>
              <w:rPr>
                <w:i/>
                <w:sz w:val="16"/>
              </w:rPr>
            </w:pPr>
          </w:p>
        </w:tc>
      </w:tr>
      <w:tr w:rsidR="00370553" w:rsidRPr="000A4823" w14:paraId="58DF1D6F" w14:textId="77777777" w:rsidTr="00406ABA">
        <w:tc>
          <w:tcPr>
            <w:tcW w:w="3685" w:type="dxa"/>
            <w:shd w:val="clear" w:color="auto" w:fill="auto"/>
          </w:tcPr>
          <w:p w14:paraId="19475373" w14:textId="0AE8D00B" w:rsidR="00370553" w:rsidRPr="000A4823" w:rsidRDefault="0089469C" w:rsidP="00370553">
            <w:pPr>
              <w:spacing w:before="40" w:after="120"/>
              <w:ind w:right="113"/>
            </w:pPr>
            <w:r>
              <w:t>Views</w:t>
            </w:r>
            <w:r w:rsidR="00370553" w:rsidRPr="000A4823">
              <w:t xml:space="preserve"> adopted:</w:t>
            </w:r>
          </w:p>
        </w:tc>
        <w:tc>
          <w:tcPr>
            <w:tcW w:w="3685" w:type="dxa"/>
            <w:shd w:val="clear" w:color="auto" w:fill="auto"/>
          </w:tcPr>
          <w:p w14:paraId="605931FA" w14:textId="77777777" w:rsidR="00370553" w:rsidRPr="000A4823" w:rsidRDefault="00370553" w:rsidP="00370553">
            <w:pPr>
              <w:spacing w:before="40" w:after="120"/>
              <w:ind w:right="113"/>
              <w:jc w:val="both"/>
            </w:pPr>
            <w:r w:rsidRPr="000A4823">
              <w:t>27 September 2018</w:t>
            </w:r>
          </w:p>
        </w:tc>
      </w:tr>
      <w:tr w:rsidR="00370553" w:rsidRPr="000A4823" w14:paraId="361AE74C" w14:textId="77777777" w:rsidTr="00406ABA">
        <w:tc>
          <w:tcPr>
            <w:tcW w:w="3685" w:type="dxa"/>
            <w:shd w:val="clear" w:color="auto" w:fill="auto"/>
          </w:tcPr>
          <w:p w14:paraId="02790E75" w14:textId="77777777" w:rsidR="00370553" w:rsidRPr="000A4823" w:rsidRDefault="00370553" w:rsidP="00370553">
            <w:pPr>
              <w:spacing w:before="40" w:after="120"/>
              <w:ind w:right="113"/>
            </w:pPr>
            <w:r w:rsidRPr="000A4823">
              <w:t>Subject matter:</w:t>
            </w:r>
          </w:p>
        </w:tc>
        <w:tc>
          <w:tcPr>
            <w:tcW w:w="3685" w:type="dxa"/>
            <w:shd w:val="clear" w:color="auto" w:fill="auto"/>
          </w:tcPr>
          <w:p w14:paraId="792C5DE4" w14:textId="2602365A" w:rsidR="00370553" w:rsidRPr="000A4823" w:rsidRDefault="00370553" w:rsidP="00370553">
            <w:pPr>
              <w:spacing w:before="40" w:after="120"/>
              <w:ind w:right="113"/>
              <w:jc w:val="both"/>
            </w:pPr>
            <w:r w:rsidRPr="000A4823">
              <w:t xml:space="preserve">The author arrived in Spain </w:t>
            </w:r>
            <w:r w:rsidR="005B3CCB">
              <w:t xml:space="preserve">aboard a boat, </w:t>
            </w:r>
            <w:r w:rsidR="00791CDF">
              <w:t>claiming to be</w:t>
            </w:r>
            <w:r w:rsidRPr="000A4823">
              <w:t xml:space="preserve"> an unaccompanied migrant child. Since he was undocumented, he was subjected to a test</w:t>
            </w:r>
            <w:r w:rsidR="005B3CCB" w:rsidRPr="000A4823">
              <w:t xml:space="preserve"> </w:t>
            </w:r>
            <w:r w:rsidRPr="000A4823">
              <w:t xml:space="preserve">consisting </w:t>
            </w:r>
            <w:r w:rsidR="005B3CCB">
              <w:t>of</w:t>
            </w:r>
            <w:r w:rsidRPr="000A4823">
              <w:t xml:space="preserve"> an X-ray of his left </w:t>
            </w:r>
            <w:r w:rsidR="005B3CCB">
              <w:t>hand</w:t>
            </w:r>
            <w:r w:rsidR="005B3CCB" w:rsidRPr="000A4823">
              <w:t xml:space="preserve"> to determine his age</w:t>
            </w:r>
            <w:r w:rsidR="005B3CCB">
              <w:t xml:space="preserve"> using the</w:t>
            </w:r>
            <w:r w:rsidRPr="000A4823">
              <w:t xml:space="preserve"> Greulich</w:t>
            </w:r>
            <w:r w:rsidR="005B3CCB">
              <w:t xml:space="preserve"> and </w:t>
            </w:r>
            <w:r w:rsidRPr="000A4823">
              <w:t>Pyle</w:t>
            </w:r>
            <w:r w:rsidR="005B3CCB">
              <w:t xml:space="preserve"> method</w:t>
            </w:r>
            <w:r w:rsidRPr="000A4823">
              <w:t xml:space="preserve">. The result of this test </w:t>
            </w:r>
            <w:r w:rsidR="00CB757E">
              <w:t>showed</w:t>
            </w:r>
            <w:r w:rsidRPr="000A4823">
              <w:t xml:space="preserve"> that he was </w:t>
            </w:r>
            <w:r w:rsidR="005B3CCB">
              <w:t xml:space="preserve">more than </w:t>
            </w:r>
            <w:r w:rsidRPr="000A4823">
              <w:t>19 years old. He claimed that the test was inaccurate and inappropriate, and that no represent</w:t>
            </w:r>
            <w:r w:rsidR="005B3CCB">
              <w:t>ative was appointed for him</w:t>
            </w:r>
            <w:r w:rsidRPr="000A4823">
              <w:t xml:space="preserve"> during the age</w:t>
            </w:r>
            <w:r w:rsidR="005B3CCB">
              <w:t>-</w:t>
            </w:r>
            <w:r w:rsidRPr="000A4823">
              <w:t>determination process.</w:t>
            </w:r>
          </w:p>
        </w:tc>
      </w:tr>
      <w:tr w:rsidR="00370553" w:rsidRPr="000A4823" w14:paraId="03B5F9B9" w14:textId="77777777" w:rsidTr="00406ABA">
        <w:tc>
          <w:tcPr>
            <w:tcW w:w="3685" w:type="dxa"/>
            <w:shd w:val="clear" w:color="auto" w:fill="auto"/>
          </w:tcPr>
          <w:p w14:paraId="41281591" w14:textId="77777777" w:rsidR="00370553" w:rsidRPr="000A4823" w:rsidRDefault="00370553" w:rsidP="00370553">
            <w:pPr>
              <w:spacing w:before="40" w:after="120"/>
              <w:ind w:right="113"/>
            </w:pPr>
            <w:r w:rsidRPr="000A4823">
              <w:t>Articles violated:</w:t>
            </w:r>
          </w:p>
        </w:tc>
        <w:tc>
          <w:tcPr>
            <w:tcW w:w="3685" w:type="dxa"/>
            <w:shd w:val="clear" w:color="auto" w:fill="auto"/>
          </w:tcPr>
          <w:p w14:paraId="39D0360A" w14:textId="77777777" w:rsidR="00370553" w:rsidRPr="000A4823" w:rsidRDefault="00370553" w:rsidP="00370553">
            <w:pPr>
              <w:spacing w:before="40" w:after="120"/>
              <w:ind w:right="113"/>
              <w:jc w:val="both"/>
            </w:pPr>
            <w:r w:rsidRPr="000A4823">
              <w:t>Articles 3 and 12 of the Convention and article 6 of the Optional Protocol</w:t>
            </w:r>
          </w:p>
        </w:tc>
      </w:tr>
      <w:tr w:rsidR="00370553" w:rsidRPr="000A4823" w14:paraId="19BDFF20" w14:textId="77777777" w:rsidTr="00406ABA">
        <w:tc>
          <w:tcPr>
            <w:tcW w:w="3685" w:type="dxa"/>
            <w:shd w:val="clear" w:color="auto" w:fill="auto"/>
          </w:tcPr>
          <w:p w14:paraId="7739EABF" w14:textId="77777777" w:rsidR="00370553" w:rsidRPr="000A4823" w:rsidRDefault="00370553" w:rsidP="00370553">
            <w:pPr>
              <w:spacing w:before="40" w:after="120"/>
              <w:ind w:right="113"/>
            </w:pPr>
            <w:r w:rsidRPr="000A4823">
              <w:t>Remedy:</w:t>
            </w:r>
          </w:p>
        </w:tc>
        <w:tc>
          <w:tcPr>
            <w:tcW w:w="3685" w:type="dxa"/>
            <w:shd w:val="clear" w:color="auto" w:fill="auto"/>
          </w:tcPr>
          <w:p w14:paraId="03EF989A" w14:textId="77777777" w:rsidR="00370553" w:rsidRPr="000A4823" w:rsidRDefault="00370553" w:rsidP="00370553">
            <w:pPr>
              <w:spacing w:before="40" w:after="120"/>
              <w:ind w:right="113"/>
              <w:jc w:val="both"/>
            </w:pPr>
            <w:r w:rsidRPr="000A4823">
              <w:t>The State party is under an obligation to prevent similar violations in the future, in particular by ensuring that all procedures for determining the age of possible unaccompanied children are carried out in a manner consistent with the Convention and that, in the course of such procedures, the persons subjected to them are promptly assigned a qualified legal or other representative free of charge.</w:t>
            </w:r>
          </w:p>
        </w:tc>
      </w:tr>
      <w:tr w:rsidR="00370553" w:rsidRPr="000A4823" w14:paraId="4F4257E6" w14:textId="77777777" w:rsidTr="00406ABA">
        <w:tc>
          <w:tcPr>
            <w:tcW w:w="3685" w:type="dxa"/>
            <w:shd w:val="clear" w:color="auto" w:fill="auto"/>
          </w:tcPr>
          <w:p w14:paraId="28F1246D" w14:textId="77777777" w:rsidR="00370553" w:rsidRPr="000A4823" w:rsidRDefault="00370553" w:rsidP="00370553">
            <w:pPr>
              <w:spacing w:before="40" w:after="120"/>
              <w:ind w:right="113"/>
            </w:pPr>
            <w:r w:rsidRPr="000A4823">
              <w:t>State party’s response:</w:t>
            </w:r>
          </w:p>
        </w:tc>
        <w:tc>
          <w:tcPr>
            <w:tcW w:w="3685" w:type="dxa"/>
            <w:shd w:val="clear" w:color="auto" w:fill="auto"/>
          </w:tcPr>
          <w:p w14:paraId="460F2D1C" w14:textId="42B4249E" w:rsidR="00370553" w:rsidRPr="000A4823" w:rsidRDefault="00370553" w:rsidP="00370553">
            <w:pPr>
              <w:spacing w:before="40" w:after="120"/>
              <w:ind w:right="113"/>
            </w:pPr>
            <w:r w:rsidRPr="000A4823">
              <w:t xml:space="preserve">In its follow-up submission </w:t>
            </w:r>
            <w:r w:rsidR="00CB757E">
              <w:t>dated</w:t>
            </w:r>
            <w:r w:rsidRPr="000A4823">
              <w:t xml:space="preserve"> 20 May 2019, the State party </w:t>
            </w:r>
            <w:r w:rsidR="007F31D8">
              <w:t>notes</w:t>
            </w:r>
            <w:r w:rsidRPr="000A4823">
              <w:t xml:space="preserve"> that on 18 December 2018 the Attorney</w:t>
            </w:r>
            <w:r w:rsidR="007F31D8">
              <w:t xml:space="preserve"> </w:t>
            </w:r>
            <w:r w:rsidRPr="000A4823">
              <w:t>General</w:t>
            </w:r>
            <w:r w:rsidR="002F1AED">
              <w:t>’</w:t>
            </w:r>
            <w:r w:rsidRPr="000A4823">
              <w:t xml:space="preserve">s Office issued a detailed legal report on the rules and administrative practices currently followed </w:t>
            </w:r>
            <w:r w:rsidR="002F1AED">
              <w:t>with respect to</w:t>
            </w:r>
            <w:r w:rsidRPr="000A4823">
              <w:t xml:space="preserve"> the matters indicated by the Committee, highlighting the aspects in which the Committee had requested effective measures to prevent similar violations in the future. The report was sent to the Directorate General for International Legal Cooperation, </w:t>
            </w:r>
            <w:r w:rsidR="002F1AED">
              <w:t xml:space="preserve">Interfaith </w:t>
            </w:r>
            <w:r w:rsidRPr="000A4823">
              <w:t>Relations and Human Rights</w:t>
            </w:r>
            <w:r w:rsidR="002F1AED">
              <w:t>,</w:t>
            </w:r>
            <w:r w:rsidRPr="000A4823">
              <w:t xml:space="preserve"> of the Ministry of Justice, which took the following action:</w:t>
            </w:r>
          </w:p>
        </w:tc>
      </w:tr>
      <w:tr w:rsidR="00370553" w:rsidRPr="000A4823" w14:paraId="65B1B92C" w14:textId="77777777" w:rsidTr="00406ABA">
        <w:tc>
          <w:tcPr>
            <w:tcW w:w="3685" w:type="dxa"/>
            <w:shd w:val="clear" w:color="auto" w:fill="auto"/>
          </w:tcPr>
          <w:p w14:paraId="3F32EC65" w14:textId="77777777" w:rsidR="00370553" w:rsidRPr="000A4823" w:rsidRDefault="00370553" w:rsidP="00370553">
            <w:pPr>
              <w:spacing w:before="40" w:after="120"/>
              <w:ind w:right="113"/>
            </w:pPr>
          </w:p>
        </w:tc>
        <w:tc>
          <w:tcPr>
            <w:tcW w:w="3685" w:type="dxa"/>
            <w:shd w:val="clear" w:color="auto" w:fill="auto"/>
          </w:tcPr>
          <w:p w14:paraId="1FA3B05E" w14:textId="628C5A15" w:rsidR="00370553" w:rsidRPr="00AE38A6" w:rsidRDefault="00AE38A6" w:rsidP="00370553">
            <w:pPr>
              <w:spacing w:before="40" w:after="120"/>
              <w:ind w:right="113"/>
              <w:jc w:val="both"/>
            </w:pPr>
            <w:r w:rsidRPr="00405DA5">
              <w:t>(</w:t>
            </w:r>
            <w:r w:rsidR="00370553" w:rsidRPr="00405DA5">
              <w:t>a</w:t>
            </w:r>
            <w:r w:rsidRPr="00405DA5">
              <w:t>)</w:t>
            </w:r>
            <w:r w:rsidR="00370553" w:rsidRPr="00405DA5">
              <w:tab/>
            </w:r>
            <w:r w:rsidR="00370553" w:rsidRPr="00AE38A6">
              <w:t xml:space="preserve">The content of the </w:t>
            </w:r>
            <w:r w:rsidR="002F1AED">
              <w:t>Views</w:t>
            </w:r>
            <w:r w:rsidR="00E76EDA">
              <w:t xml:space="preserve"> were disseminated publicly,</w:t>
            </w:r>
            <w:r w:rsidR="00370553" w:rsidRPr="00AE38A6">
              <w:t xml:space="preserve"> on the website of the Ministry of Justice;</w:t>
            </w:r>
          </w:p>
        </w:tc>
      </w:tr>
      <w:tr w:rsidR="00370553" w:rsidRPr="000A4823" w14:paraId="16C0FA96" w14:textId="77777777" w:rsidTr="00406ABA">
        <w:tc>
          <w:tcPr>
            <w:tcW w:w="3685" w:type="dxa"/>
            <w:shd w:val="clear" w:color="auto" w:fill="auto"/>
          </w:tcPr>
          <w:p w14:paraId="6E19C192" w14:textId="77777777" w:rsidR="00370553" w:rsidRPr="000A4823" w:rsidRDefault="00370553" w:rsidP="00370553">
            <w:pPr>
              <w:spacing w:before="40" w:after="120"/>
              <w:ind w:right="113"/>
            </w:pPr>
          </w:p>
        </w:tc>
        <w:tc>
          <w:tcPr>
            <w:tcW w:w="3685" w:type="dxa"/>
            <w:shd w:val="clear" w:color="auto" w:fill="auto"/>
          </w:tcPr>
          <w:p w14:paraId="6D23F027" w14:textId="535021C0" w:rsidR="00370553" w:rsidRPr="00AE38A6" w:rsidRDefault="00AE38A6" w:rsidP="00370553">
            <w:pPr>
              <w:spacing w:before="40" w:after="120"/>
              <w:ind w:right="113"/>
              <w:jc w:val="both"/>
            </w:pPr>
            <w:r w:rsidRPr="00405DA5">
              <w:t>(</w:t>
            </w:r>
            <w:r w:rsidR="00370553" w:rsidRPr="00405DA5">
              <w:t>b</w:t>
            </w:r>
            <w:r w:rsidRPr="00405DA5">
              <w:t>)</w:t>
            </w:r>
            <w:r w:rsidR="00370553" w:rsidRPr="00405DA5">
              <w:tab/>
            </w:r>
            <w:r w:rsidR="00370553" w:rsidRPr="00AE38A6">
              <w:t xml:space="preserve">Given that the implementation of the Views </w:t>
            </w:r>
            <w:r w:rsidR="002F1AED">
              <w:t>is the responsibility of</w:t>
            </w:r>
            <w:r w:rsidR="00370553" w:rsidRPr="00AE38A6">
              <w:t xml:space="preserve"> </w:t>
            </w:r>
            <w:r w:rsidR="002F1AED">
              <w:t>various</w:t>
            </w:r>
            <w:r w:rsidR="00370553" w:rsidRPr="00AE38A6">
              <w:t xml:space="preserve"> organs of the public </w:t>
            </w:r>
            <w:r w:rsidR="00E76EDA">
              <w:t>A</w:t>
            </w:r>
            <w:r w:rsidR="00370553" w:rsidRPr="00AE38A6">
              <w:t xml:space="preserve">dministration, a permanent network of focal points within </w:t>
            </w:r>
            <w:r w:rsidR="00E76EDA">
              <w:t xml:space="preserve">the </w:t>
            </w:r>
            <w:r w:rsidR="00370553" w:rsidRPr="00AE38A6">
              <w:t>different institutions was formed in order to analy</w:t>
            </w:r>
            <w:r w:rsidR="002F1AED">
              <w:t>s</w:t>
            </w:r>
            <w:r w:rsidR="00370553" w:rsidRPr="00AE38A6">
              <w:t>e the complex aspects that compliance requires;</w:t>
            </w:r>
          </w:p>
        </w:tc>
      </w:tr>
      <w:tr w:rsidR="00370553" w:rsidRPr="000A4823" w14:paraId="0036620B" w14:textId="77777777" w:rsidTr="00406ABA">
        <w:tc>
          <w:tcPr>
            <w:tcW w:w="3685" w:type="dxa"/>
            <w:shd w:val="clear" w:color="auto" w:fill="auto"/>
          </w:tcPr>
          <w:p w14:paraId="045A0E0F" w14:textId="77777777" w:rsidR="00370553" w:rsidRPr="000A4823" w:rsidRDefault="00370553" w:rsidP="00370553">
            <w:pPr>
              <w:spacing w:before="40" w:after="120"/>
              <w:ind w:right="113"/>
            </w:pPr>
          </w:p>
        </w:tc>
        <w:tc>
          <w:tcPr>
            <w:tcW w:w="3685" w:type="dxa"/>
            <w:shd w:val="clear" w:color="auto" w:fill="auto"/>
          </w:tcPr>
          <w:p w14:paraId="0DDA0675" w14:textId="6F31326B" w:rsidR="00370553" w:rsidRPr="00AE38A6" w:rsidRDefault="00AE38A6" w:rsidP="00370553">
            <w:pPr>
              <w:spacing w:before="40" w:after="120"/>
              <w:ind w:right="113"/>
              <w:jc w:val="both"/>
            </w:pPr>
            <w:r w:rsidRPr="00405DA5">
              <w:t>(</w:t>
            </w:r>
            <w:r w:rsidR="00370553" w:rsidRPr="00405DA5">
              <w:t>c</w:t>
            </w:r>
            <w:r w:rsidRPr="00405DA5">
              <w:t>)</w:t>
            </w:r>
            <w:r w:rsidR="00370553" w:rsidRPr="00405DA5">
              <w:tab/>
            </w:r>
            <w:r w:rsidR="00370553" w:rsidRPr="00AE38A6">
              <w:t xml:space="preserve">On 21 January 2019, a meeting with experts and State ministries was convened in order to evaluate the Views and the possible </w:t>
            </w:r>
            <w:r w:rsidR="00370553" w:rsidRPr="00AE38A6">
              <w:lastRenderedPageBreak/>
              <w:t xml:space="preserve">measures that would be required for its implementation, including </w:t>
            </w:r>
            <w:r w:rsidR="005937B0">
              <w:t>(</w:t>
            </w:r>
            <w:r w:rsidR="00370553" w:rsidRPr="00AE38A6">
              <w:t xml:space="preserve">i) </w:t>
            </w:r>
            <w:r w:rsidR="00C30BB9">
              <w:t xml:space="preserve">a </w:t>
            </w:r>
            <w:r w:rsidR="005937B0">
              <w:t>r</w:t>
            </w:r>
            <w:r w:rsidR="00370553" w:rsidRPr="00AE38A6">
              <w:t>eview</w:t>
            </w:r>
            <w:r w:rsidR="00C30BB9">
              <w:t xml:space="preserve"> of</w:t>
            </w:r>
            <w:r w:rsidR="00370553" w:rsidRPr="00AE38A6">
              <w:t xml:space="preserve"> the different problems faced by each participating unit in view of the growing number of unaccompanied foreign minors illegally crossing the border</w:t>
            </w:r>
            <w:r w:rsidR="00C30BB9">
              <w:t>, and</w:t>
            </w:r>
            <w:r w:rsidR="00370553" w:rsidRPr="00AE38A6">
              <w:t xml:space="preserve"> </w:t>
            </w:r>
            <w:r w:rsidR="005937B0">
              <w:t>(</w:t>
            </w:r>
            <w:r w:rsidR="00370553" w:rsidRPr="00AE38A6">
              <w:t xml:space="preserve">ii) </w:t>
            </w:r>
            <w:r w:rsidR="00C30BB9">
              <w:t>a r</w:t>
            </w:r>
            <w:r w:rsidR="00370553" w:rsidRPr="00AE38A6">
              <w:t>eview</w:t>
            </w:r>
            <w:r w:rsidR="00C30BB9">
              <w:t xml:space="preserve"> of</w:t>
            </w:r>
            <w:r w:rsidR="00370553" w:rsidRPr="00AE38A6">
              <w:t xml:space="preserve"> the treatment of these migrants, in particular age</w:t>
            </w:r>
            <w:r w:rsidR="00C30BB9">
              <w:t>-</w:t>
            </w:r>
            <w:r w:rsidR="00370553" w:rsidRPr="00AE38A6">
              <w:t>determination</w:t>
            </w:r>
            <w:r w:rsidR="00C30BB9">
              <w:t xml:space="preserve"> procedures</w:t>
            </w:r>
            <w:r w:rsidR="00370553" w:rsidRPr="00AE38A6">
              <w:t xml:space="preserve">, </w:t>
            </w:r>
            <w:r w:rsidR="00C30BB9">
              <w:t>appointment</w:t>
            </w:r>
            <w:r w:rsidR="00370553" w:rsidRPr="00AE38A6">
              <w:t xml:space="preserve"> of </w:t>
            </w:r>
            <w:r w:rsidR="00C30BB9">
              <w:t xml:space="preserve">a </w:t>
            </w:r>
            <w:r w:rsidR="00370553" w:rsidRPr="00AE38A6">
              <w:t>legal representat</w:t>
            </w:r>
            <w:r w:rsidR="00C30BB9">
              <w:t>ive</w:t>
            </w:r>
            <w:r w:rsidR="00370553" w:rsidRPr="00AE38A6">
              <w:t xml:space="preserve"> and </w:t>
            </w:r>
            <w:r w:rsidR="00C30BB9">
              <w:t>transferral</w:t>
            </w:r>
            <w:r w:rsidR="00370553" w:rsidRPr="00AE38A6">
              <w:t xml:space="preserve"> </w:t>
            </w:r>
            <w:r w:rsidR="00C30BB9">
              <w:t>to</w:t>
            </w:r>
            <w:r w:rsidR="00370553" w:rsidRPr="00AE38A6">
              <w:t xml:space="preserve"> </w:t>
            </w:r>
            <w:r w:rsidR="00C30BB9">
              <w:t xml:space="preserve">child </w:t>
            </w:r>
            <w:r w:rsidR="00370553" w:rsidRPr="00AE38A6">
              <w:t>protection centr</w:t>
            </w:r>
            <w:r w:rsidR="00E17BFF">
              <w:t>e</w:t>
            </w:r>
            <w:r w:rsidR="00370553" w:rsidRPr="00AE38A6">
              <w:t>s</w:t>
            </w:r>
            <w:r w:rsidR="00C30BB9">
              <w:t>;</w:t>
            </w:r>
          </w:p>
        </w:tc>
      </w:tr>
      <w:tr w:rsidR="00370553" w:rsidRPr="000A4823" w14:paraId="1A513E66" w14:textId="77777777" w:rsidTr="00406ABA">
        <w:tc>
          <w:tcPr>
            <w:tcW w:w="3685" w:type="dxa"/>
            <w:shd w:val="clear" w:color="auto" w:fill="auto"/>
          </w:tcPr>
          <w:p w14:paraId="415BE190" w14:textId="77777777" w:rsidR="00370553" w:rsidRPr="000A4823" w:rsidRDefault="00370553" w:rsidP="00370553">
            <w:pPr>
              <w:spacing w:before="40" w:after="120"/>
              <w:ind w:right="113"/>
            </w:pPr>
          </w:p>
        </w:tc>
        <w:tc>
          <w:tcPr>
            <w:tcW w:w="3685" w:type="dxa"/>
            <w:shd w:val="clear" w:color="auto" w:fill="auto"/>
          </w:tcPr>
          <w:p w14:paraId="7CE93989" w14:textId="5155582A" w:rsidR="00370553" w:rsidRPr="000A4823" w:rsidRDefault="00AE38A6" w:rsidP="00370553">
            <w:pPr>
              <w:spacing w:before="40" w:after="120"/>
              <w:ind w:right="113"/>
              <w:jc w:val="both"/>
            </w:pPr>
            <w:r w:rsidRPr="00405DA5">
              <w:t>(</w:t>
            </w:r>
            <w:r w:rsidR="00370553" w:rsidRPr="00405DA5">
              <w:t>d</w:t>
            </w:r>
            <w:r w:rsidRPr="00405DA5">
              <w:t>)</w:t>
            </w:r>
            <w:r w:rsidR="00370553" w:rsidRPr="00405DA5">
              <w:tab/>
            </w:r>
            <w:r w:rsidR="00BD1863" w:rsidRPr="000A4823">
              <w:t>On 21 February 2019</w:t>
            </w:r>
            <w:r w:rsidR="00370553" w:rsidRPr="000A4823">
              <w:t>,</w:t>
            </w:r>
            <w:r w:rsidR="00BD1863" w:rsidRPr="000A4823">
              <w:t xml:space="preserve"> </w:t>
            </w:r>
            <w:r w:rsidR="00370553" w:rsidRPr="000A4823">
              <w:t xml:space="preserve">the Government participated in a seminar with the </w:t>
            </w:r>
            <w:r w:rsidR="007C5982">
              <w:t xml:space="preserve">European Union </w:t>
            </w:r>
            <w:r w:rsidR="00370553" w:rsidRPr="000A4823">
              <w:t xml:space="preserve">Agency </w:t>
            </w:r>
            <w:r w:rsidR="007C5982">
              <w:t>for</w:t>
            </w:r>
            <w:r w:rsidR="00370553" w:rsidRPr="000A4823">
              <w:t xml:space="preserve"> Fundamental Rights, the European Union and the European Asylum Support Office to share information on the correct administrative and normative treatment of unaccompanied migrant children. The European Asylum Support Office present</w:t>
            </w:r>
            <w:r w:rsidR="005B3AB1">
              <w:t>ed</w:t>
            </w:r>
            <w:r w:rsidR="00370553" w:rsidRPr="000A4823">
              <w:t xml:space="preserve"> practical recommendations on age determination, </w:t>
            </w:r>
            <w:r w:rsidR="005B3AB1">
              <w:t>details were</w:t>
            </w:r>
            <w:r w:rsidR="00370553" w:rsidRPr="000A4823">
              <w:t xml:space="preserve"> shar</w:t>
            </w:r>
            <w:r w:rsidR="005B3AB1">
              <w:t>ed</w:t>
            </w:r>
            <w:r w:rsidR="00370553" w:rsidRPr="000A4823">
              <w:t xml:space="preserve"> of systems in Germany, Italy and Sweden</w:t>
            </w:r>
            <w:r w:rsidR="005B3AB1">
              <w:t>,</w:t>
            </w:r>
            <w:r w:rsidR="00370553" w:rsidRPr="000A4823">
              <w:t xml:space="preserve"> discussions </w:t>
            </w:r>
            <w:r w:rsidR="005B3AB1">
              <w:t xml:space="preserve">were held </w:t>
            </w:r>
            <w:r w:rsidR="00370553" w:rsidRPr="000A4823">
              <w:t>on the challenges of age</w:t>
            </w:r>
            <w:r w:rsidR="005B3AB1">
              <w:t>-</w:t>
            </w:r>
            <w:r w:rsidR="00370553" w:rsidRPr="000A4823">
              <w:t xml:space="preserve">determination procedures, </w:t>
            </w:r>
            <w:r w:rsidR="005B3AB1">
              <w:t>and</w:t>
            </w:r>
            <w:r w:rsidR="00370553" w:rsidRPr="000A4823">
              <w:t xml:space="preserve"> proposals</w:t>
            </w:r>
            <w:r w:rsidR="005B3AB1">
              <w:t xml:space="preserve"> were made</w:t>
            </w:r>
            <w:r w:rsidR="00370553" w:rsidRPr="000A4823">
              <w:t xml:space="preserve"> </w:t>
            </w:r>
            <w:r w:rsidR="005B3AB1">
              <w:t>for</w:t>
            </w:r>
            <w:r w:rsidR="00370553" w:rsidRPr="000A4823">
              <w:t xml:space="preserve"> good practices to be exchanged;</w:t>
            </w:r>
          </w:p>
        </w:tc>
      </w:tr>
      <w:tr w:rsidR="00370553" w:rsidRPr="000A4823" w14:paraId="59D7BC19" w14:textId="77777777" w:rsidTr="00406ABA">
        <w:tc>
          <w:tcPr>
            <w:tcW w:w="3685" w:type="dxa"/>
            <w:shd w:val="clear" w:color="auto" w:fill="auto"/>
          </w:tcPr>
          <w:p w14:paraId="39D38BD2" w14:textId="77777777" w:rsidR="00370553" w:rsidRPr="000A4823" w:rsidRDefault="00370553" w:rsidP="00370553">
            <w:pPr>
              <w:spacing w:before="40" w:after="120"/>
              <w:ind w:right="113"/>
            </w:pPr>
          </w:p>
        </w:tc>
        <w:tc>
          <w:tcPr>
            <w:tcW w:w="3685" w:type="dxa"/>
            <w:shd w:val="clear" w:color="auto" w:fill="auto"/>
          </w:tcPr>
          <w:p w14:paraId="03A7DD0C" w14:textId="65111F0D" w:rsidR="00370553" w:rsidRPr="000A4823" w:rsidRDefault="00AE38A6" w:rsidP="00406ABA">
            <w:pPr>
              <w:spacing w:before="40" w:after="120"/>
              <w:ind w:right="113"/>
              <w:jc w:val="both"/>
            </w:pPr>
            <w:r>
              <w:t>(</w:t>
            </w:r>
            <w:r w:rsidR="00370553" w:rsidRPr="000A4823">
              <w:t>e</w:t>
            </w:r>
            <w:r>
              <w:t>)</w:t>
            </w:r>
            <w:r w:rsidR="00370553" w:rsidRPr="000A4823">
              <w:tab/>
              <w:t xml:space="preserve">On 5 March 2019, the Spanish </w:t>
            </w:r>
            <w:r w:rsidR="005B3AB1">
              <w:t>p</w:t>
            </w:r>
            <w:r w:rsidR="00370553" w:rsidRPr="000A4823">
              <w:t xml:space="preserve">arliament was dissolved. Consequently, there </w:t>
            </w:r>
            <w:r w:rsidR="00C6379B">
              <w:t>has been</w:t>
            </w:r>
            <w:r w:rsidR="00370553" w:rsidRPr="000A4823">
              <w:t xml:space="preserve"> a </w:t>
            </w:r>
            <w:r w:rsidR="00E057FC">
              <w:t>temporary</w:t>
            </w:r>
            <w:r w:rsidR="00370553" w:rsidRPr="000A4823">
              <w:t xml:space="preserve"> delay in the adoption of new decisions, </w:t>
            </w:r>
            <w:r w:rsidR="00E057FC">
              <w:t>until</w:t>
            </w:r>
            <w:r w:rsidR="00370553" w:rsidRPr="000A4823">
              <w:t xml:space="preserve"> relevant data </w:t>
            </w:r>
            <w:r w:rsidR="00C6379B">
              <w:t>is</w:t>
            </w:r>
            <w:r w:rsidR="00370553" w:rsidRPr="000A4823">
              <w:t xml:space="preserve"> collected and the network of contacts established. The State party explains that it has developed a plan of action to implement the Views after the general elections</w:t>
            </w:r>
            <w:r w:rsidR="00C6379B">
              <w:t>,</w:t>
            </w:r>
            <w:r w:rsidR="00370553" w:rsidRPr="000A4823">
              <w:t xml:space="preserve"> </w:t>
            </w:r>
            <w:r w:rsidR="00C6379B">
              <w:t xml:space="preserve">which were due to be held </w:t>
            </w:r>
            <w:r w:rsidR="00370553" w:rsidRPr="000A4823">
              <w:t xml:space="preserve">in April and May 2019. As part of its plan, the State party </w:t>
            </w:r>
            <w:r w:rsidR="00C6379B">
              <w:t>intends</w:t>
            </w:r>
            <w:r w:rsidR="00370553" w:rsidRPr="000A4823">
              <w:t xml:space="preserve"> to convene a </w:t>
            </w:r>
            <w:r w:rsidR="00705809">
              <w:t>s</w:t>
            </w:r>
            <w:r w:rsidR="00370553" w:rsidRPr="000A4823">
              <w:t xml:space="preserve">ectoral </w:t>
            </w:r>
            <w:r w:rsidR="00705809">
              <w:t>c</w:t>
            </w:r>
            <w:r w:rsidR="00370553" w:rsidRPr="000A4823">
              <w:t xml:space="preserve">onference between the autonomous governments </w:t>
            </w:r>
            <w:r w:rsidR="00550482">
              <w:t>in order to ensure coordination</w:t>
            </w:r>
            <w:r w:rsidR="00370553" w:rsidRPr="000A4823">
              <w:t xml:space="preserve"> </w:t>
            </w:r>
            <w:r w:rsidR="00550482">
              <w:t>on</w:t>
            </w:r>
            <w:r w:rsidR="00370553" w:rsidRPr="000A4823">
              <w:t xml:space="preserve"> regulatory initiatives or administrative measures. Additionally, prior to any adoption of normative or administrative practice and the evaluation of their normative impact, the </w:t>
            </w:r>
            <w:r w:rsidR="005B3AB1">
              <w:t>G</w:t>
            </w:r>
            <w:r w:rsidR="00370553" w:rsidRPr="000A4823">
              <w:t xml:space="preserve">overnment is planning </w:t>
            </w:r>
            <w:r w:rsidR="00550482">
              <w:t>to</w:t>
            </w:r>
            <w:r w:rsidR="00370553" w:rsidRPr="000A4823">
              <w:t xml:space="preserve"> consult</w:t>
            </w:r>
            <w:r w:rsidR="00550482">
              <w:t xml:space="preserve"> with</w:t>
            </w:r>
            <w:r w:rsidR="00370553" w:rsidRPr="000A4823">
              <w:t xml:space="preserve"> and tak</w:t>
            </w:r>
            <w:r w:rsidR="00550482">
              <w:t>e</w:t>
            </w:r>
            <w:r w:rsidR="00370553" w:rsidRPr="000A4823">
              <w:t xml:space="preserve"> into consideration the position of all the </w:t>
            </w:r>
            <w:r w:rsidR="00550482">
              <w:t>a</w:t>
            </w:r>
            <w:r w:rsidR="00370553" w:rsidRPr="000A4823">
              <w:t xml:space="preserve">utonomous </w:t>
            </w:r>
            <w:r w:rsidR="00550482">
              <w:t>c</w:t>
            </w:r>
            <w:r w:rsidR="00370553" w:rsidRPr="000A4823">
              <w:t xml:space="preserve">ommunities with broad territorial competences in their respective spheres. The </w:t>
            </w:r>
            <w:r w:rsidR="005B3AB1">
              <w:t>G</w:t>
            </w:r>
            <w:r w:rsidR="00370553" w:rsidRPr="000A4823">
              <w:t>overnment also expect</w:t>
            </w:r>
            <w:r w:rsidR="005B3AB1">
              <w:t>s</w:t>
            </w:r>
            <w:r w:rsidR="00370553" w:rsidRPr="000A4823">
              <w:t xml:space="preserve"> to consider the promotion of legislative measures, regulations and modifications of protocols of action at </w:t>
            </w:r>
            <w:r w:rsidR="005B3AB1">
              <w:t xml:space="preserve">the </w:t>
            </w:r>
            <w:r w:rsidR="00370553" w:rsidRPr="000A4823">
              <w:t>national level in coordinat</w:t>
            </w:r>
            <w:r w:rsidR="0090579D">
              <w:t>ion</w:t>
            </w:r>
            <w:r w:rsidR="00370553" w:rsidRPr="000A4823">
              <w:t xml:space="preserve"> with the measures adopted at the autonomous</w:t>
            </w:r>
            <w:r w:rsidR="00C6379B">
              <w:t xml:space="preserve"> community</w:t>
            </w:r>
            <w:r w:rsidR="00370553" w:rsidRPr="000A4823">
              <w:t xml:space="preserve"> level. </w:t>
            </w:r>
            <w:r w:rsidR="005B3AB1">
              <w:t>Lastly</w:t>
            </w:r>
            <w:r w:rsidR="00370553" w:rsidRPr="000A4823">
              <w:t xml:space="preserve">, the State party is planning a budgetary and financial impact analysis of the required measures </w:t>
            </w:r>
            <w:r w:rsidR="0090579D">
              <w:t>and</w:t>
            </w:r>
            <w:r w:rsidR="00370553" w:rsidRPr="000A4823">
              <w:t xml:space="preserve"> the logistical and </w:t>
            </w:r>
            <w:r w:rsidR="00370553" w:rsidRPr="000A4823">
              <w:lastRenderedPageBreak/>
              <w:t xml:space="preserve">administrative procedures </w:t>
            </w:r>
            <w:r w:rsidR="0090579D">
              <w:t>necessary</w:t>
            </w:r>
            <w:r w:rsidR="00370553" w:rsidRPr="000A4823">
              <w:t xml:space="preserve"> to implement the</w:t>
            </w:r>
            <w:r w:rsidR="0090579D">
              <w:t>m</w:t>
            </w:r>
            <w:r w:rsidR="00370553" w:rsidRPr="000A4823">
              <w:t>.</w:t>
            </w:r>
          </w:p>
        </w:tc>
      </w:tr>
      <w:tr w:rsidR="00370553" w:rsidRPr="000A4823" w14:paraId="0C001550" w14:textId="77777777" w:rsidTr="00406ABA">
        <w:tc>
          <w:tcPr>
            <w:tcW w:w="3685" w:type="dxa"/>
            <w:tcBorders>
              <w:bottom w:val="single" w:sz="12" w:space="0" w:color="auto"/>
            </w:tcBorders>
            <w:shd w:val="clear" w:color="auto" w:fill="auto"/>
          </w:tcPr>
          <w:p w14:paraId="4457E166" w14:textId="77777777" w:rsidR="00370553" w:rsidRPr="000A4823" w:rsidRDefault="00370553" w:rsidP="00370553">
            <w:pPr>
              <w:spacing w:before="40" w:after="120"/>
              <w:ind w:right="113"/>
            </w:pPr>
            <w:r w:rsidRPr="000A4823">
              <w:lastRenderedPageBreak/>
              <w:t>Decision of the Committee:</w:t>
            </w:r>
          </w:p>
        </w:tc>
        <w:tc>
          <w:tcPr>
            <w:tcW w:w="3685" w:type="dxa"/>
            <w:tcBorders>
              <w:bottom w:val="single" w:sz="12" w:space="0" w:color="auto"/>
            </w:tcBorders>
            <w:shd w:val="clear" w:color="auto" w:fill="auto"/>
          </w:tcPr>
          <w:p w14:paraId="7A6EE97B" w14:textId="74C64F9B" w:rsidR="00370553" w:rsidRPr="000A4823" w:rsidRDefault="00406ABA" w:rsidP="00370553">
            <w:pPr>
              <w:spacing w:before="40" w:after="120"/>
              <w:ind w:right="113"/>
            </w:pPr>
            <w:r w:rsidRPr="000A4823">
              <w:t>The Committee decide</w:t>
            </w:r>
            <w:r w:rsidR="0090579D">
              <w:t>s</w:t>
            </w:r>
            <w:r w:rsidRPr="000A4823">
              <w:t xml:space="preserve"> to </w:t>
            </w:r>
            <w:r w:rsidR="0090579D">
              <w:t>maintain</w:t>
            </w:r>
            <w:r w:rsidRPr="000A4823">
              <w:t xml:space="preserve"> the follow-up dialogue and to request regular updates </w:t>
            </w:r>
            <w:r w:rsidR="0090579D">
              <w:t>from</w:t>
            </w:r>
            <w:r w:rsidRPr="000A4823">
              <w:t xml:space="preserve"> the State party on the status of implementation of the Committee’s Views. The State party’s compliance with the Views will be assessed in light of future information </w:t>
            </w:r>
            <w:r w:rsidR="005B3AB1">
              <w:t>from</w:t>
            </w:r>
            <w:r w:rsidRPr="000A4823">
              <w:t xml:space="preserve"> the State party and the author’s comments in that regard.</w:t>
            </w:r>
          </w:p>
        </w:tc>
      </w:tr>
    </w:tbl>
    <w:p w14:paraId="7A3E5AD3" w14:textId="77777777" w:rsidR="00370553" w:rsidRPr="000A4823" w:rsidRDefault="00370553" w:rsidP="00370553">
      <w:pPr>
        <w:pStyle w:val="SingleTxtG"/>
        <w:suppressAutoHyphens w:val="0"/>
        <w:spacing w:before="80" w:after="80" w:line="200" w:lineRule="exact"/>
        <w:ind w:left="0" w:right="0"/>
      </w:pPr>
    </w:p>
    <w:p w14:paraId="452F5CC5" w14:textId="77777777" w:rsidR="005B1D09" w:rsidRPr="000A4823" w:rsidRDefault="005B1D09">
      <w:r w:rsidRPr="000A4823">
        <w:br w:type="page"/>
      </w:r>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B008B3" w:rsidRPr="000A4823" w14:paraId="2ED33C2E" w14:textId="77777777" w:rsidTr="00370553">
        <w:tc>
          <w:tcPr>
            <w:tcW w:w="7370" w:type="dxa"/>
            <w:gridSpan w:val="2"/>
            <w:tcBorders>
              <w:top w:val="single" w:sz="4" w:space="0" w:color="auto"/>
              <w:bottom w:val="single" w:sz="12" w:space="0" w:color="auto"/>
            </w:tcBorders>
            <w:shd w:val="clear" w:color="auto" w:fill="auto"/>
            <w:vAlign w:val="bottom"/>
          </w:tcPr>
          <w:p w14:paraId="4506BED1" w14:textId="19C612C4" w:rsidR="00B008B3" w:rsidRPr="00405DA5" w:rsidRDefault="0089469C" w:rsidP="00370553">
            <w:pPr>
              <w:suppressAutoHyphens w:val="0"/>
              <w:spacing w:before="80" w:after="80" w:line="200" w:lineRule="exact"/>
              <w:rPr>
                <w:iCs/>
                <w:spacing w:val="4"/>
                <w:w w:val="103"/>
                <w:kern w:val="14"/>
                <w:sz w:val="16"/>
              </w:rPr>
            </w:pPr>
            <w:r>
              <w:rPr>
                <w:i/>
                <w:spacing w:val="4"/>
                <w:w w:val="103"/>
                <w:kern w:val="14"/>
                <w:sz w:val="16"/>
              </w:rPr>
              <w:lastRenderedPageBreak/>
              <w:t>C.E.</w:t>
            </w:r>
            <w:r w:rsidR="00B008B3" w:rsidRPr="000A4823">
              <w:rPr>
                <w:i/>
                <w:spacing w:val="4"/>
                <w:w w:val="103"/>
                <w:kern w:val="14"/>
                <w:sz w:val="16"/>
              </w:rPr>
              <w:t xml:space="preserve"> v. </w:t>
            </w:r>
            <w:r>
              <w:rPr>
                <w:i/>
                <w:spacing w:val="4"/>
                <w:w w:val="103"/>
                <w:kern w:val="14"/>
                <w:sz w:val="16"/>
              </w:rPr>
              <w:t>Belgium</w:t>
            </w:r>
            <w:r w:rsidR="00732FA2">
              <w:rPr>
                <w:iCs/>
                <w:spacing w:val="4"/>
                <w:w w:val="103"/>
                <w:kern w:val="14"/>
                <w:sz w:val="16"/>
              </w:rPr>
              <w:t xml:space="preserve"> </w:t>
            </w:r>
            <w:r w:rsidR="00732FA2" w:rsidRPr="00732FA2">
              <w:rPr>
                <w:iCs/>
                <w:spacing w:val="4"/>
                <w:w w:val="103"/>
                <w:kern w:val="14"/>
                <w:sz w:val="16"/>
              </w:rPr>
              <w:t>(CRC/C/79/D/12/2017)</w:t>
            </w:r>
          </w:p>
        </w:tc>
      </w:tr>
      <w:tr w:rsidR="00B008B3" w:rsidRPr="000A4823" w14:paraId="3E29E09D" w14:textId="77777777" w:rsidTr="00370553">
        <w:tblPrEx>
          <w:tblBorders>
            <w:top w:val="none" w:sz="0" w:space="0" w:color="auto"/>
            <w:bottom w:val="none" w:sz="0" w:space="0" w:color="auto"/>
          </w:tblBorders>
        </w:tblPrEx>
        <w:trPr>
          <w:trHeight w:hRule="exact" w:val="113"/>
        </w:trPr>
        <w:tc>
          <w:tcPr>
            <w:tcW w:w="3685" w:type="dxa"/>
            <w:tcBorders>
              <w:top w:val="single" w:sz="12" w:space="0" w:color="auto"/>
            </w:tcBorders>
            <w:shd w:val="clear" w:color="auto" w:fill="auto"/>
            <w:vAlign w:val="bottom"/>
          </w:tcPr>
          <w:p w14:paraId="78B88BE5" w14:textId="77777777" w:rsidR="00B008B3" w:rsidRPr="000A4823" w:rsidRDefault="00B008B3" w:rsidP="00B008B3">
            <w:pPr>
              <w:spacing w:before="80" w:after="80" w:line="200" w:lineRule="exact"/>
              <w:ind w:right="113"/>
              <w:rPr>
                <w:i/>
                <w:sz w:val="16"/>
              </w:rPr>
            </w:pPr>
          </w:p>
        </w:tc>
        <w:tc>
          <w:tcPr>
            <w:tcW w:w="3685" w:type="dxa"/>
            <w:tcBorders>
              <w:top w:val="single" w:sz="12" w:space="0" w:color="auto"/>
            </w:tcBorders>
            <w:shd w:val="clear" w:color="auto" w:fill="auto"/>
            <w:vAlign w:val="bottom"/>
          </w:tcPr>
          <w:p w14:paraId="5ADBD291" w14:textId="77777777" w:rsidR="00B008B3" w:rsidRPr="000A4823" w:rsidRDefault="00B008B3" w:rsidP="00B008B3">
            <w:pPr>
              <w:spacing w:before="80" w:after="80" w:line="200" w:lineRule="exact"/>
              <w:ind w:right="113"/>
              <w:rPr>
                <w:i/>
                <w:sz w:val="16"/>
              </w:rPr>
            </w:pPr>
          </w:p>
        </w:tc>
      </w:tr>
      <w:tr w:rsidR="00B008B3" w:rsidRPr="000A4823" w14:paraId="35FA79DB" w14:textId="77777777" w:rsidTr="00B008B3">
        <w:tblPrEx>
          <w:tblBorders>
            <w:top w:val="none" w:sz="0" w:space="0" w:color="auto"/>
            <w:bottom w:val="none" w:sz="0" w:space="0" w:color="auto"/>
          </w:tblBorders>
        </w:tblPrEx>
        <w:tc>
          <w:tcPr>
            <w:tcW w:w="3685" w:type="dxa"/>
            <w:shd w:val="clear" w:color="auto" w:fill="auto"/>
          </w:tcPr>
          <w:p w14:paraId="679ABC00" w14:textId="5ECAAE36" w:rsidR="00B008B3" w:rsidRPr="000A4823" w:rsidRDefault="0089469C" w:rsidP="00B008B3">
            <w:pPr>
              <w:spacing w:before="40" w:after="120"/>
              <w:ind w:right="113"/>
            </w:pPr>
            <w:r>
              <w:t>Views</w:t>
            </w:r>
            <w:r w:rsidR="00042223" w:rsidRPr="000A4823">
              <w:t xml:space="preserve"> adopted on:</w:t>
            </w:r>
          </w:p>
        </w:tc>
        <w:tc>
          <w:tcPr>
            <w:tcW w:w="3685" w:type="dxa"/>
            <w:shd w:val="clear" w:color="auto" w:fill="auto"/>
          </w:tcPr>
          <w:p w14:paraId="362B4B74" w14:textId="77777777" w:rsidR="00B008B3" w:rsidRPr="000A4823" w:rsidRDefault="00042223" w:rsidP="00B008B3">
            <w:pPr>
              <w:spacing w:before="40" w:after="120"/>
              <w:ind w:right="113"/>
            </w:pPr>
            <w:r w:rsidRPr="000A4823">
              <w:t>27 September 2018</w:t>
            </w:r>
          </w:p>
        </w:tc>
      </w:tr>
      <w:tr w:rsidR="00B008B3" w:rsidRPr="000A4823" w14:paraId="038E0777" w14:textId="77777777" w:rsidTr="00B008B3">
        <w:tblPrEx>
          <w:tblBorders>
            <w:top w:val="none" w:sz="0" w:space="0" w:color="auto"/>
            <w:bottom w:val="none" w:sz="0" w:space="0" w:color="auto"/>
          </w:tblBorders>
        </w:tblPrEx>
        <w:tc>
          <w:tcPr>
            <w:tcW w:w="3685" w:type="dxa"/>
            <w:shd w:val="clear" w:color="auto" w:fill="auto"/>
          </w:tcPr>
          <w:p w14:paraId="6521A2CB" w14:textId="77777777" w:rsidR="00B008B3" w:rsidRPr="000A4823" w:rsidRDefault="00042223" w:rsidP="00B008B3">
            <w:pPr>
              <w:spacing w:before="40" w:after="120"/>
              <w:ind w:right="113"/>
            </w:pPr>
            <w:r w:rsidRPr="000A4823">
              <w:t>Subject matter:</w:t>
            </w:r>
          </w:p>
        </w:tc>
        <w:tc>
          <w:tcPr>
            <w:tcW w:w="3685" w:type="dxa"/>
            <w:shd w:val="clear" w:color="auto" w:fill="auto"/>
          </w:tcPr>
          <w:p w14:paraId="566F3696" w14:textId="70C4D1E7" w:rsidR="00B008B3" w:rsidRPr="000A4823" w:rsidRDefault="00042223" w:rsidP="00B008B3">
            <w:pPr>
              <w:spacing w:before="40" w:after="120"/>
              <w:ind w:right="113"/>
            </w:pPr>
            <w:r w:rsidRPr="000A4823">
              <w:t xml:space="preserve">Denial of </w:t>
            </w:r>
            <w:r w:rsidR="0090579D">
              <w:t xml:space="preserve">a </w:t>
            </w:r>
            <w:r w:rsidRPr="000A4823">
              <w:t xml:space="preserve">visa to </w:t>
            </w:r>
            <w:r w:rsidR="0090579D">
              <w:t xml:space="preserve">a </w:t>
            </w:r>
            <w:r w:rsidRPr="000A4823">
              <w:t xml:space="preserve">Moroccan child </w:t>
            </w:r>
            <w:r w:rsidR="0090579D">
              <w:t xml:space="preserve">taken in under </w:t>
            </w:r>
            <w:r w:rsidR="0090579D">
              <w:rPr>
                <w:i/>
                <w:iCs/>
              </w:rPr>
              <w:t>kafalah</w:t>
            </w:r>
            <w:r w:rsidR="0090579D">
              <w:t xml:space="preserve"> (fostering arrangement)</w:t>
            </w:r>
            <w:r w:rsidRPr="000A4823">
              <w:t xml:space="preserve"> by </w:t>
            </w:r>
            <w:r w:rsidR="0090579D">
              <w:t xml:space="preserve">a </w:t>
            </w:r>
            <w:r w:rsidRPr="000A4823">
              <w:t>Belgian-Moroccan couple.</w:t>
            </w:r>
          </w:p>
        </w:tc>
      </w:tr>
      <w:tr w:rsidR="00B008B3" w:rsidRPr="000A4823" w14:paraId="2764B884" w14:textId="77777777" w:rsidTr="00B008B3">
        <w:tblPrEx>
          <w:tblBorders>
            <w:top w:val="none" w:sz="0" w:space="0" w:color="auto"/>
            <w:bottom w:val="none" w:sz="0" w:space="0" w:color="auto"/>
          </w:tblBorders>
        </w:tblPrEx>
        <w:tc>
          <w:tcPr>
            <w:tcW w:w="3685" w:type="dxa"/>
            <w:shd w:val="clear" w:color="auto" w:fill="auto"/>
          </w:tcPr>
          <w:p w14:paraId="7AC11414" w14:textId="77777777" w:rsidR="00B008B3" w:rsidRPr="000A4823" w:rsidRDefault="00042223" w:rsidP="00B008B3">
            <w:pPr>
              <w:spacing w:before="40" w:after="120"/>
              <w:ind w:right="113"/>
            </w:pPr>
            <w:r w:rsidRPr="000A4823">
              <w:t>Articles violated:</w:t>
            </w:r>
          </w:p>
        </w:tc>
        <w:tc>
          <w:tcPr>
            <w:tcW w:w="3685" w:type="dxa"/>
            <w:shd w:val="clear" w:color="auto" w:fill="auto"/>
          </w:tcPr>
          <w:p w14:paraId="5C2C37C7" w14:textId="77777777" w:rsidR="00B008B3" w:rsidRPr="000A4823" w:rsidRDefault="00042223" w:rsidP="00B008B3">
            <w:pPr>
              <w:spacing w:before="40" w:after="120"/>
              <w:ind w:right="113"/>
            </w:pPr>
            <w:r w:rsidRPr="000A4823">
              <w:t>Articles 3, 10 and 12 of the Convention</w:t>
            </w:r>
          </w:p>
        </w:tc>
      </w:tr>
      <w:tr w:rsidR="00B008B3" w:rsidRPr="000A4823" w14:paraId="13E5BE4F" w14:textId="77777777" w:rsidTr="00B008B3">
        <w:tblPrEx>
          <w:tblBorders>
            <w:top w:val="none" w:sz="0" w:space="0" w:color="auto"/>
            <w:bottom w:val="none" w:sz="0" w:space="0" w:color="auto"/>
          </w:tblBorders>
        </w:tblPrEx>
        <w:tc>
          <w:tcPr>
            <w:tcW w:w="3685" w:type="dxa"/>
            <w:shd w:val="clear" w:color="auto" w:fill="auto"/>
          </w:tcPr>
          <w:p w14:paraId="5E077705" w14:textId="77777777" w:rsidR="00B008B3" w:rsidRPr="000A4823" w:rsidRDefault="00042223" w:rsidP="00B008B3">
            <w:pPr>
              <w:spacing w:before="40" w:after="120"/>
              <w:ind w:right="113"/>
            </w:pPr>
            <w:r w:rsidRPr="000A4823">
              <w:t>Remedy:</w:t>
            </w:r>
          </w:p>
        </w:tc>
        <w:tc>
          <w:tcPr>
            <w:tcW w:w="3685" w:type="dxa"/>
            <w:shd w:val="clear" w:color="auto" w:fill="auto"/>
          </w:tcPr>
          <w:p w14:paraId="5F6DD734" w14:textId="5C53D948" w:rsidR="00B008B3" w:rsidRPr="000A4823" w:rsidRDefault="00042223" w:rsidP="00B008B3">
            <w:pPr>
              <w:spacing w:before="40" w:after="120"/>
              <w:ind w:right="113"/>
            </w:pPr>
            <w:r w:rsidRPr="000A4823">
              <w:t xml:space="preserve">The State party is under an obligation to urgently reconsider the application for a visa for C.E. in a positive </w:t>
            </w:r>
            <w:r w:rsidR="0090579D">
              <w:t>spirit</w:t>
            </w:r>
            <w:r w:rsidRPr="000A4823">
              <w:t xml:space="preserve">, while ensuring that the best interests of the child are a primary consideration and that C.E.’s views are heard. </w:t>
            </w:r>
            <w:r w:rsidR="009D6294">
              <w:t>In</w:t>
            </w:r>
            <w:r w:rsidRPr="000A4823">
              <w:t xml:space="preserve"> considering the best interests of the child, the State party should take account</w:t>
            </w:r>
            <w:r w:rsidR="009D6294">
              <w:t xml:space="preserve"> of</w:t>
            </w:r>
            <w:r w:rsidRPr="000A4823">
              <w:t xml:space="preserve"> the family ties </w:t>
            </w:r>
            <w:r w:rsidR="009D6294">
              <w:t>that have been forged de facto</w:t>
            </w:r>
            <w:r w:rsidRPr="000A4823">
              <w:t xml:space="preserve"> between </w:t>
            </w:r>
            <w:r w:rsidR="009D6294">
              <w:t xml:space="preserve">C.E. and </w:t>
            </w:r>
            <w:r w:rsidRPr="000A4823">
              <w:t>the authors. The State party is also under an obligation to do everything necessary to prevent similar violations from occurring in the future.</w:t>
            </w:r>
          </w:p>
        </w:tc>
      </w:tr>
      <w:tr w:rsidR="00B008B3" w:rsidRPr="000A4823" w14:paraId="43EB1E8D" w14:textId="77777777" w:rsidTr="00B008B3">
        <w:tblPrEx>
          <w:tblBorders>
            <w:top w:val="none" w:sz="0" w:space="0" w:color="auto"/>
            <w:bottom w:val="none" w:sz="0" w:space="0" w:color="auto"/>
          </w:tblBorders>
        </w:tblPrEx>
        <w:tc>
          <w:tcPr>
            <w:tcW w:w="3685" w:type="dxa"/>
            <w:shd w:val="clear" w:color="auto" w:fill="auto"/>
          </w:tcPr>
          <w:p w14:paraId="6FC29D0F" w14:textId="77777777" w:rsidR="00B008B3" w:rsidRPr="000A4823" w:rsidRDefault="00042223" w:rsidP="00B008B3">
            <w:pPr>
              <w:spacing w:before="40" w:after="120"/>
              <w:ind w:right="113"/>
            </w:pPr>
            <w:r w:rsidRPr="000A4823">
              <w:t>State party’s response:</w:t>
            </w:r>
          </w:p>
        </w:tc>
        <w:tc>
          <w:tcPr>
            <w:tcW w:w="3685" w:type="dxa"/>
            <w:shd w:val="clear" w:color="auto" w:fill="auto"/>
          </w:tcPr>
          <w:p w14:paraId="181049C7" w14:textId="2DACB0FF" w:rsidR="00B008B3" w:rsidRPr="000A4823" w:rsidRDefault="00042223" w:rsidP="00BC03E5">
            <w:pPr>
              <w:pStyle w:val="SingleTxtG"/>
              <w:spacing w:before="240"/>
              <w:ind w:left="0" w:right="146"/>
            </w:pPr>
            <w:r w:rsidRPr="000A4823">
              <w:t xml:space="preserve">In its follow-up submission </w:t>
            </w:r>
            <w:r w:rsidR="009D78B9">
              <w:t>dated</w:t>
            </w:r>
            <w:r w:rsidRPr="000A4823">
              <w:t xml:space="preserve"> 8 April 2019, the State party </w:t>
            </w:r>
            <w:r w:rsidR="009D78B9">
              <w:t>notes</w:t>
            </w:r>
            <w:r w:rsidRPr="000A4823">
              <w:t xml:space="preserve"> that C.E.’s visa application was re</w:t>
            </w:r>
            <w:r w:rsidR="009D78B9">
              <w:t>-</w:t>
            </w:r>
            <w:r w:rsidRPr="000A4823">
              <w:t xml:space="preserve">examined and C.E. </w:t>
            </w:r>
            <w:r w:rsidR="009D78B9">
              <w:t>appeared before</w:t>
            </w:r>
            <w:r w:rsidRPr="000A4823">
              <w:t xml:space="preserve"> an oral hearing. In the context of that hearing, it was established that C.E. </w:t>
            </w:r>
            <w:r w:rsidR="009D78B9">
              <w:t>was</w:t>
            </w:r>
            <w:r w:rsidRPr="000A4823">
              <w:t xml:space="preserve"> well integrated in Morocco, both at school and in her family environment. A police investigation was also conducted at the authors’ residence in Belgium. </w:t>
            </w:r>
            <w:r w:rsidR="009D78B9">
              <w:t>According to t</w:t>
            </w:r>
            <w:r w:rsidRPr="000A4823">
              <w:t xml:space="preserve">he resulting report, dated 19 December 2018, the authors have a room in the community </w:t>
            </w:r>
            <w:r w:rsidR="009D78B9">
              <w:t>in which</w:t>
            </w:r>
            <w:r w:rsidRPr="000A4823">
              <w:t xml:space="preserve"> they live, and it was not possible to establish </w:t>
            </w:r>
            <w:r w:rsidR="00081CD9">
              <w:t>whether</w:t>
            </w:r>
            <w:r w:rsidRPr="000A4823">
              <w:t xml:space="preserve"> the family would have decent accommodation. Despite this, given the </w:t>
            </w:r>
            <w:r w:rsidR="00081CD9">
              <w:t xml:space="preserve">amount of </w:t>
            </w:r>
            <w:r w:rsidRPr="000A4823">
              <w:t xml:space="preserve">time </w:t>
            </w:r>
            <w:r w:rsidR="00081CD9">
              <w:t xml:space="preserve">that had </w:t>
            </w:r>
            <w:r w:rsidRPr="000A4823">
              <w:t xml:space="preserve">elapsed and the family life </w:t>
            </w:r>
            <w:r w:rsidR="00081CD9">
              <w:t xml:space="preserve">that had </w:t>
            </w:r>
            <w:r w:rsidRPr="000A4823">
              <w:t xml:space="preserve">developed </w:t>
            </w:r>
            <w:r w:rsidR="00081CD9">
              <w:t>over</w:t>
            </w:r>
            <w:r w:rsidRPr="000A4823">
              <w:t xml:space="preserve"> the years, a decision was adopted on 28 Februar</w:t>
            </w:r>
            <w:r w:rsidR="00081CD9">
              <w:t xml:space="preserve">y </w:t>
            </w:r>
            <w:r w:rsidRPr="000A4823">
              <w:t xml:space="preserve">2019 granting C.E. a </w:t>
            </w:r>
            <w:r w:rsidR="00081CD9">
              <w:t>six</w:t>
            </w:r>
            <w:r w:rsidRPr="000A4823">
              <w:t xml:space="preserve">-month temporary visa to enter Belgium. The extension of this visa </w:t>
            </w:r>
            <w:r w:rsidR="00081CD9">
              <w:t>is</w:t>
            </w:r>
            <w:r w:rsidRPr="000A4823">
              <w:t xml:space="preserve"> subject to </w:t>
            </w:r>
            <w:r w:rsidR="00081CD9">
              <w:t>satisfactory</w:t>
            </w:r>
            <w:r w:rsidRPr="000A4823">
              <w:t xml:space="preserve"> living conditions and schooling for C.E. in Belgium.</w:t>
            </w:r>
          </w:p>
        </w:tc>
      </w:tr>
      <w:tr w:rsidR="00B008B3" w:rsidRPr="000A4823" w14:paraId="4D400EFA" w14:textId="77777777" w:rsidTr="00B008B3">
        <w:tblPrEx>
          <w:tblBorders>
            <w:top w:val="none" w:sz="0" w:space="0" w:color="auto"/>
            <w:bottom w:val="none" w:sz="0" w:space="0" w:color="auto"/>
          </w:tblBorders>
        </w:tblPrEx>
        <w:tc>
          <w:tcPr>
            <w:tcW w:w="3685" w:type="dxa"/>
            <w:shd w:val="clear" w:color="auto" w:fill="auto"/>
          </w:tcPr>
          <w:p w14:paraId="2DFFD719" w14:textId="77777777" w:rsidR="00B008B3" w:rsidRPr="000A4823" w:rsidRDefault="00B008B3" w:rsidP="00B008B3">
            <w:pPr>
              <w:spacing w:before="40" w:after="120"/>
              <w:ind w:right="113"/>
            </w:pPr>
          </w:p>
        </w:tc>
        <w:tc>
          <w:tcPr>
            <w:tcW w:w="3685" w:type="dxa"/>
            <w:shd w:val="clear" w:color="auto" w:fill="auto"/>
          </w:tcPr>
          <w:p w14:paraId="4AEBA5AF" w14:textId="550F050C" w:rsidR="00B008B3" w:rsidRPr="000A4823" w:rsidRDefault="00042223" w:rsidP="006D2E1B">
            <w:pPr>
              <w:spacing w:before="40" w:after="120"/>
              <w:ind w:right="113"/>
              <w:jc w:val="both"/>
            </w:pPr>
            <w:r w:rsidRPr="000A4823">
              <w:t xml:space="preserve">With regard to general measures to prevent similar violations in the future, the State party </w:t>
            </w:r>
            <w:r w:rsidR="00081CD9">
              <w:t>notes</w:t>
            </w:r>
            <w:r w:rsidRPr="000A4823">
              <w:t xml:space="preserve"> the following:</w:t>
            </w:r>
          </w:p>
        </w:tc>
      </w:tr>
      <w:tr w:rsidR="00B008B3" w:rsidRPr="000A4823" w14:paraId="48464E43" w14:textId="77777777" w:rsidTr="00B008B3">
        <w:tblPrEx>
          <w:tblBorders>
            <w:top w:val="none" w:sz="0" w:space="0" w:color="auto"/>
            <w:bottom w:val="none" w:sz="0" w:space="0" w:color="auto"/>
          </w:tblBorders>
        </w:tblPrEx>
        <w:tc>
          <w:tcPr>
            <w:tcW w:w="3685" w:type="dxa"/>
            <w:shd w:val="clear" w:color="auto" w:fill="auto"/>
          </w:tcPr>
          <w:p w14:paraId="2D8B75F2" w14:textId="77777777" w:rsidR="00B008B3" w:rsidRPr="000A4823" w:rsidRDefault="00B008B3" w:rsidP="00B008B3">
            <w:pPr>
              <w:spacing w:before="40" w:after="120"/>
              <w:ind w:right="113"/>
            </w:pPr>
          </w:p>
        </w:tc>
        <w:tc>
          <w:tcPr>
            <w:tcW w:w="3685" w:type="dxa"/>
            <w:shd w:val="clear" w:color="auto" w:fill="auto"/>
          </w:tcPr>
          <w:p w14:paraId="5A3898AF" w14:textId="35C339FF" w:rsidR="00B008B3" w:rsidRPr="000A4823" w:rsidRDefault="009D78B9" w:rsidP="006D2E1B">
            <w:pPr>
              <w:spacing w:before="40" w:after="120"/>
              <w:ind w:right="113"/>
              <w:jc w:val="both"/>
            </w:pPr>
            <w:r>
              <w:t>(a</w:t>
            </w:r>
            <w:r w:rsidR="00042223" w:rsidRPr="000A4823">
              <w:t>)</w:t>
            </w:r>
            <w:r w:rsidR="00042223" w:rsidRPr="000A4823">
              <w:tab/>
              <w:t>Visa requests for children taken</w:t>
            </w:r>
            <w:r w:rsidR="00081CD9">
              <w:t xml:space="preserve"> in</w:t>
            </w:r>
            <w:r w:rsidR="00042223" w:rsidRPr="000A4823">
              <w:t xml:space="preserve"> under </w:t>
            </w:r>
            <w:r w:rsidR="00042223" w:rsidRPr="00405DA5">
              <w:rPr>
                <w:i/>
                <w:iCs/>
              </w:rPr>
              <w:t>kafalah</w:t>
            </w:r>
            <w:r w:rsidR="00042223" w:rsidRPr="000A4823">
              <w:t xml:space="preserve"> will be examined expeditiously;</w:t>
            </w:r>
          </w:p>
        </w:tc>
      </w:tr>
      <w:tr w:rsidR="00B008B3" w:rsidRPr="000A4823" w14:paraId="48296C60" w14:textId="77777777" w:rsidTr="00B008B3">
        <w:tblPrEx>
          <w:tblBorders>
            <w:top w:val="none" w:sz="0" w:space="0" w:color="auto"/>
            <w:bottom w:val="none" w:sz="0" w:space="0" w:color="auto"/>
          </w:tblBorders>
        </w:tblPrEx>
        <w:tc>
          <w:tcPr>
            <w:tcW w:w="3685" w:type="dxa"/>
            <w:shd w:val="clear" w:color="auto" w:fill="auto"/>
          </w:tcPr>
          <w:p w14:paraId="4C352E44" w14:textId="77777777" w:rsidR="00B008B3" w:rsidRPr="000A4823" w:rsidRDefault="00B008B3" w:rsidP="00B008B3">
            <w:pPr>
              <w:spacing w:before="40" w:after="120"/>
              <w:ind w:right="113"/>
            </w:pPr>
          </w:p>
        </w:tc>
        <w:tc>
          <w:tcPr>
            <w:tcW w:w="3685" w:type="dxa"/>
            <w:shd w:val="clear" w:color="auto" w:fill="auto"/>
          </w:tcPr>
          <w:p w14:paraId="2F3CBCF2" w14:textId="3829C931" w:rsidR="00B008B3" w:rsidRPr="000A4823" w:rsidRDefault="009D78B9" w:rsidP="006D2E1B">
            <w:pPr>
              <w:spacing w:before="40" w:after="120"/>
              <w:ind w:right="113"/>
              <w:jc w:val="both"/>
            </w:pPr>
            <w:r>
              <w:t>(b</w:t>
            </w:r>
            <w:r w:rsidR="00042223" w:rsidRPr="000A4823">
              <w:t>)</w:t>
            </w:r>
            <w:r w:rsidR="00042223" w:rsidRPr="000A4823">
              <w:tab/>
            </w:r>
            <w:r w:rsidR="000A7C5B">
              <w:rPr>
                <w:i/>
                <w:iCs/>
              </w:rPr>
              <w:t>K</w:t>
            </w:r>
            <w:r w:rsidR="00042223" w:rsidRPr="00405DA5">
              <w:rPr>
                <w:i/>
                <w:iCs/>
              </w:rPr>
              <w:t>afalah</w:t>
            </w:r>
            <w:r w:rsidR="00081CD9">
              <w:t xml:space="preserve"> arrangement</w:t>
            </w:r>
            <w:r w:rsidR="000A7C5B">
              <w:t>s</w:t>
            </w:r>
            <w:r w:rsidR="00042223" w:rsidRPr="000A4823">
              <w:t xml:space="preserve"> will be </w:t>
            </w:r>
            <w:r w:rsidR="00081CD9">
              <w:t>assessed</w:t>
            </w:r>
            <w:r w:rsidR="00042223" w:rsidRPr="000A4823">
              <w:t xml:space="preserve"> in light of the conditions established in the Hague Convention on</w:t>
            </w:r>
            <w:r w:rsidR="00081CD9">
              <w:t xml:space="preserve"> Jurisdiction, Applicable Law, Recognition, Enforcement and Cooperation in Respect of</w:t>
            </w:r>
            <w:r w:rsidR="00042223" w:rsidRPr="000A4823">
              <w:t xml:space="preserve"> Parental </w:t>
            </w:r>
            <w:r w:rsidR="00042223" w:rsidRPr="000A4823">
              <w:lastRenderedPageBreak/>
              <w:t xml:space="preserve">Responsibility and </w:t>
            </w:r>
            <w:r w:rsidR="00081CD9">
              <w:t xml:space="preserve">Measures for </w:t>
            </w:r>
            <w:r w:rsidR="00042223" w:rsidRPr="000A4823">
              <w:t>the Protection of Children;</w:t>
            </w:r>
          </w:p>
        </w:tc>
      </w:tr>
      <w:tr w:rsidR="00B008B3" w:rsidRPr="000A4823" w14:paraId="431D0B77" w14:textId="77777777" w:rsidTr="00042223">
        <w:tblPrEx>
          <w:tblBorders>
            <w:top w:val="none" w:sz="0" w:space="0" w:color="auto"/>
            <w:bottom w:val="none" w:sz="0" w:space="0" w:color="auto"/>
          </w:tblBorders>
        </w:tblPrEx>
        <w:tc>
          <w:tcPr>
            <w:tcW w:w="3685" w:type="dxa"/>
            <w:shd w:val="clear" w:color="auto" w:fill="auto"/>
          </w:tcPr>
          <w:p w14:paraId="782F7E41" w14:textId="77777777" w:rsidR="00B008B3" w:rsidRPr="000A4823" w:rsidRDefault="00B008B3" w:rsidP="00B008B3">
            <w:pPr>
              <w:spacing w:before="40" w:after="120"/>
              <w:ind w:right="113"/>
            </w:pPr>
          </w:p>
        </w:tc>
        <w:tc>
          <w:tcPr>
            <w:tcW w:w="3685" w:type="dxa"/>
            <w:shd w:val="clear" w:color="auto" w:fill="auto"/>
          </w:tcPr>
          <w:p w14:paraId="510B8C95" w14:textId="0A487C0B" w:rsidR="00B008B3" w:rsidRPr="000A4823" w:rsidRDefault="009D78B9" w:rsidP="006D2E1B">
            <w:pPr>
              <w:spacing w:before="40" w:after="120"/>
              <w:ind w:right="113"/>
              <w:jc w:val="both"/>
            </w:pPr>
            <w:r>
              <w:t>(c</w:t>
            </w:r>
            <w:r w:rsidR="00042223" w:rsidRPr="000A4823">
              <w:t>)</w:t>
            </w:r>
            <w:r w:rsidR="00042223" w:rsidRPr="000A4823">
              <w:tab/>
              <w:t xml:space="preserve">Careful attention will be paid to living conditions in Belgium and the </w:t>
            </w:r>
            <w:r w:rsidR="00C6379B">
              <w:t xml:space="preserve">child’s </w:t>
            </w:r>
            <w:r w:rsidR="00042223" w:rsidRPr="000A4823">
              <w:t>situation in his</w:t>
            </w:r>
            <w:r w:rsidR="000A7C5B">
              <w:t xml:space="preserve"> or </w:t>
            </w:r>
            <w:r w:rsidR="00042223" w:rsidRPr="000A4823">
              <w:t>her country of origin, taking into account the best interests of the child;</w:t>
            </w:r>
          </w:p>
        </w:tc>
      </w:tr>
      <w:tr w:rsidR="00042223" w:rsidRPr="000A4823" w14:paraId="6EE6717F" w14:textId="77777777" w:rsidTr="00042223">
        <w:tblPrEx>
          <w:tblBorders>
            <w:top w:val="none" w:sz="0" w:space="0" w:color="auto"/>
            <w:bottom w:val="none" w:sz="0" w:space="0" w:color="auto"/>
          </w:tblBorders>
        </w:tblPrEx>
        <w:tc>
          <w:tcPr>
            <w:tcW w:w="3685" w:type="dxa"/>
            <w:shd w:val="clear" w:color="auto" w:fill="auto"/>
          </w:tcPr>
          <w:p w14:paraId="4C4DBE2E" w14:textId="77777777" w:rsidR="00042223" w:rsidRPr="000A4823" w:rsidRDefault="00042223" w:rsidP="00B008B3">
            <w:pPr>
              <w:spacing w:before="40" w:after="120"/>
              <w:ind w:right="113"/>
            </w:pPr>
          </w:p>
        </w:tc>
        <w:tc>
          <w:tcPr>
            <w:tcW w:w="3685" w:type="dxa"/>
            <w:shd w:val="clear" w:color="auto" w:fill="auto"/>
          </w:tcPr>
          <w:p w14:paraId="5D85BE68" w14:textId="2C56B53E" w:rsidR="00042223" w:rsidRPr="000A4823" w:rsidRDefault="009D78B9" w:rsidP="006D2E1B">
            <w:pPr>
              <w:spacing w:before="40" w:after="120"/>
              <w:ind w:right="113"/>
              <w:jc w:val="both"/>
            </w:pPr>
            <w:r>
              <w:t>(d</w:t>
            </w:r>
            <w:r w:rsidR="00042223" w:rsidRPr="000A4823">
              <w:t>)</w:t>
            </w:r>
            <w:r w:rsidR="00042223" w:rsidRPr="000A4823">
              <w:tab/>
              <w:t>The child will be heard taking into account his</w:t>
            </w:r>
            <w:r w:rsidR="000A7C5B">
              <w:t xml:space="preserve"> or her</w:t>
            </w:r>
            <w:r w:rsidR="00042223" w:rsidRPr="000A4823">
              <w:t xml:space="preserve"> discernment capacity;</w:t>
            </w:r>
          </w:p>
        </w:tc>
      </w:tr>
      <w:tr w:rsidR="00042223" w:rsidRPr="000A4823" w14:paraId="3D3C646D" w14:textId="77777777" w:rsidTr="00042223">
        <w:tblPrEx>
          <w:tblBorders>
            <w:top w:val="none" w:sz="0" w:space="0" w:color="auto"/>
            <w:bottom w:val="none" w:sz="0" w:space="0" w:color="auto"/>
          </w:tblBorders>
        </w:tblPrEx>
        <w:tc>
          <w:tcPr>
            <w:tcW w:w="3685" w:type="dxa"/>
            <w:shd w:val="clear" w:color="auto" w:fill="auto"/>
          </w:tcPr>
          <w:p w14:paraId="199D0D8D" w14:textId="77777777" w:rsidR="00042223" w:rsidRPr="000A4823" w:rsidRDefault="00042223" w:rsidP="00B008B3">
            <w:pPr>
              <w:spacing w:before="40" w:after="120"/>
              <w:ind w:right="113"/>
            </w:pPr>
          </w:p>
        </w:tc>
        <w:tc>
          <w:tcPr>
            <w:tcW w:w="3685" w:type="dxa"/>
            <w:shd w:val="clear" w:color="auto" w:fill="auto"/>
          </w:tcPr>
          <w:p w14:paraId="391D89CE" w14:textId="5D99F264" w:rsidR="00042223" w:rsidRPr="000A4823" w:rsidRDefault="009D78B9" w:rsidP="006D2E1B">
            <w:pPr>
              <w:spacing w:before="40" w:after="120"/>
              <w:ind w:right="113"/>
              <w:jc w:val="both"/>
            </w:pPr>
            <w:r>
              <w:t>(e</w:t>
            </w:r>
            <w:r w:rsidR="00042223" w:rsidRPr="000A4823">
              <w:t>)</w:t>
            </w:r>
            <w:r w:rsidR="00042223" w:rsidRPr="000A4823">
              <w:tab/>
              <w:t xml:space="preserve">Due weight will be given to the family life </w:t>
            </w:r>
            <w:r w:rsidR="000A7C5B">
              <w:t xml:space="preserve">that has </w:t>
            </w:r>
            <w:r w:rsidR="00042223" w:rsidRPr="000A4823">
              <w:t>developed between the child and his</w:t>
            </w:r>
            <w:r w:rsidR="000A7C5B">
              <w:t xml:space="preserve"> or </w:t>
            </w:r>
            <w:r w:rsidR="00042223" w:rsidRPr="000A4823">
              <w:t xml:space="preserve">her </w:t>
            </w:r>
            <w:r w:rsidR="000A7C5B">
              <w:t>guardians</w:t>
            </w:r>
            <w:r w:rsidR="00042223" w:rsidRPr="000A4823">
              <w:t>;</w:t>
            </w:r>
          </w:p>
        </w:tc>
      </w:tr>
      <w:tr w:rsidR="00042223" w:rsidRPr="000A4823" w14:paraId="24AC43A6" w14:textId="77777777" w:rsidTr="00042223">
        <w:tblPrEx>
          <w:tblBorders>
            <w:top w:val="none" w:sz="0" w:space="0" w:color="auto"/>
            <w:bottom w:val="none" w:sz="0" w:space="0" w:color="auto"/>
          </w:tblBorders>
        </w:tblPrEx>
        <w:tc>
          <w:tcPr>
            <w:tcW w:w="3685" w:type="dxa"/>
            <w:shd w:val="clear" w:color="auto" w:fill="auto"/>
          </w:tcPr>
          <w:p w14:paraId="50E5731A" w14:textId="77777777" w:rsidR="00042223" w:rsidRPr="000A4823" w:rsidRDefault="00042223" w:rsidP="00B008B3">
            <w:pPr>
              <w:spacing w:before="40" w:after="120"/>
              <w:ind w:right="113"/>
            </w:pPr>
          </w:p>
        </w:tc>
        <w:tc>
          <w:tcPr>
            <w:tcW w:w="3685" w:type="dxa"/>
            <w:shd w:val="clear" w:color="auto" w:fill="auto"/>
          </w:tcPr>
          <w:p w14:paraId="0D7D8D8E" w14:textId="4DA49371" w:rsidR="00042223" w:rsidRPr="000A4823" w:rsidRDefault="009D78B9" w:rsidP="006D2E1B">
            <w:pPr>
              <w:spacing w:before="40" w:after="120"/>
              <w:ind w:right="113"/>
              <w:jc w:val="both"/>
            </w:pPr>
            <w:r>
              <w:t>(f</w:t>
            </w:r>
            <w:r w:rsidR="00042223" w:rsidRPr="000A4823">
              <w:t>)</w:t>
            </w:r>
            <w:r w:rsidR="00042223" w:rsidRPr="000A4823">
              <w:tab/>
              <w:t xml:space="preserve">A follow-up </w:t>
            </w:r>
            <w:r w:rsidR="000A7C5B">
              <w:t>assessment of</w:t>
            </w:r>
            <w:r w:rsidR="00042223" w:rsidRPr="000A4823">
              <w:t xml:space="preserve"> the child’s living conditions will be required, if relevant.</w:t>
            </w:r>
          </w:p>
        </w:tc>
      </w:tr>
      <w:tr w:rsidR="00042223" w:rsidRPr="000A4823" w14:paraId="6D67EA29" w14:textId="77777777" w:rsidTr="00042223">
        <w:tblPrEx>
          <w:tblBorders>
            <w:top w:val="none" w:sz="0" w:space="0" w:color="auto"/>
            <w:bottom w:val="none" w:sz="0" w:space="0" w:color="auto"/>
          </w:tblBorders>
        </w:tblPrEx>
        <w:tc>
          <w:tcPr>
            <w:tcW w:w="3685" w:type="dxa"/>
            <w:shd w:val="clear" w:color="auto" w:fill="auto"/>
          </w:tcPr>
          <w:p w14:paraId="7FAC0095" w14:textId="77777777" w:rsidR="00042223" w:rsidRPr="000A4823" w:rsidRDefault="00042223" w:rsidP="00B008B3">
            <w:pPr>
              <w:spacing w:before="40" w:after="120"/>
              <w:ind w:right="113"/>
            </w:pPr>
          </w:p>
        </w:tc>
        <w:tc>
          <w:tcPr>
            <w:tcW w:w="3685" w:type="dxa"/>
            <w:shd w:val="clear" w:color="auto" w:fill="auto"/>
          </w:tcPr>
          <w:p w14:paraId="049F46B3" w14:textId="05D37F78" w:rsidR="00042223" w:rsidRPr="000A4823" w:rsidRDefault="00042223" w:rsidP="006D2E1B">
            <w:pPr>
              <w:spacing w:before="40" w:after="120"/>
              <w:ind w:right="113"/>
              <w:jc w:val="both"/>
            </w:pPr>
            <w:r w:rsidRPr="000A4823">
              <w:t xml:space="preserve">The State party adds that the Views have been widely published on the website of the </w:t>
            </w:r>
            <w:r w:rsidR="000A7C5B">
              <w:t>Immigration</w:t>
            </w:r>
            <w:r w:rsidRPr="000A4823">
              <w:t xml:space="preserve"> Office, including a summary in French and Dutch.</w:t>
            </w:r>
          </w:p>
        </w:tc>
      </w:tr>
      <w:tr w:rsidR="00042223" w:rsidRPr="000A4823" w14:paraId="7B698E22" w14:textId="77777777" w:rsidTr="00BC03E5">
        <w:tblPrEx>
          <w:tblBorders>
            <w:top w:val="none" w:sz="0" w:space="0" w:color="auto"/>
            <w:bottom w:val="none" w:sz="0" w:space="0" w:color="auto"/>
          </w:tblBorders>
        </w:tblPrEx>
        <w:tc>
          <w:tcPr>
            <w:tcW w:w="3685" w:type="dxa"/>
            <w:shd w:val="clear" w:color="auto" w:fill="auto"/>
          </w:tcPr>
          <w:p w14:paraId="468F1C62" w14:textId="77777777" w:rsidR="00042223" w:rsidRPr="000A4823" w:rsidRDefault="00860010" w:rsidP="00B008B3">
            <w:pPr>
              <w:spacing w:before="40" w:after="120"/>
              <w:ind w:right="113"/>
            </w:pPr>
            <w:r w:rsidRPr="000A4823">
              <w:t>Authors’ comments:</w:t>
            </w:r>
          </w:p>
        </w:tc>
        <w:tc>
          <w:tcPr>
            <w:tcW w:w="3685" w:type="dxa"/>
            <w:shd w:val="clear" w:color="auto" w:fill="auto"/>
          </w:tcPr>
          <w:p w14:paraId="7B40AE3F" w14:textId="7A182431" w:rsidR="00042223" w:rsidRPr="000A4823" w:rsidRDefault="00860010" w:rsidP="006D2E1B">
            <w:pPr>
              <w:spacing w:before="40" w:after="120"/>
              <w:ind w:right="113"/>
              <w:jc w:val="both"/>
            </w:pPr>
            <w:r w:rsidRPr="000A4823">
              <w:t xml:space="preserve">On 6 May 2019, the authors </w:t>
            </w:r>
            <w:r w:rsidR="00C6379B">
              <w:t>stated</w:t>
            </w:r>
            <w:r w:rsidRPr="000A4823">
              <w:t xml:space="preserve"> that they had no further comments on the follow-up to the Committee’s Views.</w:t>
            </w:r>
          </w:p>
        </w:tc>
      </w:tr>
      <w:tr w:rsidR="00860010" w:rsidRPr="000A4823" w14:paraId="2807D72F" w14:textId="77777777" w:rsidTr="00BC03E5">
        <w:tblPrEx>
          <w:tblBorders>
            <w:top w:val="none" w:sz="0" w:space="0" w:color="auto"/>
            <w:bottom w:val="none" w:sz="0" w:space="0" w:color="auto"/>
          </w:tblBorders>
        </w:tblPrEx>
        <w:tc>
          <w:tcPr>
            <w:tcW w:w="3685" w:type="dxa"/>
            <w:tcBorders>
              <w:bottom w:val="single" w:sz="12" w:space="0" w:color="auto"/>
            </w:tcBorders>
            <w:shd w:val="clear" w:color="auto" w:fill="auto"/>
          </w:tcPr>
          <w:p w14:paraId="1B7EBA3F" w14:textId="77777777" w:rsidR="00860010" w:rsidRPr="000A4823" w:rsidRDefault="00014893" w:rsidP="00B008B3">
            <w:pPr>
              <w:spacing w:before="40" w:after="120"/>
              <w:ind w:right="113"/>
            </w:pPr>
            <w:r w:rsidRPr="000A4823">
              <w:t>Decision by the Committee:</w:t>
            </w:r>
          </w:p>
        </w:tc>
        <w:tc>
          <w:tcPr>
            <w:tcW w:w="3685" w:type="dxa"/>
            <w:tcBorders>
              <w:bottom w:val="single" w:sz="12" w:space="0" w:color="auto"/>
            </w:tcBorders>
            <w:shd w:val="clear" w:color="auto" w:fill="auto"/>
          </w:tcPr>
          <w:p w14:paraId="67BBBB28" w14:textId="4FC6A377" w:rsidR="00860010" w:rsidRPr="000A4823" w:rsidRDefault="00014893" w:rsidP="006D2E1B">
            <w:pPr>
              <w:spacing w:before="40" w:after="120"/>
              <w:ind w:right="113"/>
              <w:jc w:val="both"/>
            </w:pPr>
            <w:r w:rsidRPr="000A4823">
              <w:t xml:space="preserve">The measures taken by the State party, both </w:t>
            </w:r>
            <w:r w:rsidR="000A7C5B">
              <w:t>specific</w:t>
            </w:r>
            <w:r w:rsidRPr="000A4823">
              <w:t xml:space="preserve"> and general, are deemed</w:t>
            </w:r>
            <w:r w:rsidR="000A7C5B">
              <w:t xml:space="preserve"> to be</w:t>
            </w:r>
            <w:r w:rsidRPr="000A4823">
              <w:t xml:space="preserve"> satisfactory.</w:t>
            </w:r>
            <w:r w:rsidR="000A7C5B">
              <w:t xml:space="preserve"> The Committee decides to close</w:t>
            </w:r>
            <w:r w:rsidRPr="000A4823">
              <w:t xml:space="preserve"> </w:t>
            </w:r>
            <w:r w:rsidR="000A7C5B">
              <w:t>t</w:t>
            </w:r>
            <w:r w:rsidRPr="000A4823">
              <w:t xml:space="preserve">he follow-up procedure with an </w:t>
            </w:r>
            <w:r w:rsidR="009D78B9">
              <w:t>“</w:t>
            </w:r>
            <w:r w:rsidRPr="000A4823">
              <w:t>A</w:t>
            </w:r>
            <w:r w:rsidR="009D78B9">
              <w:t>”</w:t>
            </w:r>
            <w:r w:rsidRPr="000A4823">
              <w:t xml:space="preserve"> assessment.</w:t>
            </w:r>
          </w:p>
        </w:tc>
      </w:tr>
    </w:tbl>
    <w:p w14:paraId="4FD6DDE5" w14:textId="77777777" w:rsidR="00B8053E" w:rsidRPr="000A4823" w:rsidRDefault="00375DF6" w:rsidP="00375DF6">
      <w:pPr>
        <w:pStyle w:val="SingleTxtG"/>
        <w:spacing w:before="240" w:after="0"/>
        <w:jc w:val="center"/>
        <w:rPr>
          <w:u w:val="single"/>
        </w:rPr>
      </w:pPr>
      <w:r w:rsidRPr="000A4823">
        <w:rPr>
          <w:u w:val="single"/>
        </w:rPr>
        <w:tab/>
      </w:r>
      <w:r w:rsidRPr="000A4823">
        <w:rPr>
          <w:u w:val="single"/>
        </w:rPr>
        <w:tab/>
      </w:r>
      <w:r w:rsidRPr="000A4823">
        <w:rPr>
          <w:u w:val="single"/>
        </w:rPr>
        <w:tab/>
      </w:r>
      <w:r w:rsidR="00AB3237" w:rsidRPr="000A4823">
        <w:rPr>
          <w:u w:val="single"/>
        </w:rPr>
        <w:tab/>
      </w:r>
    </w:p>
    <w:sectPr w:rsidR="00B8053E" w:rsidRPr="000A4823" w:rsidSect="00734D8C">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6C33E" w16cid:durableId="20E56946"/>
  <w16cid:commentId w16cid:paraId="2D8AF6FA" w16cid:durableId="20EC59FB"/>
  <w16cid:commentId w16cid:paraId="5054C81B" w16cid:durableId="20E56D4D"/>
  <w16cid:commentId w16cid:paraId="6A6062FF" w16cid:durableId="20EC5A0F"/>
  <w16cid:commentId w16cid:paraId="26E7D5B3" w16cid:durableId="20E9977F"/>
  <w16cid:commentId w16cid:paraId="308621A5" w16cid:durableId="20E991A8"/>
  <w16cid:commentId w16cid:paraId="359A5541" w16cid:durableId="20EC5A92"/>
  <w16cid:commentId w16cid:paraId="759BA126" w16cid:durableId="20E5988F"/>
  <w16cid:commentId w16cid:paraId="1EACD625" w16cid:durableId="20EC5AF3"/>
  <w16cid:commentId w16cid:paraId="55029571" w16cid:durableId="20E5A887"/>
  <w16cid:commentId w16cid:paraId="61740FC8" w16cid:durableId="20EC5B3A"/>
  <w16cid:commentId w16cid:paraId="64238598" w16cid:durableId="20E5B027"/>
  <w16cid:commentId w16cid:paraId="1E78EE4A" w16cid:durableId="20EC5B73"/>
  <w16cid:commentId w16cid:paraId="224446B8" w16cid:durableId="20E980A4"/>
  <w16cid:commentId w16cid:paraId="649026AA" w16cid:durableId="20EC5B87"/>
  <w16cid:commentId w16cid:paraId="0C06E04D" w16cid:durableId="20E981EC"/>
  <w16cid:commentId w16cid:paraId="4C06F266" w16cid:durableId="20E990BE"/>
  <w16cid:commentId w16cid:paraId="104BEE9D" w16cid:durableId="20EC5B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655A" w14:textId="77777777" w:rsidR="00E226F7" w:rsidRDefault="00E226F7"/>
  </w:endnote>
  <w:endnote w:type="continuationSeparator" w:id="0">
    <w:p w14:paraId="15970061" w14:textId="77777777" w:rsidR="00E226F7" w:rsidRDefault="00E226F7"/>
  </w:endnote>
  <w:endnote w:type="continuationNotice" w:id="1">
    <w:p w14:paraId="6E9DBD7A" w14:textId="77777777" w:rsidR="00E226F7" w:rsidRDefault="00E22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97B9" w14:textId="2ED90AFC" w:rsidR="005B3AB1" w:rsidRPr="00734D8C" w:rsidRDefault="005B3AB1" w:rsidP="00734D8C">
    <w:pPr>
      <w:pStyle w:val="Footer"/>
      <w:tabs>
        <w:tab w:val="right" w:pos="9638"/>
      </w:tabs>
      <w:rPr>
        <w:sz w:val="18"/>
      </w:rPr>
    </w:pPr>
    <w:r w:rsidRPr="00734D8C">
      <w:rPr>
        <w:b/>
        <w:sz w:val="18"/>
      </w:rPr>
      <w:fldChar w:fldCharType="begin"/>
    </w:r>
    <w:r w:rsidRPr="00734D8C">
      <w:rPr>
        <w:b/>
        <w:sz w:val="18"/>
      </w:rPr>
      <w:instrText xml:space="preserve"> PAGE  \* MERGEFORMAT </w:instrText>
    </w:r>
    <w:r w:rsidRPr="00734D8C">
      <w:rPr>
        <w:b/>
        <w:sz w:val="18"/>
      </w:rPr>
      <w:fldChar w:fldCharType="separate"/>
    </w:r>
    <w:r w:rsidR="00D05C85">
      <w:rPr>
        <w:b/>
        <w:noProof/>
        <w:sz w:val="18"/>
      </w:rPr>
      <w:t>6</w:t>
    </w:r>
    <w:r w:rsidRPr="00734D8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E2C6" w14:textId="19FBB0EC" w:rsidR="005B3AB1" w:rsidRPr="00734D8C" w:rsidRDefault="005B3AB1" w:rsidP="00734D8C">
    <w:pPr>
      <w:pStyle w:val="Footer"/>
      <w:tabs>
        <w:tab w:val="right" w:pos="9638"/>
      </w:tabs>
      <w:rPr>
        <w:b/>
        <w:sz w:val="18"/>
      </w:rPr>
    </w:pPr>
    <w:r>
      <w:tab/>
    </w:r>
    <w:r w:rsidRPr="00734D8C">
      <w:rPr>
        <w:b/>
        <w:sz w:val="18"/>
      </w:rPr>
      <w:fldChar w:fldCharType="begin"/>
    </w:r>
    <w:r w:rsidRPr="00734D8C">
      <w:rPr>
        <w:b/>
        <w:sz w:val="18"/>
      </w:rPr>
      <w:instrText xml:space="preserve"> PAGE  \* MERGEFORMAT </w:instrText>
    </w:r>
    <w:r w:rsidRPr="00734D8C">
      <w:rPr>
        <w:b/>
        <w:sz w:val="18"/>
      </w:rPr>
      <w:fldChar w:fldCharType="separate"/>
    </w:r>
    <w:r w:rsidR="00D05C85">
      <w:rPr>
        <w:b/>
        <w:noProof/>
        <w:sz w:val="18"/>
      </w:rPr>
      <w:t>5</w:t>
    </w:r>
    <w:r w:rsidRPr="00734D8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0262C" w14:textId="77777777" w:rsidR="00E226F7" w:rsidRPr="000B175B" w:rsidRDefault="00E226F7" w:rsidP="000B175B">
      <w:pPr>
        <w:tabs>
          <w:tab w:val="right" w:pos="2155"/>
        </w:tabs>
        <w:spacing w:after="80"/>
        <w:ind w:left="680"/>
        <w:rPr>
          <w:u w:val="single"/>
        </w:rPr>
      </w:pPr>
      <w:r>
        <w:rPr>
          <w:u w:val="single"/>
        </w:rPr>
        <w:tab/>
      </w:r>
    </w:p>
  </w:footnote>
  <w:footnote w:type="continuationSeparator" w:id="0">
    <w:p w14:paraId="1F35798D" w14:textId="77777777" w:rsidR="00E226F7" w:rsidRPr="00FC68B7" w:rsidRDefault="00E226F7" w:rsidP="00FC68B7">
      <w:pPr>
        <w:tabs>
          <w:tab w:val="left" w:pos="2155"/>
        </w:tabs>
        <w:spacing w:after="80"/>
        <w:ind w:left="680"/>
        <w:rPr>
          <w:u w:val="single"/>
        </w:rPr>
      </w:pPr>
      <w:r>
        <w:rPr>
          <w:u w:val="single"/>
        </w:rPr>
        <w:tab/>
      </w:r>
    </w:p>
  </w:footnote>
  <w:footnote w:type="continuationNotice" w:id="1">
    <w:p w14:paraId="4012147D" w14:textId="77777777" w:rsidR="00E226F7" w:rsidRDefault="00E226F7"/>
  </w:footnote>
  <w:footnote w:id="2">
    <w:p w14:paraId="59551294" w14:textId="77777777" w:rsidR="005B3AB1" w:rsidRPr="00901205" w:rsidRDefault="005B3AB1" w:rsidP="004E2485">
      <w:pPr>
        <w:pStyle w:val="FootnoteText"/>
      </w:pPr>
      <w:r>
        <w:rPr>
          <w:rStyle w:val="FootnoteReference"/>
        </w:rPr>
        <w:tab/>
      </w:r>
      <w:r w:rsidRPr="00901205">
        <w:rPr>
          <w:rStyle w:val="FootnoteReference"/>
          <w:sz w:val="20"/>
          <w:vertAlign w:val="baseline"/>
        </w:rPr>
        <w:t>*</w:t>
      </w:r>
      <w:r>
        <w:rPr>
          <w:rStyle w:val="FootnoteReference"/>
          <w:sz w:val="20"/>
          <w:vertAlign w:val="baseline"/>
        </w:rPr>
        <w:tab/>
      </w:r>
      <w:r w:rsidRPr="00901205">
        <w:t>All persons handling this document are requested to respect and observe its confidential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7261" w14:textId="0E40136E" w:rsidR="005B3AB1" w:rsidRPr="00734D8C" w:rsidRDefault="00E226F7">
    <w:pPr>
      <w:pStyle w:val="Header"/>
    </w:pPr>
    <w:fldSimple w:instr=" TITLE  \* MERGEFORMAT ">
      <w:r w:rsidR="00BA3373">
        <w:t>CRC/C/82/R.1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470A" w14:textId="76B6C4F5" w:rsidR="005B3AB1" w:rsidRPr="00734D8C" w:rsidRDefault="00E226F7" w:rsidP="00734D8C">
    <w:pPr>
      <w:pStyle w:val="Header"/>
      <w:jc w:val="right"/>
    </w:pPr>
    <w:fldSimple w:instr=" TITLE  \* MERGEFORMAT ">
      <w:r w:rsidR="00BA3373">
        <w:t>CRC/C/82/R.1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8C"/>
    <w:rsid w:val="00010840"/>
    <w:rsid w:val="00014893"/>
    <w:rsid w:val="00015E9C"/>
    <w:rsid w:val="00042223"/>
    <w:rsid w:val="000441DC"/>
    <w:rsid w:val="00050F6B"/>
    <w:rsid w:val="00072C8C"/>
    <w:rsid w:val="00081CD9"/>
    <w:rsid w:val="00091419"/>
    <w:rsid w:val="000931C0"/>
    <w:rsid w:val="000A4823"/>
    <w:rsid w:val="000A67C1"/>
    <w:rsid w:val="000A7C5B"/>
    <w:rsid w:val="000B175B"/>
    <w:rsid w:val="000B3A0F"/>
    <w:rsid w:val="000B45CA"/>
    <w:rsid w:val="000C11CF"/>
    <w:rsid w:val="000C6BC9"/>
    <w:rsid w:val="000E0415"/>
    <w:rsid w:val="001102D6"/>
    <w:rsid w:val="00113F48"/>
    <w:rsid w:val="001218F3"/>
    <w:rsid w:val="00172EF0"/>
    <w:rsid w:val="00197DDD"/>
    <w:rsid w:val="001B4B04"/>
    <w:rsid w:val="001C6663"/>
    <w:rsid w:val="001C7895"/>
    <w:rsid w:val="001D26DF"/>
    <w:rsid w:val="001D2FDC"/>
    <w:rsid w:val="001E3807"/>
    <w:rsid w:val="0020159E"/>
    <w:rsid w:val="00211E0B"/>
    <w:rsid w:val="00237785"/>
    <w:rsid w:val="00241466"/>
    <w:rsid w:val="00244E93"/>
    <w:rsid w:val="00256405"/>
    <w:rsid w:val="0026429E"/>
    <w:rsid w:val="00285844"/>
    <w:rsid w:val="00292E69"/>
    <w:rsid w:val="002C0BDD"/>
    <w:rsid w:val="002F1AED"/>
    <w:rsid w:val="00301FC2"/>
    <w:rsid w:val="00306BCA"/>
    <w:rsid w:val="003107FA"/>
    <w:rsid w:val="00317DE2"/>
    <w:rsid w:val="003229D8"/>
    <w:rsid w:val="00334678"/>
    <w:rsid w:val="00336125"/>
    <w:rsid w:val="003407DC"/>
    <w:rsid w:val="00344831"/>
    <w:rsid w:val="00346C62"/>
    <w:rsid w:val="00355C90"/>
    <w:rsid w:val="00370553"/>
    <w:rsid w:val="00375DF6"/>
    <w:rsid w:val="0039277A"/>
    <w:rsid w:val="003972E0"/>
    <w:rsid w:val="003C2CC4"/>
    <w:rsid w:val="003D4B23"/>
    <w:rsid w:val="00405DA5"/>
    <w:rsid w:val="00406ABA"/>
    <w:rsid w:val="00410691"/>
    <w:rsid w:val="004325CB"/>
    <w:rsid w:val="00446DE4"/>
    <w:rsid w:val="00454402"/>
    <w:rsid w:val="00473FF8"/>
    <w:rsid w:val="004751A1"/>
    <w:rsid w:val="00496277"/>
    <w:rsid w:val="004E2485"/>
    <w:rsid w:val="0050468A"/>
    <w:rsid w:val="00517102"/>
    <w:rsid w:val="00533821"/>
    <w:rsid w:val="00540C2F"/>
    <w:rsid w:val="005420F2"/>
    <w:rsid w:val="00550482"/>
    <w:rsid w:val="00585664"/>
    <w:rsid w:val="005937B0"/>
    <w:rsid w:val="005A274D"/>
    <w:rsid w:val="005B1D09"/>
    <w:rsid w:val="005B3AB1"/>
    <w:rsid w:val="005B3CCB"/>
    <w:rsid w:val="005B3DB3"/>
    <w:rsid w:val="005C0081"/>
    <w:rsid w:val="005C50EF"/>
    <w:rsid w:val="00611FC4"/>
    <w:rsid w:val="006176FB"/>
    <w:rsid w:val="00640B26"/>
    <w:rsid w:val="00642FE2"/>
    <w:rsid w:val="00646A9E"/>
    <w:rsid w:val="00656733"/>
    <w:rsid w:val="00666758"/>
    <w:rsid w:val="00682D97"/>
    <w:rsid w:val="00697153"/>
    <w:rsid w:val="006A7392"/>
    <w:rsid w:val="006B4CA1"/>
    <w:rsid w:val="006C0D34"/>
    <w:rsid w:val="006C680F"/>
    <w:rsid w:val="006D191E"/>
    <w:rsid w:val="006D2E1B"/>
    <w:rsid w:val="006E564B"/>
    <w:rsid w:val="00702081"/>
    <w:rsid w:val="00705809"/>
    <w:rsid w:val="00723CA7"/>
    <w:rsid w:val="0072632A"/>
    <w:rsid w:val="00732FA2"/>
    <w:rsid w:val="00734D8C"/>
    <w:rsid w:val="00747AEA"/>
    <w:rsid w:val="007708D8"/>
    <w:rsid w:val="00791CDF"/>
    <w:rsid w:val="007B6BA5"/>
    <w:rsid w:val="007C3390"/>
    <w:rsid w:val="007C4BC2"/>
    <w:rsid w:val="007C4F4B"/>
    <w:rsid w:val="007C5982"/>
    <w:rsid w:val="007F3143"/>
    <w:rsid w:val="007F31D8"/>
    <w:rsid w:val="007F6611"/>
    <w:rsid w:val="008175E9"/>
    <w:rsid w:val="008242D7"/>
    <w:rsid w:val="00837247"/>
    <w:rsid w:val="00860010"/>
    <w:rsid w:val="00871566"/>
    <w:rsid w:val="00871FD5"/>
    <w:rsid w:val="0089469C"/>
    <w:rsid w:val="008979B1"/>
    <w:rsid w:val="008A6B25"/>
    <w:rsid w:val="008A6C4F"/>
    <w:rsid w:val="008B6453"/>
    <w:rsid w:val="008E0E46"/>
    <w:rsid w:val="008E6013"/>
    <w:rsid w:val="008F084C"/>
    <w:rsid w:val="008F7A2C"/>
    <w:rsid w:val="00901205"/>
    <w:rsid w:val="0090579D"/>
    <w:rsid w:val="0090709C"/>
    <w:rsid w:val="00907CC9"/>
    <w:rsid w:val="00942BE3"/>
    <w:rsid w:val="00960A18"/>
    <w:rsid w:val="00963CBA"/>
    <w:rsid w:val="00971624"/>
    <w:rsid w:val="00984B8A"/>
    <w:rsid w:val="00986921"/>
    <w:rsid w:val="00991261"/>
    <w:rsid w:val="009D6294"/>
    <w:rsid w:val="009D78B9"/>
    <w:rsid w:val="009F1F9A"/>
    <w:rsid w:val="009F3E16"/>
    <w:rsid w:val="00A1427D"/>
    <w:rsid w:val="00A52465"/>
    <w:rsid w:val="00A713B0"/>
    <w:rsid w:val="00A72F22"/>
    <w:rsid w:val="00A748A6"/>
    <w:rsid w:val="00A82818"/>
    <w:rsid w:val="00A879A4"/>
    <w:rsid w:val="00AB3237"/>
    <w:rsid w:val="00AC5067"/>
    <w:rsid w:val="00AD00F9"/>
    <w:rsid w:val="00AE38A6"/>
    <w:rsid w:val="00B008B3"/>
    <w:rsid w:val="00B05133"/>
    <w:rsid w:val="00B14BE0"/>
    <w:rsid w:val="00B30179"/>
    <w:rsid w:val="00B3317B"/>
    <w:rsid w:val="00B41744"/>
    <w:rsid w:val="00B739D7"/>
    <w:rsid w:val="00B75D73"/>
    <w:rsid w:val="00B8053E"/>
    <w:rsid w:val="00B81E12"/>
    <w:rsid w:val="00B93068"/>
    <w:rsid w:val="00BA3373"/>
    <w:rsid w:val="00BC03E5"/>
    <w:rsid w:val="00BC74E9"/>
    <w:rsid w:val="00BD1863"/>
    <w:rsid w:val="00BE618E"/>
    <w:rsid w:val="00C01E72"/>
    <w:rsid w:val="00C0306B"/>
    <w:rsid w:val="00C0689E"/>
    <w:rsid w:val="00C30BB9"/>
    <w:rsid w:val="00C4077F"/>
    <w:rsid w:val="00C463DD"/>
    <w:rsid w:val="00C47D33"/>
    <w:rsid w:val="00C6379B"/>
    <w:rsid w:val="00C745C3"/>
    <w:rsid w:val="00C81A78"/>
    <w:rsid w:val="00CB4F97"/>
    <w:rsid w:val="00CB757E"/>
    <w:rsid w:val="00CD5A41"/>
    <w:rsid w:val="00CE4A8F"/>
    <w:rsid w:val="00D05C85"/>
    <w:rsid w:val="00D2031B"/>
    <w:rsid w:val="00D25FE2"/>
    <w:rsid w:val="00D43252"/>
    <w:rsid w:val="00D72642"/>
    <w:rsid w:val="00D978C6"/>
    <w:rsid w:val="00DA67AD"/>
    <w:rsid w:val="00DB4442"/>
    <w:rsid w:val="00E03CFF"/>
    <w:rsid w:val="00E057FC"/>
    <w:rsid w:val="00E12184"/>
    <w:rsid w:val="00E130AB"/>
    <w:rsid w:val="00E17BFF"/>
    <w:rsid w:val="00E226F7"/>
    <w:rsid w:val="00E4213A"/>
    <w:rsid w:val="00E5644E"/>
    <w:rsid w:val="00E7260F"/>
    <w:rsid w:val="00E76EDA"/>
    <w:rsid w:val="00E81A75"/>
    <w:rsid w:val="00E96630"/>
    <w:rsid w:val="00EB2725"/>
    <w:rsid w:val="00ED7A2A"/>
    <w:rsid w:val="00EF1D7F"/>
    <w:rsid w:val="00F40E75"/>
    <w:rsid w:val="00F50D83"/>
    <w:rsid w:val="00FC3046"/>
    <w:rsid w:val="00FC68B7"/>
    <w:rsid w:val="00FD5B18"/>
    <w:rsid w:val="00FE50E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AF636"/>
  <w15:docId w15:val="{67CB0634-1904-4945-B495-B979E62D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9E"/>
    <w:pPr>
      <w:suppressAutoHyphens/>
      <w:spacing w:line="240" w:lineRule="atLeast"/>
    </w:pPr>
    <w:rPr>
      <w:lang w:val="en-GB" w:eastAsia="en-US"/>
    </w:rPr>
  </w:style>
  <w:style w:type="paragraph" w:styleId="Heading1">
    <w:name w:val="heading 1"/>
    <w:aliases w:val="Table_G"/>
    <w:basedOn w:val="SingleTxtG"/>
    <w:next w:val="SingleTxtG"/>
    <w:qFormat/>
    <w:rsid w:val="00B75D73"/>
    <w:pPr>
      <w:spacing w:after="0" w:line="240" w:lineRule="auto"/>
      <w:ind w:right="0"/>
      <w:jc w:val="left"/>
      <w:outlineLvl w:val="0"/>
    </w:pPr>
  </w:style>
  <w:style w:type="paragraph" w:styleId="Heading2">
    <w:name w:val="heading 2"/>
    <w:basedOn w:val="Normal"/>
    <w:next w:val="Normal"/>
    <w:semiHidden/>
    <w:qFormat/>
    <w:rsid w:val="00B75D73"/>
    <w:pPr>
      <w:spacing w:line="240" w:lineRule="auto"/>
      <w:outlineLvl w:val="1"/>
    </w:pPr>
  </w:style>
  <w:style w:type="paragraph" w:styleId="Heading3">
    <w:name w:val="heading 3"/>
    <w:basedOn w:val="Normal"/>
    <w:next w:val="Normal"/>
    <w:semiHidden/>
    <w:qFormat/>
    <w:rsid w:val="00B75D73"/>
    <w:pPr>
      <w:spacing w:line="240" w:lineRule="auto"/>
      <w:outlineLvl w:val="2"/>
    </w:pPr>
  </w:style>
  <w:style w:type="paragraph" w:styleId="Heading4">
    <w:name w:val="heading 4"/>
    <w:basedOn w:val="Normal"/>
    <w:next w:val="Normal"/>
    <w:semiHidden/>
    <w:qFormat/>
    <w:rsid w:val="00B75D73"/>
    <w:pPr>
      <w:spacing w:line="240" w:lineRule="auto"/>
      <w:outlineLvl w:val="3"/>
    </w:pPr>
  </w:style>
  <w:style w:type="paragraph" w:styleId="Heading5">
    <w:name w:val="heading 5"/>
    <w:basedOn w:val="Normal"/>
    <w:next w:val="Normal"/>
    <w:semiHidden/>
    <w:qFormat/>
    <w:rsid w:val="00B75D73"/>
    <w:pPr>
      <w:spacing w:line="240" w:lineRule="auto"/>
      <w:outlineLvl w:val="4"/>
    </w:pPr>
  </w:style>
  <w:style w:type="paragraph" w:styleId="Heading6">
    <w:name w:val="heading 6"/>
    <w:basedOn w:val="Normal"/>
    <w:next w:val="Normal"/>
    <w:semiHidden/>
    <w:qFormat/>
    <w:rsid w:val="00B75D73"/>
    <w:pPr>
      <w:spacing w:line="240" w:lineRule="auto"/>
      <w:outlineLvl w:val="5"/>
    </w:pPr>
  </w:style>
  <w:style w:type="paragraph" w:styleId="Heading7">
    <w:name w:val="heading 7"/>
    <w:basedOn w:val="Normal"/>
    <w:next w:val="Normal"/>
    <w:semiHidden/>
    <w:qFormat/>
    <w:rsid w:val="00B75D73"/>
    <w:pPr>
      <w:spacing w:line="240" w:lineRule="auto"/>
      <w:outlineLvl w:val="6"/>
    </w:pPr>
  </w:style>
  <w:style w:type="paragraph" w:styleId="Heading8">
    <w:name w:val="heading 8"/>
    <w:basedOn w:val="Normal"/>
    <w:next w:val="Normal"/>
    <w:semiHidden/>
    <w:qFormat/>
    <w:rsid w:val="00B75D73"/>
    <w:pPr>
      <w:spacing w:line="240" w:lineRule="auto"/>
      <w:outlineLvl w:val="7"/>
    </w:pPr>
  </w:style>
  <w:style w:type="paragraph" w:styleId="Heading9">
    <w:name w:val="heading 9"/>
    <w:basedOn w:val="Normal"/>
    <w:next w:val="Normal"/>
    <w:semiHidden/>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B75D73"/>
    <w:pPr>
      <w:spacing w:after="120"/>
      <w:ind w:left="1134" w:right="1134"/>
      <w:jc w:val="both"/>
    </w:pPr>
  </w:style>
  <w:style w:type="paragraph" w:customStyle="1" w:styleId="HMG">
    <w:name w:val="_ H __M_G"/>
    <w:basedOn w:val="Normal"/>
    <w:next w:val="Normal"/>
    <w:qFormat/>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B75D73"/>
    <w:rPr>
      <w:rFonts w:ascii="Times New Roman" w:hAnsi="Times New Roman"/>
      <w:sz w:val="18"/>
      <w:vertAlign w:val="superscript"/>
    </w:rPr>
  </w:style>
  <w:style w:type="character" w:styleId="EndnoteReference">
    <w:name w:val="endnote reference"/>
    <w:aliases w:val="1_G"/>
    <w:basedOn w:val="FootnoteReference"/>
    <w:qFormat/>
    <w:rsid w:val="00B75D73"/>
    <w:rPr>
      <w:rFonts w:ascii="Times New Roman" w:hAnsi="Times New Roman"/>
      <w:sz w:val="18"/>
      <w:vertAlign w:val="superscript"/>
    </w:rPr>
  </w:style>
  <w:style w:type="paragraph" w:styleId="Header">
    <w:name w:val="header"/>
    <w:aliases w:val="6_G"/>
    <w:basedOn w:val="Normal"/>
    <w:qFormat/>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B75D73"/>
    <w:rPr>
      <w:color w:val="auto"/>
      <w:u w:val="none"/>
    </w:rPr>
  </w:style>
  <w:style w:type="character" w:styleId="FollowedHyperlink">
    <w:name w:val="FollowedHyperlink"/>
    <w:basedOn w:val="DefaultParagraphFont"/>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
    <w:basedOn w:val="Normal"/>
    <w:qFormat/>
    <w:rsid w:val="00B75D73"/>
    <w:pPr>
      <w:tabs>
        <w:tab w:val="right" w:pos="1021"/>
      </w:tabs>
      <w:spacing w:line="220" w:lineRule="exact"/>
      <w:ind w:left="1134" w:right="1134" w:hanging="1134"/>
    </w:pPr>
    <w:rPr>
      <w:sz w:val="18"/>
    </w:rPr>
  </w:style>
  <w:style w:type="paragraph" w:styleId="EndnoteText">
    <w:name w:val="endnote text"/>
    <w:aliases w:val="2_G"/>
    <w:basedOn w:val="FootnoteText"/>
    <w:qFormat/>
    <w:rsid w:val="00B75D73"/>
  </w:style>
  <w:style w:type="character" w:styleId="PageNumber">
    <w:name w:val="page number"/>
    <w:aliases w:val="7_G"/>
    <w:basedOn w:val="DefaultParagraphFont"/>
    <w:semiHidden/>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qFormat/>
    <w:rsid w:val="00B75D73"/>
    <w:pPr>
      <w:numPr>
        <w:numId w:val="1"/>
      </w:numPr>
      <w:spacing w:after="120"/>
      <w:ind w:right="1134"/>
      <w:jc w:val="both"/>
    </w:pPr>
  </w:style>
  <w:style w:type="paragraph" w:styleId="Footer">
    <w:name w:val="footer"/>
    <w:aliases w:val="3_G"/>
    <w:basedOn w:val="Normal"/>
    <w:qFormat/>
    <w:rsid w:val="00B75D73"/>
    <w:pPr>
      <w:spacing w:line="240" w:lineRule="auto"/>
    </w:pPr>
    <w:rPr>
      <w:sz w:val="16"/>
    </w:rPr>
  </w:style>
  <w:style w:type="paragraph" w:customStyle="1" w:styleId="Bullet2G">
    <w:name w:val="_Bullet 2_G"/>
    <w:basedOn w:val="Normal"/>
    <w:qFormat/>
    <w:rsid w:val="00B75D73"/>
    <w:pPr>
      <w:numPr>
        <w:numId w:val="2"/>
      </w:numPr>
      <w:spacing w:after="120"/>
      <w:ind w:right="1134"/>
      <w:jc w:val="both"/>
    </w:pPr>
  </w:style>
  <w:style w:type="paragraph" w:customStyle="1" w:styleId="H1G">
    <w:name w:val="_ H_1_G"/>
    <w:basedOn w:val="Normal"/>
    <w:next w:val="Normal"/>
    <w:qFormat/>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75D7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20159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0159E"/>
    <w:rPr>
      <w:rFonts w:ascii="Tahoma" w:hAnsi="Tahoma" w:cs="Tahoma"/>
      <w:sz w:val="16"/>
      <w:szCs w:val="16"/>
      <w:lang w:val="en-GB" w:eastAsia="en-US"/>
    </w:rPr>
  </w:style>
  <w:style w:type="paragraph" w:customStyle="1" w:styleId="ParNoG">
    <w:name w:val="_ParNo_G"/>
    <w:basedOn w:val="SingleTxtG"/>
    <w:qFormat/>
    <w:rsid w:val="00747AEA"/>
    <w:pPr>
      <w:numPr>
        <w:numId w:val="3"/>
      </w:numPr>
      <w:kinsoku w:val="0"/>
      <w:overflowPunct w:val="0"/>
      <w:autoSpaceDE w:val="0"/>
      <w:autoSpaceDN w:val="0"/>
      <w:adjustRightInd w:val="0"/>
      <w:snapToGrid w:val="0"/>
    </w:pPr>
  </w:style>
  <w:style w:type="character" w:customStyle="1" w:styleId="SingleTxtGChar">
    <w:name w:val="_ Single Txt_G Char"/>
    <w:basedOn w:val="DefaultParagraphFont"/>
    <w:link w:val="SingleTxtG"/>
    <w:locked/>
    <w:rsid w:val="00837247"/>
    <w:rPr>
      <w:lang w:val="en-GB" w:eastAsia="en-US"/>
    </w:rPr>
  </w:style>
  <w:style w:type="character" w:styleId="CommentReference">
    <w:name w:val="annotation reference"/>
    <w:basedOn w:val="DefaultParagraphFont"/>
    <w:semiHidden/>
    <w:unhideWhenUsed/>
    <w:rsid w:val="00C0306B"/>
    <w:rPr>
      <w:sz w:val="16"/>
      <w:szCs w:val="16"/>
    </w:rPr>
  </w:style>
  <w:style w:type="paragraph" w:styleId="CommentText">
    <w:name w:val="annotation text"/>
    <w:basedOn w:val="Normal"/>
    <w:link w:val="CommentTextChar"/>
    <w:semiHidden/>
    <w:unhideWhenUsed/>
    <w:rsid w:val="00C0306B"/>
    <w:pPr>
      <w:spacing w:line="240" w:lineRule="auto"/>
    </w:pPr>
  </w:style>
  <w:style w:type="character" w:customStyle="1" w:styleId="CommentTextChar">
    <w:name w:val="Comment Text Char"/>
    <w:basedOn w:val="DefaultParagraphFont"/>
    <w:link w:val="CommentText"/>
    <w:semiHidden/>
    <w:rsid w:val="00C0306B"/>
    <w:rPr>
      <w:lang w:val="en-GB" w:eastAsia="en-US"/>
    </w:rPr>
  </w:style>
  <w:style w:type="paragraph" w:styleId="CommentSubject">
    <w:name w:val="annotation subject"/>
    <w:basedOn w:val="CommentText"/>
    <w:next w:val="CommentText"/>
    <w:link w:val="CommentSubjectChar"/>
    <w:semiHidden/>
    <w:unhideWhenUsed/>
    <w:rsid w:val="00C0306B"/>
    <w:rPr>
      <w:b/>
      <w:bCs/>
    </w:rPr>
  </w:style>
  <w:style w:type="character" w:customStyle="1" w:styleId="CommentSubjectChar">
    <w:name w:val="Comment Subject Char"/>
    <w:basedOn w:val="CommentTextChar"/>
    <w:link w:val="CommentSubject"/>
    <w:semiHidden/>
    <w:rsid w:val="00C0306B"/>
    <w:rPr>
      <w:b/>
      <w:bCs/>
      <w:lang w:val="en-GB" w:eastAsia="en-US"/>
    </w:rPr>
  </w:style>
  <w:style w:type="paragraph" w:styleId="Revision">
    <w:name w:val="Revision"/>
    <w:hidden/>
    <w:uiPriority w:val="99"/>
    <w:semiHidden/>
    <w:rsid w:val="008946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C\CRC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153AD-9F87-4DA7-9460-14F2B1B34DD2}"/>
</file>

<file path=customXml/itemProps2.xml><?xml version="1.0" encoding="utf-8"?>
<ds:datastoreItem xmlns:ds="http://schemas.openxmlformats.org/officeDocument/2006/customXml" ds:itemID="{596538C6-D42F-4175-8B21-2A0D4343BCB7}"/>
</file>

<file path=customXml/itemProps3.xml><?xml version="1.0" encoding="utf-8"?>
<ds:datastoreItem xmlns:ds="http://schemas.openxmlformats.org/officeDocument/2006/customXml" ds:itemID="{75A24F91-B8D9-4F2A-A3C6-E895942A1627}"/>
</file>

<file path=docProps/app.xml><?xml version="1.0" encoding="utf-8"?>
<Properties xmlns="http://schemas.openxmlformats.org/officeDocument/2006/extended-properties" xmlns:vt="http://schemas.openxmlformats.org/officeDocument/2006/docPropsVTypes">
  <Template>CRC_E.dotm</Template>
  <TotalTime>133</TotalTime>
  <Pages>8</Pages>
  <Words>1922</Words>
  <Characters>10958</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CRC/C/82/R.1</vt:lpstr>
      <vt:lpstr/>
    </vt:vector>
  </TitlesOfParts>
  <Company>CSD</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Belen Enriquez</dc:creator>
  <cp:lastModifiedBy>BATALLA Anna</cp:lastModifiedBy>
  <cp:revision>3</cp:revision>
  <cp:lastPrinted>2019-07-29T13:43:00Z</cp:lastPrinted>
  <dcterms:created xsi:type="dcterms:W3CDTF">2019-08-16T10:30:00Z</dcterms:created>
  <dcterms:modified xsi:type="dcterms:W3CDTF">2019-08-16T12:50:00Z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