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01248" w14:textId="16109033" w:rsidR="00BF42A7" w:rsidRPr="005C3DDA" w:rsidRDefault="00AE533D" w:rsidP="00BF42A7">
      <w:pPr>
        <w:shd w:val="clear" w:color="auto" w:fill="FFFFFF"/>
        <w:jc w:val="center"/>
        <w:rPr>
          <w:b/>
          <w:bCs/>
          <w:color w:val="000000"/>
          <w:sz w:val="28"/>
        </w:rPr>
      </w:pPr>
      <w:bookmarkStart w:id="0" w:name="_GoBack"/>
      <w:bookmarkEnd w:id="0"/>
      <w:r w:rsidRPr="005C3DDA">
        <w:rPr>
          <w:b/>
          <w:bCs/>
          <w:color w:val="000000"/>
          <w:sz w:val="28"/>
        </w:rPr>
        <w:t>Day of General Discussion 2016</w:t>
      </w:r>
      <w:r w:rsidR="00391FE5">
        <w:rPr>
          <w:b/>
          <w:bCs/>
          <w:color w:val="000000"/>
          <w:sz w:val="28"/>
        </w:rPr>
        <w:t xml:space="preserve">. </w:t>
      </w:r>
      <w:r w:rsidR="0070122C" w:rsidRPr="005C3DDA">
        <w:rPr>
          <w:b/>
          <w:bCs/>
          <w:color w:val="000000"/>
          <w:sz w:val="28"/>
        </w:rPr>
        <w:t xml:space="preserve">Child Rights and the Environment </w:t>
      </w:r>
    </w:p>
    <w:p w14:paraId="60AFD674" w14:textId="77777777" w:rsidR="00AE533D" w:rsidRDefault="00AE533D" w:rsidP="00BF42A7">
      <w:pPr>
        <w:shd w:val="clear" w:color="auto" w:fill="FFFFFF"/>
        <w:jc w:val="center"/>
        <w:rPr>
          <w:b/>
          <w:bCs/>
          <w:color w:val="000000"/>
        </w:rPr>
      </w:pPr>
    </w:p>
    <w:p w14:paraId="06FA1B1E" w14:textId="5F51420B" w:rsidR="009600AF" w:rsidRPr="004F793C" w:rsidRDefault="009D6857" w:rsidP="00BF42A7">
      <w:pPr>
        <w:shd w:val="clear" w:color="auto" w:fill="FFFFFF"/>
        <w:jc w:val="center"/>
        <w:rPr>
          <w:b/>
          <w:bCs/>
          <w:color w:val="000000"/>
        </w:rPr>
      </w:pPr>
      <w:r w:rsidRPr="004F793C">
        <w:rPr>
          <w:b/>
          <w:bCs/>
          <w:color w:val="000000"/>
        </w:rPr>
        <w:t xml:space="preserve">Written contribution for </w:t>
      </w:r>
      <w:r w:rsidR="00AE533D" w:rsidRPr="004F793C">
        <w:rPr>
          <w:b/>
          <w:bCs/>
          <w:color w:val="000000"/>
        </w:rPr>
        <w:t>W</w:t>
      </w:r>
      <w:r w:rsidR="009600AF" w:rsidRPr="004F793C">
        <w:rPr>
          <w:b/>
          <w:bCs/>
          <w:color w:val="000000"/>
        </w:rPr>
        <w:t>orking Group 1</w:t>
      </w:r>
      <w:r w:rsidR="00FC7D14">
        <w:rPr>
          <w:b/>
          <w:bCs/>
          <w:color w:val="000000"/>
        </w:rPr>
        <w:t>.</w:t>
      </w:r>
      <w:r w:rsidR="009600AF" w:rsidRPr="004F793C">
        <w:rPr>
          <w:b/>
          <w:bCs/>
          <w:color w:val="000000"/>
        </w:rPr>
        <w:t xml:space="preserve"> Children’s exposure to environmental toxicants</w:t>
      </w:r>
      <w:r w:rsidR="00FC7D14">
        <w:rPr>
          <w:b/>
          <w:bCs/>
          <w:color w:val="000000"/>
        </w:rPr>
        <w:t>.</w:t>
      </w:r>
    </w:p>
    <w:p w14:paraId="458140D5" w14:textId="77777777" w:rsidR="00AE533D" w:rsidRDefault="00AE533D" w:rsidP="00BF42A7">
      <w:pPr>
        <w:shd w:val="clear" w:color="auto" w:fill="FFFFFF"/>
        <w:jc w:val="center"/>
        <w:rPr>
          <w:b/>
          <w:bCs/>
          <w:color w:val="000000"/>
        </w:rPr>
      </w:pPr>
    </w:p>
    <w:p w14:paraId="1776B0ED" w14:textId="4B5F90EA" w:rsidR="009E18DB" w:rsidRDefault="00AE533D" w:rsidP="00BF42A7">
      <w:pPr>
        <w:shd w:val="clear" w:color="auto" w:fill="FFFFFF"/>
        <w:jc w:val="center"/>
        <w:rPr>
          <w:color w:val="000000"/>
        </w:rPr>
      </w:pPr>
      <w:r>
        <w:rPr>
          <w:b/>
          <w:bCs/>
          <w:color w:val="000000"/>
        </w:rPr>
        <w:t>Child Health and Environment Program (CHEP), Brisbane</w:t>
      </w:r>
      <w:r w:rsidR="005C3DDA">
        <w:rPr>
          <w:b/>
          <w:bCs/>
          <w:color w:val="000000"/>
        </w:rPr>
        <w:t>,</w:t>
      </w:r>
      <w:r>
        <w:rPr>
          <w:b/>
          <w:bCs/>
          <w:color w:val="000000"/>
        </w:rPr>
        <w:t xml:space="preserve"> Australia</w:t>
      </w:r>
      <w:r w:rsidR="00FC7D14">
        <w:rPr>
          <w:b/>
          <w:bCs/>
          <w:color w:val="000000"/>
        </w:rPr>
        <w:t>.</w:t>
      </w:r>
      <w:r>
        <w:rPr>
          <w:b/>
          <w:bCs/>
          <w:color w:val="000000"/>
        </w:rPr>
        <w:t xml:space="preserve"> </w:t>
      </w:r>
    </w:p>
    <w:p w14:paraId="43EF01E6" w14:textId="7F7E093E" w:rsidR="00BF42A7" w:rsidRDefault="00BF42A7" w:rsidP="009E18DB">
      <w:pPr>
        <w:shd w:val="clear" w:color="auto" w:fill="FFFFFF"/>
        <w:jc w:val="center"/>
        <w:rPr>
          <w:color w:val="000000"/>
        </w:rPr>
      </w:pPr>
    </w:p>
    <w:p w14:paraId="4328B0A4" w14:textId="77777777" w:rsidR="00563362" w:rsidRDefault="009600AF" w:rsidP="009D6857">
      <w:pPr>
        <w:shd w:val="clear" w:color="auto" w:fill="FFFFFF"/>
        <w:jc w:val="both"/>
      </w:pPr>
      <w:r w:rsidRPr="00882E80">
        <w:rPr>
          <w:color w:val="000000"/>
        </w:rPr>
        <w:t>Hazardous substances from</w:t>
      </w:r>
      <w:r w:rsidR="00B338C0">
        <w:rPr>
          <w:color w:val="000000"/>
        </w:rPr>
        <w:t xml:space="preserve"> natural sources and</w:t>
      </w:r>
      <w:r w:rsidRPr="00882E80">
        <w:rPr>
          <w:color w:val="000000"/>
        </w:rPr>
        <w:t xml:space="preserve"> </w:t>
      </w:r>
      <w:r w:rsidR="00EF7076">
        <w:rPr>
          <w:color w:val="000000"/>
        </w:rPr>
        <w:t xml:space="preserve">certain types of </w:t>
      </w:r>
      <w:r w:rsidRPr="00882E80">
        <w:rPr>
          <w:color w:val="000000"/>
        </w:rPr>
        <w:t xml:space="preserve">human activity, including </w:t>
      </w:r>
      <w:r w:rsidR="00EF7076">
        <w:rPr>
          <w:color w:val="000000"/>
        </w:rPr>
        <w:t xml:space="preserve">uncontrolled </w:t>
      </w:r>
      <w:r w:rsidRPr="00882E80">
        <w:rPr>
          <w:color w:val="000000"/>
        </w:rPr>
        <w:t>industrial emissions</w:t>
      </w:r>
      <w:r w:rsidR="001C39D9">
        <w:rPr>
          <w:color w:val="000000"/>
        </w:rPr>
        <w:t xml:space="preserve">, industrial </w:t>
      </w:r>
      <w:r w:rsidRPr="00882E80">
        <w:rPr>
          <w:color w:val="000000"/>
        </w:rPr>
        <w:t xml:space="preserve">accidents, mining, </w:t>
      </w:r>
      <w:r w:rsidR="00CA14FF" w:rsidRPr="00882E80">
        <w:rPr>
          <w:color w:val="000000"/>
        </w:rPr>
        <w:t>energy production, waste disposal</w:t>
      </w:r>
      <w:r w:rsidR="00CA14FF">
        <w:rPr>
          <w:color w:val="000000"/>
        </w:rPr>
        <w:t>, and</w:t>
      </w:r>
      <w:r w:rsidR="00CA14FF" w:rsidRPr="00882E80">
        <w:rPr>
          <w:color w:val="000000"/>
        </w:rPr>
        <w:t xml:space="preserve"> </w:t>
      </w:r>
      <w:r w:rsidRPr="00882E80">
        <w:rPr>
          <w:color w:val="000000"/>
        </w:rPr>
        <w:t xml:space="preserve">the use of </w:t>
      </w:r>
      <w:r w:rsidR="00EF7076">
        <w:rPr>
          <w:color w:val="000000"/>
        </w:rPr>
        <w:t xml:space="preserve">certain </w:t>
      </w:r>
      <w:r w:rsidR="00B338C0">
        <w:rPr>
          <w:color w:val="000000"/>
        </w:rPr>
        <w:t xml:space="preserve">pesticides in agriculture, </w:t>
      </w:r>
      <w:r w:rsidR="00EF7076">
        <w:rPr>
          <w:color w:val="000000"/>
        </w:rPr>
        <w:t>can be</w:t>
      </w:r>
      <w:r w:rsidR="00EF7076" w:rsidRPr="00882E80">
        <w:rPr>
          <w:color w:val="000000"/>
        </w:rPr>
        <w:t xml:space="preserve"> </w:t>
      </w:r>
      <w:r w:rsidRPr="00882E80">
        <w:rPr>
          <w:color w:val="000000"/>
        </w:rPr>
        <w:t>found in the food children eat, the water they drink and the air they breathe, as well as the consumer products they use. They are found in h</w:t>
      </w:r>
      <w:r w:rsidR="005C6AA1" w:rsidRPr="00882E80">
        <w:rPr>
          <w:color w:val="000000"/>
        </w:rPr>
        <w:t>omes, at schools</w:t>
      </w:r>
      <w:r w:rsidR="001C39D9">
        <w:rPr>
          <w:color w:val="000000"/>
        </w:rPr>
        <w:t xml:space="preserve"> and childcare centres</w:t>
      </w:r>
      <w:r w:rsidR="005C6AA1" w:rsidRPr="00882E80">
        <w:rPr>
          <w:color w:val="000000"/>
        </w:rPr>
        <w:t>, in play areas,</w:t>
      </w:r>
      <w:r w:rsidR="001C39D9">
        <w:rPr>
          <w:color w:val="000000"/>
        </w:rPr>
        <w:t xml:space="preserve"> and</w:t>
      </w:r>
      <w:r w:rsidR="005C6AA1" w:rsidRPr="00882E80">
        <w:rPr>
          <w:color w:val="000000"/>
        </w:rPr>
        <w:t xml:space="preserve"> </w:t>
      </w:r>
      <w:r w:rsidRPr="00882E80">
        <w:rPr>
          <w:color w:val="000000"/>
        </w:rPr>
        <w:t>places where children</w:t>
      </w:r>
      <w:r w:rsidR="001C39D9">
        <w:rPr>
          <w:color w:val="000000"/>
        </w:rPr>
        <w:t xml:space="preserve"> work, in </w:t>
      </w:r>
      <w:r w:rsidR="00B338C0">
        <w:rPr>
          <w:color w:val="000000"/>
        </w:rPr>
        <w:t xml:space="preserve">both </w:t>
      </w:r>
      <w:r w:rsidR="001C39D9">
        <w:rPr>
          <w:color w:val="000000"/>
        </w:rPr>
        <w:t>the natural and b</w:t>
      </w:r>
      <w:r w:rsidR="00415244">
        <w:rPr>
          <w:color w:val="000000"/>
        </w:rPr>
        <w:t>uilt</w:t>
      </w:r>
      <w:r w:rsidR="001C39D9">
        <w:rPr>
          <w:color w:val="000000"/>
        </w:rPr>
        <w:t xml:space="preserve"> environment</w:t>
      </w:r>
      <w:r w:rsidR="00B338C0">
        <w:rPr>
          <w:color w:val="000000"/>
        </w:rPr>
        <w:t>s</w:t>
      </w:r>
      <w:r w:rsidR="001C39D9">
        <w:rPr>
          <w:color w:val="000000"/>
        </w:rPr>
        <w:t>.</w:t>
      </w:r>
      <w:r w:rsidR="00B338C0">
        <w:rPr>
          <w:color w:val="000000"/>
        </w:rPr>
        <w:t xml:space="preserve"> Dozens of chemicals have been measured in human cord blood, showing children can be exposed even before birth. </w:t>
      </w:r>
      <w:r w:rsidR="00D666CE">
        <w:rPr>
          <w:color w:val="000000"/>
        </w:rPr>
        <w:t>These</w:t>
      </w:r>
      <w:r>
        <w:rPr>
          <w:color w:val="000000"/>
        </w:rPr>
        <w:t xml:space="preserve"> environ</w:t>
      </w:r>
      <w:r w:rsidR="008C251A">
        <w:rPr>
          <w:color w:val="000000"/>
        </w:rPr>
        <w:t xml:space="preserve">mental </w:t>
      </w:r>
      <w:r w:rsidR="005C6AA1">
        <w:rPr>
          <w:color w:val="000000"/>
        </w:rPr>
        <w:t>exposures</w:t>
      </w:r>
      <w:r w:rsidR="008C251A">
        <w:rPr>
          <w:color w:val="000000"/>
        </w:rPr>
        <w:t xml:space="preserve"> </w:t>
      </w:r>
      <w:r>
        <w:rPr>
          <w:color w:val="000000"/>
        </w:rPr>
        <w:t xml:space="preserve">can severely </w:t>
      </w:r>
      <w:r w:rsidR="005C6AA1">
        <w:rPr>
          <w:color w:val="000000"/>
        </w:rPr>
        <w:t>impact the</w:t>
      </w:r>
      <w:r w:rsidR="00D666CE">
        <w:rPr>
          <w:color w:val="000000"/>
        </w:rPr>
        <w:t xml:space="preserve"> hea</w:t>
      </w:r>
      <w:r w:rsidR="001C39D9">
        <w:rPr>
          <w:color w:val="000000"/>
        </w:rPr>
        <w:t>l</w:t>
      </w:r>
      <w:r w:rsidR="00D666CE">
        <w:rPr>
          <w:color w:val="000000"/>
        </w:rPr>
        <w:t>th of children and impact their ability to exercise their rights to</w:t>
      </w:r>
      <w:r w:rsidR="00563362" w:rsidRPr="00563362">
        <w:rPr>
          <w:color w:val="FF0000"/>
        </w:rPr>
        <w:t xml:space="preserve"> </w:t>
      </w:r>
      <w:r w:rsidR="00563362" w:rsidRPr="00D666CE">
        <w:t xml:space="preserve">life, health, education, </w:t>
      </w:r>
      <w:r w:rsidR="00EF7076">
        <w:t xml:space="preserve">and to safe </w:t>
      </w:r>
      <w:r w:rsidR="00B338C0">
        <w:t xml:space="preserve">food, water, </w:t>
      </w:r>
      <w:r w:rsidR="00563362" w:rsidRPr="00D666CE">
        <w:t>sanitation</w:t>
      </w:r>
      <w:r w:rsidR="00B338C0">
        <w:t xml:space="preserve"> and hygiene</w:t>
      </w:r>
      <w:r w:rsidR="00563362" w:rsidRPr="00D666CE">
        <w:t xml:space="preserve">. </w:t>
      </w:r>
    </w:p>
    <w:p w14:paraId="0B0D667D" w14:textId="77777777" w:rsidR="00563362" w:rsidRPr="009600AF" w:rsidRDefault="00563362" w:rsidP="00BF42A7">
      <w:pPr>
        <w:shd w:val="clear" w:color="auto" w:fill="FFFFFF"/>
        <w:rPr>
          <w:color w:val="000000"/>
        </w:rPr>
      </w:pPr>
    </w:p>
    <w:p w14:paraId="1C2173E6" w14:textId="77777777" w:rsidR="009600AF" w:rsidRDefault="009600AF" w:rsidP="00BF42A7">
      <w:pPr>
        <w:shd w:val="clear" w:color="auto" w:fill="FFFFFF"/>
        <w:rPr>
          <w:color w:val="000000"/>
          <w:u w:val="single"/>
        </w:rPr>
      </w:pPr>
      <w:r w:rsidRPr="00DE4C98">
        <w:rPr>
          <w:color w:val="000000"/>
          <w:u w:val="single"/>
        </w:rPr>
        <w:t>What is a child?</w:t>
      </w:r>
    </w:p>
    <w:p w14:paraId="4A67F1A8" w14:textId="77777777" w:rsidR="00D666CE" w:rsidRPr="00DE4C98" w:rsidRDefault="00D666CE" w:rsidP="00BF42A7">
      <w:pPr>
        <w:shd w:val="clear" w:color="auto" w:fill="FFFFFF"/>
        <w:rPr>
          <w:color w:val="000000"/>
          <w:u w:val="single"/>
        </w:rPr>
      </w:pPr>
    </w:p>
    <w:p w14:paraId="10AE8F3A" w14:textId="77777777" w:rsidR="005C6AA1" w:rsidRDefault="00411A8E" w:rsidP="001C39D9">
      <w:pPr>
        <w:shd w:val="clear" w:color="auto" w:fill="FFFFFF"/>
        <w:jc w:val="both"/>
        <w:rPr>
          <w:color w:val="000000"/>
        </w:rPr>
      </w:pPr>
      <w:r>
        <w:rPr>
          <w:color w:val="000000"/>
        </w:rPr>
        <w:t xml:space="preserve">The </w:t>
      </w:r>
      <w:r w:rsidR="00CA14FF">
        <w:rPr>
          <w:color w:val="000000"/>
        </w:rPr>
        <w:t>Convention</w:t>
      </w:r>
      <w:r w:rsidR="00890AD1">
        <w:rPr>
          <w:color w:val="000000"/>
        </w:rPr>
        <w:t xml:space="preserve"> on the Rights of the Child </w:t>
      </w:r>
      <w:r>
        <w:rPr>
          <w:color w:val="000000"/>
        </w:rPr>
        <w:t xml:space="preserve">defines a child </w:t>
      </w:r>
      <w:r w:rsidR="00BF42A7">
        <w:rPr>
          <w:color w:val="000000"/>
        </w:rPr>
        <w:t xml:space="preserve">as “every human being below the age of eighteen years unless under the law applicable to the child, majority is attained earlier.” (1). </w:t>
      </w:r>
      <w:r w:rsidR="009600AF">
        <w:rPr>
          <w:color w:val="000000"/>
        </w:rPr>
        <w:t xml:space="preserve">While there are many definitions </w:t>
      </w:r>
      <w:r w:rsidR="005C6AA1">
        <w:rPr>
          <w:color w:val="000000"/>
        </w:rPr>
        <w:t>of a child</w:t>
      </w:r>
      <w:r w:rsidR="009600AF">
        <w:rPr>
          <w:color w:val="000000"/>
        </w:rPr>
        <w:t xml:space="preserve">, for the purpose of this submission we will be using the life-course approach </w:t>
      </w:r>
      <w:r w:rsidR="009600AF" w:rsidRPr="005C6AA1">
        <w:rPr>
          <w:color w:val="000000"/>
        </w:rPr>
        <w:t>adopted</w:t>
      </w:r>
      <w:r w:rsidR="009600AF">
        <w:rPr>
          <w:color w:val="000000"/>
        </w:rPr>
        <w:t xml:space="preserve"> by the </w:t>
      </w:r>
      <w:r w:rsidR="00563362">
        <w:rPr>
          <w:color w:val="000000"/>
        </w:rPr>
        <w:t xml:space="preserve">World Health Organization </w:t>
      </w:r>
      <w:r w:rsidR="008D77D3">
        <w:rPr>
          <w:color w:val="000000"/>
        </w:rPr>
        <w:t>(</w:t>
      </w:r>
      <w:r w:rsidR="009600AF">
        <w:rPr>
          <w:color w:val="000000"/>
        </w:rPr>
        <w:t>WHO</w:t>
      </w:r>
      <w:r w:rsidR="008D77D3">
        <w:rPr>
          <w:color w:val="000000"/>
        </w:rPr>
        <w:t>)</w:t>
      </w:r>
      <w:r w:rsidR="00EB46E9">
        <w:rPr>
          <w:color w:val="000000"/>
        </w:rPr>
        <w:t xml:space="preserve"> in 1995</w:t>
      </w:r>
      <w:r w:rsidR="009600AF">
        <w:rPr>
          <w:color w:val="000000"/>
        </w:rPr>
        <w:t xml:space="preserve">, which </w:t>
      </w:r>
      <w:r w:rsidR="00EB46E9">
        <w:rPr>
          <w:color w:val="000000"/>
        </w:rPr>
        <w:t xml:space="preserve">does not just recognise a child </w:t>
      </w:r>
      <w:r w:rsidR="005C6AA1">
        <w:rPr>
          <w:color w:val="000000"/>
        </w:rPr>
        <w:t xml:space="preserve">as </w:t>
      </w:r>
      <w:r w:rsidR="00EB46E9">
        <w:rPr>
          <w:color w:val="000000"/>
        </w:rPr>
        <w:t xml:space="preserve">from </w:t>
      </w:r>
      <w:r w:rsidR="00DE4C98">
        <w:rPr>
          <w:color w:val="000000"/>
        </w:rPr>
        <w:t>conception</w:t>
      </w:r>
      <w:r w:rsidR="00EB46E9">
        <w:rPr>
          <w:color w:val="000000"/>
        </w:rPr>
        <w:t xml:space="preserve"> to eighteen years, but acknowledges that there are environmental factors impacting the child even from pre-conception, and these impacts can continue </w:t>
      </w:r>
      <w:r w:rsidR="005C6AA1">
        <w:rPr>
          <w:color w:val="000000"/>
        </w:rPr>
        <w:t>into adulthood and inter</w:t>
      </w:r>
      <w:r w:rsidR="00F90BA9">
        <w:rPr>
          <w:color w:val="000000"/>
        </w:rPr>
        <w:t>-</w:t>
      </w:r>
      <w:r w:rsidR="00EB46E9">
        <w:rPr>
          <w:color w:val="000000"/>
        </w:rPr>
        <w:t xml:space="preserve">generationally (2). </w:t>
      </w:r>
      <w:r w:rsidRPr="00EF6DCF">
        <w:rPr>
          <w:color w:val="000000"/>
        </w:rPr>
        <w:t>T</w:t>
      </w:r>
      <w:r w:rsidR="00920327" w:rsidRPr="00EF6DCF">
        <w:rPr>
          <w:color w:val="000000"/>
        </w:rPr>
        <w:t xml:space="preserve">he </w:t>
      </w:r>
      <w:r w:rsidR="00EB46E9" w:rsidRPr="00EF6DCF">
        <w:rPr>
          <w:color w:val="000000"/>
        </w:rPr>
        <w:t>life-course approach</w:t>
      </w:r>
      <w:r w:rsidR="00F67F6C" w:rsidRPr="00EF6DCF">
        <w:rPr>
          <w:color w:val="000000"/>
        </w:rPr>
        <w:t xml:space="preserve"> supported </w:t>
      </w:r>
      <w:r w:rsidRPr="00EF6DCF">
        <w:rPr>
          <w:color w:val="000000"/>
        </w:rPr>
        <w:t xml:space="preserve">by </w:t>
      </w:r>
      <w:r w:rsidR="00563362" w:rsidRPr="00EF6DCF">
        <w:rPr>
          <w:color w:val="000000"/>
        </w:rPr>
        <w:t>WHO</w:t>
      </w:r>
      <w:r w:rsidR="00EB46E9" w:rsidRPr="00EF6DCF">
        <w:rPr>
          <w:color w:val="000000"/>
        </w:rPr>
        <w:t xml:space="preserve"> </w:t>
      </w:r>
      <w:r w:rsidR="00920327" w:rsidRPr="00EF6DCF">
        <w:rPr>
          <w:color w:val="000000"/>
        </w:rPr>
        <w:t>is being used to address</w:t>
      </w:r>
      <w:r w:rsidR="008D77D3" w:rsidRPr="00EF6DCF">
        <w:rPr>
          <w:color w:val="000000"/>
        </w:rPr>
        <w:t xml:space="preserve"> exposures during early life that increase the risk of developing chronic disease in adulthood</w:t>
      </w:r>
      <w:r w:rsidR="00920327" w:rsidRPr="00EF6DCF">
        <w:rPr>
          <w:color w:val="000000"/>
        </w:rPr>
        <w:t xml:space="preserve"> (2).</w:t>
      </w:r>
      <w:r w:rsidR="00920327" w:rsidRPr="008D77D3">
        <w:rPr>
          <w:color w:val="000000"/>
        </w:rPr>
        <w:t xml:space="preserve"> </w:t>
      </w:r>
    </w:p>
    <w:p w14:paraId="13B96BB4" w14:textId="77777777" w:rsidR="000D13F8" w:rsidRDefault="000D13F8" w:rsidP="00BF42A7">
      <w:pPr>
        <w:shd w:val="clear" w:color="auto" w:fill="FFFFFF"/>
        <w:rPr>
          <w:color w:val="000000"/>
        </w:rPr>
      </w:pPr>
    </w:p>
    <w:p w14:paraId="4B65A4BE" w14:textId="77777777" w:rsidR="00147036" w:rsidRDefault="00147036" w:rsidP="00147036">
      <w:pPr>
        <w:shd w:val="clear" w:color="auto" w:fill="FFFFFF"/>
        <w:rPr>
          <w:color w:val="000000"/>
          <w:u w:val="single"/>
        </w:rPr>
      </w:pPr>
      <w:r>
        <w:rPr>
          <w:color w:val="000000"/>
          <w:u w:val="single"/>
        </w:rPr>
        <w:t xml:space="preserve">Child rights and </w:t>
      </w:r>
      <w:r w:rsidR="008D77D3">
        <w:rPr>
          <w:color w:val="000000"/>
          <w:u w:val="single"/>
        </w:rPr>
        <w:t xml:space="preserve">the </w:t>
      </w:r>
      <w:r w:rsidR="0012058D">
        <w:rPr>
          <w:color w:val="000000"/>
          <w:u w:val="single"/>
        </w:rPr>
        <w:t>environment</w:t>
      </w:r>
    </w:p>
    <w:p w14:paraId="156DEA63" w14:textId="77777777" w:rsidR="000A20C6" w:rsidRPr="00BF42A7" w:rsidRDefault="000A20C6" w:rsidP="00CA14FF">
      <w:pPr>
        <w:shd w:val="clear" w:color="auto" w:fill="FFFFFF"/>
        <w:jc w:val="both"/>
        <w:rPr>
          <w:color w:val="000000"/>
          <w:u w:val="single"/>
        </w:rPr>
      </w:pPr>
    </w:p>
    <w:p w14:paraId="34C597E1" w14:textId="318BC662" w:rsidR="00111A09" w:rsidRDefault="008D77D3" w:rsidP="00CA14FF">
      <w:pPr>
        <w:jc w:val="both"/>
      </w:pPr>
      <w:r>
        <w:t>T</w:t>
      </w:r>
      <w:r w:rsidR="00F77CFD">
        <w:t>he righ</w:t>
      </w:r>
      <w:r>
        <w:t xml:space="preserve">ts to </w:t>
      </w:r>
      <w:r w:rsidR="00F77CFD">
        <w:t xml:space="preserve">life, health, education, food, </w:t>
      </w:r>
      <w:r w:rsidR="002B635D">
        <w:t>water,</w:t>
      </w:r>
      <w:r w:rsidR="00F77CFD">
        <w:t xml:space="preserve"> sanitation</w:t>
      </w:r>
      <w:r w:rsidR="002B635D">
        <w:t xml:space="preserve"> and hygiene, adequate pre and postnatal care for </w:t>
      </w:r>
      <w:r w:rsidR="00B338C0">
        <w:t>mothers, safe rest and leisure, and protection from economic exploitation and hazardous labour</w:t>
      </w:r>
      <w:r>
        <w:t xml:space="preserve"> enshrined in the Convention on the </w:t>
      </w:r>
      <w:r w:rsidR="00890AD1">
        <w:t>R</w:t>
      </w:r>
      <w:r>
        <w:t xml:space="preserve">ights of the Child are </w:t>
      </w:r>
      <w:r w:rsidR="00B338C0">
        <w:t>particularly</w:t>
      </w:r>
      <w:r>
        <w:t xml:space="preserve"> relevant to the relationship between the environment</w:t>
      </w:r>
      <w:r w:rsidR="00716D3D">
        <w:t xml:space="preserve"> and child health</w:t>
      </w:r>
      <w:r w:rsidR="00F77CFD">
        <w:t>.</w:t>
      </w:r>
      <w:r w:rsidR="0043257C">
        <w:t xml:space="preserve"> </w:t>
      </w:r>
      <w:r w:rsidR="00F0630D">
        <w:t>C</w:t>
      </w:r>
      <w:r w:rsidR="00111A09">
        <w:t>hildren</w:t>
      </w:r>
      <w:r w:rsidR="00F0630D">
        <w:t xml:space="preserve"> are not just little adults </w:t>
      </w:r>
      <w:r w:rsidR="00147036">
        <w:t>as they are susceptible to different and unique exposures,</w:t>
      </w:r>
      <w:r>
        <w:t xml:space="preserve"> </w:t>
      </w:r>
      <w:r w:rsidRPr="00EE46B0">
        <w:t xml:space="preserve">have </w:t>
      </w:r>
      <w:r w:rsidR="00EE46B0" w:rsidRPr="00EE46B0">
        <w:t>a</w:t>
      </w:r>
      <w:r w:rsidRPr="00EE46B0">
        <w:t xml:space="preserve"> </w:t>
      </w:r>
      <w:r w:rsidR="00EE46B0" w:rsidRPr="00EE46B0">
        <w:t>dynamic</w:t>
      </w:r>
      <w:r w:rsidRPr="00EE46B0">
        <w:t xml:space="preserve"> physiology,</w:t>
      </w:r>
      <w:r>
        <w:t xml:space="preserve"> exhibit behaviours that put them in contact with hazards, </w:t>
      </w:r>
      <w:r w:rsidR="00B338C0">
        <w:t>have</w:t>
      </w:r>
      <w:r w:rsidR="00F0630D">
        <w:t xml:space="preserve"> a longer life </w:t>
      </w:r>
      <w:r w:rsidR="00415244">
        <w:t xml:space="preserve">expectancy, </w:t>
      </w:r>
      <w:r w:rsidR="00415244" w:rsidRPr="00415244">
        <w:t>more time to live with handicaps</w:t>
      </w:r>
      <w:r w:rsidR="00415244">
        <w:t>,</w:t>
      </w:r>
      <w:r w:rsidR="00F0630D">
        <w:t xml:space="preserve"> </w:t>
      </w:r>
      <w:r w:rsidR="00B338C0">
        <w:t>more time to develop disease</w:t>
      </w:r>
      <w:r w:rsidR="00111A09">
        <w:t xml:space="preserve">, </w:t>
      </w:r>
      <w:r>
        <w:t>and</w:t>
      </w:r>
      <w:r w:rsidR="00147036">
        <w:t xml:space="preserve"> are politically powerless</w:t>
      </w:r>
      <w:r w:rsidR="008E798A">
        <w:t xml:space="preserve"> (3</w:t>
      </w:r>
      <w:r w:rsidR="00111A09">
        <w:t>)</w:t>
      </w:r>
      <w:r w:rsidR="00147036">
        <w:t xml:space="preserve">. </w:t>
      </w:r>
    </w:p>
    <w:p w14:paraId="1B606A42" w14:textId="77777777" w:rsidR="00111A09" w:rsidRDefault="00111A09" w:rsidP="00CA14FF">
      <w:pPr>
        <w:jc w:val="both"/>
      </w:pPr>
    </w:p>
    <w:p w14:paraId="5CD91F72" w14:textId="77777777" w:rsidR="005C76DF" w:rsidRDefault="00111A09" w:rsidP="00CA14FF">
      <w:pPr>
        <w:jc w:val="both"/>
      </w:pPr>
      <w:r>
        <w:t xml:space="preserve">Children </w:t>
      </w:r>
      <w:r w:rsidR="005C76DF">
        <w:t xml:space="preserve">are </w:t>
      </w:r>
      <w:r>
        <w:t xml:space="preserve">susceptible to different and unique exposures as they are subject to unique exposure pathways, namely transplacental and breastfeeding, </w:t>
      </w:r>
      <w:r w:rsidR="00B338C0">
        <w:t xml:space="preserve">and </w:t>
      </w:r>
      <w:r>
        <w:t>exhibit exploratory behavi</w:t>
      </w:r>
      <w:r w:rsidR="00B338C0">
        <w:t>ours which can lead to exposure</w:t>
      </w:r>
      <w:r>
        <w:t>, most commonly hand-to-mouth and object-to-mouth</w:t>
      </w:r>
      <w:r w:rsidR="00B338C0">
        <w:t xml:space="preserve"> behaviour</w:t>
      </w:r>
      <w:r w:rsidR="00F0630D">
        <w:t xml:space="preserve"> (3)</w:t>
      </w:r>
      <w:r w:rsidR="00B338C0">
        <w:t>. They</w:t>
      </w:r>
      <w:r>
        <w:t xml:space="preserve"> </w:t>
      </w:r>
      <w:r w:rsidR="00EE46B0">
        <w:t>spend their time in</w:t>
      </w:r>
      <w:r w:rsidR="005C76DF">
        <w:t xml:space="preserve"> different living zones as their location is typically lower to the ground and have a hi</w:t>
      </w:r>
      <w:r w:rsidR="00B338C0">
        <w:t>gh surface area to volume ratio</w:t>
      </w:r>
      <w:r w:rsidR="00F0630D">
        <w:t xml:space="preserve"> (3)</w:t>
      </w:r>
      <w:r w:rsidR="00B338C0">
        <w:t xml:space="preserve">. </w:t>
      </w:r>
      <w:r w:rsidR="00F0630D">
        <w:t xml:space="preserve">They also </w:t>
      </w:r>
      <w:r w:rsidR="005C76DF">
        <w:t>do not understand danger the way adults do which can place them in environments that expose them to dangerous toxicants</w:t>
      </w:r>
      <w:r w:rsidR="00F0630D">
        <w:t xml:space="preserve"> and injuries</w:t>
      </w:r>
      <w:r w:rsidR="005C76DF">
        <w:t xml:space="preserve"> (3). </w:t>
      </w:r>
    </w:p>
    <w:p w14:paraId="10983E78" w14:textId="77777777" w:rsidR="00A12F13" w:rsidRDefault="00A12F13" w:rsidP="00CA14FF">
      <w:pPr>
        <w:jc w:val="both"/>
      </w:pPr>
    </w:p>
    <w:p w14:paraId="3BA14435" w14:textId="0A837D79" w:rsidR="00A12F13" w:rsidRDefault="00A12F13" w:rsidP="00CA14FF">
      <w:pPr>
        <w:jc w:val="both"/>
      </w:pPr>
      <w:r>
        <w:t xml:space="preserve">If a child is exposed to environmental toxicants during a period of rapid </w:t>
      </w:r>
      <w:r w:rsidR="00B16F8B">
        <w:t>growth</w:t>
      </w:r>
      <w:r w:rsidR="00CA14FF">
        <w:t xml:space="preserve"> and development, a window of developmental susceptibility,</w:t>
      </w:r>
      <w:r w:rsidR="00B16F8B">
        <w:t xml:space="preserve"> the child may be at</w:t>
      </w:r>
      <w:r w:rsidR="00CA14FF">
        <w:t xml:space="preserve"> </w:t>
      </w:r>
      <w:r w:rsidR="00F0630D">
        <w:t xml:space="preserve">a greater </w:t>
      </w:r>
      <w:r w:rsidR="00B16F8B">
        <w:t xml:space="preserve">risk of </w:t>
      </w:r>
      <w:r w:rsidR="00B16F8B">
        <w:lastRenderedPageBreak/>
        <w:t xml:space="preserve">developing </w:t>
      </w:r>
      <w:r w:rsidR="00F0630D" w:rsidRPr="008C2B29">
        <w:t>disease</w:t>
      </w:r>
      <w:r w:rsidR="00B16F8B">
        <w:t xml:space="preserve">. An example of this is </w:t>
      </w:r>
      <w:r>
        <w:t xml:space="preserve">during the </w:t>
      </w:r>
      <w:r w:rsidR="00055A46">
        <w:t xml:space="preserve">third and fourth month </w:t>
      </w:r>
      <w:r>
        <w:t xml:space="preserve">of pregnancy when the </w:t>
      </w:r>
      <w:r w:rsidR="00F0630D">
        <w:t>foetus’s</w:t>
      </w:r>
      <w:r>
        <w:t xml:space="preserve"> brai</w:t>
      </w:r>
      <w:r w:rsidR="00F0630D">
        <w:t xml:space="preserve">n is going through rapid growth. </w:t>
      </w:r>
      <w:r w:rsidR="00415244">
        <w:t xml:space="preserve">If the mother is exposed to mercury (as in mining-related work or though high consumption of fish with elevated levels of mercury) </w:t>
      </w:r>
      <w:r w:rsidR="00B16F8B">
        <w:t xml:space="preserve">studies have </w:t>
      </w:r>
      <w:r>
        <w:t xml:space="preserve">found </w:t>
      </w:r>
      <w:r w:rsidR="00B16F8B">
        <w:t xml:space="preserve">this can </w:t>
      </w:r>
      <w:r w:rsidR="003916D0">
        <w:t>affect the</w:t>
      </w:r>
      <w:r w:rsidR="00055A46">
        <w:t xml:space="preserve"> </w:t>
      </w:r>
      <w:r w:rsidR="000B4B0C">
        <w:t xml:space="preserve">brain and the nervous system </w:t>
      </w:r>
      <w:r w:rsidR="003916D0">
        <w:t xml:space="preserve">of the developing child </w:t>
      </w:r>
      <w:r w:rsidR="000B4B0C">
        <w:t>(4</w:t>
      </w:r>
      <w:r w:rsidR="00055A46">
        <w:t>). Mercury is a toxic metal that builds up in the body</w:t>
      </w:r>
      <w:r w:rsidR="00CA14FF">
        <w:t>.</w:t>
      </w:r>
      <w:r w:rsidR="00055A46">
        <w:t xml:space="preserve"> </w:t>
      </w:r>
      <w:r w:rsidR="00CA14FF">
        <w:t>In adults mercury</w:t>
      </w:r>
      <w:r w:rsidR="00055A46">
        <w:t xml:space="preserve"> will be broken down over time, but in a fetus the</w:t>
      </w:r>
      <w:r w:rsidR="00C70ADF">
        <w:t xml:space="preserve"> potential</w:t>
      </w:r>
      <w:r w:rsidR="00055A46">
        <w:t xml:space="preserve"> effects </w:t>
      </w:r>
      <w:r w:rsidR="00C70ADF">
        <w:t xml:space="preserve">can result in </w:t>
      </w:r>
      <w:r w:rsidR="00B16F8B">
        <w:t>life</w:t>
      </w:r>
      <w:r>
        <w:t xml:space="preserve">long consequences </w:t>
      </w:r>
      <w:r w:rsidR="00C70ADF">
        <w:t xml:space="preserve">which can </w:t>
      </w:r>
      <w:r w:rsidR="00CA14FF">
        <w:t>impact a child’s ability to participate in education</w:t>
      </w:r>
      <w:r w:rsidR="002B635D">
        <w:t xml:space="preserve"> (4</w:t>
      </w:r>
      <w:r w:rsidR="00C70ADF">
        <w:t xml:space="preserve">). This highlights how vulnerable </w:t>
      </w:r>
      <w:r w:rsidR="00C70ADF" w:rsidRPr="00EE46B0">
        <w:t xml:space="preserve">children are as exposure to different environmental toxicants at different stages in a child's development can have different impacts based on </w:t>
      </w:r>
      <w:r w:rsidR="00EE46B0" w:rsidRPr="00EE46B0">
        <w:t>the dose, timing and route of exposure (</w:t>
      </w:r>
      <w:r w:rsidR="000B4B0C" w:rsidRPr="00EE46B0">
        <w:t>5)</w:t>
      </w:r>
      <w:r w:rsidR="00C70ADF" w:rsidRPr="00EE46B0">
        <w:t>.</w:t>
      </w:r>
      <w:r w:rsidR="00C70ADF">
        <w:t xml:space="preserve"> </w:t>
      </w:r>
    </w:p>
    <w:p w14:paraId="34C26B17" w14:textId="77777777" w:rsidR="006D73D2" w:rsidRDefault="006D73D2" w:rsidP="00CA14FF">
      <w:pPr>
        <w:jc w:val="both"/>
      </w:pPr>
    </w:p>
    <w:p w14:paraId="21930FEC" w14:textId="7E630714" w:rsidR="000D7649" w:rsidRPr="000D7649" w:rsidRDefault="005C76DF" w:rsidP="00DB56D7">
      <w:pPr>
        <w:jc w:val="both"/>
      </w:pPr>
      <w:r>
        <w:t xml:space="preserve">Due to the vulnerabilities of children it has been found that a number of health outcomes can be attributed to modifiable environmental factors, and subsequently a large burden of disease and death is </w:t>
      </w:r>
      <w:r w:rsidR="001522B3">
        <w:t>influenced by</w:t>
      </w:r>
      <w:r>
        <w:t xml:space="preserve"> the environment. </w:t>
      </w:r>
      <w:r w:rsidR="000D7649" w:rsidRPr="000D7649">
        <w:t xml:space="preserve">In </w:t>
      </w:r>
      <w:r w:rsidR="000D7649" w:rsidRPr="000D7649">
        <w:rPr>
          <w:color w:val="000000"/>
        </w:rPr>
        <w:t>2016</w:t>
      </w:r>
      <w:r w:rsidR="0012058D">
        <w:rPr>
          <w:color w:val="000000"/>
        </w:rPr>
        <w:t>,</w:t>
      </w:r>
      <w:r w:rsidR="000D7649" w:rsidRPr="000D7649">
        <w:rPr>
          <w:color w:val="000000"/>
        </w:rPr>
        <w:t xml:space="preserve"> WHO </w:t>
      </w:r>
      <w:r w:rsidR="007B6E38">
        <w:rPr>
          <w:color w:val="000000"/>
        </w:rPr>
        <w:t>estimated</w:t>
      </w:r>
      <w:r w:rsidR="000D7649" w:rsidRPr="000D7649">
        <w:t xml:space="preserve"> that a large proportion of deaths are attributable to modifiable environmental factors; 23% of all deaths and 22% of the total disease burden in </w:t>
      </w:r>
      <w:r w:rsidR="000A20C6">
        <w:t>disability adjusted life years (</w:t>
      </w:r>
      <w:r w:rsidR="000D7649" w:rsidRPr="000D7649">
        <w:t>DALYs</w:t>
      </w:r>
      <w:r w:rsidR="000A20C6">
        <w:t>)</w:t>
      </w:r>
      <w:r w:rsidR="001522B3">
        <w:t xml:space="preserve"> </w:t>
      </w:r>
      <w:r w:rsidR="000B4B0C">
        <w:t>(6</w:t>
      </w:r>
      <w:r w:rsidR="000D7649" w:rsidRPr="000D7649">
        <w:t xml:space="preserve">). In children under five years, the </w:t>
      </w:r>
      <w:r w:rsidR="000A20C6">
        <w:t xml:space="preserve">proportion of </w:t>
      </w:r>
      <w:r w:rsidR="001522B3">
        <w:t xml:space="preserve">preventable </w:t>
      </w:r>
      <w:r w:rsidR="000D7649" w:rsidRPr="000D7649">
        <w:t>deaths attributable to the environment increases to 26%, and DALYs to 25%</w:t>
      </w:r>
      <w:r w:rsidR="000A20C6">
        <w:t xml:space="preserve"> </w:t>
      </w:r>
      <w:r w:rsidR="000D7649" w:rsidRPr="000D7649">
        <w:t>(</w:t>
      </w:r>
      <w:r w:rsidR="000B4B0C">
        <w:t>6</w:t>
      </w:r>
      <w:r w:rsidR="000D7649" w:rsidRPr="000D7649">
        <w:t>)</w:t>
      </w:r>
      <w:r w:rsidR="000D7649">
        <w:t xml:space="preserve">. </w:t>
      </w:r>
      <w:r w:rsidR="000A20C6">
        <w:t xml:space="preserve">This highlights the vulnerability of children. </w:t>
      </w:r>
      <w:r w:rsidR="000D7649" w:rsidRPr="000D7649">
        <w:t xml:space="preserve">This publication also identified diseases that </w:t>
      </w:r>
      <w:r w:rsidR="000A20C6">
        <w:t>have</w:t>
      </w:r>
      <w:r w:rsidR="000A20C6" w:rsidRPr="000D7649">
        <w:t xml:space="preserve"> </w:t>
      </w:r>
      <w:r w:rsidR="000D7649" w:rsidRPr="000D7649">
        <w:t>the highest preventable environmental disease burden for children under five years old which included; 32% of all respiratory infections</w:t>
      </w:r>
      <w:r w:rsidR="001522B3">
        <w:t>,</w:t>
      </w:r>
      <w:r w:rsidR="000D7649" w:rsidRPr="000D7649">
        <w:t xml:space="preserve"> which commonly result from household and ambient air pollution </w:t>
      </w:r>
      <w:r w:rsidR="000A20C6">
        <w:t>and</w:t>
      </w:r>
      <w:r w:rsidR="000D7649" w:rsidRPr="000D7649">
        <w:t xml:space="preserve"> second-hand tobacco smoke, 22% of diarrhoeal diseases</w:t>
      </w:r>
      <w:r w:rsidR="001522B3">
        <w:t>,</w:t>
      </w:r>
      <w:r w:rsidR="000D7649" w:rsidRPr="000D7649">
        <w:t xml:space="preserve"> which can result from water, sanitation, hygiene and agricultural practices, and 15% of neonatal conditions, which </w:t>
      </w:r>
      <w:r w:rsidR="00EE46B0">
        <w:t>can be influenced by</w:t>
      </w:r>
      <w:r w:rsidR="000D7649" w:rsidRPr="000D7649">
        <w:t xml:space="preserve"> air pollution</w:t>
      </w:r>
      <w:r w:rsidR="00EE46B0">
        <w:t xml:space="preserve"> exposure</w:t>
      </w:r>
      <w:r w:rsidR="000D7649" w:rsidRPr="000D7649">
        <w:t>, mothers’ exposure to se</w:t>
      </w:r>
      <w:r w:rsidR="00276E3E">
        <w:t xml:space="preserve">cond-hand tobacco smoke, </w:t>
      </w:r>
      <w:r w:rsidR="000D7649" w:rsidRPr="000D7649">
        <w:t>water and sanitation in birth settings</w:t>
      </w:r>
      <w:r w:rsidR="00276E3E">
        <w:t xml:space="preserve"> and a lack of infrastructure in healthcare facilities</w:t>
      </w:r>
      <w:r w:rsidR="000D7649" w:rsidRPr="000D7649">
        <w:t xml:space="preserve"> (</w:t>
      </w:r>
      <w:r w:rsidR="000B4B0C">
        <w:t>6</w:t>
      </w:r>
      <w:r w:rsidR="000D7649" w:rsidRPr="000D7649">
        <w:t xml:space="preserve">). </w:t>
      </w:r>
      <w:r w:rsidR="000A20C6">
        <w:t xml:space="preserve">These </w:t>
      </w:r>
      <w:r w:rsidR="00415244">
        <w:t xml:space="preserve">diseases </w:t>
      </w:r>
      <w:r w:rsidR="000D7649" w:rsidRPr="000D7649">
        <w:t xml:space="preserve">also account for a large proportion of environmentally attributable deaths in children under 5 years old, with 18% being attributable to lower respiratory </w:t>
      </w:r>
      <w:r w:rsidR="000D7649" w:rsidRPr="00EE46B0">
        <w:t>infections and 20% to diarrheal diseases (</w:t>
      </w:r>
      <w:r w:rsidR="000B4B0C" w:rsidRPr="00EE46B0">
        <w:t>6</w:t>
      </w:r>
      <w:r w:rsidR="000D7649" w:rsidRPr="00EE46B0">
        <w:t xml:space="preserve">). This highlights the importance of protecting </w:t>
      </w:r>
      <w:r w:rsidR="007B6E38" w:rsidRPr="00EE46B0">
        <w:t xml:space="preserve">children </w:t>
      </w:r>
      <w:r w:rsidR="000A20C6" w:rsidRPr="00EE46B0">
        <w:t>from</w:t>
      </w:r>
      <w:r w:rsidR="000D7649" w:rsidRPr="00EE46B0">
        <w:t xml:space="preserve"> environmental </w:t>
      </w:r>
      <w:r w:rsidR="000A20C6" w:rsidRPr="00EE46B0">
        <w:t xml:space="preserve">exposures </w:t>
      </w:r>
      <w:r w:rsidR="000D7649" w:rsidRPr="00EE46B0">
        <w:t>as they are a particularly vulnerable population.</w:t>
      </w:r>
      <w:r w:rsidR="000D7649" w:rsidRPr="000D7649">
        <w:t xml:space="preserve"> </w:t>
      </w:r>
    </w:p>
    <w:p w14:paraId="21D69DEA" w14:textId="77777777" w:rsidR="000D7649" w:rsidRDefault="000D7649" w:rsidP="00DB56D7">
      <w:pPr>
        <w:jc w:val="both"/>
      </w:pPr>
    </w:p>
    <w:p w14:paraId="4174D0EE" w14:textId="77777777" w:rsidR="00267C44" w:rsidRDefault="00267C44" w:rsidP="00DB56D7">
      <w:pPr>
        <w:jc w:val="both"/>
        <w:rPr>
          <w:u w:val="single"/>
        </w:rPr>
      </w:pPr>
      <w:r>
        <w:rPr>
          <w:u w:val="single"/>
        </w:rPr>
        <w:t>Regulations and Enforcement</w:t>
      </w:r>
    </w:p>
    <w:p w14:paraId="398019C5" w14:textId="77777777" w:rsidR="00A57E55" w:rsidRDefault="00A57E55" w:rsidP="00DB56D7">
      <w:pPr>
        <w:jc w:val="both"/>
      </w:pPr>
    </w:p>
    <w:p w14:paraId="02697635" w14:textId="4A04214C" w:rsidR="00A57E55" w:rsidRDefault="00F77CFD" w:rsidP="00DB56D7">
      <w:pPr>
        <w:jc w:val="both"/>
      </w:pPr>
      <w:r>
        <w:t>There is a heavy burden of exposu</w:t>
      </w:r>
      <w:r w:rsidRPr="003102AB">
        <w:t>re to environmental toxicants</w:t>
      </w:r>
      <w:r w:rsidR="00B04AC7" w:rsidRPr="003102AB">
        <w:t xml:space="preserve"> during childhood</w:t>
      </w:r>
      <w:r w:rsidRPr="003102AB">
        <w:t xml:space="preserve"> in </w:t>
      </w:r>
      <w:r w:rsidR="00790CE2">
        <w:t xml:space="preserve">all regions, in </w:t>
      </w:r>
      <w:r w:rsidR="003102AB">
        <w:t>low</w:t>
      </w:r>
      <w:r w:rsidR="00790CE2">
        <w:t>-</w:t>
      </w:r>
      <w:r w:rsidR="003102AB">
        <w:t>income countries, high</w:t>
      </w:r>
      <w:r w:rsidR="00790CE2">
        <w:t>-</w:t>
      </w:r>
      <w:r w:rsidR="003102AB">
        <w:t>income countries and emerging economies</w:t>
      </w:r>
      <w:r w:rsidR="00AF2E45" w:rsidRPr="003102AB">
        <w:t xml:space="preserve">. </w:t>
      </w:r>
      <w:r w:rsidRPr="003102AB">
        <w:t xml:space="preserve"> </w:t>
      </w:r>
      <w:r w:rsidR="003102AB">
        <w:t xml:space="preserve">Regulations are an important measure to protect children from environmental exposures but they must been effectively enforced. </w:t>
      </w:r>
    </w:p>
    <w:p w14:paraId="22E8885A" w14:textId="77777777" w:rsidR="00A57E55" w:rsidRDefault="00A57E55" w:rsidP="00DB56D7">
      <w:pPr>
        <w:jc w:val="both"/>
      </w:pPr>
    </w:p>
    <w:p w14:paraId="4DC3A7E8" w14:textId="23934ABA" w:rsidR="00F77CFD" w:rsidRPr="00912554" w:rsidRDefault="00F77CFD" w:rsidP="00DB56D7">
      <w:pPr>
        <w:jc w:val="both"/>
      </w:pPr>
      <w:r>
        <w:t xml:space="preserve">An issue </w:t>
      </w:r>
      <w:r w:rsidR="000A20C6">
        <w:t xml:space="preserve">currently </w:t>
      </w:r>
      <w:r>
        <w:t xml:space="preserve">in the spotlight is </w:t>
      </w:r>
      <w:r w:rsidR="000A20C6">
        <w:t xml:space="preserve">the export of hazardous waste </w:t>
      </w:r>
      <w:r>
        <w:t xml:space="preserve">from </w:t>
      </w:r>
      <w:r w:rsidR="0012058D">
        <w:t xml:space="preserve">high-income </w:t>
      </w:r>
      <w:r>
        <w:t xml:space="preserve">countries into </w:t>
      </w:r>
      <w:r w:rsidR="0012058D">
        <w:t>lower income countries</w:t>
      </w:r>
      <w:r>
        <w:t xml:space="preserve">. This poses a serious risk to the rights of the child as children in these </w:t>
      </w:r>
      <w:r w:rsidR="00B4537D">
        <w:t xml:space="preserve">areas </w:t>
      </w:r>
      <w:r w:rsidR="00A57E55">
        <w:t xml:space="preserve">may work in informal waste recycling, live in homes where waste is processed, or live in an environment contaminated by toxicants from hazardous waste. </w:t>
      </w:r>
      <w:r>
        <w:t xml:space="preserve"> </w:t>
      </w:r>
      <w:r w:rsidR="00FD4705">
        <w:t>R</w:t>
      </w:r>
      <w:r>
        <w:t>ecent investigation</w:t>
      </w:r>
      <w:r w:rsidR="00FD4705">
        <w:t>s</w:t>
      </w:r>
      <w:r>
        <w:t xml:space="preserve"> into electronic</w:t>
      </w:r>
      <w:r w:rsidR="00A57E55">
        <w:t xml:space="preserve"> and electrical</w:t>
      </w:r>
      <w:r>
        <w:t xml:space="preserve"> waste (e-waste) disposal found </w:t>
      </w:r>
      <w:r w:rsidR="0017003F">
        <w:t xml:space="preserve">that a large portion of e-waste </w:t>
      </w:r>
      <w:r w:rsidR="00FD4705">
        <w:t xml:space="preserve">is shipped to countries is West Africa, South Asia and Southeast Asia </w:t>
      </w:r>
      <w:r w:rsidR="00B4537D">
        <w:t>(</w:t>
      </w:r>
      <w:r w:rsidR="00F4151D">
        <w:t>7</w:t>
      </w:r>
      <w:r w:rsidR="00B4537D">
        <w:t>)</w:t>
      </w:r>
      <w:r w:rsidR="00631F9E">
        <w:t xml:space="preserve">. </w:t>
      </w:r>
      <w:r w:rsidR="00FD4705">
        <w:t xml:space="preserve">Emerging economies </w:t>
      </w:r>
      <w:r w:rsidR="00FD4705" w:rsidRPr="003916D0">
        <w:t xml:space="preserve">in many regions also produce significant domestic streams of e-waste that are not processed in the formal sector. </w:t>
      </w:r>
      <w:r w:rsidR="00AF2E45" w:rsidRPr="003916D0">
        <w:t>R</w:t>
      </w:r>
      <w:r w:rsidR="004231C0" w:rsidRPr="003916D0">
        <w:t>eports</w:t>
      </w:r>
      <w:r w:rsidR="00631F9E">
        <w:t xml:space="preserve"> have surfaced in recent years exposing the conditions that children are working in in order to </w:t>
      </w:r>
      <w:r w:rsidR="00912554">
        <w:t xml:space="preserve">scavenge wire from </w:t>
      </w:r>
      <w:r w:rsidR="00FD4705">
        <w:t>e-</w:t>
      </w:r>
      <w:r w:rsidR="00B4537D">
        <w:t>waste</w:t>
      </w:r>
      <w:r w:rsidR="00912554">
        <w:t xml:space="preserve"> sites</w:t>
      </w:r>
      <w:r w:rsidR="00160167">
        <w:t>,</w:t>
      </w:r>
      <w:r w:rsidR="004231C0">
        <w:t xml:space="preserve"> </w:t>
      </w:r>
      <w:r w:rsidR="00160167">
        <w:t xml:space="preserve">where they are exposed to toxicants by direct contact, inhalation of toxic fumes, as well as through accumulation in soil, water and food </w:t>
      </w:r>
      <w:r w:rsidR="00F4151D">
        <w:t>(8</w:t>
      </w:r>
      <w:r w:rsidR="004231C0">
        <w:t>)</w:t>
      </w:r>
      <w:r w:rsidR="00912554">
        <w:t>.</w:t>
      </w:r>
      <w:r w:rsidR="00287006">
        <w:t xml:space="preserve"> </w:t>
      </w:r>
      <w:r w:rsidR="00F6525E">
        <w:t xml:space="preserve">This occurs </w:t>
      </w:r>
      <w:r w:rsidR="006366AA">
        <w:t xml:space="preserve">even </w:t>
      </w:r>
      <w:r w:rsidR="00F6525E">
        <w:t xml:space="preserve">in countries with legislation requiring companies and local </w:t>
      </w:r>
      <w:r w:rsidR="006366AA">
        <w:t>governments</w:t>
      </w:r>
      <w:r w:rsidR="00F6525E">
        <w:t xml:space="preserve"> to </w:t>
      </w:r>
      <w:r w:rsidR="006366AA">
        <w:t>safely</w:t>
      </w:r>
      <w:r w:rsidR="00F6525E">
        <w:t xml:space="preserve"> recycle e-waste, and national legislation </w:t>
      </w:r>
      <w:r w:rsidR="006366AA">
        <w:lastRenderedPageBreak/>
        <w:t xml:space="preserve">regulating the importation of e-waste and hazardous waste. </w:t>
      </w:r>
      <w:r w:rsidR="006366AA" w:rsidRPr="00AF2E45">
        <w:t xml:space="preserve">This </w:t>
      </w:r>
      <w:r w:rsidR="0030746D" w:rsidRPr="00AF2E45">
        <w:t xml:space="preserve">highlights the need for </w:t>
      </w:r>
      <w:r w:rsidR="006366AA" w:rsidRPr="00AF2E45">
        <w:t>a focus on the quality and enforcement of regulations.</w:t>
      </w:r>
      <w:r w:rsidR="006366AA" w:rsidRPr="00287006">
        <w:t xml:space="preserve"> </w:t>
      </w:r>
    </w:p>
    <w:p w14:paraId="660D5D80" w14:textId="77777777" w:rsidR="00F77CFD" w:rsidRDefault="00F77CFD" w:rsidP="00DB56D7">
      <w:pPr>
        <w:jc w:val="both"/>
      </w:pPr>
    </w:p>
    <w:p w14:paraId="29C8D8C2" w14:textId="36CFD65E" w:rsidR="00267C44" w:rsidRDefault="00F03649" w:rsidP="00DB56D7">
      <w:pPr>
        <w:shd w:val="clear" w:color="auto" w:fill="FFFFFF"/>
        <w:jc w:val="both"/>
        <w:rPr>
          <w:color w:val="000000"/>
        </w:rPr>
      </w:pPr>
      <w:r w:rsidRPr="00F03649">
        <w:rPr>
          <w:color w:val="000000"/>
        </w:rPr>
        <w:t>Lead presents another clear example</w:t>
      </w:r>
      <w:r>
        <w:rPr>
          <w:color w:val="000000"/>
        </w:rPr>
        <w:t xml:space="preserve"> of the need for ongoing monitoring and enforcement.</w:t>
      </w:r>
      <w:r w:rsidR="00267C44" w:rsidRPr="002E62D5">
        <w:rPr>
          <w:color w:val="000000"/>
        </w:rPr>
        <w:t xml:space="preserve"> </w:t>
      </w:r>
      <w:r>
        <w:rPr>
          <w:color w:val="000000"/>
        </w:rPr>
        <w:t>T</w:t>
      </w:r>
      <w:r w:rsidR="00267C44" w:rsidRPr="002E62D5">
        <w:rPr>
          <w:color w:val="000000"/>
        </w:rPr>
        <w:t xml:space="preserve">he recent </w:t>
      </w:r>
      <w:r w:rsidR="00F75FE9">
        <w:rPr>
          <w:color w:val="000000"/>
        </w:rPr>
        <w:t xml:space="preserve">exposure of children in Flint, Michigan, and other cities in the United States of America to lead contaminated </w:t>
      </w:r>
      <w:r w:rsidR="00267C44" w:rsidRPr="002E62D5">
        <w:rPr>
          <w:color w:val="000000"/>
        </w:rPr>
        <w:t>water highlight</w:t>
      </w:r>
      <w:r w:rsidR="007E562C">
        <w:rPr>
          <w:color w:val="000000"/>
        </w:rPr>
        <w:t>s</w:t>
      </w:r>
      <w:r w:rsidR="00267C44" w:rsidRPr="002E62D5">
        <w:rPr>
          <w:color w:val="000000"/>
        </w:rPr>
        <w:t xml:space="preserve"> that </w:t>
      </w:r>
      <w:r w:rsidR="00287006">
        <w:rPr>
          <w:color w:val="000000"/>
        </w:rPr>
        <w:t xml:space="preserve">there is potential for </w:t>
      </w:r>
      <w:r w:rsidR="00267C44" w:rsidRPr="002E62D5">
        <w:rPr>
          <w:color w:val="000000"/>
        </w:rPr>
        <w:t xml:space="preserve">exposure to harmful levels of environmental toxicants </w:t>
      </w:r>
      <w:r w:rsidR="00287006">
        <w:rPr>
          <w:color w:val="000000"/>
        </w:rPr>
        <w:t>in areas with</w:t>
      </w:r>
      <w:r w:rsidR="00824518">
        <w:rPr>
          <w:color w:val="000000"/>
        </w:rPr>
        <w:t xml:space="preserve"> </w:t>
      </w:r>
      <w:r w:rsidR="00AF2E45">
        <w:rPr>
          <w:color w:val="000000"/>
        </w:rPr>
        <w:t>existing</w:t>
      </w:r>
      <w:r w:rsidR="00824518">
        <w:rPr>
          <w:color w:val="000000"/>
        </w:rPr>
        <w:t xml:space="preserve"> regulation</w:t>
      </w:r>
      <w:r w:rsidR="0012058D">
        <w:rPr>
          <w:color w:val="000000"/>
        </w:rPr>
        <w:t>s</w:t>
      </w:r>
      <w:r w:rsidR="00267C44" w:rsidRPr="002E62D5">
        <w:rPr>
          <w:color w:val="000000"/>
        </w:rPr>
        <w:t xml:space="preserve">. </w:t>
      </w:r>
      <w:r w:rsidR="00267C44" w:rsidRPr="00F75FE9">
        <w:rPr>
          <w:color w:val="000000"/>
        </w:rPr>
        <w:t>The crisis occurred</w:t>
      </w:r>
      <w:r w:rsidR="00267C44" w:rsidRPr="002E62D5">
        <w:rPr>
          <w:color w:val="000000"/>
        </w:rPr>
        <w:t xml:space="preserve"> when harmful levels of lead seeped from lead pipes </w:t>
      </w:r>
      <w:r w:rsidR="007E562C">
        <w:rPr>
          <w:color w:val="000000"/>
        </w:rPr>
        <w:t>in</w:t>
      </w:r>
      <w:r w:rsidR="00267C44" w:rsidRPr="002E62D5">
        <w:rPr>
          <w:color w:val="000000"/>
        </w:rPr>
        <w:t>to the cities water supply</w:t>
      </w:r>
      <w:r w:rsidR="00824518">
        <w:rPr>
          <w:color w:val="000000"/>
        </w:rPr>
        <w:t>, resulting in exposure of potentially 15,000 children to high le</w:t>
      </w:r>
      <w:r w:rsidR="00F4151D">
        <w:rPr>
          <w:color w:val="000000"/>
        </w:rPr>
        <w:t>ad levels (9</w:t>
      </w:r>
      <w:r w:rsidR="00824518">
        <w:rPr>
          <w:color w:val="000000"/>
        </w:rPr>
        <w:t>)</w:t>
      </w:r>
      <w:r w:rsidR="00267C44" w:rsidRPr="002E62D5">
        <w:rPr>
          <w:color w:val="000000"/>
        </w:rPr>
        <w:t>. Studies found that among children under 5 years old, the incidence of blood lead levels over 5µg/dL</w:t>
      </w:r>
      <w:r w:rsidR="00824518">
        <w:rPr>
          <w:color w:val="000000"/>
        </w:rPr>
        <w:t xml:space="preserve">, the current level of </w:t>
      </w:r>
      <w:r w:rsidR="007E562C">
        <w:rPr>
          <w:color w:val="000000"/>
        </w:rPr>
        <w:t>alert</w:t>
      </w:r>
      <w:r w:rsidR="00824518">
        <w:rPr>
          <w:color w:val="000000"/>
        </w:rPr>
        <w:t xml:space="preserve"> in the United States,</w:t>
      </w:r>
      <w:r w:rsidR="00267C44" w:rsidRPr="002E62D5">
        <w:rPr>
          <w:color w:val="000000"/>
        </w:rPr>
        <w:t xml:space="preserve"> increased from 2.4% to 4.9%, and in the most affecte</w:t>
      </w:r>
      <w:r w:rsidR="006F59AB">
        <w:rPr>
          <w:color w:val="000000"/>
        </w:rPr>
        <w:t>d</w:t>
      </w:r>
      <w:r w:rsidR="00F4151D">
        <w:rPr>
          <w:color w:val="000000"/>
        </w:rPr>
        <w:t xml:space="preserve"> areas up to a 6.6% </w:t>
      </w:r>
      <w:r w:rsidR="00F4151D" w:rsidRPr="004F793C">
        <w:rPr>
          <w:color w:val="000000"/>
        </w:rPr>
        <w:t>increase (10</w:t>
      </w:r>
      <w:r w:rsidR="00267C44" w:rsidRPr="004F793C">
        <w:rPr>
          <w:color w:val="000000"/>
        </w:rPr>
        <w:t>). Elevated blood lead le</w:t>
      </w:r>
      <w:r w:rsidR="002E62D5" w:rsidRPr="004F793C">
        <w:rPr>
          <w:color w:val="000000"/>
        </w:rPr>
        <w:t xml:space="preserve">vels in children can </w:t>
      </w:r>
      <w:r w:rsidR="00824518" w:rsidRPr="004F793C">
        <w:rPr>
          <w:color w:val="000000"/>
        </w:rPr>
        <w:t>lead to</w:t>
      </w:r>
      <w:r w:rsidR="002E62D5" w:rsidRPr="004F793C">
        <w:rPr>
          <w:color w:val="000000"/>
        </w:rPr>
        <w:t xml:space="preserve"> behavioural problems, a low</w:t>
      </w:r>
      <w:r w:rsidR="0066537D" w:rsidRPr="004F793C">
        <w:rPr>
          <w:color w:val="000000"/>
        </w:rPr>
        <w:t>er</w:t>
      </w:r>
      <w:r w:rsidR="002E62D5" w:rsidRPr="004F793C">
        <w:rPr>
          <w:color w:val="000000"/>
        </w:rPr>
        <w:t xml:space="preserve"> IQ and health issues such as changes in physical growth, blood cell develo</w:t>
      </w:r>
      <w:r w:rsidR="00F4151D" w:rsidRPr="004F793C">
        <w:rPr>
          <w:color w:val="000000"/>
        </w:rPr>
        <w:t>pment and kidney functioning (11</w:t>
      </w:r>
      <w:r w:rsidR="002E62D5" w:rsidRPr="004F793C">
        <w:rPr>
          <w:color w:val="000000"/>
        </w:rPr>
        <w:t xml:space="preserve">). </w:t>
      </w:r>
      <w:r w:rsidR="00912554" w:rsidRPr="004F793C">
        <w:rPr>
          <w:color w:val="000000"/>
        </w:rPr>
        <w:t xml:space="preserve">This incident highlights how even a small lapse in monitoring </w:t>
      </w:r>
      <w:r w:rsidR="006C5507" w:rsidRPr="004F793C">
        <w:rPr>
          <w:color w:val="000000"/>
        </w:rPr>
        <w:t>and enforcement</w:t>
      </w:r>
      <w:r w:rsidR="006C5507">
        <w:rPr>
          <w:color w:val="000000"/>
        </w:rPr>
        <w:t xml:space="preserve"> can result</w:t>
      </w:r>
      <w:r w:rsidR="00912554">
        <w:rPr>
          <w:color w:val="000000"/>
        </w:rPr>
        <w:t xml:space="preserve"> in </w:t>
      </w:r>
      <w:r w:rsidR="006C5507">
        <w:rPr>
          <w:color w:val="000000"/>
        </w:rPr>
        <w:t xml:space="preserve">acute </w:t>
      </w:r>
      <w:r w:rsidR="00912554">
        <w:rPr>
          <w:color w:val="000000"/>
        </w:rPr>
        <w:t>health issue</w:t>
      </w:r>
      <w:r w:rsidR="00AF2E45">
        <w:rPr>
          <w:color w:val="000000"/>
        </w:rPr>
        <w:t>s</w:t>
      </w:r>
      <w:r w:rsidR="00912554">
        <w:rPr>
          <w:color w:val="000000"/>
        </w:rPr>
        <w:t xml:space="preserve"> and long-term effects on the health, education and quality of life of those affected. </w:t>
      </w:r>
      <w:r w:rsidR="00267C44">
        <w:rPr>
          <w:color w:val="000000"/>
        </w:rPr>
        <w:t xml:space="preserve">Not only </w:t>
      </w:r>
      <w:r w:rsidR="00824518">
        <w:rPr>
          <w:color w:val="000000"/>
        </w:rPr>
        <w:t>do similar</w:t>
      </w:r>
      <w:r w:rsidR="00267C44">
        <w:rPr>
          <w:color w:val="000000"/>
        </w:rPr>
        <w:t xml:space="preserve"> </w:t>
      </w:r>
      <w:r w:rsidR="00824518">
        <w:rPr>
          <w:color w:val="000000"/>
        </w:rPr>
        <w:t xml:space="preserve">incidents </w:t>
      </w:r>
      <w:r w:rsidR="00267C44">
        <w:rPr>
          <w:color w:val="000000"/>
        </w:rPr>
        <w:t xml:space="preserve">impact </w:t>
      </w:r>
      <w:r w:rsidR="00824518">
        <w:rPr>
          <w:color w:val="000000"/>
        </w:rPr>
        <w:t xml:space="preserve">a </w:t>
      </w:r>
      <w:r w:rsidR="00267C44">
        <w:rPr>
          <w:color w:val="000000"/>
        </w:rPr>
        <w:t xml:space="preserve">child’s right to safe water and sanitation, but can also impact the right to </w:t>
      </w:r>
      <w:r w:rsidR="00824518">
        <w:rPr>
          <w:color w:val="000000"/>
        </w:rPr>
        <w:t>health and education.</w:t>
      </w:r>
      <w:r w:rsidR="00267C44">
        <w:rPr>
          <w:color w:val="000000"/>
        </w:rPr>
        <w:t xml:space="preserve"> </w:t>
      </w:r>
    </w:p>
    <w:p w14:paraId="19305B7A" w14:textId="77777777" w:rsidR="00287006" w:rsidRPr="00DD173A" w:rsidRDefault="00287006" w:rsidP="00DB56D7">
      <w:pPr>
        <w:shd w:val="clear" w:color="auto" w:fill="FFFFFF"/>
        <w:jc w:val="both"/>
        <w:rPr>
          <w:color w:val="000000" w:themeColor="text1"/>
        </w:rPr>
      </w:pPr>
    </w:p>
    <w:p w14:paraId="6F32185B" w14:textId="56D047B8" w:rsidR="00287006" w:rsidRPr="00600A95" w:rsidRDefault="00276E3E" w:rsidP="005114C0">
      <w:pPr>
        <w:shd w:val="clear" w:color="auto" w:fill="FFFFFF"/>
        <w:jc w:val="both"/>
        <w:rPr>
          <w:color w:val="000000" w:themeColor="text1"/>
        </w:rPr>
      </w:pPr>
      <w:r>
        <w:rPr>
          <w:color w:val="000000" w:themeColor="text1"/>
        </w:rPr>
        <w:t>T</w:t>
      </w:r>
      <w:r>
        <w:t xml:space="preserve">he lead example also presents us with clear financial estimates on how primary prevention works not only at the health level but also yields economic benefits at </w:t>
      </w:r>
      <w:r w:rsidR="00B42BB6">
        <w:t xml:space="preserve">the </w:t>
      </w:r>
      <w:r>
        <w:t>country level.</w:t>
      </w:r>
      <w:r w:rsidR="000B7349">
        <w:t xml:space="preserve"> In addition to lead being found in water, other common sources of exposure include lead-based paints and the potential inhalation of lead dust during house renovations, lead in ceramic glazing that is used for cooking pots in parts of </w:t>
      </w:r>
      <w:r w:rsidR="008A393A">
        <w:t>Latin America</w:t>
      </w:r>
      <w:r w:rsidR="000B7349">
        <w:t xml:space="preserve">, and kohl which is used in many parts of Asia and the Middle East as eyeliner but is particularly detrimental when used on babies. All of these sources of exposure are easily preventable but interventions are often viewed as </w:t>
      </w:r>
      <w:r w:rsidR="004F793C">
        <w:t xml:space="preserve">prohibitively </w:t>
      </w:r>
      <w:r w:rsidR="000B7349" w:rsidRPr="004F793C">
        <w:t>costly.</w:t>
      </w:r>
      <w:r>
        <w:t xml:space="preserve"> </w:t>
      </w:r>
      <w:r w:rsidR="007E562C">
        <w:t xml:space="preserve">Despite the cost of </w:t>
      </w:r>
      <w:r w:rsidR="007E562C" w:rsidRPr="004F793C">
        <w:t>interventions it has been estimated that each dollar invested in the control of lead paint exposure would provide a return of $17-$221 (</w:t>
      </w:r>
      <w:r w:rsidR="004F793C" w:rsidRPr="004F793C">
        <w:t>12</w:t>
      </w:r>
      <w:r w:rsidR="007E562C" w:rsidRPr="004F793C">
        <w:t xml:space="preserve">). It </w:t>
      </w:r>
      <w:r w:rsidRPr="004F793C">
        <w:t xml:space="preserve">has </w:t>
      </w:r>
      <w:r w:rsidR="007E562C" w:rsidRPr="004F793C">
        <w:t xml:space="preserve">also </w:t>
      </w:r>
      <w:r w:rsidRPr="004F793C">
        <w:t>been estimated that the cost of childhood lead exposure, through direct health costs and lost productivity, is $977 billion a year in low and middle-income countries, approximately 1.20% of global GDP</w:t>
      </w:r>
      <w:r w:rsidR="000B7349" w:rsidRPr="004F793C">
        <w:t xml:space="preserve"> (</w:t>
      </w:r>
      <w:r w:rsidR="00667CDA" w:rsidRPr="004F793C">
        <w:t>1</w:t>
      </w:r>
      <w:r w:rsidR="004F793C" w:rsidRPr="004F793C">
        <w:t>3</w:t>
      </w:r>
      <w:r w:rsidR="000B7349" w:rsidRPr="004F793C">
        <w:t>)</w:t>
      </w:r>
      <w:r w:rsidRPr="004F793C">
        <w:t xml:space="preserve">. An additional $50.9 billion a year in the Untied States and $55 billion in Europe </w:t>
      </w:r>
      <w:r w:rsidR="000B7349" w:rsidRPr="004F793C">
        <w:t xml:space="preserve">is lost to childhood lead exposure </w:t>
      </w:r>
      <w:r w:rsidRPr="004F793C">
        <w:t>(</w:t>
      </w:r>
      <w:r w:rsidR="00667CDA" w:rsidRPr="004F793C">
        <w:t>1</w:t>
      </w:r>
      <w:r w:rsidR="004F793C" w:rsidRPr="004F793C">
        <w:t>4</w:t>
      </w:r>
      <w:r w:rsidR="00667CDA" w:rsidRPr="004F793C">
        <w:t>,1</w:t>
      </w:r>
      <w:r w:rsidR="004F793C" w:rsidRPr="004F793C">
        <w:t>5</w:t>
      </w:r>
      <w:r w:rsidRPr="004F793C">
        <w:t xml:space="preserve">). </w:t>
      </w:r>
      <w:r w:rsidR="00287006" w:rsidRPr="004F793C">
        <w:rPr>
          <w:color w:val="000000" w:themeColor="text1"/>
        </w:rPr>
        <w:t>In addition to the potential health outcomes</w:t>
      </w:r>
      <w:r w:rsidR="00DD173A" w:rsidRPr="004F793C">
        <w:rPr>
          <w:color w:val="000000" w:themeColor="text1"/>
        </w:rPr>
        <w:t xml:space="preserve"> of childhood lead exposure</w:t>
      </w:r>
      <w:r w:rsidR="00287006" w:rsidRPr="004F793C">
        <w:rPr>
          <w:color w:val="000000" w:themeColor="text1"/>
        </w:rPr>
        <w:t>, there is a</w:t>
      </w:r>
      <w:r w:rsidR="00F645CC" w:rsidRPr="004F793C">
        <w:rPr>
          <w:color w:val="000000" w:themeColor="text1"/>
        </w:rPr>
        <w:t>n</w:t>
      </w:r>
      <w:r w:rsidR="00287006" w:rsidRPr="004F793C">
        <w:rPr>
          <w:color w:val="000000" w:themeColor="text1"/>
        </w:rPr>
        <w:t xml:space="preserve"> </w:t>
      </w:r>
      <w:r w:rsidR="00F645CC" w:rsidRPr="004F793C">
        <w:rPr>
          <w:color w:val="000000" w:themeColor="text1"/>
        </w:rPr>
        <w:t>economic</w:t>
      </w:r>
      <w:r w:rsidR="000B7349" w:rsidRPr="004F793C">
        <w:rPr>
          <w:color w:val="000000" w:themeColor="text1"/>
        </w:rPr>
        <w:t xml:space="preserve"> </w:t>
      </w:r>
      <w:r w:rsidR="00287006" w:rsidRPr="004F793C">
        <w:rPr>
          <w:color w:val="000000" w:themeColor="text1"/>
        </w:rPr>
        <w:t>cost burden associated with health outcomes from exposure to environmental toxicants</w:t>
      </w:r>
      <w:r w:rsidR="00600A95" w:rsidRPr="004F793C">
        <w:rPr>
          <w:color w:val="000000" w:themeColor="text1"/>
        </w:rPr>
        <w:t xml:space="preserve">. </w:t>
      </w:r>
      <w:r w:rsidR="00F645CC" w:rsidRPr="004F793C">
        <w:rPr>
          <w:color w:val="000000" w:themeColor="text1"/>
        </w:rPr>
        <w:t>There</w:t>
      </w:r>
      <w:r w:rsidR="00287006" w:rsidRPr="00DD173A">
        <w:rPr>
          <w:color w:val="000000" w:themeColor="text1"/>
        </w:rPr>
        <w:t xml:space="preserve"> are </w:t>
      </w:r>
      <w:r w:rsidR="00287006" w:rsidRPr="00600A95">
        <w:rPr>
          <w:color w:val="000000" w:themeColor="text1"/>
        </w:rPr>
        <w:t xml:space="preserve">significant cost savings from control measures that are specifically </w:t>
      </w:r>
      <w:r w:rsidR="00600A95">
        <w:rPr>
          <w:color w:val="000000" w:themeColor="text1"/>
        </w:rPr>
        <w:t>targeted to early interventions.</w:t>
      </w:r>
      <w:r w:rsidR="00287006" w:rsidRPr="00600A95">
        <w:rPr>
          <w:color w:val="000000" w:themeColor="text1"/>
        </w:rPr>
        <w:t xml:space="preserve"> </w:t>
      </w:r>
    </w:p>
    <w:p w14:paraId="65B2663B" w14:textId="77777777" w:rsidR="004C2832" w:rsidRDefault="004C2832" w:rsidP="005C3DDA">
      <w:pPr>
        <w:jc w:val="both"/>
        <w:rPr>
          <w:u w:val="single"/>
        </w:rPr>
      </w:pPr>
    </w:p>
    <w:p w14:paraId="0808C2CC" w14:textId="77777777" w:rsidR="009E627D" w:rsidRPr="00BC26B0" w:rsidRDefault="009E627D" w:rsidP="005C3DDA">
      <w:pPr>
        <w:jc w:val="both"/>
        <w:rPr>
          <w:u w:val="single"/>
        </w:rPr>
      </w:pPr>
      <w:r>
        <w:rPr>
          <w:u w:val="single"/>
        </w:rPr>
        <w:t>The p</w:t>
      </w:r>
      <w:r w:rsidRPr="00BC26B0">
        <w:rPr>
          <w:u w:val="single"/>
        </w:rPr>
        <w:t xml:space="preserve">recautionary </w:t>
      </w:r>
      <w:r>
        <w:rPr>
          <w:u w:val="single"/>
        </w:rPr>
        <w:t>p</w:t>
      </w:r>
      <w:r w:rsidRPr="00BC26B0">
        <w:rPr>
          <w:u w:val="single"/>
        </w:rPr>
        <w:t>rinciple</w:t>
      </w:r>
    </w:p>
    <w:p w14:paraId="5325CC06" w14:textId="77777777" w:rsidR="009E627D" w:rsidRDefault="009E627D" w:rsidP="005114C0">
      <w:pPr>
        <w:jc w:val="both"/>
      </w:pPr>
    </w:p>
    <w:p w14:paraId="6C10D9B2" w14:textId="7E3E26F5" w:rsidR="009E627D" w:rsidRPr="00BC26B0" w:rsidRDefault="009E627D" w:rsidP="005114C0">
      <w:pPr>
        <w:jc w:val="both"/>
      </w:pPr>
      <w:r w:rsidRPr="00AF2E45">
        <w:t>The precautionary principl</w:t>
      </w:r>
      <w:r w:rsidR="005114C0">
        <w:t>e</w:t>
      </w:r>
      <w:r w:rsidRPr="00AF2E45">
        <w:t xml:space="preserve"> suggests that if there is a potential risk</w:t>
      </w:r>
      <w:r w:rsidR="00AF2E45" w:rsidRPr="00AF2E45">
        <w:t xml:space="preserve"> to health</w:t>
      </w:r>
      <w:r w:rsidR="008217B7">
        <w:t xml:space="preserve"> or the environment</w:t>
      </w:r>
      <w:r w:rsidR="00AF2E45" w:rsidRPr="00AF2E45">
        <w:t>,</w:t>
      </w:r>
      <w:r w:rsidRPr="00AF2E45">
        <w:t xml:space="preserve"> measures should be taken to reduce exposure and minimize </w:t>
      </w:r>
      <w:r w:rsidR="008217B7">
        <w:t>negative effects</w:t>
      </w:r>
      <w:r w:rsidR="00AF2E45" w:rsidRPr="00AF2E45">
        <w:t xml:space="preserve"> even if the full extend of </w:t>
      </w:r>
      <w:r w:rsidR="008217B7">
        <w:t>the potential harm</w:t>
      </w:r>
      <w:r w:rsidR="00AF2E45" w:rsidRPr="00AF2E45">
        <w:t xml:space="preserve"> </w:t>
      </w:r>
      <w:r w:rsidR="008217B7">
        <w:t>has</w:t>
      </w:r>
      <w:r w:rsidR="00AF2E45" w:rsidRPr="00AF2E45">
        <w:t xml:space="preserve"> not yet been confirmed.</w:t>
      </w:r>
      <w:r w:rsidRPr="00AF2E45">
        <w:t xml:space="preserve"> </w:t>
      </w:r>
      <w:r w:rsidR="008217B7">
        <w:t xml:space="preserve">Under the concept, it is the responsibility of the producer, user or importer of a substance to prove that it is not harmful. </w:t>
      </w:r>
      <w:r w:rsidRPr="00AF2E45">
        <w:t>This principle</w:t>
      </w:r>
      <w:r>
        <w:t xml:space="preserve"> is highly relevant to emerging environmental exposures, in particular chemicals. The </w:t>
      </w:r>
      <w:r w:rsidR="004C2832">
        <w:t xml:space="preserve">health </w:t>
      </w:r>
      <w:r w:rsidR="00AF2E45">
        <w:t>hazards</w:t>
      </w:r>
      <w:r>
        <w:t xml:space="preserve"> of </w:t>
      </w:r>
      <w:r w:rsidRPr="004C2832">
        <w:t>newly developed chemicals</w:t>
      </w:r>
      <w:r>
        <w:t xml:space="preserve"> can take decades to </w:t>
      </w:r>
      <w:r w:rsidR="008217B7">
        <w:t xml:space="preserve">confirm, during which time they can have devastating effects. </w:t>
      </w:r>
    </w:p>
    <w:p w14:paraId="5D7C617F" w14:textId="77777777" w:rsidR="008217B7" w:rsidRDefault="008217B7" w:rsidP="005114C0">
      <w:pPr>
        <w:shd w:val="clear" w:color="auto" w:fill="FFFFFF"/>
        <w:jc w:val="both"/>
        <w:rPr>
          <w:color w:val="000000"/>
        </w:rPr>
      </w:pPr>
    </w:p>
    <w:p w14:paraId="07B52B45" w14:textId="098740A4" w:rsidR="008217B7" w:rsidRDefault="008217B7" w:rsidP="005114C0">
      <w:pPr>
        <w:shd w:val="clear" w:color="auto" w:fill="FFFFFF"/>
        <w:jc w:val="both"/>
        <w:rPr>
          <w:i/>
          <w:color w:val="000000"/>
        </w:rPr>
      </w:pPr>
      <w:r>
        <w:rPr>
          <w:color w:val="000000"/>
        </w:rPr>
        <w:t xml:space="preserve">Studies have found that the period from conception to birth is a highly critical time in development, during which </w:t>
      </w:r>
      <w:r w:rsidRPr="00391FE5">
        <w:rPr>
          <w:color w:val="000000"/>
        </w:rPr>
        <w:t xml:space="preserve">exposures can have long-term effects on the child. In </w:t>
      </w:r>
      <w:r w:rsidR="00E16C11" w:rsidRPr="00391FE5">
        <w:rPr>
          <w:color w:val="000000"/>
        </w:rPr>
        <w:t>the 19</w:t>
      </w:r>
      <w:r w:rsidR="00E16C11" w:rsidRPr="00391FE5">
        <w:rPr>
          <w:color w:val="000000"/>
          <w:vertAlign w:val="superscript"/>
        </w:rPr>
        <w:t>th</w:t>
      </w:r>
      <w:r w:rsidR="00E16C11" w:rsidRPr="00391FE5">
        <w:rPr>
          <w:color w:val="000000"/>
        </w:rPr>
        <w:t xml:space="preserve"> Century case reports began proposing a link between tobacco use and cancer and in 1939 the </w:t>
      </w:r>
      <w:r w:rsidR="00E16C11" w:rsidRPr="00391FE5">
        <w:rPr>
          <w:color w:val="000000"/>
        </w:rPr>
        <w:lastRenderedPageBreak/>
        <w:t xml:space="preserve">first case-control study on the topic was published (16). </w:t>
      </w:r>
      <w:r w:rsidR="00E16C11" w:rsidRPr="00391FE5">
        <w:t>Articles also began</w:t>
      </w:r>
      <w:r w:rsidR="00E16C11" w:rsidRPr="00391FE5">
        <w:rPr>
          <w:color w:val="000000"/>
        </w:rPr>
        <w:t xml:space="preserve"> </w:t>
      </w:r>
      <w:r w:rsidR="00391FE5" w:rsidRPr="00391FE5">
        <w:rPr>
          <w:color w:val="000000"/>
        </w:rPr>
        <w:t xml:space="preserve">expressing </w:t>
      </w:r>
      <w:r w:rsidR="00E16C11" w:rsidRPr="00391FE5">
        <w:rPr>
          <w:color w:val="000000"/>
        </w:rPr>
        <w:t xml:space="preserve">concern about the effect of smoking on unborn children. </w:t>
      </w:r>
      <w:r w:rsidRPr="00391FE5">
        <w:rPr>
          <w:color w:val="000000"/>
        </w:rPr>
        <w:t xml:space="preserve">The link between tobacco smoking and lung cancer was confirmed in the mid-1960s, and </w:t>
      </w:r>
      <w:r w:rsidR="00E16C11" w:rsidRPr="00391FE5">
        <w:rPr>
          <w:color w:val="000000"/>
        </w:rPr>
        <w:t>few years later</w:t>
      </w:r>
      <w:r w:rsidRPr="00391FE5">
        <w:rPr>
          <w:color w:val="000000"/>
        </w:rPr>
        <w:t xml:space="preserve"> the link between maternal smoking and low birth weight was confirmed (</w:t>
      </w:r>
      <w:r w:rsidR="00667CDA" w:rsidRPr="00391FE5">
        <w:t>16</w:t>
      </w:r>
      <w:r w:rsidRPr="00391FE5">
        <w:rPr>
          <w:color w:val="000000"/>
        </w:rPr>
        <w:t>). The impacts of second-hand smoke were also beginning to be confirmed. Yet it was not until the late 20</w:t>
      </w:r>
      <w:r w:rsidRPr="00391FE5">
        <w:rPr>
          <w:color w:val="000000"/>
          <w:vertAlign w:val="superscript"/>
        </w:rPr>
        <w:t>th</w:t>
      </w:r>
      <w:r w:rsidRPr="00391FE5">
        <w:rPr>
          <w:color w:val="000000"/>
        </w:rPr>
        <w:t xml:space="preserve"> century that many countries introduced progressive tobacco control policies. It took decades to confirm the link between tobacco smoking and negative health outcomes, and during this time many children were exposed</w:t>
      </w:r>
      <w:r w:rsidRPr="00391FE5">
        <w:rPr>
          <w:i/>
          <w:color w:val="000000"/>
        </w:rPr>
        <w:t>.</w:t>
      </w:r>
      <w:r w:rsidRPr="00391FE5">
        <w:rPr>
          <w:color w:val="000000"/>
        </w:rPr>
        <w:t xml:space="preserve"> </w:t>
      </w:r>
      <w:r w:rsidR="00F97D7B" w:rsidRPr="00391FE5">
        <w:rPr>
          <w:color w:val="000000"/>
        </w:rPr>
        <w:t xml:space="preserve">Maternal smoking during pregnancy has now been linked to an increased risk of </w:t>
      </w:r>
      <w:r w:rsidR="006B47EE" w:rsidRPr="00391FE5">
        <w:rPr>
          <w:color w:val="000000"/>
        </w:rPr>
        <w:t>adverse birth outcomes including</w:t>
      </w:r>
      <w:r w:rsidR="00F97D7B" w:rsidRPr="008223E7">
        <w:rPr>
          <w:color w:val="000000"/>
        </w:rPr>
        <w:t xml:space="preserve"> </w:t>
      </w:r>
      <w:r w:rsidR="006B47EE" w:rsidRPr="008223E7">
        <w:rPr>
          <w:color w:val="000000"/>
        </w:rPr>
        <w:t>preterm delivery, low birth weight</w:t>
      </w:r>
      <w:r w:rsidR="008223E7" w:rsidRPr="008223E7">
        <w:rPr>
          <w:color w:val="000000"/>
        </w:rPr>
        <w:t xml:space="preserve"> and fetal growth restriction,</w:t>
      </w:r>
      <w:r w:rsidR="006B47EE" w:rsidRPr="008223E7">
        <w:rPr>
          <w:color w:val="000000"/>
        </w:rPr>
        <w:t xml:space="preserve"> </w:t>
      </w:r>
      <w:r w:rsidR="00F97D7B" w:rsidRPr="008223E7">
        <w:rPr>
          <w:color w:val="000000"/>
        </w:rPr>
        <w:t>sudden infant death syndrome, altered cardiovascular responses, increased risk of asthma and wheezing, as well as behavioural abnormalities such as attention deficit disorders, lower IQ, cognitive dysfunction and impaired learning and memory</w:t>
      </w:r>
      <w:r w:rsidR="00F97D7B">
        <w:rPr>
          <w:color w:val="000000"/>
        </w:rPr>
        <w:t xml:space="preserve"> (</w:t>
      </w:r>
      <w:r w:rsidR="001278E6">
        <w:rPr>
          <w:color w:val="000000"/>
        </w:rPr>
        <w:t>17</w:t>
      </w:r>
      <w:r w:rsidR="00F97D7B">
        <w:rPr>
          <w:color w:val="000000"/>
        </w:rPr>
        <w:t>). Exposure to t</w:t>
      </w:r>
      <w:r>
        <w:rPr>
          <w:color w:val="000000"/>
        </w:rPr>
        <w:t xml:space="preserve">obacco smoke is an example of </w:t>
      </w:r>
      <w:r w:rsidR="006A1BA3">
        <w:rPr>
          <w:color w:val="000000"/>
        </w:rPr>
        <w:t xml:space="preserve">the value of adopting </w:t>
      </w:r>
      <w:r>
        <w:rPr>
          <w:color w:val="000000"/>
        </w:rPr>
        <w:t xml:space="preserve">the precautionary principle as the health effects were suspected long </w:t>
      </w:r>
      <w:r w:rsidRPr="000C457E">
        <w:rPr>
          <w:color w:val="000000"/>
        </w:rPr>
        <w:t>before comprehensive rules and regulations were in</w:t>
      </w:r>
      <w:r>
        <w:rPr>
          <w:color w:val="000000"/>
        </w:rPr>
        <w:t xml:space="preserve"> place to protect children.</w:t>
      </w:r>
    </w:p>
    <w:p w14:paraId="4C499948" w14:textId="77777777" w:rsidR="008217B7" w:rsidRDefault="008217B7" w:rsidP="005114C0">
      <w:pPr>
        <w:jc w:val="both"/>
      </w:pPr>
    </w:p>
    <w:p w14:paraId="3E8A473B" w14:textId="75F14797" w:rsidR="009E627D" w:rsidRDefault="009E627D" w:rsidP="005114C0">
      <w:pPr>
        <w:shd w:val="clear" w:color="auto" w:fill="FFFFFF"/>
        <w:jc w:val="both"/>
        <w:rPr>
          <w:color w:val="000000"/>
        </w:rPr>
      </w:pPr>
      <w:r>
        <w:rPr>
          <w:color w:val="000000"/>
        </w:rPr>
        <w:t>Endocrine disruptors are chemicals that can interfere with the body’s endocrine system and produce adverse developmental, reproductive, ne</w:t>
      </w:r>
      <w:r w:rsidR="00F4151D">
        <w:rPr>
          <w:color w:val="000000"/>
        </w:rPr>
        <w:t>urological and immune effects (</w:t>
      </w:r>
      <w:r w:rsidR="00667CDA">
        <w:rPr>
          <w:color w:val="000000"/>
        </w:rPr>
        <w:t>1</w:t>
      </w:r>
      <w:r w:rsidR="001278E6">
        <w:rPr>
          <w:color w:val="000000"/>
        </w:rPr>
        <w:t>8</w:t>
      </w:r>
      <w:r>
        <w:rPr>
          <w:color w:val="000000"/>
        </w:rPr>
        <w:t xml:space="preserve">). Many chemicals are suspected or confirmed endocrine disruptors, including </w:t>
      </w:r>
      <w:r>
        <w:rPr>
          <w:rStyle w:val="tgc"/>
          <w:rFonts w:eastAsia="Times New Roman"/>
        </w:rPr>
        <w:t>polychlorinated biphenyls (</w:t>
      </w:r>
      <w:r>
        <w:rPr>
          <w:color w:val="000000"/>
        </w:rPr>
        <w:t>PCBs), pesticides, some pharmaceuticals, dioxin and dioxin-like compounds, and plasticizers such as bisphenol A. Plastic bottles and containers, metal food cans, detergents, clothes, food, toys, cosmetics, and pesticides may contain these</w:t>
      </w:r>
      <w:r w:rsidR="00F4151D">
        <w:rPr>
          <w:color w:val="000000"/>
        </w:rPr>
        <w:t xml:space="preserve"> chemicals (</w:t>
      </w:r>
      <w:r w:rsidR="00667CDA">
        <w:rPr>
          <w:color w:val="000000"/>
        </w:rPr>
        <w:t>1</w:t>
      </w:r>
      <w:r w:rsidR="001278E6">
        <w:rPr>
          <w:color w:val="000000"/>
        </w:rPr>
        <w:t>8</w:t>
      </w:r>
      <w:r>
        <w:rPr>
          <w:color w:val="000000"/>
        </w:rPr>
        <w:t xml:space="preserve">). Children, </w:t>
      </w:r>
      <w:r w:rsidRPr="00600A95">
        <w:rPr>
          <w:color w:val="000000"/>
        </w:rPr>
        <w:t>particularly during gestation and in early childhood, are sensitive to endocrine disruptors as their bodies are smaller and immature and therefore are unable to as effectively break down the toxicants</w:t>
      </w:r>
      <w:r w:rsidR="004C2832" w:rsidRPr="00600A95">
        <w:rPr>
          <w:color w:val="000000"/>
        </w:rPr>
        <w:t xml:space="preserve"> </w:t>
      </w:r>
      <w:r w:rsidR="00600A95" w:rsidRPr="00600A95">
        <w:rPr>
          <w:color w:val="000000"/>
        </w:rPr>
        <w:t>as adults</w:t>
      </w:r>
      <w:r w:rsidR="00600A95">
        <w:rPr>
          <w:color w:val="000000"/>
        </w:rPr>
        <w:t>. As a result the effects can be more severe</w:t>
      </w:r>
      <w:r w:rsidRPr="00600A95">
        <w:rPr>
          <w:color w:val="000000"/>
        </w:rPr>
        <w:t>. Despite</w:t>
      </w:r>
      <w:r>
        <w:rPr>
          <w:color w:val="000000"/>
        </w:rPr>
        <w:t xml:space="preserve"> much of our knowledge of endocrine disrupting chemicals coming from animal studies, and the full effects of these chemicals in humans not yet being confirmed, application of the precautionary principle </w:t>
      </w:r>
      <w:r w:rsidR="006A1BA3" w:rsidRPr="006A1BA3">
        <w:rPr>
          <w:color w:val="000000"/>
        </w:rPr>
        <w:t>has been used by some countries</w:t>
      </w:r>
      <w:r w:rsidR="00AF2E45">
        <w:rPr>
          <w:color w:val="000000"/>
        </w:rPr>
        <w:t xml:space="preserve"> mitigate risks. </w:t>
      </w:r>
      <w:r>
        <w:rPr>
          <w:color w:val="000000"/>
        </w:rPr>
        <w:t xml:space="preserve">Some countries have introduced legislation to remove </w:t>
      </w:r>
      <w:r w:rsidR="00F67FC0">
        <w:rPr>
          <w:color w:val="000000"/>
        </w:rPr>
        <w:t xml:space="preserve">certain </w:t>
      </w:r>
      <w:r>
        <w:rPr>
          <w:color w:val="000000"/>
        </w:rPr>
        <w:t xml:space="preserve">endocrine disrupting chemicals from products used by children. Although endocrine disrupting chemicals have been used for decades and there is evidence they </w:t>
      </w:r>
      <w:r w:rsidR="008223E7">
        <w:rPr>
          <w:color w:val="000000"/>
        </w:rPr>
        <w:t xml:space="preserve">are associated with </w:t>
      </w:r>
      <w:r w:rsidR="00AF2E45">
        <w:rPr>
          <w:color w:val="000000"/>
        </w:rPr>
        <w:t xml:space="preserve">harmful </w:t>
      </w:r>
      <w:r>
        <w:rPr>
          <w:color w:val="000000"/>
        </w:rPr>
        <w:t>health effects in humans, they are often still classified as emerging chemicals and often unregulated.</w:t>
      </w:r>
    </w:p>
    <w:p w14:paraId="59DB87BC" w14:textId="77777777" w:rsidR="00600A95" w:rsidRDefault="00600A95" w:rsidP="005114C0">
      <w:pPr>
        <w:shd w:val="clear" w:color="auto" w:fill="FFFFFF"/>
        <w:jc w:val="both"/>
        <w:rPr>
          <w:i/>
          <w:color w:val="000000"/>
        </w:rPr>
      </w:pPr>
    </w:p>
    <w:p w14:paraId="55F32750" w14:textId="252550D5" w:rsidR="009E627D" w:rsidRDefault="00173D73" w:rsidP="005114C0">
      <w:pPr>
        <w:shd w:val="clear" w:color="auto" w:fill="FFFFFF"/>
        <w:jc w:val="both"/>
        <w:rPr>
          <w:color w:val="000000"/>
        </w:rPr>
      </w:pPr>
      <w:r>
        <w:rPr>
          <w:color w:val="000000"/>
        </w:rPr>
        <w:t>The use of the precautionary principle is particularly relevant to the issue of emerging chemicals as</w:t>
      </w:r>
      <w:r w:rsidRPr="006A1BA3">
        <w:rPr>
          <w:color w:val="000000"/>
        </w:rPr>
        <w:t xml:space="preserve"> </w:t>
      </w:r>
      <w:r>
        <w:rPr>
          <w:color w:val="000000"/>
        </w:rPr>
        <w:t>there are close to</w:t>
      </w:r>
      <w:r w:rsidRPr="006A1BA3">
        <w:rPr>
          <w:color w:val="000000"/>
        </w:rPr>
        <w:t xml:space="preserve"> 800 chemicals </w:t>
      </w:r>
      <w:r>
        <w:rPr>
          <w:color w:val="000000"/>
        </w:rPr>
        <w:t xml:space="preserve">that </w:t>
      </w:r>
      <w:r w:rsidRPr="006A1BA3">
        <w:rPr>
          <w:color w:val="000000"/>
        </w:rPr>
        <w:t>are known or suspected to b</w:t>
      </w:r>
      <w:r>
        <w:rPr>
          <w:color w:val="000000"/>
        </w:rPr>
        <w:t>e endocrine disrupting, many of which have not been adequately tested for their effects on children</w:t>
      </w:r>
      <w:r w:rsidRPr="006A1BA3">
        <w:rPr>
          <w:color w:val="000000"/>
        </w:rPr>
        <w:t xml:space="preserve"> </w:t>
      </w:r>
      <w:r>
        <w:rPr>
          <w:color w:val="000000"/>
        </w:rPr>
        <w:t xml:space="preserve">(18). </w:t>
      </w:r>
      <w:r w:rsidR="00600A95" w:rsidRPr="000B7349">
        <w:rPr>
          <w:color w:val="000000"/>
        </w:rPr>
        <w:t xml:space="preserve">The European Commission’s announcement in 2000 that it would be adopting the precautionary principle when developing chemicals legislation and introduction of the </w:t>
      </w:r>
      <w:r w:rsidR="008C2B29" w:rsidRPr="008C2B29">
        <w:rPr>
          <w:color w:val="000000"/>
        </w:rPr>
        <w:t>Registration, Evaluation, Authorisation and Restriction of Chemicals (</w:t>
      </w:r>
      <w:r w:rsidR="00600A95" w:rsidRPr="000B7349">
        <w:rPr>
          <w:color w:val="000000"/>
        </w:rPr>
        <w:t>REACH</w:t>
      </w:r>
      <w:r w:rsidR="008C2B29">
        <w:rPr>
          <w:color w:val="000000"/>
        </w:rPr>
        <w:t>)</w:t>
      </w:r>
      <w:r w:rsidR="00600A95" w:rsidRPr="000B7349">
        <w:rPr>
          <w:color w:val="000000"/>
        </w:rPr>
        <w:t xml:space="preserve"> regulation </w:t>
      </w:r>
      <w:r w:rsidR="00F97D7B" w:rsidRPr="000B7349">
        <w:rPr>
          <w:color w:val="000000"/>
        </w:rPr>
        <w:t xml:space="preserve">in 2006 were </w:t>
      </w:r>
      <w:r w:rsidR="00600A95" w:rsidRPr="000B7349">
        <w:rPr>
          <w:color w:val="000000"/>
        </w:rPr>
        <w:t>positive step</w:t>
      </w:r>
      <w:r w:rsidR="00F97D7B" w:rsidRPr="000B7349">
        <w:rPr>
          <w:color w:val="000000"/>
        </w:rPr>
        <w:t>s</w:t>
      </w:r>
      <w:r w:rsidR="00600A95" w:rsidRPr="000B7349">
        <w:rPr>
          <w:color w:val="000000"/>
        </w:rPr>
        <w:t xml:space="preserve"> (</w:t>
      </w:r>
      <w:r w:rsidR="00667CDA">
        <w:rPr>
          <w:color w:val="000000"/>
        </w:rPr>
        <w:t>1</w:t>
      </w:r>
      <w:r w:rsidR="001278E6">
        <w:rPr>
          <w:color w:val="000000"/>
        </w:rPr>
        <w:t>9</w:t>
      </w:r>
      <w:r w:rsidR="00600A95" w:rsidRPr="000B7349">
        <w:rPr>
          <w:color w:val="000000"/>
        </w:rPr>
        <w:t>).</w:t>
      </w:r>
      <w:r w:rsidR="006A1BA3" w:rsidRPr="006A1BA3">
        <w:t xml:space="preserve"> </w:t>
      </w:r>
      <w:r>
        <w:t>As exemplified above</w:t>
      </w:r>
      <w:r>
        <w:rPr>
          <w:color w:val="000000"/>
        </w:rPr>
        <w:t xml:space="preserve">, the use of the precautionary principle in developing legislation provides the opportunity to protect children against potentially harmful toxicants in the future. </w:t>
      </w:r>
    </w:p>
    <w:p w14:paraId="7D65A560" w14:textId="77777777" w:rsidR="00151DCA" w:rsidRDefault="00151DCA" w:rsidP="005114C0">
      <w:pPr>
        <w:shd w:val="clear" w:color="auto" w:fill="FFFFFF"/>
        <w:jc w:val="both"/>
        <w:rPr>
          <w:color w:val="000000"/>
          <w:u w:val="single"/>
        </w:rPr>
      </w:pPr>
    </w:p>
    <w:p w14:paraId="3F86465E" w14:textId="77777777" w:rsidR="0028002E" w:rsidRPr="00DD6B46" w:rsidRDefault="0028002E" w:rsidP="005114C0">
      <w:pPr>
        <w:shd w:val="clear" w:color="auto" w:fill="FFFFFF"/>
        <w:jc w:val="both"/>
        <w:rPr>
          <w:color w:val="000000"/>
        </w:rPr>
      </w:pPr>
      <w:r w:rsidRPr="00DD6B46">
        <w:rPr>
          <w:color w:val="000000"/>
          <w:u w:val="single"/>
        </w:rPr>
        <w:t>Vulnerable Populations</w:t>
      </w:r>
    </w:p>
    <w:p w14:paraId="1D464C9B" w14:textId="77777777" w:rsidR="006E738E" w:rsidRDefault="006E738E" w:rsidP="005114C0">
      <w:pPr>
        <w:shd w:val="clear" w:color="auto" w:fill="FFFFFF"/>
        <w:jc w:val="both"/>
        <w:rPr>
          <w:color w:val="000000"/>
        </w:rPr>
      </w:pPr>
    </w:p>
    <w:p w14:paraId="2CF5A296" w14:textId="77777777" w:rsidR="00A32F89" w:rsidRDefault="006E738E" w:rsidP="005114C0">
      <w:pPr>
        <w:shd w:val="clear" w:color="auto" w:fill="FFFFFF"/>
        <w:jc w:val="both"/>
        <w:rPr>
          <w:color w:val="000000"/>
        </w:rPr>
      </w:pPr>
      <w:r>
        <w:rPr>
          <w:color w:val="000000"/>
        </w:rPr>
        <w:t>All children are vulnerable to environmental exposures</w:t>
      </w:r>
      <w:r w:rsidR="001C39D9">
        <w:rPr>
          <w:color w:val="000000"/>
        </w:rPr>
        <w:t xml:space="preserve"> but some are particularly vulnerable</w:t>
      </w:r>
      <w:r>
        <w:rPr>
          <w:color w:val="000000"/>
        </w:rPr>
        <w:t xml:space="preserve">. </w:t>
      </w:r>
      <w:r w:rsidR="00A32F89">
        <w:rPr>
          <w:color w:val="000000"/>
        </w:rPr>
        <w:t>Vulnerabilities most critical to child rights are sex, culture, socio-economic background, urban or rural location, the different age-stages and disability. Each of these vulnerabilities influences the environment</w:t>
      </w:r>
      <w:r>
        <w:rPr>
          <w:color w:val="000000"/>
        </w:rPr>
        <w:t>s</w:t>
      </w:r>
      <w:r w:rsidR="00A32F89">
        <w:rPr>
          <w:color w:val="000000"/>
        </w:rPr>
        <w:t xml:space="preserve"> </w:t>
      </w:r>
      <w:r>
        <w:rPr>
          <w:color w:val="000000"/>
        </w:rPr>
        <w:t>in which</w:t>
      </w:r>
      <w:r w:rsidR="00A32F89">
        <w:rPr>
          <w:color w:val="000000"/>
        </w:rPr>
        <w:t xml:space="preserve"> children spend their time</w:t>
      </w:r>
      <w:r>
        <w:rPr>
          <w:color w:val="000000"/>
        </w:rPr>
        <w:t xml:space="preserve"> and their risk of contact with environmental toxicants. </w:t>
      </w:r>
      <w:r w:rsidR="00A32F89">
        <w:rPr>
          <w:color w:val="000000"/>
        </w:rPr>
        <w:t xml:space="preserve">Being aware </w:t>
      </w:r>
      <w:r w:rsidR="001C39D9">
        <w:rPr>
          <w:color w:val="000000"/>
        </w:rPr>
        <w:t xml:space="preserve">of </w:t>
      </w:r>
      <w:r w:rsidR="00A32F89">
        <w:rPr>
          <w:color w:val="000000"/>
        </w:rPr>
        <w:t xml:space="preserve">and sensitive to these specific vulnerabilities is </w:t>
      </w:r>
      <w:r w:rsidR="00A32F89">
        <w:rPr>
          <w:color w:val="000000"/>
        </w:rPr>
        <w:lastRenderedPageBreak/>
        <w:t xml:space="preserve">essential if children’s exposure to environmental toxicants is to be reduced, as no one strategy will work for all children. </w:t>
      </w:r>
    </w:p>
    <w:p w14:paraId="373BFDCF" w14:textId="77777777" w:rsidR="005C3DDA" w:rsidRDefault="005C3DDA" w:rsidP="005114C0">
      <w:pPr>
        <w:shd w:val="clear" w:color="auto" w:fill="FFFFFF"/>
        <w:jc w:val="both"/>
        <w:rPr>
          <w:color w:val="000000"/>
        </w:rPr>
      </w:pPr>
    </w:p>
    <w:p w14:paraId="215F731C" w14:textId="77777777" w:rsidR="005C3DDA" w:rsidRDefault="005C3DDA" w:rsidP="005114C0">
      <w:pPr>
        <w:shd w:val="clear" w:color="auto" w:fill="FFFFFF"/>
        <w:jc w:val="both"/>
        <w:rPr>
          <w:color w:val="000000"/>
        </w:rPr>
      </w:pPr>
    </w:p>
    <w:p w14:paraId="5AB0E0F2" w14:textId="77777777" w:rsidR="006A5E27" w:rsidRPr="006A5E27" w:rsidRDefault="00FC7D14" w:rsidP="006A5E27">
      <w:pPr>
        <w:rPr>
          <w:rFonts w:ascii="Times" w:eastAsia="Times New Roman" w:hAnsi="Times"/>
          <w:sz w:val="20"/>
          <w:szCs w:val="20"/>
          <w:lang w:val="en-GB" w:eastAsia="en-US"/>
        </w:rPr>
      </w:pPr>
      <w:r>
        <w:rPr>
          <w:lang w:val="en-US"/>
        </w:rPr>
        <w:t xml:space="preserve">Drafted by </w:t>
      </w:r>
      <w:r w:rsidR="005C3DDA" w:rsidRPr="005C3DDA">
        <w:rPr>
          <w:lang w:val="en-US"/>
        </w:rPr>
        <w:t xml:space="preserve">Paige Preston and Fiona Goldizen, Children’s Health and Environment Program (CHEP), The </w:t>
      </w:r>
      <w:r w:rsidR="005C3DDA" w:rsidRPr="006A5E27">
        <w:rPr>
          <w:lang w:val="en-US"/>
        </w:rPr>
        <w:t>University of Queensland</w:t>
      </w:r>
      <w:r w:rsidR="001F45E7" w:rsidRPr="006A5E27">
        <w:rPr>
          <w:lang w:val="en-US"/>
        </w:rPr>
        <w:t xml:space="preserve">, </w:t>
      </w:r>
      <w:r w:rsidR="005C3DDA" w:rsidRPr="006A5E27">
        <w:rPr>
          <w:lang w:val="en-US"/>
        </w:rPr>
        <w:t xml:space="preserve">WHO Collaborating Centre for Children’s Health and Environment. </w:t>
      </w:r>
      <w:r w:rsidR="006A5E27" w:rsidRPr="006A5E27">
        <w:rPr>
          <w:rFonts w:eastAsia="Times New Roman"/>
          <w:lang w:val="en-GB" w:eastAsia="en-US"/>
        </w:rPr>
        <w:t>T</w:t>
      </w:r>
      <w:r w:rsidR="006A5E27" w:rsidRPr="006A5E27">
        <w:rPr>
          <w:rFonts w:eastAsia="Times New Roman"/>
          <w:iCs/>
          <w:lang w:val="en-GB" w:eastAsia="en-US"/>
        </w:rPr>
        <w:t>he technical assistance of Marie Noel Bruné from the World Health Organization Department of Public Health, Environment and Social Determinants of Health is gratefully acknowledged.</w:t>
      </w:r>
    </w:p>
    <w:p w14:paraId="1384ACD8" w14:textId="77777777" w:rsidR="005C3DDA" w:rsidRDefault="005C3DDA" w:rsidP="006A5E27">
      <w:pPr>
        <w:widowControl w:val="0"/>
        <w:autoSpaceDE w:val="0"/>
        <w:autoSpaceDN w:val="0"/>
        <w:adjustRightInd w:val="0"/>
        <w:rPr>
          <w:color w:val="000000"/>
        </w:rPr>
      </w:pPr>
    </w:p>
    <w:p w14:paraId="666B2AE2" w14:textId="77777777" w:rsidR="000D7649" w:rsidRPr="00DD6B46" w:rsidRDefault="000D7649" w:rsidP="005114C0">
      <w:pPr>
        <w:shd w:val="clear" w:color="auto" w:fill="FFFFFF"/>
        <w:jc w:val="both"/>
        <w:rPr>
          <w:color w:val="000000"/>
        </w:rPr>
      </w:pPr>
    </w:p>
    <w:p w14:paraId="38590A80" w14:textId="77777777" w:rsidR="00EF6DCF" w:rsidRDefault="00EF6DCF" w:rsidP="005114C0">
      <w:pPr>
        <w:spacing w:after="160" w:line="259" w:lineRule="auto"/>
        <w:jc w:val="both"/>
        <w:rPr>
          <w:color w:val="000000"/>
          <w:u w:val="single"/>
        </w:rPr>
      </w:pPr>
      <w:r>
        <w:rPr>
          <w:color w:val="000000"/>
          <w:u w:val="single"/>
        </w:rPr>
        <w:br w:type="page"/>
      </w:r>
    </w:p>
    <w:p w14:paraId="4AF4A7A4" w14:textId="77777777" w:rsidR="00604A5F" w:rsidRDefault="00B90A17" w:rsidP="00BF42A7">
      <w:pPr>
        <w:shd w:val="clear" w:color="auto" w:fill="FFFFFF"/>
        <w:rPr>
          <w:color w:val="000000"/>
          <w:u w:val="single"/>
        </w:rPr>
      </w:pPr>
      <w:r>
        <w:rPr>
          <w:color w:val="000000"/>
          <w:u w:val="single"/>
        </w:rPr>
        <w:lastRenderedPageBreak/>
        <w:t xml:space="preserve">Annex 1. </w:t>
      </w:r>
      <w:r w:rsidR="00604A5F">
        <w:rPr>
          <w:color w:val="000000"/>
          <w:u w:val="single"/>
        </w:rPr>
        <w:t>Recommendations</w:t>
      </w:r>
    </w:p>
    <w:p w14:paraId="26D021EF" w14:textId="77777777" w:rsidR="00604A5F" w:rsidRDefault="00604A5F" w:rsidP="00BF42A7">
      <w:pPr>
        <w:shd w:val="clear" w:color="auto" w:fill="FFFFFF"/>
        <w:rPr>
          <w:color w:val="000000"/>
          <w:u w:val="single"/>
        </w:rPr>
      </w:pPr>
    </w:p>
    <w:p w14:paraId="5C3E506E" w14:textId="289D9A3A" w:rsidR="00BF7F7B" w:rsidRPr="00E82F05" w:rsidRDefault="00BF7F7B" w:rsidP="00E82F05">
      <w:pPr>
        <w:pStyle w:val="Listenabsatz"/>
        <w:shd w:val="clear" w:color="auto" w:fill="FFFFFF"/>
        <w:ind w:left="720"/>
      </w:pPr>
    </w:p>
    <w:p w14:paraId="75023FFF" w14:textId="792BE758" w:rsidR="00604A5F" w:rsidRPr="003A1F0B" w:rsidRDefault="000A5BC7" w:rsidP="00604A5F">
      <w:pPr>
        <w:pStyle w:val="Listenabsatz"/>
        <w:numPr>
          <w:ilvl w:val="0"/>
          <w:numId w:val="3"/>
        </w:numPr>
        <w:shd w:val="clear" w:color="auto" w:fill="FFFFFF"/>
        <w:rPr>
          <w:color w:val="000000"/>
        </w:rPr>
      </w:pPr>
      <w:r>
        <w:rPr>
          <w:color w:val="000000"/>
        </w:rPr>
        <w:t xml:space="preserve">The </w:t>
      </w:r>
      <w:r w:rsidR="00604A5F" w:rsidRPr="00E82F05">
        <w:rPr>
          <w:color w:val="000000"/>
        </w:rPr>
        <w:t>precautionary principle</w:t>
      </w:r>
      <w:r w:rsidR="00604A5F" w:rsidRPr="003A1F0B">
        <w:rPr>
          <w:color w:val="000000"/>
        </w:rPr>
        <w:t xml:space="preserve"> </w:t>
      </w:r>
      <w:r>
        <w:rPr>
          <w:color w:val="000000"/>
        </w:rPr>
        <w:t xml:space="preserve">should be the standard </w:t>
      </w:r>
      <w:r w:rsidR="00604A5F" w:rsidRPr="003A1F0B">
        <w:rPr>
          <w:color w:val="000000"/>
        </w:rPr>
        <w:t xml:space="preserve">when </w:t>
      </w:r>
      <w:r w:rsidR="00882E80">
        <w:rPr>
          <w:color w:val="000000"/>
        </w:rPr>
        <w:t>developing legislation to prevent</w:t>
      </w:r>
      <w:r w:rsidR="0014121E" w:rsidRPr="00055DCE">
        <w:rPr>
          <w:color w:val="FF0000"/>
        </w:rPr>
        <w:t xml:space="preserve"> </w:t>
      </w:r>
      <w:r w:rsidR="0014121E">
        <w:rPr>
          <w:color w:val="000000"/>
        </w:rPr>
        <w:t>environmental exposures</w:t>
      </w:r>
      <w:r w:rsidR="00604A5F" w:rsidRPr="003A1F0B">
        <w:rPr>
          <w:color w:val="000000"/>
        </w:rPr>
        <w:t xml:space="preserve">, in particular </w:t>
      </w:r>
      <w:r w:rsidR="0014121E">
        <w:rPr>
          <w:color w:val="000000"/>
        </w:rPr>
        <w:t xml:space="preserve">in the cases of </w:t>
      </w:r>
      <w:r w:rsidR="00604A5F" w:rsidRPr="003A1F0B">
        <w:rPr>
          <w:color w:val="000000"/>
        </w:rPr>
        <w:t>emerging chemicals</w:t>
      </w:r>
      <w:r w:rsidR="00882E80">
        <w:rPr>
          <w:color w:val="000000"/>
        </w:rPr>
        <w:t>, climate change</w:t>
      </w:r>
      <w:r w:rsidR="0014121E">
        <w:rPr>
          <w:color w:val="000000"/>
        </w:rPr>
        <w:t xml:space="preserve"> and other emerging risks</w:t>
      </w:r>
      <w:r w:rsidR="009C4368">
        <w:rPr>
          <w:color w:val="000000"/>
        </w:rPr>
        <w:t xml:space="preserve">. As has been introduced </w:t>
      </w:r>
      <w:r w:rsidR="0045470F">
        <w:rPr>
          <w:color w:val="000000"/>
        </w:rPr>
        <w:t>by some states</w:t>
      </w:r>
      <w:r w:rsidR="009C4368">
        <w:rPr>
          <w:color w:val="000000"/>
        </w:rPr>
        <w:t>,</w:t>
      </w:r>
      <w:r>
        <w:rPr>
          <w:color w:val="000000"/>
        </w:rPr>
        <w:t xml:space="preserve"> authorities should move towards the requirement for a new chemical entity to be shown to be safe for children before it is </w:t>
      </w:r>
      <w:r w:rsidR="00AE533D">
        <w:rPr>
          <w:color w:val="000000"/>
        </w:rPr>
        <w:t>introduced</w:t>
      </w:r>
      <w:r>
        <w:rPr>
          <w:color w:val="000000"/>
        </w:rPr>
        <w:t>.</w:t>
      </w:r>
    </w:p>
    <w:p w14:paraId="725E1770" w14:textId="77777777" w:rsidR="00604A5F" w:rsidRPr="00E82F05" w:rsidRDefault="00EE3309" w:rsidP="00604A5F">
      <w:pPr>
        <w:pStyle w:val="Listenabsatz"/>
        <w:numPr>
          <w:ilvl w:val="0"/>
          <w:numId w:val="3"/>
        </w:numPr>
        <w:shd w:val="clear" w:color="auto" w:fill="FFFFFF"/>
        <w:rPr>
          <w:color w:val="000000"/>
        </w:rPr>
      </w:pPr>
      <w:r w:rsidRPr="003A1F0B">
        <w:rPr>
          <w:color w:val="000000"/>
        </w:rPr>
        <w:t xml:space="preserve">Special attention </w:t>
      </w:r>
      <w:r w:rsidRPr="00E82F05">
        <w:rPr>
          <w:color w:val="000000"/>
        </w:rPr>
        <w:t xml:space="preserve">should be paid to enforcement and monitoring of regulations </w:t>
      </w:r>
      <w:r w:rsidR="0014121E" w:rsidRPr="00E82F05">
        <w:rPr>
          <w:color w:val="000000"/>
        </w:rPr>
        <w:t xml:space="preserve">designed </w:t>
      </w:r>
      <w:r w:rsidRPr="00E82F05">
        <w:rPr>
          <w:color w:val="000000"/>
        </w:rPr>
        <w:t xml:space="preserve">to protect children from environmental exposures, in all countries and territories. Although legislation is a very positive step in protecting </w:t>
      </w:r>
      <w:r w:rsidR="003A1F0B" w:rsidRPr="00E82F05">
        <w:rPr>
          <w:color w:val="000000"/>
        </w:rPr>
        <w:t xml:space="preserve">children’s </w:t>
      </w:r>
      <w:r w:rsidRPr="00E82F05">
        <w:rPr>
          <w:color w:val="000000"/>
        </w:rPr>
        <w:t xml:space="preserve">rights, it must be effectively </w:t>
      </w:r>
      <w:r w:rsidR="0014121E" w:rsidRPr="00E82F05">
        <w:rPr>
          <w:color w:val="000000"/>
        </w:rPr>
        <w:t xml:space="preserve">monitored and </w:t>
      </w:r>
      <w:r w:rsidRPr="00E82F05">
        <w:rPr>
          <w:color w:val="000000"/>
        </w:rPr>
        <w:t>enforced</w:t>
      </w:r>
      <w:r w:rsidR="0014121E" w:rsidRPr="00E82F05">
        <w:rPr>
          <w:color w:val="000000"/>
        </w:rPr>
        <w:t>.</w:t>
      </w:r>
      <w:r w:rsidRPr="00E82F05">
        <w:rPr>
          <w:color w:val="000000"/>
        </w:rPr>
        <w:t xml:space="preserve"> </w:t>
      </w:r>
    </w:p>
    <w:p w14:paraId="7B27F812" w14:textId="308D1050" w:rsidR="002B635D" w:rsidRDefault="00A57E55" w:rsidP="00E82F05">
      <w:pPr>
        <w:pStyle w:val="Listenabsatz"/>
        <w:numPr>
          <w:ilvl w:val="0"/>
          <w:numId w:val="3"/>
        </w:numPr>
        <w:shd w:val="clear" w:color="auto" w:fill="FFFFFF"/>
      </w:pPr>
      <w:r w:rsidRPr="00E82F05">
        <w:rPr>
          <w:color w:val="000000"/>
        </w:rPr>
        <w:t xml:space="preserve">Multisectoral action </w:t>
      </w:r>
      <w:r w:rsidR="005F4572" w:rsidRPr="00E82F05">
        <w:rPr>
          <w:color w:val="000000"/>
        </w:rPr>
        <w:t xml:space="preserve">and the involvement </w:t>
      </w:r>
      <w:r w:rsidRPr="00E82F05">
        <w:rPr>
          <w:color w:val="000000"/>
        </w:rPr>
        <w:t>health professionals,</w:t>
      </w:r>
      <w:r w:rsidR="005F4572" w:rsidRPr="00E82F05">
        <w:rPr>
          <w:color w:val="000000"/>
        </w:rPr>
        <w:t xml:space="preserve"> the</w:t>
      </w:r>
      <w:r w:rsidRPr="00E82F05">
        <w:rPr>
          <w:color w:val="000000"/>
        </w:rPr>
        <w:t xml:space="preserve"> education sector, communities, families</w:t>
      </w:r>
      <w:r w:rsidRPr="005F4572">
        <w:rPr>
          <w:color w:val="000000"/>
        </w:rPr>
        <w:t xml:space="preserve">, </w:t>
      </w:r>
      <w:r w:rsidR="005F4572" w:rsidRPr="005F4572">
        <w:rPr>
          <w:color w:val="000000"/>
        </w:rPr>
        <w:t xml:space="preserve">the </w:t>
      </w:r>
      <w:r w:rsidRPr="005F4572">
        <w:rPr>
          <w:color w:val="000000"/>
        </w:rPr>
        <w:t xml:space="preserve">transport sector, </w:t>
      </w:r>
      <w:r w:rsidR="005F4572" w:rsidRPr="005F4572">
        <w:rPr>
          <w:color w:val="000000"/>
        </w:rPr>
        <w:t xml:space="preserve">the </w:t>
      </w:r>
      <w:r w:rsidRPr="005F4572">
        <w:rPr>
          <w:color w:val="000000"/>
        </w:rPr>
        <w:t xml:space="preserve">energy sector, </w:t>
      </w:r>
      <w:r w:rsidR="005F4572" w:rsidRPr="005F4572">
        <w:rPr>
          <w:color w:val="000000"/>
        </w:rPr>
        <w:t>the agricultural</w:t>
      </w:r>
      <w:r w:rsidRPr="005F4572">
        <w:rPr>
          <w:color w:val="000000"/>
        </w:rPr>
        <w:t xml:space="preserve"> sector</w:t>
      </w:r>
      <w:r w:rsidR="005F4572" w:rsidRPr="005F4572">
        <w:rPr>
          <w:color w:val="000000"/>
        </w:rPr>
        <w:t>, and the manufacturing sector, among others, is necessary to prevent exposure to harmful environmental toxicants</w:t>
      </w:r>
      <w:r w:rsidRPr="005F4572">
        <w:rPr>
          <w:color w:val="000000"/>
        </w:rPr>
        <w:t>.</w:t>
      </w:r>
      <w:r w:rsidRPr="005F4572">
        <w:t xml:space="preserve"> We can only </w:t>
      </w:r>
      <w:r w:rsidR="00760166">
        <w:t>achieve</w:t>
      </w:r>
      <w:r w:rsidRPr="005F4572">
        <w:t xml:space="preserve"> </w:t>
      </w:r>
      <w:r w:rsidR="00760166">
        <w:t xml:space="preserve">Sustainable Development Goal (SDG) </w:t>
      </w:r>
      <w:r w:rsidRPr="005F4572">
        <w:t>3</w:t>
      </w:r>
      <w:r w:rsidR="00760166">
        <w:t>, e</w:t>
      </w:r>
      <w:r w:rsidR="005F4572" w:rsidRPr="005F4572">
        <w:t xml:space="preserve">nsure healthy lives and promote </w:t>
      </w:r>
      <w:r w:rsidR="009C4368" w:rsidRPr="005F4572">
        <w:t>well-being</w:t>
      </w:r>
      <w:r w:rsidR="005F4572" w:rsidRPr="005F4572">
        <w:t xml:space="preserve"> for all at all ages,</w:t>
      </w:r>
      <w:r w:rsidRPr="005F4572">
        <w:t xml:space="preserve"> if we ensure </w:t>
      </w:r>
      <w:r w:rsidR="00760166">
        <w:t>all other</w:t>
      </w:r>
      <w:r w:rsidR="005F4572" w:rsidRPr="005F4572">
        <w:t xml:space="preserve"> </w:t>
      </w:r>
      <w:r w:rsidR="00760166">
        <w:t>SDGs</w:t>
      </w:r>
      <w:r w:rsidRPr="005F4572">
        <w:t xml:space="preserve"> are met.</w:t>
      </w:r>
    </w:p>
    <w:p w14:paraId="7DBA8FAF" w14:textId="2EB78FE6" w:rsidR="002B635D" w:rsidRDefault="002B635D" w:rsidP="002B635D">
      <w:pPr>
        <w:pStyle w:val="Listenabsatz"/>
        <w:numPr>
          <w:ilvl w:val="0"/>
          <w:numId w:val="3"/>
        </w:numPr>
        <w:shd w:val="clear" w:color="auto" w:fill="FFFFFF"/>
        <w:rPr>
          <w:color w:val="000000"/>
        </w:rPr>
      </w:pPr>
      <w:r>
        <w:rPr>
          <w:color w:val="000000"/>
        </w:rPr>
        <w:t>Policy makers should v</w:t>
      </w:r>
      <w:r w:rsidRPr="003A1F0B">
        <w:rPr>
          <w:color w:val="000000"/>
        </w:rPr>
        <w:t>iew the environment not only as a risk</w:t>
      </w:r>
      <w:r>
        <w:rPr>
          <w:color w:val="000000"/>
        </w:rPr>
        <w:t xml:space="preserve"> to children’s health</w:t>
      </w:r>
      <w:r w:rsidRPr="003A1F0B">
        <w:rPr>
          <w:color w:val="000000"/>
        </w:rPr>
        <w:t xml:space="preserve"> </w:t>
      </w:r>
      <w:r w:rsidR="009C4368" w:rsidRPr="003A1F0B">
        <w:rPr>
          <w:color w:val="000000"/>
        </w:rPr>
        <w:t>but also</w:t>
      </w:r>
      <w:r w:rsidRPr="003A1F0B">
        <w:rPr>
          <w:color w:val="000000"/>
        </w:rPr>
        <w:t xml:space="preserve"> as a</w:t>
      </w:r>
      <w:r>
        <w:rPr>
          <w:color w:val="000000"/>
        </w:rPr>
        <w:t xml:space="preserve">n </w:t>
      </w:r>
      <w:r w:rsidRPr="00E82F05">
        <w:rPr>
          <w:color w:val="000000"/>
        </w:rPr>
        <w:t>opportunity to protect children.</w:t>
      </w:r>
      <w:r w:rsidRPr="003A1F0B">
        <w:rPr>
          <w:color w:val="000000"/>
        </w:rPr>
        <w:t xml:space="preserve"> Environmental management and low-cost interventions have the potential to prevent </w:t>
      </w:r>
      <w:r>
        <w:rPr>
          <w:color w:val="000000"/>
        </w:rPr>
        <w:t xml:space="preserve">negative </w:t>
      </w:r>
      <w:r w:rsidRPr="00882E80">
        <w:rPr>
          <w:color w:val="000000"/>
        </w:rPr>
        <w:t>health effects</w:t>
      </w:r>
      <w:r w:rsidRPr="003A1F0B">
        <w:rPr>
          <w:color w:val="000000"/>
        </w:rPr>
        <w:t xml:space="preserve"> and save significant </w:t>
      </w:r>
      <w:r>
        <w:rPr>
          <w:color w:val="000000"/>
        </w:rPr>
        <w:t xml:space="preserve">government </w:t>
      </w:r>
      <w:r w:rsidRPr="003A1F0B">
        <w:rPr>
          <w:color w:val="000000"/>
        </w:rPr>
        <w:t xml:space="preserve">resources. </w:t>
      </w:r>
      <w:r>
        <w:rPr>
          <w:color w:val="000000"/>
        </w:rPr>
        <w:t>Many environmental exposures are preventable.</w:t>
      </w:r>
    </w:p>
    <w:p w14:paraId="79273371" w14:textId="2993D150" w:rsidR="002B635D" w:rsidRDefault="005A7ADD" w:rsidP="002B635D">
      <w:pPr>
        <w:pStyle w:val="Listenabsatz"/>
        <w:numPr>
          <w:ilvl w:val="0"/>
          <w:numId w:val="3"/>
        </w:numPr>
        <w:shd w:val="clear" w:color="auto" w:fill="FFFFFF"/>
        <w:rPr>
          <w:color w:val="000000"/>
        </w:rPr>
      </w:pPr>
      <w:r>
        <w:rPr>
          <w:color w:val="000000"/>
        </w:rPr>
        <w:t xml:space="preserve">Actors at all levels </w:t>
      </w:r>
      <w:r w:rsidR="00FC7D14">
        <w:rPr>
          <w:color w:val="000000"/>
        </w:rPr>
        <w:t>should</w:t>
      </w:r>
      <w:r w:rsidR="005C3DDA">
        <w:rPr>
          <w:color w:val="000000"/>
        </w:rPr>
        <w:t xml:space="preserve"> </w:t>
      </w:r>
      <w:r w:rsidR="002B635D" w:rsidRPr="00E82F05">
        <w:rPr>
          <w:color w:val="000000"/>
        </w:rPr>
        <w:t>invest</w:t>
      </w:r>
      <w:r w:rsidR="002B635D" w:rsidRPr="003A1F0B">
        <w:rPr>
          <w:color w:val="000000"/>
        </w:rPr>
        <w:t xml:space="preserve"> in preventing early life environmental exposures, before birth, during early childhood and during adolescence. Because of the high long</w:t>
      </w:r>
      <w:r w:rsidR="002B635D">
        <w:rPr>
          <w:color w:val="000000"/>
        </w:rPr>
        <w:t>-</w:t>
      </w:r>
      <w:r w:rsidR="002B635D" w:rsidRPr="003A1F0B">
        <w:rPr>
          <w:color w:val="000000"/>
        </w:rPr>
        <w:t xml:space="preserve">term costs of </w:t>
      </w:r>
      <w:r w:rsidR="002B635D">
        <w:rPr>
          <w:color w:val="000000"/>
        </w:rPr>
        <w:t>some</w:t>
      </w:r>
      <w:r w:rsidR="002B635D" w:rsidRPr="003A1F0B">
        <w:rPr>
          <w:color w:val="000000"/>
        </w:rPr>
        <w:t xml:space="preserve"> </w:t>
      </w:r>
      <w:r w:rsidR="002B635D">
        <w:rPr>
          <w:color w:val="000000"/>
        </w:rPr>
        <w:t xml:space="preserve">early life </w:t>
      </w:r>
      <w:r w:rsidR="002B635D" w:rsidRPr="003A1F0B">
        <w:rPr>
          <w:color w:val="000000"/>
        </w:rPr>
        <w:t xml:space="preserve">environmental exposures, </w:t>
      </w:r>
      <w:r w:rsidR="002B635D">
        <w:rPr>
          <w:color w:val="000000"/>
        </w:rPr>
        <w:t xml:space="preserve">including </w:t>
      </w:r>
      <w:r w:rsidR="002B635D" w:rsidRPr="003A1F0B">
        <w:rPr>
          <w:color w:val="000000"/>
        </w:rPr>
        <w:t xml:space="preserve">direct medical costs, education costs and lost productivity, this is often more </w:t>
      </w:r>
      <w:r w:rsidR="002B635D">
        <w:rPr>
          <w:color w:val="000000"/>
        </w:rPr>
        <w:t>cost-effective</w:t>
      </w:r>
      <w:r w:rsidR="002B635D" w:rsidRPr="003A1F0B">
        <w:rPr>
          <w:color w:val="000000"/>
        </w:rPr>
        <w:t>.</w:t>
      </w:r>
      <w:r w:rsidR="002B635D">
        <w:rPr>
          <w:color w:val="000000"/>
        </w:rPr>
        <w:t xml:space="preserve"> </w:t>
      </w:r>
    </w:p>
    <w:p w14:paraId="6FED7474" w14:textId="77777777" w:rsidR="002B635D" w:rsidRPr="0014121E" w:rsidRDefault="002B635D" w:rsidP="00F4151D">
      <w:pPr>
        <w:pStyle w:val="Listenabsatz"/>
        <w:shd w:val="clear" w:color="auto" w:fill="FFFFFF"/>
        <w:ind w:left="720"/>
        <w:rPr>
          <w:color w:val="000000"/>
        </w:rPr>
      </w:pPr>
    </w:p>
    <w:p w14:paraId="03997078" w14:textId="77777777" w:rsidR="002B635D" w:rsidRPr="002B635D" w:rsidRDefault="002B635D" w:rsidP="002B635D">
      <w:pPr>
        <w:shd w:val="clear" w:color="auto" w:fill="FFFFFF"/>
        <w:rPr>
          <w:color w:val="000000"/>
        </w:rPr>
      </w:pPr>
    </w:p>
    <w:p w14:paraId="307C557B" w14:textId="77777777" w:rsidR="00604A5F" w:rsidRPr="00604A5F" w:rsidRDefault="00604A5F" w:rsidP="00BF42A7">
      <w:pPr>
        <w:shd w:val="clear" w:color="auto" w:fill="FFFFFF"/>
        <w:rPr>
          <w:color w:val="000000"/>
          <w:u w:val="single"/>
        </w:rPr>
      </w:pPr>
    </w:p>
    <w:p w14:paraId="2CE817C4" w14:textId="77777777" w:rsidR="008A01A5" w:rsidRDefault="00BF42A7" w:rsidP="00BF42A7">
      <w:pPr>
        <w:shd w:val="clear" w:color="auto" w:fill="FFFFFF"/>
        <w:rPr>
          <w:color w:val="000000"/>
        </w:rPr>
      </w:pPr>
      <w:r w:rsidRPr="00DD6B46">
        <w:rPr>
          <w:color w:val="000000"/>
        </w:rPr>
        <w:t> </w:t>
      </w:r>
    </w:p>
    <w:p w14:paraId="5EE48A00" w14:textId="77777777" w:rsidR="00A53A48" w:rsidRDefault="00A53A48" w:rsidP="00BF42A7"/>
    <w:p w14:paraId="008F0D00" w14:textId="77777777" w:rsidR="009600AF" w:rsidRDefault="009600AF" w:rsidP="00BF42A7"/>
    <w:p w14:paraId="0AF27B2A" w14:textId="77777777" w:rsidR="001B2E5D" w:rsidRDefault="001B2E5D">
      <w:pPr>
        <w:spacing w:after="160" w:line="259" w:lineRule="auto"/>
        <w:rPr>
          <w:b/>
        </w:rPr>
      </w:pPr>
      <w:r>
        <w:rPr>
          <w:b/>
        </w:rPr>
        <w:br w:type="page"/>
      </w:r>
    </w:p>
    <w:p w14:paraId="136BBCA6" w14:textId="4152E095" w:rsidR="009600AF" w:rsidRPr="009C4368" w:rsidRDefault="009600AF" w:rsidP="00BF42A7">
      <w:pPr>
        <w:rPr>
          <w:u w:val="single"/>
        </w:rPr>
      </w:pPr>
      <w:r w:rsidRPr="009C4368">
        <w:rPr>
          <w:u w:val="single"/>
        </w:rPr>
        <w:lastRenderedPageBreak/>
        <w:t>References</w:t>
      </w:r>
    </w:p>
    <w:p w14:paraId="74908896" w14:textId="77777777" w:rsidR="007D6753" w:rsidRPr="000D13F8" w:rsidRDefault="007D6753" w:rsidP="00BF42A7">
      <w:pPr>
        <w:rPr>
          <w:b/>
        </w:rPr>
      </w:pPr>
    </w:p>
    <w:p w14:paraId="2730E8BC" w14:textId="70CA3CD0" w:rsidR="00B338C0" w:rsidRDefault="00DD173A" w:rsidP="00BF42A7">
      <w:pPr>
        <w:pStyle w:val="Listenabsatz"/>
        <w:numPr>
          <w:ilvl w:val="0"/>
          <w:numId w:val="9"/>
        </w:numPr>
        <w:rPr>
          <w:rStyle w:val="Hyperlink"/>
        </w:rPr>
      </w:pPr>
      <w:r>
        <w:t>Convention on the Rights of the Child</w:t>
      </w:r>
      <w:r w:rsidR="008E798A">
        <w:t>.</w:t>
      </w:r>
      <w:r>
        <w:t xml:space="preserve"> </w:t>
      </w:r>
      <w:r w:rsidR="008E798A">
        <w:t>1989. (</w:t>
      </w:r>
      <w:hyperlink r:id="rId7" w:history="1">
        <w:r w:rsidR="009600AF" w:rsidRPr="008976ED">
          <w:rPr>
            <w:rStyle w:val="Hyperlink"/>
          </w:rPr>
          <w:t>http://www.ohchr.org/EN/ProfessionalInterest/Pages/CRC.aspx</w:t>
        </w:r>
      </w:hyperlink>
      <w:r w:rsidR="008E798A">
        <w:t>, accessed 2 June 2016)</w:t>
      </w:r>
    </w:p>
    <w:p w14:paraId="1A5D4DE0" w14:textId="1F4AD41D" w:rsidR="00B338C0" w:rsidRPr="00B338C0" w:rsidRDefault="003A5356" w:rsidP="00BF42A7">
      <w:pPr>
        <w:pStyle w:val="Listenabsatz"/>
        <w:numPr>
          <w:ilvl w:val="0"/>
          <w:numId w:val="9"/>
        </w:numPr>
        <w:rPr>
          <w:color w:val="0563C1" w:themeColor="hyperlink"/>
          <w:u w:val="single"/>
        </w:rPr>
      </w:pPr>
      <w:r>
        <w:t>WHO</w:t>
      </w:r>
      <w:r w:rsidR="00F117CE">
        <w:t>, International Longevity Centre-UK</w:t>
      </w:r>
      <w:r>
        <w:t xml:space="preserve">. </w:t>
      </w:r>
      <w:r w:rsidR="00C455B4" w:rsidRPr="00C455B4">
        <w:t>A Life Course Approach to health</w:t>
      </w:r>
      <w:r>
        <w:t xml:space="preserve">. </w:t>
      </w:r>
      <w:r w:rsidR="00F117CE">
        <w:t>Geneva: W</w:t>
      </w:r>
      <w:r>
        <w:t xml:space="preserve">orld Health Organisation; </w:t>
      </w:r>
      <w:r w:rsidR="00C455B4">
        <w:t>20</w:t>
      </w:r>
      <w:r w:rsidR="00F117CE">
        <w:t>0</w:t>
      </w:r>
      <w:r w:rsidR="00C455B4">
        <w:t>0</w:t>
      </w:r>
      <w:r w:rsidR="00F117CE">
        <w:t>.</w:t>
      </w:r>
      <w:r w:rsidR="00C455B4">
        <w:t xml:space="preserve"> (</w:t>
      </w:r>
      <w:hyperlink r:id="rId8" w:history="1">
        <w:r w:rsidR="00EB46E9" w:rsidRPr="008976ED">
          <w:rPr>
            <w:rStyle w:val="Hyperlink"/>
          </w:rPr>
          <w:t>http://www.who.int/ageing/publications/lifecourse/alc_lifecourse_training_en.pdf</w:t>
        </w:r>
      </w:hyperlink>
      <w:r w:rsidR="00C455B4">
        <w:t>, accessed 30 June 2016).</w:t>
      </w:r>
    </w:p>
    <w:p w14:paraId="48315D35" w14:textId="3E24A7EC" w:rsidR="001A22B4" w:rsidRPr="008E798A" w:rsidRDefault="003A5356" w:rsidP="008E798A">
      <w:pPr>
        <w:pStyle w:val="Listenabsatz"/>
        <w:numPr>
          <w:ilvl w:val="0"/>
          <w:numId w:val="9"/>
        </w:numPr>
        <w:rPr>
          <w:rFonts w:eastAsia="Times New Roman"/>
          <w:sz w:val="22"/>
          <w:szCs w:val="22"/>
        </w:rPr>
      </w:pPr>
      <w:r>
        <w:t xml:space="preserve">WHO. </w:t>
      </w:r>
      <w:r w:rsidR="00C455B4">
        <w:t>Children’s Health and the Environment</w:t>
      </w:r>
      <w:r w:rsidR="008E798A">
        <w:t>: A global perspective, a resource manual for the health sector</w:t>
      </w:r>
      <w:r w:rsidR="00C455B4">
        <w:t xml:space="preserve">. </w:t>
      </w:r>
      <w:r w:rsidR="008E798A">
        <w:t>World Health Organisation; 2005</w:t>
      </w:r>
      <w:r w:rsidR="00F117CE">
        <w:t>.</w:t>
      </w:r>
      <w:r w:rsidR="00C455B4">
        <w:t xml:space="preserve"> (</w:t>
      </w:r>
      <w:hyperlink r:id="rId9" w:history="1">
        <w:r w:rsidR="008E798A" w:rsidRPr="008E798A">
          <w:rPr>
            <w:rStyle w:val="Hyperlink"/>
            <w:rFonts w:eastAsia="Times New Roman"/>
          </w:rPr>
          <w:t>http://www.who.int/ceh/publications/handbook/en/</w:t>
        </w:r>
      </w:hyperlink>
      <w:r w:rsidR="00C455B4" w:rsidRPr="008E798A">
        <w:t>, accessed 30 June 2016</w:t>
      </w:r>
      <w:r w:rsidR="00C455B4">
        <w:t xml:space="preserve">). </w:t>
      </w:r>
    </w:p>
    <w:p w14:paraId="64ED4ABC" w14:textId="77777777" w:rsidR="00B338C0" w:rsidRPr="00B338C0" w:rsidRDefault="002B635D" w:rsidP="00BF42A7">
      <w:pPr>
        <w:pStyle w:val="Listenabsatz"/>
        <w:numPr>
          <w:ilvl w:val="0"/>
          <w:numId w:val="9"/>
        </w:numPr>
        <w:rPr>
          <w:color w:val="0563C1" w:themeColor="hyperlink"/>
          <w:u w:val="single"/>
        </w:rPr>
      </w:pPr>
      <w:r>
        <w:t xml:space="preserve">WHO. </w:t>
      </w:r>
      <w:r w:rsidRPr="002B635D">
        <w:t>Mercury and health</w:t>
      </w:r>
      <w:r>
        <w:t xml:space="preserve"> [website]. Factsheet. Geneva: World Health Organization; 2016. (</w:t>
      </w:r>
      <w:hyperlink r:id="rId10" w:history="1">
        <w:r w:rsidRPr="001C4B2A">
          <w:rPr>
            <w:rStyle w:val="Hyperlink"/>
          </w:rPr>
          <w:t>http://www.who.int/mediacentre/factsheets/fs361/en/</w:t>
        </w:r>
      </w:hyperlink>
      <w:r>
        <w:t xml:space="preserve"> accessed 28 July 2016).</w:t>
      </w:r>
    </w:p>
    <w:p w14:paraId="7E590192" w14:textId="3E6A5F3E" w:rsidR="00B338C0" w:rsidRPr="00B338C0" w:rsidRDefault="000B4B0C" w:rsidP="00B338C0">
      <w:pPr>
        <w:pStyle w:val="Listenabsatz"/>
        <w:numPr>
          <w:ilvl w:val="0"/>
          <w:numId w:val="9"/>
        </w:numPr>
        <w:rPr>
          <w:color w:val="0563C1" w:themeColor="hyperlink"/>
          <w:u w:val="single"/>
        </w:rPr>
      </w:pPr>
      <w:r>
        <w:t>Cameron N, Demerath EW. Critical periods in human growth and their relationship to diseases of aging. American Journal of Physical Anthropology, 2002; 35:159-84</w:t>
      </w:r>
      <w:r w:rsidR="00F117CE">
        <w:t>.</w:t>
      </w:r>
    </w:p>
    <w:p w14:paraId="379E3C85" w14:textId="5318454B" w:rsidR="006F59AB" w:rsidRPr="00F4151D" w:rsidRDefault="006F59AB" w:rsidP="00B338C0">
      <w:pPr>
        <w:pStyle w:val="Listenabsatz"/>
        <w:numPr>
          <w:ilvl w:val="0"/>
          <w:numId w:val="9"/>
        </w:numPr>
        <w:rPr>
          <w:color w:val="0563C1" w:themeColor="hyperlink"/>
          <w:u w:val="single"/>
        </w:rPr>
      </w:pPr>
      <w:r w:rsidRPr="00B338C0">
        <w:rPr>
          <w:color w:val="000000"/>
        </w:rPr>
        <w:t xml:space="preserve">Prüss-Ustün A, Wolf J, Corvalán C, </w:t>
      </w:r>
      <w:proofErr w:type="spellStart"/>
      <w:r w:rsidRPr="00B338C0">
        <w:rPr>
          <w:color w:val="000000"/>
        </w:rPr>
        <w:t>Bos</w:t>
      </w:r>
      <w:proofErr w:type="spellEnd"/>
      <w:r w:rsidRPr="00B338C0">
        <w:rPr>
          <w:color w:val="000000"/>
        </w:rPr>
        <w:t xml:space="preserve"> R, </w:t>
      </w:r>
      <w:proofErr w:type="spellStart"/>
      <w:r w:rsidRPr="00B338C0">
        <w:rPr>
          <w:color w:val="000000"/>
        </w:rPr>
        <w:t>Ne</w:t>
      </w:r>
      <w:r w:rsidR="009C4368">
        <w:rPr>
          <w:color w:val="000000"/>
        </w:rPr>
        <w:t>i</w:t>
      </w:r>
      <w:r w:rsidRPr="00B338C0">
        <w:rPr>
          <w:color w:val="000000"/>
        </w:rPr>
        <w:t>ra</w:t>
      </w:r>
      <w:proofErr w:type="spellEnd"/>
      <w:r w:rsidRPr="00B338C0">
        <w:rPr>
          <w:color w:val="000000"/>
        </w:rPr>
        <w:t xml:space="preserve"> M. Preventing disease through healthy environments: a global assessment of the burden of disease from environmental risks. Geneva: World Health Organization. 2016. (</w:t>
      </w:r>
      <w:hyperlink r:id="rId11" w:history="1">
        <w:r>
          <w:rPr>
            <w:rStyle w:val="Hyperlink"/>
          </w:rPr>
          <w:t>http://apps.who.int/iris/bitstream/10665/204585/1/9789241565196_eng.pdf?ua=1</w:t>
        </w:r>
      </w:hyperlink>
      <w:r w:rsidR="00F117CE">
        <w:rPr>
          <w:rStyle w:val="Hyperlink"/>
        </w:rPr>
        <w:t>,</w:t>
      </w:r>
      <w:r w:rsidRPr="00B338C0">
        <w:rPr>
          <w:color w:val="000000"/>
        </w:rPr>
        <w:t xml:space="preserve"> accessed 30 June 2016). </w:t>
      </w:r>
    </w:p>
    <w:p w14:paraId="4C84852B" w14:textId="6DCFFC99" w:rsidR="00F4151D" w:rsidRPr="00F4151D" w:rsidRDefault="00F4151D" w:rsidP="00B338C0">
      <w:pPr>
        <w:pStyle w:val="Listenabsatz"/>
        <w:numPr>
          <w:ilvl w:val="0"/>
          <w:numId w:val="9"/>
        </w:numPr>
        <w:rPr>
          <w:rStyle w:val="Hyperlink"/>
        </w:rPr>
      </w:pPr>
      <w:r w:rsidRPr="0030746D">
        <w:rPr>
          <w:color w:val="000000" w:themeColor="text1"/>
          <w:lang w:val="en-GB"/>
        </w:rPr>
        <w:t xml:space="preserve">Rucevska I, Nellemann C, Isarin N, Yang W, Liu N, Yu K et al. </w:t>
      </w:r>
      <w:r w:rsidRPr="0030746D">
        <w:rPr>
          <w:bCs/>
          <w:color w:val="000000" w:themeColor="text1"/>
          <w:lang w:val="en-GB"/>
        </w:rPr>
        <w:t>Waste crime – waste risks: gaps in meeting the global waste challenge</w:t>
      </w:r>
      <w:r w:rsidRPr="0030746D">
        <w:rPr>
          <w:b/>
          <w:bCs/>
          <w:color w:val="000000" w:themeColor="text1"/>
          <w:lang w:val="en-GB"/>
        </w:rPr>
        <w:t xml:space="preserve">. </w:t>
      </w:r>
      <w:r w:rsidRPr="0030746D">
        <w:rPr>
          <w:color w:val="000000" w:themeColor="text1"/>
          <w:lang w:val="en-GB"/>
        </w:rPr>
        <w:t>A UNEP Rapid Response Assessment</w:t>
      </w:r>
      <w:r w:rsidRPr="0030746D">
        <w:rPr>
          <w:i/>
          <w:iCs/>
          <w:color w:val="000000" w:themeColor="text1"/>
          <w:lang w:val="en-GB"/>
        </w:rPr>
        <w:t>.</w:t>
      </w:r>
      <w:r w:rsidRPr="0030746D">
        <w:rPr>
          <w:color w:val="000000" w:themeColor="text1"/>
          <w:lang w:val="en-GB"/>
        </w:rPr>
        <w:t xml:space="preserve"> Nairobi and Arendal: United Nations Environment Programme and GRID-Arendal</w:t>
      </w:r>
      <w:r w:rsidR="009E18DB">
        <w:rPr>
          <w:color w:val="000000" w:themeColor="text1"/>
          <w:lang w:val="en-GB"/>
        </w:rPr>
        <w:t>;</w:t>
      </w:r>
      <w:r w:rsidRPr="0030746D">
        <w:rPr>
          <w:color w:val="000000" w:themeColor="text1"/>
          <w:lang w:val="en-GB"/>
        </w:rPr>
        <w:t xml:space="preserve"> 2015. (</w:t>
      </w:r>
      <w:hyperlink r:id="rId12" w:history="1">
        <w:r w:rsidRPr="003A5356">
          <w:rPr>
            <w:rStyle w:val="Hyperlink"/>
            <w:color w:val="2E74B5" w:themeColor="accent1" w:themeShade="BF"/>
            <w:u w:val="none"/>
            <w:lang w:val="en-GB"/>
          </w:rPr>
          <w:t>http://www.unep.org/delc/Portals/119/publications/rra-wastecrime.pdf</w:t>
        </w:r>
      </w:hyperlink>
      <w:r w:rsidR="009E18DB">
        <w:rPr>
          <w:rStyle w:val="Hyperlink"/>
        </w:rPr>
        <w:t>,</w:t>
      </w:r>
      <w:r w:rsidR="009E18DB" w:rsidRPr="00B338C0">
        <w:rPr>
          <w:color w:val="000000"/>
        </w:rPr>
        <w:t xml:space="preserve"> accessed 30 June 2016</w:t>
      </w:r>
      <w:r w:rsidRPr="0030746D">
        <w:rPr>
          <w:rStyle w:val="Hyperlink"/>
          <w:color w:val="000000" w:themeColor="text1"/>
          <w:u w:val="none"/>
          <w:lang w:val="en-GB"/>
        </w:rPr>
        <w:t>).</w:t>
      </w:r>
    </w:p>
    <w:p w14:paraId="12F5AE12" w14:textId="188076FA" w:rsidR="00F4151D" w:rsidRDefault="009E18DB" w:rsidP="00F4151D">
      <w:pPr>
        <w:pStyle w:val="Listenabsatz"/>
        <w:numPr>
          <w:ilvl w:val="0"/>
          <w:numId w:val="9"/>
        </w:numPr>
      </w:pPr>
      <w:r>
        <w:t xml:space="preserve">WHO. </w:t>
      </w:r>
      <w:r w:rsidR="00F4151D">
        <w:t>Electronic waste,</w:t>
      </w:r>
      <w:r>
        <w:t xml:space="preserve"> Children’s Environmental Health [website].</w:t>
      </w:r>
      <w:r w:rsidR="00F4151D">
        <w:t xml:space="preserve"> World Health Organisation. 2016 (</w:t>
      </w:r>
      <w:hyperlink r:id="rId13" w:history="1">
        <w:r w:rsidR="00F4151D" w:rsidRPr="00414F9E">
          <w:rPr>
            <w:rStyle w:val="Hyperlink"/>
          </w:rPr>
          <w:t>http://www.who.int/ceh/risks/ewaste/en/</w:t>
        </w:r>
      </w:hyperlink>
      <w:r>
        <w:rPr>
          <w:rStyle w:val="Hyperlink"/>
        </w:rPr>
        <w:t>,</w:t>
      </w:r>
      <w:r w:rsidR="00F4151D">
        <w:t xml:space="preserve"> accessed 30 June 2016).</w:t>
      </w:r>
    </w:p>
    <w:p w14:paraId="7623AE25" w14:textId="652726CF" w:rsidR="00F4151D" w:rsidRPr="00F4151D" w:rsidRDefault="00F4151D" w:rsidP="00B338C0">
      <w:pPr>
        <w:pStyle w:val="Listenabsatz"/>
        <w:numPr>
          <w:ilvl w:val="0"/>
          <w:numId w:val="9"/>
        </w:numPr>
        <w:rPr>
          <w:color w:val="0563C1" w:themeColor="hyperlink"/>
          <w:u w:val="single"/>
        </w:rPr>
      </w:pPr>
      <w:r w:rsidRPr="00287006">
        <w:t xml:space="preserve">The White House. </w:t>
      </w:r>
      <w:r w:rsidRPr="00287006">
        <w:rPr>
          <w:color w:val="262626"/>
          <w:lang w:val="en-US"/>
        </w:rPr>
        <w:t>Fact sheet: Federal Support for the Flint Wat</w:t>
      </w:r>
      <w:r>
        <w:rPr>
          <w:color w:val="262626"/>
          <w:lang w:val="en-US"/>
        </w:rPr>
        <w:t>er Crisis Response and Recovery</w:t>
      </w:r>
      <w:r w:rsidR="009E18DB">
        <w:rPr>
          <w:color w:val="262626"/>
          <w:lang w:val="en-US"/>
        </w:rPr>
        <w:t xml:space="preserve">. Washington D.C.: The White </w:t>
      </w:r>
      <w:r w:rsidR="009C4368">
        <w:rPr>
          <w:color w:val="262626"/>
          <w:lang w:val="en-US"/>
        </w:rPr>
        <w:t>House</w:t>
      </w:r>
      <w:r w:rsidR="009E18DB">
        <w:rPr>
          <w:color w:val="262626"/>
          <w:lang w:val="en-US"/>
        </w:rPr>
        <w:t>;</w:t>
      </w:r>
      <w:r>
        <w:rPr>
          <w:color w:val="262626"/>
          <w:lang w:val="en-US"/>
        </w:rPr>
        <w:t xml:space="preserve"> 2016.</w:t>
      </w:r>
      <w:r w:rsidRPr="00287006">
        <w:rPr>
          <w:color w:val="262626"/>
          <w:lang w:val="en-US"/>
        </w:rPr>
        <w:t xml:space="preserve"> </w:t>
      </w:r>
      <w:r>
        <w:rPr>
          <w:color w:val="262626"/>
          <w:lang w:val="en-US"/>
        </w:rPr>
        <w:t>(</w:t>
      </w:r>
      <w:hyperlink r:id="rId14" w:tgtFrame="_blank" w:history="1">
        <w:r w:rsidRPr="003A5356">
          <w:rPr>
            <w:rFonts w:eastAsia="Times New Roman"/>
            <w:color w:val="2E74B5" w:themeColor="accent1" w:themeShade="BF"/>
            <w:u w:val="single"/>
          </w:rPr>
          <w:t>https://www.whitehouse.gov/the-press-office/2016/05/03/fact-sheet-federal-support-flint-water-crisis-response-and-recovery</w:t>
        </w:r>
      </w:hyperlink>
      <w:r w:rsidRPr="003A5356">
        <w:rPr>
          <w:color w:val="2E74B5" w:themeColor="accent1" w:themeShade="BF"/>
        </w:rPr>
        <w:t xml:space="preserve"> </w:t>
      </w:r>
      <w:r w:rsidRPr="00287006">
        <w:t>accessed 30 June 2016).</w:t>
      </w:r>
    </w:p>
    <w:p w14:paraId="51DCB7D4" w14:textId="77777777" w:rsidR="00F4151D" w:rsidRPr="009E18DB" w:rsidRDefault="00F4151D" w:rsidP="00B338C0">
      <w:pPr>
        <w:pStyle w:val="Listenabsatz"/>
        <w:numPr>
          <w:ilvl w:val="0"/>
          <w:numId w:val="9"/>
        </w:numPr>
        <w:rPr>
          <w:color w:val="0563C1" w:themeColor="hyperlink"/>
          <w:u w:val="single"/>
        </w:rPr>
      </w:pPr>
      <w:r>
        <w:t xml:space="preserve">Hanna-Attisha M, LaChance, J, Sadler RC, Champney Schnepp A. Elevated Blood Lead Levels in Children Associated With the Flint Drinking Water Crisis: A Spatial Analysis of Risk </w:t>
      </w:r>
      <w:r w:rsidRPr="009E18DB">
        <w:t>and Public Health Response. American Journal of Public Health, 2016; 106(2): 283-290. Doi:</w:t>
      </w:r>
      <w:r w:rsidRPr="009E18DB">
        <w:rPr>
          <w:rStyle w:val="apple-converted-space"/>
          <w:color w:val="000000"/>
          <w:shd w:val="clear" w:color="auto" w:fill="FFFFFF"/>
        </w:rPr>
        <w:t> </w:t>
      </w:r>
      <w:r w:rsidRPr="009E18DB">
        <w:rPr>
          <w:color w:val="000000"/>
          <w:shd w:val="clear" w:color="auto" w:fill="FFFFFF"/>
        </w:rPr>
        <w:t>10.2105/AJPH.2015.303003</w:t>
      </w:r>
    </w:p>
    <w:p w14:paraId="74335645" w14:textId="77777777" w:rsidR="004267CB" w:rsidRPr="004267CB" w:rsidRDefault="00F4151D" w:rsidP="004267CB">
      <w:pPr>
        <w:pStyle w:val="Listenabsatz"/>
        <w:numPr>
          <w:ilvl w:val="0"/>
          <w:numId w:val="9"/>
        </w:numPr>
        <w:rPr>
          <w:color w:val="0563C1" w:themeColor="hyperlink"/>
          <w:u w:val="single"/>
        </w:rPr>
      </w:pPr>
      <w:r w:rsidRPr="009E18DB">
        <w:rPr>
          <w:rFonts w:eastAsia="Times New Roman"/>
          <w:shd w:val="clear" w:color="auto" w:fill="FFFFFF"/>
        </w:rPr>
        <w:t>Lanphear BP, Hornung R, Khoury J, Yolton K, Baghurst</w:t>
      </w:r>
      <w:r w:rsidR="009E18DB">
        <w:rPr>
          <w:rFonts w:eastAsia="Times New Roman"/>
          <w:shd w:val="clear" w:color="auto" w:fill="FFFFFF"/>
        </w:rPr>
        <w:t xml:space="preserve"> </w:t>
      </w:r>
      <w:r w:rsidRPr="009E18DB">
        <w:rPr>
          <w:rFonts w:eastAsia="Times New Roman"/>
          <w:shd w:val="clear" w:color="auto" w:fill="FFFFFF"/>
        </w:rPr>
        <w:t>P, Bellinger DC et al. Low-level Environmental lead exposure and children's intellectual function: an international pooled analysis. </w:t>
      </w:r>
      <w:r w:rsidRPr="009E18DB">
        <w:rPr>
          <w:rFonts w:eastAsia="Times New Roman"/>
          <w:iCs/>
          <w:shd w:val="clear" w:color="auto" w:fill="FFFFFF"/>
        </w:rPr>
        <w:t>Environmental Health</w:t>
      </w:r>
      <w:r w:rsidRPr="000B4B0C">
        <w:rPr>
          <w:rFonts w:eastAsia="Times New Roman"/>
          <w:iCs/>
          <w:shd w:val="clear" w:color="auto" w:fill="FFFFFF"/>
        </w:rPr>
        <w:t xml:space="preserve"> Perspectives, 2005</w:t>
      </w:r>
      <w:r w:rsidR="009E18DB">
        <w:rPr>
          <w:rFonts w:eastAsia="Times New Roman"/>
          <w:iCs/>
          <w:shd w:val="clear" w:color="auto" w:fill="FFFFFF"/>
        </w:rPr>
        <w:t>;</w:t>
      </w:r>
      <w:r w:rsidRPr="000B4B0C">
        <w:rPr>
          <w:rFonts w:eastAsia="Times New Roman"/>
          <w:iCs/>
          <w:shd w:val="clear" w:color="auto" w:fill="FFFFFF"/>
        </w:rPr>
        <w:t xml:space="preserve"> 113</w:t>
      </w:r>
      <w:r w:rsidRPr="000B4B0C">
        <w:rPr>
          <w:rFonts w:eastAsia="Times New Roman"/>
          <w:shd w:val="clear" w:color="auto" w:fill="FFFFFF"/>
        </w:rPr>
        <w:t>(7), 894</w:t>
      </w:r>
      <w:r w:rsidRPr="00AD56B5">
        <w:rPr>
          <w:rFonts w:eastAsia="Times New Roman"/>
          <w:shd w:val="clear" w:color="auto" w:fill="FFFFFF"/>
        </w:rPr>
        <w:t>-899.</w:t>
      </w:r>
    </w:p>
    <w:p w14:paraId="64C225BC" w14:textId="2DE83C02" w:rsidR="004F793C" w:rsidRPr="004267CB" w:rsidRDefault="004F793C" w:rsidP="004F793C">
      <w:pPr>
        <w:pStyle w:val="Listenabsatz"/>
        <w:numPr>
          <w:ilvl w:val="0"/>
          <w:numId w:val="9"/>
        </w:numPr>
        <w:rPr>
          <w:color w:val="0563C1" w:themeColor="hyperlink"/>
          <w:u w:val="single"/>
        </w:rPr>
      </w:pPr>
      <w:r w:rsidRPr="004267CB">
        <w:rPr>
          <w:rFonts w:eastAsia="HelveticaNeue-Condensed"/>
          <w:lang w:eastAsia="en-US"/>
        </w:rPr>
        <w:t xml:space="preserve">Gould, E. Childhood lead poisoning: conservative estimates of the social and economic benefits of lead hazard control. </w:t>
      </w:r>
      <w:r w:rsidRPr="004267CB">
        <w:rPr>
          <w:rFonts w:eastAsia="HelveticaNeue-Condensed"/>
          <w:iCs/>
          <w:lang w:eastAsia="en-US"/>
        </w:rPr>
        <w:t>Environmental Health Perspectives. 2009; 117</w:t>
      </w:r>
      <w:r w:rsidRPr="004267CB">
        <w:rPr>
          <w:rFonts w:eastAsia="HelveticaNeue-Condensed"/>
          <w:lang w:eastAsia="en-US"/>
        </w:rPr>
        <w:t xml:space="preserve">(7), 1162-1167. </w:t>
      </w:r>
      <w:r w:rsidR="009C4368">
        <w:rPr>
          <w:rFonts w:eastAsia="HelveticaNeue-Condensed"/>
          <w:lang w:eastAsia="en-US"/>
        </w:rPr>
        <w:t>D</w:t>
      </w:r>
      <w:r w:rsidR="009C4368" w:rsidRPr="004267CB">
        <w:rPr>
          <w:rFonts w:eastAsia="HelveticaNeue-Condensed"/>
          <w:lang w:eastAsia="en-US"/>
        </w:rPr>
        <w:t>o</w:t>
      </w:r>
      <w:r w:rsidR="009C4368">
        <w:rPr>
          <w:rFonts w:eastAsia="HelveticaNeue-Condensed"/>
          <w:lang w:eastAsia="en-US"/>
        </w:rPr>
        <w:t>i</w:t>
      </w:r>
      <w:r w:rsidRPr="004267CB">
        <w:rPr>
          <w:rFonts w:eastAsia="HelveticaNeue-Condensed"/>
          <w:lang w:eastAsia="en-US"/>
        </w:rPr>
        <w:t>: 10.1289/ehp.0800408</w:t>
      </w:r>
    </w:p>
    <w:p w14:paraId="7DF59B42" w14:textId="77777777" w:rsidR="004267CB" w:rsidRDefault="004267CB" w:rsidP="004267CB">
      <w:pPr>
        <w:pStyle w:val="Listenabsatz"/>
        <w:numPr>
          <w:ilvl w:val="0"/>
          <w:numId w:val="9"/>
        </w:numPr>
        <w:rPr>
          <w:color w:val="0563C1" w:themeColor="hyperlink"/>
          <w:u w:val="single"/>
        </w:rPr>
      </w:pPr>
      <w:r w:rsidRPr="004267CB">
        <w:rPr>
          <w:lang w:val="en-US" w:eastAsia="en-US"/>
        </w:rPr>
        <w:t xml:space="preserve">Attina TM, Trasande L. Economic Costs of Childhood Lead Exposure in Low- and Middle-Income Countries. </w:t>
      </w:r>
      <w:r w:rsidRPr="004267CB">
        <w:rPr>
          <w:iCs/>
          <w:lang w:val="en-US" w:eastAsia="en-US"/>
        </w:rPr>
        <w:t xml:space="preserve">Environ Health Perspect, 2013; 121(9). Doi: </w:t>
      </w:r>
      <w:r w:rsidRPr="004267CB">
        <w:rPr>
          <w:lang w:val="en-US" w:eastAsia="en-US"/>
        </w:rPr>
        <w:t>10.1289/ehp.1206424.</w:t>
      </w:r>
    </w:p>
    <w:p w14:paraId="643E26E3" w14:textId="2BA33DF8" w:rsidR="004267CB" w:rsidRDefault="004267CB" w:rsidP="004267CB">
      <w:pPr>
        <w:pStyle w:val="Listenabsatz"/>
        <w:numPr>
          <w:ilvl w:val="0"/>
          <w:numId w:val="9"/>
        </w:numPr>
        <w:rPr>
          <w:color w:val="0563C1" w:themeColor="hyperlink"/>
          <w:u w:val="single"/>
        </w:rPr>
      </w:pPr>
      <w:r w:rsidRPr="004267CB">
        <w:rPr>
          <w:lang w:val="en-US" w:eastAsia="en-US"/>
        </w:rPr>
        <w:t>Bartlett ES, Trasande L. Economic impacts of environmentally attributable childhood health outcomes in the European Union. The European Journal of Public Health, 2013; 24(1):21-26. Doi: 10.1093/eurpub/ckt063</w:t>
      </w:r>
      <w:r w:rsidR="009C4368">
        <w:rPr>
          <w:lang w:val="en-US" w:eastAsia="en-US"/>
        </w:rPr>
        <w:t>.</w:t>
      </w:r>
    </w:p>
    <w:p w14:paraId="7F064015" w14:textId="41FD604A" w:rsidR="004267CB" w:rsidRDefault="004267CB" w:rsidP="004267CB">
      <w:pPr>
        <w:pStyle w:val="Listenabsatz"/>
        <w:numPr>
          <w:ilvl w:val="0"/>
          <w:numId w:val="9"/>
        </w:numPr>
        <w:rPr>
          <w:color w:val="0563C1" w:themeColor="hyperlink"/>
          <w:u w:val="single"/>
        </w:rPr>
      </w:pPr>
      <w:r w:rsidRPr="004267CB">
        <w:rPr>
          <w:color w:val="262626"/>
          <w:u w:color="262626"/>
          <w:lang w:val="en-US" w:eastAsia="en-US"/>
        </w:rPr>
        <w:t>Trasande L</w:t>
      </w:r>
      <w:r w:rsidRPr="004267CB">
        <w:rPr>
          <w:lang w:val="en-US" w:eastAsia="en-US"/>
        </w:rPr>
        <w:t xml:space="preserve">, </w:t>
      </w:r>
      <w:r w:rsidRPr="004267CB">
        <w:rPr>
          <w:color w:val="262626"/>
          <w:u w:color="262626"/>
          <w:lang w:val="en-US" w:eastAsia="en-US"/>
        </w:rPr>
        <w:t>Liu Y</w:t>
      </w:r>
      <w:r w:rsidRPr="004267CB">
        <w:rPr>
          <w:lang w:val="en-US" w:eastAsia="en-US"/>
        </w:rPr>
        <w:t xml:space="preserve">. </w:t>
      </w:r>
      <w:r w:rsidRPr="004267CB">
        <w:rPr>
          <w:bCs/>
          <w:lang w:val="en-US" w:eastAsia="en-US"/>
        </w:rPr>
        <w:t xml:space="preserve">Reducing the staggering costs of environmental disease in children, estimated at $76.6 billion in 2008. </w:t>
      </w:r>
      <w:r w:rsidRPr="004267CB">
        <w:rPr>
          <w:color w:val="262626"/>
          <w:u w:color="262626"/>
          <w:lang w:val="en-US" w:eastAsia="en-US"/>
        </w:rPr>
        <w:t xml:space="preserve">Health Aff (Millwood), </w:t>
      </w:r>
      <w:r w:rsidRPr="004267CB">
        <w:rPr>
          <w:lang w:val="en-US" w:eastAsia="en-US"/>
        </w:rPr>
        <w:t>2011; 30(5): 863-70. Doi: 10.1377/hlthaff.2010.1239.</w:t>
      </w:r>
    </w:p>
    <w:p w14:paraId="61589566" w14:textId="77777777" w:rsidR="001278E6" w:rsidRDefault="001278E6" w:rsidP="001278E6">
      <w:pPr>
        <w:pStyle w:val="Listenabsatz"/>
        <w:numPr>
          <w:ilvl w:val="0"/>
          <w:numId w:val="9"/>
        </w:numPr>
      </w:pPr>
      <w:r>
        <w:lastRenderedPageBreak/>
        <w:t>Doll B. Uncovering the effects of smoking: historical perspective. Statistical Methods in Medical Research, 1998; 7: 87-117.</w:t>
      </w:r>
    </w:p>
    <w:p w14:paraId="102A1D2B" w14:textId="590B5A36" w:rsidR="00391FE5" w:rsidRPr="00FE5688" w:rsidRDefault="00391FE5" w:rsidP="00391FE5">
      <w:pPr>
        <w:pStyle w:val="Listenabsatz"/>
        <w:numPr>
          <w:ilvl w:val="0"/>
          <w:numId w:val="9"/>
        </w:numPr>
      </w:pPr>
      <w:r w:rsidRPr="00391FE5">
        <w:rPr>
          <w:rFonts w:eastAsia="Times New Roman"/>
        </w:rPr>
        <w:t xml:space="preserve">Banderali G, A. Martelli, M. Landi, F. Moretti, F. Betti, G. Radaelli, et al. Short and long term health effects of parental tobacco smoking during pregnancy and lactation: a descriptive review. </w:t>
      </w:r>
      <w:r w:rsidRPr="00391FE5">
        <w:rPr>
          <w:rStyle w:val="cit"/>
          <w:rFonts w:eastAsia="Times New Roman"/>
        </w:rPr>
        <w:t xml:space="preserve">J Transl Med 2015; 13: 327. </w:t>
      </w:r>
      <w:r w:rsidRPr="00391FE5">
        <w:rPr>
          <w:rStyle w:val="doi"/>
          <w:rFonts w:eastAsia="Times New Roman"/>
        </w:rPr>
        <w:t>Doi: 10.1186/s12967-015-0690-y.</w:t>
      </w:r>
    </w:p>
    <w:p w14:paraId="30A4DA67" w14:textId="08F99F24" w:rsidR="004267CB" w:rsidRPr="004267CB" w:rsidRDefault="00F4151D" w:rsidP="004267CB">
      <w:pPr>
        <w:pStyle w:val="Listenabsatz"/>
        <w:numPr>
          <w:ilvl w:val="0"/>
          <w:numId w:val="9"/>
        </w:numPr>
        <w:rPr>
          <w:color w:val="0563C1" w:themeColor="hyperlink"/>
          <w:u w:val="single"/>
        </w:rPr>
      </w:pPr>
      <w:r>
        <w:t>UNEP, WHO</w:t>
      </w:r>
      <w:r w:rsidR="009E18DB">
        <w:t>.</w:t>
      </w:r>
      <w:r>
        <w:t xml:space="preserve"> Bergman A, Heindel JJ, Jobling S, Kidd KA, Zoeller RT, editors. State of the science of endocrine disrupting chemicals – 2012. Geneva: United Nations Environment Programme and World Health Organization. 2013</w:t>
      </w:r>
      <w:r w:rsidR="009E18DB">
        <w:t>.</w:t>
      </w:r>
      <w:r>
        <w:t xml:space="preserve"> (</w:t>
      </w:r>
      <w:hyperlink r:id="rId15" w:history="1">
        <w:r w:rsidRPr="004267CB">
          <w:rPr>
            <w:rStyle w:val="Hyperlink"/>
            <w:lang w:val="en-US"/>
          </w:rPr>
          <w:t>http://www.who.int/ceh/publications/endocrine/en/</w:t>
        </w:r>
      </w:hyperlink>
      <w:r w:rsidR="009E18DB" w:rsidRPr="004267CB">
        <w:rPr>
          <w:rStyle w:val="Hyperlink"/>
          <w:lang w:val="en-US"/>
        </w:rPr>
        <w:t>,</w:t>
      </w:r>
      <w:r>
        <w:t xml:space="preserve"> accessed 10 July 2016).</w:t>
      </w:r>
    </w:p>
    <w:p w14:paraId="22D2AD21" w14:textId="68A3314C" w:rsidR="00F4151D" w:rsidRPr="004267CB" w:rsidRDefault="004267CB" w:rsidP="004267CB">
      <w:pPr>
        <w:pStyle w:val="Listenabsatz"/>
        <w:numPr>
          <w:ilvl w:val="0"/>
          <w:numId w:val="9"/>
        </w:numPr>
        <w:rPr>
          <w:color w:val="0563C1" w:themeColor="hyperlink"/>
          <w:u w:val="single"/>
        </w:rPr>
      </w:pPr>
      <w:r>
        <w:t>E</w:t>
      </w:r>
      <w:r w:rsidR="00F4151D">
        <w:t>uropean Commission</w:t>
      </w:r>
      <w:r w:rsidR="009E18DB">
        <w:t>.</w:t>
      </w:r>
      <w:r w:rsidR="00F4151D">
        <w:t xml:space="preserve"> Commission adopts Communication on Precautionary Principle</w:t>
      </w:r>
      <w:r w:rsidR="009E18DB">
        <w:t xml:space="preserve"> [website]</w:t>
      </w:r>
      <w:r w:rsidR="00F4151D">
        <w:t xml:space="preserve">. </w:t>
      </w:r>
      <w:r w:rsidR="009E18DB">
        <w:t xml:space="preserve">European Commission; </w:t>
      </w:r>
      <w:r w:rsidR="00F4151D">
        <w:t>2000. (</w:t>
      </w:r>
      <w:hyperlink r:id="rId16" w:history="1">
        <w:r w:rsidR="00F4151D" w:rsidRPr="00414F9E">
          <w:rPr>
            <w:rStyle w:val="Hyperlink"/>
          </w:rPr>
          <w:t>http://europa.eu/rapid/press-release_IP-00-96_en.htm</w:t>
        </w:r>
      </w:hyperlink>
      <w:r w:rsidR="009E18DB">
        <w:rPr>
          <w:rStyle w:val="Hyperlink"/>
        </w:rPr>
        <w:t>,</w:t>
      </w:r>
      <w:r w:rsidR="00F4151D">
        <w:t xml:space="preserve"> accessed</w:t>
      </w:r>
      <w:r w:rsidR="005A7ADD">
        <w:t xml:space="preserve"> </w:t>
      </w:r>
      <w:r w:rsidR="00F4151D">
        <w:t>10 July 2016)</w:t>
      </w:r>
      <w:r w:rsidR="009E18DB">
        <w:t>.</w:t>
      </w:r>
    </w:p>
    <w:p w14:paraId="12860C2D" w14:textId="77777777" w:rsidR="008223E7" w:rsidRDefault="008223E7" w:rsidP="001A22B4"/>
    <w:p w14:paraId="6C3492D7" w14:textId="77777777" w:rsidR="001278E6" w:rsidRDefault="001278E6" w:rsidP="001A22B4"/>
    <w:p w14:paraId="37F2205E" w14:textId="77777777" w:rsidR="001278E6" w:rsidRDefault="001278E6" w:rsidP="001A22B4"/>
    <w:p w14:paraId="3B8DD8FD" w14:textId="521A3DB7" w:rsidR="008223E7" w:rsidRPr="00FE5688" w:rsidRDefault="008223E7" w:rsidP="001A22B4"/>
    <w:sectPr w:rsidR="008223E7" w:rsidRPr="00FE5688">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15B3B4" w15:done="0"/>
  <w15:commentEx w15:paraId="74C5E95C" w15:done="0"/>
  <w15:commentEx w15:paraId="20637EF5" w15:done="0"/>
  <w15:commentEx w15:paraId="24526DA8" w15:done="0"/>
  <w15:commentEx w15:paraId="689F325C" w15:done="0"/>
  <w15:commentEx w15:paraId="0BF6C75F" w15:done="0"/>
  <w15:commentEx w15:paraId="6896030C" w15:paraIdParent="0BF6C75F" w15:done="0"/>
  <w15:commentEx w15:paraId="28DFB268" w15:done="0"/>
  <w15:commentEx w15:paraId="7452339B" w15:paraIdParent="28DFB26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Courier New"/>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HelveticaNeue-Condensed">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85A95"/>
    <w:multiLevelType w:val="hybridMultilevel"/>
    <w:tmpl w:val="956AA9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30831DD"/>
    <w:multiLevelType w:val="hybridMultilevel"/>
    <w:tmpl w:val="2EB078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5A371D2"/>
    <w:multiLevelType w:val="hybridMultilevel"/>
    <w:tmpl w:val="B5D2B6F6"/>
    <w:lvl w:ilvl="0" w:tplc="0C09000F">
      <w:start w:val="1"/>
      <w:numFmt w:val="decimal"/>
      <w:lvlText w:val="%1."/>
      <w:lvlJc w:val="left"/>
      <w:pPr>
        <w:ind w:left="360" w:hanging="360"/>
      </w:pPr>
      <w:rPr>
        <w:rFonts w:hint="default"/>
        <w:color w:val="auto"/>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3B405493"/>
    <w:multiLevelType w:val="hybridMultilevel"/>
    <w:tmpl w:val="FD347078"/>
    <w:lvl w:ilvl="0" w:tplc="71C4FFB2">
      <w:start w:val="7"/>
      <w:numFmt w:val="bullet"/>
      <w:lvlText w:val="-"/>
      <w:lvlJc w:val="left"/>
      <w:pPr>
        <w:ind w:left="720" w:hanging="360"/>
      </w:pPr>
      <w:rPr>
        <w:rFonts w:ascii="Calibri" w:eastAsiaTheme="minorHAns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736319C"/>
    <w:multiLevelType w:val="hybridMultilevel"/>
    <w:tmpl w:val="5EA2CF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1600631"/>
    <w:multiLevelType w:val="hybridMultilevel"/>
    <w:tmpl w:val="F28697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3A22627"/>
    <w:multiLevelType w:val="hybridMultilevel"/>
    <w:tmpl w:val="ED36C468"/>
    <w:lvl w:ilvl="0" w:tplc="292E2A66">
      <w:start w:val="1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FF3350E"/>
    <w:multiLevelType w:val="hybridMultilevel"/>
    <w:tmpl w:val="2004AE7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5AD3D07"/>
    <w:multiLevelType w:val="hybridMultilevel"/>
    <w:tmpl w:val="B44067D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6"/>
  </w:num>
  <w:num w:numId="5">
    <w:abstractNumId w:val="7"/>
  </w:num>
  <w:num w:numId="6">
    <w:abstractNumId w:val="5"/>
  </w:num>
  <w:num w:numId="7">
    <w:abstractNumId w:val="4"/>
  </w:num>
  <w:num w:numId="8">
    <w:abstractNumId w:val="8"/>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1">
    <w15:presenceInfo w15:providerId="None" w15:userId="user1"/>
  </w15:person>
  <w15:person w15:author="Peter Sly">
    <w15:presenceInfo w15:providerId="AD" w15:userId="S-1-5-21-620321403-24207062-1845911597-4464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2A7"/>
    <w:rsid w:val="0000128F"/>
    <w:rsid w:val="00023CD9"/>
    <w:rsid w:val="0004497C"/>
    <w:rsid w:val="00055A46"/>
    <w:rsid w:val="00055DCE"/>
    <w:rsid w:val="00061EC9"/>
    <w:rsid w:val="00067848"/>
    <w:rsid w:val="00075E22"/>
    <w:rsid w:val="000A20C6"/>
    <w:rsid w:val="000A5BC7"/>
    <w:rsid w:val="000B2E49"/>
    <w:rsid w:val="000B4B0C"/>
    <w:rsid w:val="000B7349"/>
    <w:rsid w:val="000D13F8"/>
    <w:rsid w:val="000D7649"/>
    <w:rsid w:val="0010480E"/>
    <w:rsid w:val="00111A09"/>
    <w:rsid w:val="0012058D"/>
    <w:rsid w:val="001278E6"/>
    <w:rsid w:val="00131459"/>
    <w:rsid w:val="0014121E"/>
    <w:rsid w:val="00147036"/>
    <w:rsid w:val="00151DCA"/>
    <w:rsid w:val="001522B3"/>
    <w:rsid w:val="00160167"/>
    <w:rsid w:val="00161055"/>
    <w:rsid w:val="0017003F"/>
    <w:rsid w:val="00173D73"/>
    <w:rsid w:val="00174408"/>
    <w:rsid w:val="0018165F"/>
    <w:rsid w:val="00191BC0"/>
    <w:rsid w:val="001A22B4"/>
    <w:rsid w:val="001B2E5D"/>
    <w:rsid w:val="001C39D9"/>
    <w:rsid w:val="001D537F"/>
    <w:rsid w:val="001E1646"/>
    <w:rsid w:val="001F0FAF"/>
    <w:rsid w:val="001F45E7"/>
    <w:rsid w:val="00201E66"/>
    <w:rsid w:val="00214F92"/>
    <w:rsid w:val="00255B1F"/>
    <w:rsid w:val="00267C44"/>
    <w:rsid w:val="00276E3E"/>
    <w:rsid w:val="0028002E"/>
    <w:rsid w:val="00287006"/>
    <w:rsid w:val="002B635D"/>
    <w:rsid w:val="002B6742"/>
    <w:rsid w:val="002C4FBC"/>
    <w:rsid w:val="002C7BF3"/>
    <w:rsid w:val="002E62D5"/>
    <w:rsid w:val="0030746D"/>
    <w:rsid w:val="003102AB"/>
    <w:rsid w:val="00332113"/>
    <w:rsid w:val="00361333"/>
    <w:rsid w:val="00374045"/>
    <w:rsid w:val="003753D9"/>
    <w:rsid w:val="003916D0"/>
    <w:rsid w:val="00391FE5"/>
    <w:rsid w:val="0039718C"/>
    <w:rsid w:val="003A1F0B"/>
    <w:rsid w:val="003A5356"/>
    <w:rsid w:val="003E0A62"/>
    <w:rsid w:val="003E5B79"/>
    <w:rsid w:val="003E7068"/>
    <w:rsid w:val="003F103E"/>
    <w:rsid w:val="00411A8E"/>
    <w:rsid w:val="00415244"/>
    <w:rsid w:val="004231C0"/>
    <w:rsid w:val="004267CB"/>
    <w:rsid w:val="0043257C"/>
    <w:rsid w:val="004509E7"/>
    <w:rsid w:val="0045470F"/>
    <w:rsid w:val="00460072"/>
    <w:rsid w:val="004620BA"/>
    <w:rsid w:val="00473262"/>
    <w:rsid w:val="0047403C"/>
    <w:rsid w:val="004925FD"/>
    <w:rsid w:val="004A5603"/>
    <w:rsid w:val="004C2832"/>
    <w:rsid w:val="004E7191"/>
    <w:rsid w:val="004F4FF0"/>
    <w:rsid w:val="004F793C"/>
    <w:rsid w:val="005114C0"/>
    <w:rsid w:val="0051150D"/>
    <w:rsid w:val="00563362"/>
    <w:rsid w:val="005A7ADD"/>
    <w:rsid w:val="005C0D49"/>
    <w:rsid w:val="005C2DB3"/>
    <w:rsid w:val="005C3DDA"/>
    <w:rsid w:val="005C6AA1"/>
    <w:rsid w:val="005C76DF"/>
    <w:rsid w:val="005D18D8"/>
    <w:rsid w:val="005F4572"/>
    <w:rsid w:val="00600A95"/>
    <w:rsid w:val="00602E0D"/>
    <w:rsid w:val="00604A5F"/>
    <w:rsid w:val="0061266D"/>
    <w:rsid w:val="00631F9E"/>
    <w:rsid w:val="006366AA"/>
    <w:rsid w:val="00650A57"/>
    <w:rsid w:val="0066537D"/>
    <w:rsid w:val="00667CDA"/>
    <w:rsid w:val="00695867"/>
    <w:rsid w:val="006A0A71"/>
    <w:rsid w:val="006A1BA3"/>
    <w:rsid w:val="006A5E27"/>
    <w:rsid w:val="006B3BB1"/>
    <w:rsid w:val="006B47EE"/>
    <w:rsid w:val="006C5507"/>
    <w:rsid w:val="006D327B"/>
    <w:rsid w:val="006D73D2"/>
    <w:rsid w:val="006E738E"/>
    <w:rsid w:val="006F59AB"/>
    <w:rsid w:val="0070122C"/>
    <w:rsid w:val="0070565A"/>
    <w:rsid w:val="007133FC"/>
    <w:rsid w:val="00716D3D"/>
    <w:rsid w:val="00760166"/>
    <w:rsid w:val="007702CC"/>
    <w:rsid w:val="00790CE2"/>
    <w:rsid w:val="007B2D0A"/>
    <w:rsid w:val="007B6E38"/>
    <w:rsid w:val="007D2C58"/>
    <w:rsid w:val="007D6753"/>
    <w:rsid w:val="007D7A1B"/>
    <w:rsid w:val="007E562C"/>
    <w:rsid w:val="007F09D7"/>
    <w:rsid w:val="0081092A"/>
    <w:rsid w:val="00813B4C"/>
    <w:rsid w:val="008217B7"/>
    <w:rsid w:val="008223E7"/>
    <w:rsid w:val="00822569"/>
    <w:rsid w:val="00824518"/>
    <w:rsid w:val="0083667C"/>
    <w:rsid w:val="00860892"/>
    <w:rsid w:val="00882A51"/>
    <w:rsid w:val="00882E80"/>
    <w:rsid w:val="00890AD1"/>
    <w:rsid w:val="008A01A5"/>
    <w:rsid w:val="008A393A"/>
    <w:rsid w:val="008A7DA2"/>
    <w:rsid w:val="008B7A4D"/>
    <w:rsid w:val="008C251A"/>
    <w:rsid w:val="008C2B29"/>
    <w:rsid w:val="008C3B7D"/>
    <w:rsid w:val="008D77D3"/>
    <w:rsid w:val="008E798A"/>
    <w:rsid w:val="00912554"/>
    <w:rsid w:val="00913468"/>
    <w:rsid w:val="00920327"/>
    <w:rsid w:val="009205E0"/>
    <w:rsid w:val="00946DF4"/>
    <w:rsid w:val="009600AF"/>
    <w:rsid w:val="009902A8"/>
    <w:rsid w:val="009C4368"/>
    <w:rsid w:val="009C4CBC"/>
    <w:rsid w:val="009D1981"/>
    <w:rsid w:val="009D6857"/>
    <w:rsid w:val="009E10B9"/>
    <w:rsid w:val="009E18DB"/>
    <w:rsid w:val="009E627D"/>
    <w:rsid w:val="009E6B15"/>
    <w:rsid w:val="009F4AE4"/>
    <w:rsid w:val="009F70DB"/>
    <w:rsid w:val="00A12F13"/>
    <w:rsid w:val="00A32F89"/>
    <w:rsid w:val="00A471F9"/>
    <w:rsid w:val="00A529BC"/>
    <w:rsid w:val="00A53A48"/>
    <w:rsid w:val="00A55DCC"/>
    <w:rsid w:val="00A57E55"/>
    <w:rsid w:val="00A60C15"/>
    <w:rsid w:val="00A806AF"/>
    <w:rsid w:val="00AA29E5"/>
    <w:rsid w:val="00AA432B"/>
    <w:rsid w:val="00AA523B"/>
    <w:rsid w:val="00AC1612"/>
    <w:rsid w:val="00AD5B9E"/>
    <w:rsid w:val="00AE533D"/>
    <w:rsid w:val="00AF2E45"/>
    <w:rsid w:val="00B04AC7"/>
    <w:rsid w:val="00B0541E"/>
    <w:rsid w:val="00B16F8B"/>
    <w:rsid w:val="00B25ED0"/>
    <w:rsid w:val="00B338C0"/>
    <w:rsid w:val="00B42BB6"/>
    <w:rsid w:val="00B4537D"/>
    <w:rsid w:val="00B61598"/>
    <w:rsid w:val="00B7684E"/>
    <w:rsid w:val="00B90A17"/>
    <w:rsid w:val="00B93181"/>
    <w:rsid w:val="00BC26B0"/>
    <w:rsid w:val="00BD7E1D"/>
    <w:rsid w:val="00BE5E9B"/>
    <w:rsid w:val="00BF42A7"/>
    <w:rsid w:val="00BF67BE"/>
    <w:rsid w:val="00BF7F7B"/>
    <w:rsid w:val="00C104E5"/>
    <w:rsid w:val="00C10936"/>
    <w:rsid w:val="00C4335E"/>
    <w:rsid w:val="00C455B4"/>
    <w:rsid w:val="00C709A9"/>
    <w:rsid w:val="00C70ADF"/>
    <w:rsid w:val="00C744B6"/>
    <w:rsid w:val="00CA14FF"/>
    <w:rsid w:val="00CB1FF9"/>
    <w:rsid w:val="00CC37ED"/>
    <w:rsid w:val="00CD7799"/>
    <w:rsid w:val="00D0095C"/>
    <w:rsid w:val="00D11BEF"/>
    <w:rsid w:val="00D25741"/>
    <w:rsid w:val="00D2776B"/>
    <w:rsid w:val="00D533E6"/>
    <w:rsid w:val="00D65A6B"/>
    <w:rsid w:val="00D666CE"/>
    <w:rsid w:val="00D71E56"/>
    <w:rsid w:val="00DB3026"/>
    <w:rsid w:val="00DB3A7B"/>
    <w:rsid w:val="00DB56D7"/>
    <w:rsid w:val="00DD173A"/>
    <w:rsid w:val="00DD6B46"/>
    <w:rsid w:val="00DE4C98"/>
    <w:rsid w:val="00E16C11"/>
    <w:rsid w:val="00E2196F"/>
    <w:rsid w:val="00E6206E"/>
    <w:rsid w:val="00E70708"/>
    <w:rsid w:val="00E72789"/>
    <w:rsid w:val="00E75EC9"/>
    <w:rsid w:val="00E82F05"/>
    <w:rsid w:val="00EA1B00"/>
    <w:rsid w:val="00EB46E9"/>
    <w:rsid w:val="00EB4D24"/>
    <w:rsid w:val="00EB5F2A"/>
    <w:rsid w:val="00EE3309"/>
    <w:rsid w:val="00EE46B0"/>
    <w:rsid w:val="00EF6DCF"/>
    <w:rsid w:val="00EF7076"/>
    <w:rsid w:val="00F03649"/>
    <w:rsid w:val="00F0630D"/>
    <w:rsid w:val="00F117CE"/>
    <w:rsid w:val="00F4151D"/>
    <w:rsid w:val="00F43344"/>
    <w:rsid w:val="00F645CC"/>
    <w:rsid w:val="00F6525E"/>
    <w:rsid w:val="00F67F6C"/>
    <w:rsid w:val="00F67FC0"/>
    <w:rsid w:val="00F75FE9"/>
    <w:rsid w:val="00F77CFD"/>
    <w:rsid w:val="00F90BA9"/>
    <w:rsid w:val="00F97D7B"/>
    <w:rsid w:val="00FA2D4E"/>
    <w:rsid w:val="00FB31F9"/>
    <w:rsid w:val="00FC7D14"/>
    <w:rsid w:val="00FD4705"/>
    <w:rsid w:val="00FE3551"/>
    <w:rsid w:val="00FE5688"/>
    <w:rsid w:val="00FF5D8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DB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42A7"/>
    <w:pPr>
      <w:spacing w:after="0" w:line="240" w:lineRule="auto"/>
    </w:pPr>
    <w:rPr>
      <w:rFonts w:ascii="Times New Roman" w:hAnsi="Times New Roman" w:cs="Times New Roman"/>
      <w:sz w:val="24"/>
      <w:szCs w:val="24"/>
      <w:lang w:eastAsia="en-A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F42A7"/>
  </w:style>
  <w:style w:type="character" w:styleId="Hyperlink">
    <w:name w:val="Hyperlink"/>
    <w:basedOn w:val="Absatz-Standardschriftart"/>
    <w:uiPriority w:val="99"/>
    <w:unhideWhenUsed/>
    <w:rsid w:val="009600AF"/>
    <w:rPr>
      <w:color w:val="0563C1" w:themeColor="hyperlink"/>
      <w:u w:val="single"/>
    </w:rPr>
  </w:style>
  <w:style w:type="paragraph" w:styleId="Sprechblasentext">
    <w:name w:val="Balloon Text"/>
    <w:basedOn w:val="Standard"/>
    <w:link w:val="SprechblasentextZchn"/>
    <w:uiPriority w:val="99"/>
    <w:semiHidden/>
    <w:unhideWhenUsed/>
    <w:rsid w:val="00CB1FF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1FF9"/>
    <w:rPr>
      <w:rFonts w:ascii="Segoe UI" w:hAnsi="Segoe UI" w:cs="Segoe UI"/>
      <w:sz w:val="18"/>
      <w:szCs w:val="18"/>
      <w:lang w:eastAsia="en-AU"/>
    </w:rPr>
  </w:style>
  <w:style w:type="character" w:styleId="Kommentarzeichen">
    <w:name w:val="annotation reference"/>
    <w:basedOn w:val="Absatz-Standardschriftart"/>
    <w:uiPriority w:val="99"/>
    <w:semiHidden/>
    <w:unhideWhenUsed/>
    <w:rsid w:val="00411A8E"/>
    <w:rPr>
      <w:sz w:val="16"/>
      <w:szCs w:val="16"/>
    </w:rPr>
  </w:style>
  <w:style w:type="paragraph" w:styleId="Kommentartext">
    <w:name w:val="annotation text"/>
    <w:basedOn w:val="Standard"/>
    <w:link w:val="KommentartextZchn"/>
    <w:uiPriority w:val="99"/>
    <w:unhideWhenUsed/>
    <w:rsid w:val="00411A8E"/>
    <w:rPr>
      <w:sz w:val="20"/>
      <w:szCs w:val="20"/>
    </w:rPr>
  </w:style>
  <w:style w:type="character" w:customStyle="1" w:styleId="KommentartextZchn">
    <w:name w:val="Kommentartext Zchn"/>
    <w:basedOn w:val="Absatz-Standardschriftart"/>
    <w:link w:val="Kommentartext"/>
    <w:uiPriority w:val="99"/>
    <w:rsid w:val="00411A8E"/>
    <w:rPr>
      <w:rFonts w:ascii="Times New Roman" w:hAnsi="Times New Roman" w:cs="Times New Roman"/>
      <w:sz w:val="20"/>
      <w:szCs w:val="20"/>
      <w:lang w:eastAsia="en-AU"/>
    </w:rPr>
  </w:style>
  <w:style w:type="paragraph" w:styleId="Kommentarthema">
    <w:name w:val="annotation subject"/>
    <w:basedOn w:val="Kommentartext"/>
    <w:next w:val="Kommentartext"/>
    <w:link w:val="KommentarthemaZchn"/>
    <w:uiPriority w:val="99"/>
    <w:semiHidden/>
    <w:unhideWhenUsed/>
    <w:rsid w:val="00411A8E"/>
    <w:rPr>
      <w:b/>
      <w:bCs/>
    </w:rPr>
  </w:style>
  <w:style w:type="character" w:customStyle="1" w:styleId="KommentarthemaZchn">
    <w:name w:val="Kommentarthema Zchn"/>
    <w:basedOn w:val="KommentartextZchn"/>
    <w:link w:val="Kommentarthema"/>
    <w:uiPriority w:val="99"/>
    <w:semiHidden/>
    <w:rsid w:val="00411A8E"/>
    <w:rPr>
      <w:rFonts w:ascii="Times New Roman" w:hAnsi="Times New Roman" w:cs="Times New Roman"/>
      <w:b/>
      <w:bCs/>
      <w:sz w:val="20"/>
      <w:szCs w:val="20"/>
      <w:lang w:eastAsia="en-AU"/>
    </w:rPr>
  </w:style>
  <w:style w:type="paragraph" w:styleId="berarbeitung">
    <w:name w:val="Revision"/>
    <w:hidden/>
    <w:uiPriority w:val="99"/>
    <w:semiHidden/>
    <w:rsid w:val="000D7649"/>
    <w:pPr>
      <w:spacing w:after="0" w:line="240" w:lineRule="auto"/>
    </w:pPr>
    <w:rPr>
      <w:rFonts w:ascii="Times New Roman" w:hAnsi="Times New Roman" w:cs="Times New Roman"/>
      <w:sz w:val="24"/>
      <w:szCs w:val="24"/>
      <w:lang w:eastAsia="en-AU"/>
    </w:rPr>
  </w:style>
  <w:style w:type="character" w:customStyle="1" w:styleId="tgc">
    <w:name w:val="_tgc"/>
    <w:basedOn w:val="Absatz-Standardschriftart"/>
    <w:rsid w:val="00FA2D4E"/>
  </w:style>
  <w:style w:type="character" w:customStyle="1" w:styleId="apple-converted-space">
    <w:name w:val="apple-converted-space"/>
    <w:basedOn w:val="Absatz-Standardschriftart"/>
    <w:rsid w:val="006F59AB"/>
  </w:style>
  <w:style w:type="paragraph" w:styleId="StandardWeb">
    <w:name w:val="Normal (Web)"/>
    <w:basedOn w:val="Standard"/>
    <w:uiPriority w:val="99"/>
    <w:unhideWhenUsed/>
    <w:rsid w:val="009E627D"/>
    <w:pPr>
      <w:spacing w:before="100" w:beforeAutospacing="1" w:after="100" w:afterAutospacing="1"/>
    </w:pPr>
    <w:rPr>
      <w:rFonts w:eastAsia="Times New Roman"/>
    </w:rPr>
  </w:style>
  <w:style w:type="character" w:styleId="BesuchterHyperlink">
    <w:name w:val="FollowedHyperlink"/>
    <w:basedOn w:val="Absatz-Standardschriftart"/>
    <w:uiPriority w:val="99"/>
    <w:semiHidden/>
    <w:unhideWhenUsed/>
    <w:rsid w:val="003A5356"/>
    <w:rPr>
      <w:color w:val="954F72" w:themeColor="followedHyperlink"/>
      <w:u w:val="single"/>
    </w:rPr>
  </w:style>
  <w:style w:type="character" w:customStyle="1" w:styleId="cit">
    <w:name w:val="cit"/>
    <w:basedOn w:val="Absatz-Standardschriftart"/>
    <w:rsid w:val="00391FE5"/>
  </w:style>
  <w:style w:type="character" w:customStyle="1" w:styleId="doi">
    <w:name w:val="doi"/>
    <w:basedOn w:val="Absatz-Standardschriftart"/>
    <w:rsid w:val="00391F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42A7"/>
    <w:pPr>
      <w:spacing w:after="0" w:line="240" w:lineRule="auto"/>
    </w:pPr>
    <w:rPr>
      <w:rFonts w:ascii="Times New Roman" w:hAnsi="Times New Roman" w:cs="Times New Roman"/>
      <w:sz w:val="24"/>
      <w:szCs w:val="24"/>
      <w:lang w:eastAsia="en-A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F42A7"/>
  </w:style>
  <w:style w:type="character" w:styleId="Hyperlink">
    <w:name w:val="Hyperlink"/>
    <w:basedOn w:val="Absatz-Standardschriftart"/>
    <w:uiPriority w:val="99"/>
    <w:unhideWhenUsed/>
    <w:rsid w:val="009600AF"/>
    <w:rPr>
      <w:color w:val="0563C1" w:themeColor="hyperlink"/>
      <w:u w:val="single"/>
    </w:rPr>
  </w:style>
  <w:style w:type="paragraph" w:styleId="Sprechblasentext">
    <w:name w:val="Balloon Text"/>
    <w:basedOn w:val="Standard"/>
    <w:link w:val="SprechblasentextZchn"/>
    <w:uiPriority w:val="99"/>
    <w:semiHidden/>
    <w:unhideWhenUsed/>
    <w:rsid w:val="00CB1FF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1FF9"/>
    <w:rPr>
      <w:rFonts w:ascii="Segoe UI" w:hAnsi="Segoe UI" w:cs="Segoe UI"/>
      <w:sz w:val="18"/>
      <w:szCs w:val="18"/>
      <w:lang w:eastAsia="en-AU"/>
    </w:rPr>
  </w:style>
  <w:style w:type="character" w:styleId="Kommentarzeichen">
    <w:name w:val="annotation reference"/>
    <w:basedOn w:val="Absatz-Standardschriftart"/>
    <w:uiPriority w:val="99"/>
    <w:semiHidden/>
    <w:unhideWhenUsed/>
    <w:rsid w:val="00411A8E"/>
    <w:rPr>
      <w:sz w:val="16"/>
      <w:szCs w:val="16"/>
    </w:rPr>
  </w:style>
  <w:style w:type="paragraph" w:styleId="Kommentartext">
    <w:name w:val="annotation text"/>
    <w:basedOn w:val="Standard"/>
    <w:link w:val="KommentartextZchn"/>
    <w:uiPriority w:val="99"/>
    <w:unhideWhenUsed/>
    <w:rsid w:val="00411A8E"/>
    <w:rPr>
      <w:sz w:val="20"/>
      <w:szCs w:val="20"/>
    </w:rPr>
  </w:style>
  <w:style w:type="character" w:customStyle="1" w:styleId="KommentartextZchn">
    <w:name w:val="Kommentartext Zchn"/>
    <w:basedOn w:val="Absatz-Standardschriftart"/>
    <w:link w:val="Kommentartext"/>
    <w:uiPriority w:val="99"/>
    <w:rsid w:val="00411A8E"/>
    <w:rPr>
      <w:rFonts w:ascii="Times New Roman" w:hAnsi="Times New Roman" w:cs="Times New Roman"/>
      <w:sz w:val="20"/>
      <w:szCs w:val="20"/>
      <w:lang w:eastAsia="en-AU"/>
    </w:rPr>
  </w:style>
  <w:style w:type="paragraph" w:styleId="Kommentarthema">
    <w:name w:val="annotation subject"/>
    <w:basedOn w:val="Kommentartext"/>
    <w:next w:val="Kommentartext"/>
    <w:link w:val="KommentarthemaZchn"/>
    <w:uiPriority w:val="99"/>
    <w:semiHidden/>
    <w:unhideWhenUsed/>
    <w:rsid w:val="00411A8E"/>
    <w:rPr>
      <w:b/>
      <w:bCs/>
    </w:rPr>
  </w:style>
  <w:style w:type="character" w:customStyle="1" w:styleId="KommentarthemaZchn">
    <w:name w:val="Kommentarthema Zchn"/>
    <w:basedOn w:val="KommentartextZchn"/>
    <w:link w:val="Kommentarthema"/>
    <w:uiPriority w:val="99"/>
    <w:semiHidden/>
    <w:rsid w:val="00411A8E"/>
    <w:rPr>
      <w:rFonts w:ascii="Times New Roman" w:hAnsi="Times New Roman" w:cs="Times New Roman"/>
      <w:b/>
      <w:bCs/>
      <w:sz w:val="20"/>
      <w:szCs w:val="20"/>
      <w:lang w:eastAsia="en-AU"/>
    </w:rPr>
  </w:style>
  <w:style w:type="paragraph" w:styleId="berarbeitung">
    <w:name w:val="Revision"/>
    <w:hidden/>
    <w:uiPriority w:val="99"/>
    <w:semiHidden/>
    <w:rsid w:val="000D7649"/>
    <w:pPr>
      <w:spacing w:after="0" w:line="240" w:lineRule="auto"/>
    </w:pPr>
    <w:rPr>
      <w:rFonts w:ascii="Times New Roman" w:hAnsi="Times New Roman" w:cs="Times New Roman"/>
      <w:sz w:val="24"/>
      <w:szCs w:val="24"/>
      <w:lang w:eastAsia="en-AU"/>
    </w:rPr>
  </w:style>
  <w:style w:type="character" w:customStyle="1" w:styleId="tgc">
    <w:name w:val="_tgc"/>
    <w:basedOn w:val="Absatz-Standardschriftart"/>
    <w:rsid w:val="00FA2D4E"/>
  </w:style>
  <w:style w:type="character" w:customStyle="1" w:styleId="apple-converted-space">
    <w:name w:val="apple-converted-space"/>
    <w:basedOn w:val="Absatz-Standardschriftart"/>
    <w:rsid w:val="006F59AB"/>
  </w:style>
  <w:style w:type="paragraph" w:styleId="StandardWeb">
    <w:name w:val="Normal (Web)"/>
    <w:basedOn w:val="Standard"/>
    <w:uiPriority w:val="99"/>
    <w:unhideWhenUsed/>
    <w:rsid w:val="009E627D"/>
    <w:pPr>
      <w:spacing w:before="100" w:beforeAutospacing="1" w:after="100" w:afterAutospacing="1"/>
    </w:pPr>
    <w:rPr>
      <w:rFonts w:eastAsia="Times New Roman"/>
    </w:rPr>
  </w:style>
  <w:style w:type="character" w:styleId="BesuchterHyperlink">
    <w:name w:val="FollowedHyperlink"/>
    <w:basedOn w:val="Absatz-Standardschriftart"/>
    <w:uiPriority w:val="99"/>
    <w:semiHidden/>
    <w:unhideWhenUsed/>
    <w:rsid w:val="003A5356"/>
    <w:rPr>
      <w:color w:val="954F72" w:themeColor="followedHyperlink"/>
      <w:u w:val="single"/>
    </w:rPr>
  </w:style>
  <w:style w:type="character" w:customStyle="1" w:styleId="cit">
    <w:name w:val="cit"/>
    <w:basedOn w:val="Absatz-Standardschriftart"/>
    <w:rsid w:val="00391FE5"/>
  </w:style>
  <w:style w:type="character" w:customStyle="1" w:styleId="doi">
    <w:name w:val="doi"/>
    <w:basedOn w:val="Absatz-Standardschriftart"/>
    <w:rsid w:val="00391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3498">
      <w:bodyDiv w:val="1"/>
      <w:marLeft w:val="0"/>
      <w:marRight w:val="0"/>
      <w:marTop w:val="0"/>
      <w:marBottom w:val="0"/>
      <w:divBdr>
        <w:top w:val="none" w:sz="0" w:space="0" w:color="auto"/>
        <w:left w:val="none" w:sz="0" w:space="0" w:color="auto"/>
        <w:bottom w:val="none" w:sz="0" w:space="0" w:color="auto"/>
        <w:right w:val="none" w:sz="0" w:space="0" w:color="auto"/>
      </w:divBdr>
    </w:div>
    <w:div w:id="239753686">
      <w:bodyDiv w:val="1"/>
      <w:marLeft w:val="0"/>
      <w:marRight w:val="0"/>
      <w:marTop w:val="0"/>
      <w:marBottom w:val="0"/>
      <w:divBdr>
        <w:top w:val="none" w:sz="0" w:space="0" w:color="auto"/>
        <w:left w:val="none" w:sz="0" w:space="0" w:color="auto"/>
        <w:bottom w:val="none" w:sz="0" w:space="0" w:color="auto"/>
        <w:right w:val="none" w:sz="0" w:space="0" w:color="auto"/>
      </w:divBdr>
      <w:divsChild>
        <w:div w:id="1963489396">
          <w:marLeft w:val="0"/>
          <w:marRight w:val="0"/>
          <w:marTop w:val="0"/>
          <w:marBottom w:val="0"/>
          <w:divBdr>
            <w:top w:val="none" w:sz="0" w:space="0" w:color="auto"/>
            <w:left w:val="none" w:sz="0" w:space="0" w:color="auto"/>
            <w:bottom w:val="none" w:sz="0" w:space="0" w:color="auto"/>
            <w:right w:val="none" w:sz="0" w:space="0" w:color="auto"/>
          </w:divBdr>
        </w:div>
        <w:div w:id="901864527">
          <w:marLeft w:val="0"/>
          <w:marRight w:val="0"/>
          <w:marTop w:val="0"/>
          <w:marBottom w:val="0"/>
          <w:divBdr>
            <w:top w:val="none" w:sz="0" w:space="0" w:color="auto"/>
            <w:left w:val="none" w:sz="0" w:space="0" w:color="auto"/>
            <w:bottom w:val="none" w:sz="0" w:space="0" w:color="auto"/>
            <w:right w:val="none" w:sz="0" w:space="0" w:color="auto"/>
          </w:divBdr>
        </w:div>
        <w:div w:id="1772237281">
          <w:marLeft w:val="0"/>
          <w:marRight w:val="0"/>
          <w:marTop w:val="0"/>
          <w:marBottom w:val="0"/>
          <w:divBdr>
            <w:top w:val="none" w:sz="0" w:space="0" w:color="auto"/>
            <w:left w:val="none" w:sz="0" w:space="0" w:color="auto"/>
            <w:bottom w:val="none" w:sz="0" w:space="0" w:color="auto"/>
            <w:right w:val="none" w:sz="0" w:space="0" w:color="auto"/>
          </w:divBdr>
        </w:div>
        <w:div w:id="421755085">
          <w:marLeft w:val="0"/>
          <w:marRight w:val="0"/>
          <w:marTop w:val="0"/>
          <w:marBottom w:val="0"/>
          <w:divBdr>
            <w:top w:val="none" w:sz="0" w:space="0" w:color="auto"/>
            <w:left w:val="none" w:sz="0" w:space="0" w:color="auto"/>
            <w:bottom w:val="none" w:sz="0" w:space="0" w:color="auto"/>
            <w:right w:val="none" w:sz="0" w:space="0" w:color="auto"/>
          </w:divBdr>
        </w:div>
      </w:divsChild>
    </w:div>
    <w:div w:id="349989777">
      <w:bodyDiv w:val="1"/>
      <w:marLeft w:val="0"/>
      <w:marRight w:val="0"/>
      <w:marTop w:val="0"/>
      <w:marBottom w:val="0"/>
      <w:divBdr>
        <w:top w:val="none" w:sz="0" w:space="0" w:color="auto"/>
        <w:left w:val="none" w:sz="0" w:space="0" w:color="auto"/>
        <w:bottom w:val="none" w:sz="0" w:space="0" w:color="auto"/>
        <w:right w:val="none" w:sz="0" w:space="0" w:color="auto"/>
      </w:divBdr>
    </w:div>
    <w:div w:id="365913536">
      <w:bodyDiv w:val="1"/>
      <w:marLeft w:val="0"/>
      <w:marRight w:val="0"/>
      <w:marTop w:val="0"/>
      <w:marBottom w:val="0"/>
      <w:divBdr>
        <w:top w:val="none" w:sz="0" w:space="0" w:color="auto"/>
        <w:left w:val="none" w:sz="0" w:space="0" w:color="auto"/>
        <w:bottom w:val="none" w:sz="0" w:space="0" w:color="auto"/>
        <w:right w:val="none" w:sz="0" w:space="0" w:color="auto"/>
      </w:divBdr>
      <w:divsChild>
        <w:div w:id="325784113">
          <w:marLeft w:val="0"/>
          <w:marRight w:val="0"/>
          <w:marTop w:val="0"/>
          <w:marBottom w:val="0"/>
          <w:divBdr>
            <w:top w:val="none" w:sz="0" w:space="0" w:color="auto"/>
            <w:left w:val="none" w:sz="0" w:space="0" w:color="auto"/>
            <w:bottom w:val="none" w:sz="0" w:space="0" w:color="auto"/>
            <w:right w:val="none" w:sz="0" w:space="0" w:color="auto"/>
          </w:divBdr>
        </w:div>
        <w:div w:id="1892693992">
          <w:marLeft w:val="0"/>
          <w:marRight w:val="0"/>
          <w:marTop w:val="0"/>
          <w:marBottom w:val="0"/>
          <w:divBdr>
            <w:top w:val="none" w:sz="0" w:space="0" w:color="auto"/>
            <w:left w:val="none" w:sz="0" w:space="0" w:color="auto"/>
            <w:bottom w:val="none" w:sz="0" w:space="0" w:color="auto"/>
            <w:right w:val="none" w:sz="0" w:space="0" w:color="auto"/>
          </w:divBdr>
        </w:div>
        <w:div w:id="1478720255">
          <w:marLeft w:val="0"/>
          <w:marRight w:val="0"/>
          <w:marTop w:val="0"/>
          <w:marBottom w:val="0"/>
          <w:divBdr>
            <w:top w:val="none" w:sz="0" w:space="0" w:color="auto"/>
            <w:left w:val="none" w:sz="0" w:space="0" w:color="auto"/>
            <w:bottom w:val="none" w:sz="0" w:space="0" w:color="auto"/>
            <w:right w:val="none" w:sz="0" w:space="0" w:color="auto"/>
          </w:divBdr>
        </w:div>
        <w:div w:id="770734703">
          <w:marLeft w:val="0"/>
          <w:marRight w:val="0"/>
          <w:marTop w:val="0"/>
          <w:marBottom w:val="0"/>
          <w:divBdr>
            <w:top w:val="none" w:sz="0" w:space="0" w:color="auto"/>
            <w:left w:val="none" w:sz="0" w:space="0" w:color="auto"/>
            <w:bottom w:val="none" w:sz="0" w:space="0" w:color="auto"/>
            <w:right w:val="none" w:sz="0" w:space="0" w:color="auto"/>
          </w:divBdr>
        </w:div>
      </w:divsChild>
    </w:div>
    <w:div w:id="438182221">
      <w:bodyDiv w:val="1"/>
      <w:marLeft w:val="0"/>
      <w:marRight w:val="0"/>
      <w:marTop w:val="0"/>
      <w:marBottom w:val="0"/>
      <w:divBdr>
        <w:top w:val="none" w:sz="0" w:space="0" w:color="auto"/>
        <w:left w:val="none" w:sz="0" w:space="0" w:color="auto"/>
        <w:bottom w:val="none" w:sz="0" w:space="0" w:color="auto"/>
        <w:right w:val="none" w:sz="0" w:space="0" w:color="auto"/>
      </w:divBdr>
      <w:divsChild>
        <w:div w:id="1885096598">
          <w:marLeft w:val="0"/>
          <w:marRight w:val="0"/>
          <w:marTop w:val="0"/>
          <w:marBottom w:val="0"/>
          <w:divBdr>
            <w:top w:val="none" w:sz="0" w:space="0" w:color="auto"/>
            <w:left w:val="none" w:sz="0" w:space="0" w:color="auto"/>
            <w:bottom w:val="none" w:sz="0" w:space="0" w:color="auto"/>
            <w:right w:val="none" w:sz="0" w:space="0" w:color="auto"/>
          </w:divBdr>
        </w:div>
        <w:div w:id="1892882387">
          <w:marLeft w:val="0"/>
          <w:marRight w:val="0"/>
          <w:marTop w:val="0"/>
          <w:marBottom w:val="0"/>
          <w:divBdr>
            <w:top w:val="none" w:sz="0" w:space="0" w:color="auto"/>
            <w:left w:val="none" w:sz="0" w:space="0" w:color="auto"/>
            <w:bottom w:val="none" w:sz="0" w:space="0" w:color="auto"/>
            <w:right w:val="none" w:sz="0" w:space="0" w:color="auto"/>
          </w:divBdr>
        </w:div>
        <w:div w:id="2011985215">
          <w:marLeft w:val="0"/>
          <w:marRight w:val="0"/>
          <w:marTop w:val="0"/>
          <w:marBottom w:val="0"/>
          <w:divBdr>
            <w:top w:val="none" w:sz="0" w:space="0" w:color="auto"/>
            <w:left w:val="none" w:sz="0" w:space="0" w:color="auto"/>
            <w:bottom w:val="none" w:sz="0" w:space="0" w:color="auto"/>
            <w:right w:val="none" w:sz="0" w:space="0" w:color="auto"/>
          </w:divBdr>
        </w:div>
        <w:div w:id="410858600">
          <w:marLeft w:val="0"/>
          <w:marRight w:val="0"/>
          <w:marTop w:val="0"/>
          <w:marBottom w:val="0"/>
          <w:divBdr>
            <w:top w:val="none" w:sz="0" w:space="0" w:color="auto"/>
            <w:left w:val="none" w:sz="0" w:space="0" w:color="auto"/>
            <w:bottom w:val="none" w:sz="0" w:space="0" w:color="auto"/>
            <w:right w:val="none" w:sz="0" w:space="0" w:color="auto"/>
          </w:divBdr>
        </w:div>
      </w:divsChild>
    </w:div>
    <w:div w:id="441462843">
      <w:bodyDiv w:val="1"/>
      <w:marLeft w:val="0"/>
      <w:marRight w:val="0"/>
      <w:marTop w:val="0"/>
      <w:marBottom w:val="0"/>
      <w:divBdr>
        <w:top w:val="none" w:sz="0" w:space="0" w:color="auto"/>
        <w:left w:val="none" w:sz="0" w:space="0" w:color="auto"/>
        <w:bottom w:val="none" w:sz="0" w:space="0" w:color="auto"/>
        <w:right w:val="none" w:sz="0" w:space="0" w:color="auto"/>
      </w:divBdr>
      <w:divsChild>
        <w:div w:id="822741480">
          <w:marLeft w:val="0"/>
          <w:marRight w:val="0"/>
          <w:marTop w:val="0"/>
          <w:marBottom w:val="0"/>
          <w:divBdr>
            <w:top w:val="none" w:sz="0" w:space="0" w:color="auto"/>
            <w:left w:val="none" w:sz="0" w:space="0" w:color="auto"/>
            <w:bottom w:val="none" w:sz="0" w:space="0" w:color="auto"/>
            <w:right w:val="none" w:sz="0" w:space="0" w:color="auto"/>
          </w:divBdr>
          <w:divsChild>
            <w:div w:id="1032806737">
              <w:marLeft w:val="0"/>
              <w:marRight w:val="0"/>
              <w:marTop w:val="0"/>
              <w:marBottom w:val="0"/>
              <w:divBdr>
                <w:top w:val="none" w:sz="0" w:space="0" w:color="auto"/>
                <w:left w:val="none" w:sz="0" w:space="0" w:color="auto"/>
                <w:bottom w:val="none" w:sz="0" w:space="0" w:color="auto"/>
                <w:right w:val="none" w:sz="0" w:space="0" w:color="auto"/>
              </w:divBdr>
            </w:div>
            <w:div w:id="21450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16398">
      <w:bodyDiv w:val="1"/>
      <w:marLeft w:val="0"/>
      <w:marRight w:val="0"/>
      <w:marTop w:val="0"/>
      <w:marBottom w:val="0"/>
      <w:divBdr>
        <w:top w:val="none" w:sz="0" w:space="0" w:color="auto"/>
        <w:left w:val="none" w:sz="0" w:space="0" w:color="auto"/>
        <w:bottom w:val="none" w:sz="0" w:space="0" w:color="auto"/>
        <w:right w:val="none" w:sz="0" w:space="0" w:color="auto"/>
      </w:divBdr>
    </w:div>
    <w:div w:id="1064764785">
      <w:bodyDiv w:val="1"/>
      <w:marLeft w:val="0"/>
      <w:marRight w:val="0"/>
      <w:marTop w:val="0"/>
      <w:marBottom w:val="0"/>
      <w:divBdr>
        <w:top w:val="none" w:sz="0" w:space="0" w:color="auto"/>
        <w:left w:val="none" w:sz="0" w:space="0" w:color="auto"/>
        <w:bottom w:val="none" w:sz="0" w:space="0" w:color="auto"/>
        <w:right w:val="none" w:sz="0" w:space="0" w:color="auto"/>
      </w:divBdr>
    </w:div>
    <w:div w:id="1340278087">
      <w:bodyDiv w:val="1"/>
      <w:marLeft w:val="0"/>
      <w:marRight w:val="0"/>
      <w:marTop w:val="0"/>
      <w:marBottom w:val="0"/>
      <w:divBdr>
        <w:top w:val="none" w:sz="0" w:space="0" w:color="auto"/>
        <w:left w:val="none" w:sz="0" w:space="0" w:color="auto"/>
        <w:bottom w:val="none" w:sz="0" w:space="0" w:color="auto"/>
        <w:right w:val="none" w:sz="0" w:space="0" w:color="auto"/>
      </w:divBdr>
    </w:div>
    <w:div w:id="1404335020">
      <w:bodyDiv w:val="1"/>
      <w:marLeft w:val="0"/>
      <w:marRight w:val="0"/>
      <w:marTop w:val="0"/>
      <w:marBottom w:val="0"/>
      <w:divBdr>
        <w:top w:val="none" w:sz="0" w:space="0" w:color="auto"/>
        <w:left w:val="none" w:sz="0" w:space="0" w:color="auto"/>
        <w:bottom w:val="none" w:sz="0" w:space="0" w:color="auto"/>
        <w:right w:val="none" w:sz="0" w:space="0" w:color="auto"/>
      </w:divBdr>
    </w:div>
    <w:div w:id="1448739483">
      <w:bodyDiv w:val="1"/>
      <w:marLeft w:val="0"/>
      <w:marRight w:val="0"/>
      <w:marTop w:val="0"/>
      <w:marBottom w:val="0"/>
      <w:divBdr>
        <w:top w:val="none" w:sz="0" w:space="0" w:color="auto"/>
        <w:left w:val="none" w:sz="0" w:space="0" w:color="auto"/>
        <w:bottom w:val="none" w:sz="0" w:space="0" w:color="auto"/>
        <w:right w:val="none" w:sz="0" w:space="0" w:color="auto"/>
      </w:divBdr>
      <w:divsChild>
        <w:div w:id="1339380354">
          <w:marLeft w:val="0"/>
          <w:marRight w:val="0"/>
          <w:marTop w:val="0"/>
          <w:marBottom w:val="0"/>
          <w:divBdr>
            <w:top w:val="none" w:sz="0" w:space="0" w:color="auto"/>
            <w:left w:val="none" w:sz="0" w:space="0" w:color="auto"/>
            <w:bottom w:val="none" w:sz="0" w:space="0" w:color="auto"/>
            <w:right w:val="none" w:sz="0" w:space="0" w:color="auto"/>
          </w:divBdr>
        </w:div>
      </w:divsChild>
    </w:div>
    <w:div w:id="1593246585">
      <w:bodyDiv w:val="1"/>
      <w:marLeft w:val="0"/>
      <w:marRight w:val="0"/>
      <w:marTop w:val="0"/>
      <w:marBottom w:val="0"/>
      <w:divBdr>
        <w:top w:val="none" w:sz="0" w:space="0" w:color="auto"/>
        <w:left w:val="none" w:sz="0" w:space="0" w:color="auto"/>
        <w:bottom w:val="none" w:sz="0" w:space="0" w:color="auto"/>
        <w:right w:val="none" w:sz="0" w:space="0" w:color="auto"/>
      </w:divBdr>
    </w:div>
    <w:div w:id="1728603370">
      <w:bodyDiv w:val="1"/>
      <w:marLeft w:val="0"/>
      <w:marRight w:val="0"/>
      <w:marTop w:val="0"/>
      <w:marBottom w:val="0"/>
      <w:divBdr>
        <w:top w:val="none" w:sz="0" w:space="0" w:color="auto"/>
        <w:left w:val="none" w:sz="0" w:space="0" w:color="auto"/>
        <w:bottom w:val="none" w:sz="0" w:space="0" w:color="auto"/>
        <w:right w:val="none" w:sz="0" w:space="0" w:color="auto"/>
      </w:divBdr>
    </w:div>
    <w:div w:id="1809470374">
      <w:bodyDiv w:val="1"/>
      <w:marLeft w:val="0"/>
      <w:marRight w:val="0"/>
      <w:marTop w:val="0"/>
      <w:marBottom w:val="0"/>
      <w:divBdr>
        <w:top w:val="none" w:sz="0" w:space="0" w:color="auto"/>
        <w:left w:val="none" w:sz="0" w:space="0" w:color="auto"/>
        <w:bottom w:val="none" w:sz="0" w:space="0" w:color="auto"/>
        <w:right w:val="none" w:sz="0" w:space="0" w:color="auto"/>
      </w:divBdr>
    </w:div>
    <w:div w:id="199055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ageing/publications/lifecourse/alc_lifecourse_training_en.pdf" TargetMode="External"/><Relationship Id="rId13" Type="http://schemas.openxmlformats.org/officeDocument/2006/relationships/hyperlink" Target="http://www.who.int/ceh/risks/ewaste/en/"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hyperlink" Target="http://www.ohchr.org/EN/ProfessionalInterest/Pages/CRC.aspx" TargetMode="External"/><Relationship Id="rId12" Type="http://schemas.openxmlformats.org/officeDocument/2006/relationships/hyperlink" Target="http://www.unep.org/delc/Portals/119/publications/rra-wastecrime.pdf" TargetMode="External"/><Relationship Id="rId17" Type="http://schemas.openxmlformats.org/officeDocument/2006/relationships/fontTable" Target="fontTable.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europa.eu/rapid/press-release_IP-00-96_en.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ps.who.int/iris/bitstream/10665/204585/1/9789241565196_eng.pdf?ua=1"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www.who.int/ceh/publications/endocrine/en/" TargetMode="External"/><Relationship Id="rId23" Type="http://schemas.openxmlformats.org/officeDocument/2006/relationships/customXml" Target="../customXml/item2.xml"/><Relationship Id="rId10" Type="http://schemas.openxmlformats.org/officeDocument/2006/relationships/hyperlink" Target="http://www.who.int/mediacentre/factsheets/fs361/en/" TargetMode="External"/><Relationship Id="rId4" Type="http://schemas.microsoft.com/office/2007/relationships/stylesWithEffects" Target="stylesWithEffects.xml"/><Relationship Id="rId9" Type="http://schemas.openxmlformats.org/officeDocument/2006/relationships/hyperlink" Target="http://www.who.int/ceh/publications/handbook/en/" TargetMode="External"/><Relationship Id="rId14" Type="http://schemas.openxmlformats.org/officeDocument/2006/relationships/hyperlink" Target="https://www.whitehouse.gov/the-press-office/2016/05/03/fact-sheet-federal-support-flint-water-crisis-response-and-recovery"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D7C55C-A720-4104-B7F2-294C554548D9}"/>
</file>

<file path=customXml/itemProps2.xml><?xml version="1.0" encoding="utf-8"?>
<ds:datastoreItem xmlns:ds="http://schemas.openxmlformats.org/officeDocument/2006/customXml" ds:itemID="{340D5480-7242-43B4-82FF-0A2D7D3F510E}"/>
</file>

<file path=customXml/itemProps3.xml><?xml version="1.0" encoding="utf-8"?>
<ds:datastoreItem xmlns:ds="http://schemas.openxmlformats.org/officeDocument/2006/customXml" ds:itemID="{1B382F9B-2125-4929-A89C-0C4D0C34073F}"/>
</file>

<file path=customXml/itemProps4.xml><?xml version="1.0" encoding="utf-8"?>
<ds:datastoreItem xmlns:ds="http://schemas.openxmlformats.org/officeDocument/2006/customXml" ds:itemID="{BEE93388-9BF8-442E-9366-BCE31CD2D673}"/>
</file>

<file path=docProps/app.xml><?xml version="1.0" encoding="utf-8"?>
<Properties xmlns="http://schemas.openxmlformats.org/officeDocument/2006/extended-properties" xmlns:vt="http://schemas.openxmlformats.org/officeDocument/2006/docPropsVTypes">
  <Template>Normal.dotm</Template>
  <TotalTime>0</TotalTime>
  <Pages>8</Pages>
  <Words>3049</Words>
  <Characters>19213</Characters>
  <Application>Microsoft Office Word</Application>
  <DocSecurity>0</DocSecurity>
  <Lines>160</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UQ</Company>
  <LinksUpToDate>false</LinksUpToDate>
  <CharactersWithSpaces>22218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Paige Preston</dc:creator>
  <cp:lastModifiedBy>Katharina Oltmanns</cp:lastModifiedBy>
  <cp:revision>2</cp:revision>
  <cp:lastPrinted>2016-07-26T15:17:00Z</cp:lastPrinted>
  <dcterms:created xsi:type="dcterms:W3CDTF">2016-08-04T13:11:00Z</dcterms:created>
  <dcterms:modified xsi:type="dcterms:W3CDTF">2016-08-04T13:11:00Z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-753760498</vt:i4>
  </property>
  <property fmtid="{D5CDD505-2E9C-101B-9397-08002B2CF9AE}" pid="3" name="ContentTypeId">
    <vt:lpwstr>0x0101008822B9E06671B54FA89F14538B9B0FEA</vt:lpwstr>
  </property>
  <property fmtid="{D5CDD505-2E9C-101B-9397-08002B2CF9AE}" pid="4" name="Order">
    <vt:r8>3681100</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