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84663" w14:textId="77777777" w:rsidR="003E0F52" w:rsidRPr="009F5970" w:rsidRDefault="003E0F52" w:rsidP="009F5970">
      <w:pPr>
        <w:pStyle w:val="HChG"/>
        <w:ind w:right="710"/>
        <w:rPr>
          <w:rFonts w:ascii="Arial" w:hAnsi="Arial" w:cs="Arial"/>
          <w:sz w:val="24"/>
          <w:szCs w:val="18"/>
          <w:lang w:val="fr-CH"/>
        </w:rPr>
      </w:pPr>
      <w:r w:rsidRPr="003E0F52">
        <w:rPr>
          <w:rFonts w:ascii="Arial" w:hAnsi="Arial" w:cs="Arial"/>
          <w:sz w:val="24"/>
          <w:szCs w:val="18"/>
          <w:lang w:val="fr"/>
        </w:rPr>
        <w:t>Projet de commentaire général no 25 (202x)</w:t>
      </w:r>
    </w:p>
    <w:p w14:paraId="56465099" w14:textId="46C5DA25" w:rsidR="003E0F52" w:rsidRPr="003F75EB" w:rsidRDefault="003E0F52" w:rsidP="003F75EB">
      <w:pPr>
        <w:pStyle w:val="HChG"/>
        <w:rPr>
          <w:rFonts w:ascii="Arial" w:hAnsi="Arial" w:cs="Arial"/>
          <w:sz w:val="24"/>
          <w:szCs w:val="18"/>
          <w:lang w:val="fr"/>
        </w:rPr>
      </w:pPr>
      <w:r w:rsidRPr="003E0F52">
        <w:rPr>
          <w:rFonts w:ascii="Arial" w:hAnsi="Arial" w:cs="Arial"/>
          <w:sz w:val="24"/>
          <w:szCs w:val="18"/>
          <w:lang w:val="fr"/>
        </w:rPr>
        <w:tab/>
        <w:t xml:space="preserve">Droits de l’enfant en matière d’environnement numérique </w:t>
      </w:r>
    </w:p>
    <w:p w14:paraId="1E668AD6" w14:textId="396F44E7" w:rsidR="003E0F52" w:rsidRDefault="003E0F52" w:rsidP="003E0F52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La Fondation Action Innocence</w:t>
      </w:r>
      <w:r w:rsidR="003D193E">
        <w:rPr>
          <w:rFonts w:ascii="Arial" w:hAnsi="Arial" w:cs="Arial"/>
          <w:lang w:val="fr"/>
        </w:rPr>
        <w:t xml:space="preserve"> (www.actioninnocence.org</w:t>
      </w:r>
      <w:r w:rsidR="009F5970">
        <w:rPr>
          <w:rFonts w:ascii="Arial" w:hAnsi="Arial" w:cs="Arial"/>
          <w:lang w:val="fr"/>
        </w:rPr>
        <w:t>)</w:t>
      </w:r>
      <w:r w:rsidR="003F75EB">
        <w:rPr>
          <w:rFonts w:ascii="Arial" w:hAnsi="Arial" w:cs="Arial"/>
          <w:lang w:val="fr"/>
        </w:rPr>
        <w:t>, active en Suisse</w:t>
      </w:r>
      <w:r w:rsidR="003D193E">
        <w:rPr>
          <w:rFonts w:ascii="Arial" w:hAnsi="Arial" w:cs="Arial"/>
          <w:lang w:val="fr"/>
        </w:rPr>
        <w:t xml:space="preserve"> romande</w:t>
      </w:r>
      <w:r w:rsidR="003F75EB">
        <w:rPr>
          <w:rFonts w:ascii="Arial" w:hAnsi="Arial" w:cs="Arial"/>
          <w:lang w:val="fr"/>
        </w:rPr>
        <w:t>,</w:t>
      </w:r>
      <w:r>
        <w:rPr>
          <w:rFonts w:ascii="Arial" w:hAnsi="Arial" w:cs="Arial"/>
          <w:lang w:val="fr"/>
        </w:rPr>
        <w:t xml:space="preserve"> </w:t>
      </w:r>
      <w:r w:rsidR="00D854B0">
        <w:rPr>
          <w:rFonts w:ascii="Arial" w:hAnsi="Arial" w:cs="Arial"/>
          <w:lang w:val="fr"/>
        </w:rPr>
        <w:t>corrobore</w:t>
      </w:r>
      <w:r>
        <w:rPr>
          <w:rFonts w:ascii="Arial" w:hAnsi="Arial" w:cs="Arial"/>
          <w:lang w:val="fr"/>
        </w:rPr>
        <w:t xml:space="preserve"> le projet de commentaire général</w:t>
      </w:r>
      <w:r w:rsidR="001A46E8">
        <w:rPr>
          <w:rFonts w:ascii="Arial" w:hAnsi="Arial" w:cs="Arial"/>
          <w:lang w:val="fr"/>
        </w:rPr>
        <w:t xml:space="preserve"> et soumet quelques commentaires y relatifs.</w:t>
      </w:r>
      <w:r w:rsidR="00AB34A1">
        <w:rPr>
          <w:rFonts w:ascii="Arial" w:hAnsi="Arial" w:cs="Arial"/>
          <w:lang w:val="fr"/>
        </w:rPr>
        <w:t xml:space="preserve"> Elle salue également la richesse du travail ayant mené à la rédaction de ce projet</w:t>
      </w:r>
      <w:r w:rsidR="003D193E">
        <w:rPr>
          <w:rFonts w:ascii="Arial" w:hAnsi="Arial" w:cs="Arial"/>
          <w:lang w:val="fr"/>
        </w:rPr>
        <w:t>.</w:t>
      </w:r>
    </w:p>
    <w:p w14:paraId="398B78F6" w14:textId="0FA79C85" w:rsidR="001A46E8" w:rsidRPr="003F75EB" w:rsidRDefault="001A46E8">
      <w:pPr>
        <w:rPr>
          <w:rFonts w:ascii="Arial" w:hAnsi="Arial" w:cs="Arial"/>
          <w:b/>
          <w:bCs/>
          <w:lang w:val="fr"/>
        </w:rPr>
      </w:pPr>
      <w:r w:rsidRPr="003F75EB">
        <w:rPr>
          <w:rFonts w:ascii="Arial" w:hAnsi="Arial" w:cs="Arial"/>
          <w:b/>
          <w:bCs/>
          <w:lang w:val="fr"/>
        </w:rPr>
        <w:t>Introduction, point 4 :</w:t>
      </w:r>
    </w:p>
    <w:p w14:paraId="5D45CED1" w14:textId="5D015DB5" w:rsidR="001A46E8" w:rsidRDefault="003E0F52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 xml:space="preserve">Il est important de souligner que la dématérialisation des services </w:t>
      </w:r>
      <w:r w:rsidR="002B6945">
        <w:rPr>
          <w:rFonts w:ascii="Arial" w:hAnsi="Arial" w:cs="Arial"/>
          <w:lang w:val="fr"/>
        </w:rPr>
        <w:t xml:space="preserve">liée aux nouvelles politiques de gestion publique </w:t>
      </w:r>
      <w:r>
        <w:rPr>
          <w:rFonts w:ascii="Arial" w:hAnsi="Arial" w:cs="Arial"/>
          <w:lang w:val="fr"/>
        </w:rPr>
        <w:t>tend à augmenter la fracture numérique. Le soutien au développement des compétences numériques des enfants et à penser dans cette perspective.</w:t>
      </w:r>
    </w:p>
    <w:p w14:paraId="635FE1F9" w14:textId="3CD3446E" w:rsidR="00A9147A" w:rsidRDefault="003E0F52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Le recours aux Droits de l’enfant en matière d’environnement numérique est possible par le développement de la littéracie numérique.</w:t>
      </w:r>
      <w:r w:rsidR="001A46E8"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lang w:val="fr"/>
        </w:rPr>
        <w:t xml:space="preserve">Il s’agit pour les </w:t>
      </w:r>
      <w:r w:rsidR="001A46E8">
        <w:rPr>
          <w:rFonts w:ascii="Arial" w:hAnsi="Arial" w:cs="Arial"/>
          <w:lang w:val="fr"/>
        </w:rPr>
        <w:t>E</w:t>
      </w:r>
      <w:r>
        <w:rPr>
          <w:rFonts w:ascii="Arial" w:hAnsi="Arial" w:cs="Arial"/>
          <w:lang w:val="fr"/>
        </w:rPr>
        <w:t>tats de soutenir les démarches d’accompagnement</w:t>
      </w:r>
      <w:r w:rsidR="001A46E8">
        <w:rPr>
          <w:rFonts w:ascii="Arial" w:hAnsi="Arial" w:cs="Arial"/>
          <w:lang w:val="fr"/>
        </w:rPr>
        <w:t xml:space="preserve"> au développement des compétences numériques. La littéracie numérique peut s’articuler au travers d’une éducation à la citoyenneté numérique et aux pratiques numériques.</w:t>
      </w:r>
    </w:p>
    <w:p w14:paraId="7F2504E3" w14:textId="2F4E92F0" w:rsidR="003F75EB" w:rsidRPr="003F75EB" w:rsidRDefault="003F75EB">
      <w:pPr>
        <w:rPr>
          <w:rFonts w:ascii="Arial" w:hAnsi="Arial" w:cs="Arial"/>
          <w:b/>
          <w:bCs/>
          <w:lang w:val="fr"/>
        </w:rPr>
      </w:pPr>
      <w:r w:rsidRPr="003F75EB">
        <w:rPr>
          <w:rFonts w:ascii="Arial" w:hAnsi="Arial" w:cs="Arial"/>
          <w:b/>
          <w:bCs/>
          <w:lang w:val="fr"/>
        </w:rPr>
        <w:t>A.</w:t>
      </w:r>
      <w:r>
        <w:rPr>
          <w:rFonts w:ascii="Arial" w:hAnsi="Arial" w:cs="Arial"/>
          <w:b/>
          <w:bCs/>
          <w:lang w:val="fr"/>
        </w:rPr>
        <w:t xml:space="preserve"> </w:t>
      </w:r>
      <w:r w:rsidRPr="003F75EB">
        <w:rPr>
          <w:rFonts w:ascii="Arial" w:hAnsi="Arial" w:cs="Arial"/>
          <w:b/>
          <w:bCs/>
          <w:lang w:val="fr"/>
        </w:rPr>
        <w:t>Le droit à la non-discrimination (art. 2)</w:t>
      </w:r>
      <w:r>
        <w:rPr>
          <w:rFonts w:ascii="Arial" w:hAnsi="Arial" w:cs="Arial"/>
          <w:b/>
          <w:bCs/>
          <w:lang w:val="fr"/>
        </w:rPr>
        <w:t>, point 12</w:t>
      </w:r>
    </w:p>
    <w:p w14:paraId="04B8153F" w14:textId="030657E0" w:rsidR="001A46E8" w:rsidRDefault="001A46E8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 xml:space="preserve">Afin de protéger les mineurs particulièrement vulnérables tels </w:t>
      </w:r>
      <w:r w:rsidR="003D193E">
        <w:rPr>
          <w:rFonts w:ascii="Arial" w:hAnsi="Arial" w:cs="Arial"/>
          <w:lang w:val="fr"/>
        </w:rPr>
        <w:t>les</w:t>
      </w:r>
      <w:r>
        <w:rPr>
          <w:rFonts w:ascii="Arial" w:hAnsi="Arial" w:cs="Arial"/>
          <w:lang w:val="fr"/>
        </w:rPr>
        <w:t xml:space="preserve"> migrants </w:t>
      </w:r>
      <w:r w:rsidR="003F75EB">
        <w:rPr>
          <w:rFonts w:ascii="Arial" w:hAnsi="Arial" w:cs="Arial"/>
          <w:lang w:val="fr"/>
        </w:rPr>
        <w:t>mineurs</w:t>
      </w:r>
      <w:r>
        <w:rPr>
          <w:rFonts w:ascii="Arial" w:hAnsi="Arial" w:cs="Arial"/>
          <w:lang w:val="fr"/>
        </w:rPr>
        <w:t xml:space="preserve"> non-accompagnés, </w:t>
      </w:r>
      <w:r w:rsidR="003F75EB">
        <w:rPr>
          <w:rFonts w:ascii="Arial" w:hAnsi="Arial" w:cs="Arial"/>
          <w:lang w:val="fr"/>
        </w:rPr>
        <w:t>les institutions et l’Etat s’engagent à leur fournir un accès sécurisé à Internet pour maintenir</w:t>
      </w:r>
      <w:r w:rsidR="003D193E">
        <w:rPr>
          <w:rFonts w:ascii="Arial" w:hAnsi="Arial" w:cs="Arial"/>
          <w:lang w:val="fr"/>
        </w:rPr>
        <w:t>, entre autres,</w:t>
      </w:r>
      <w:r w:rsidR="003F75EB">
        <w:rPr>
          <w:rFonts w:ascii="Arial" w:hAnsi="Arial" w:cs="Arial"/>
          <w:lang w:val="fr"/>
        </w:rPr>
        <w:t xml:space="preserve"> le contact avec leur famille et communauté d’origine.</w:t>
      </w:r>
      <w:r w:rsidR="002B6945">
        <w:rPr>
          <w:rFonts w:ascii="Arial" w:hAnsi="Arial" w:cs="Arial"/>
          <w:lang w:val="fr"/>
        </w:rPr>
        <w:t xml:space="preserve"> Ces accès sont à inclure dans l’accompagnement </w:t>
      </w:r>
      <w:r w:rsidR="00C70941">
        <w:rPr>
          <w:rFonts w:ascii="Arial" w:hAnsi="Arial" w:cs="Arial"/>
          <w:lang w:val="fr"/>
        </w:rPr>
        <w:t>au sein des structures d’accueil.</w:t>
      </w:r>
    </w:p>
    <w:p w14:paraId="12A76DDE" w14:textId="28B1188D" w:rsidR="003F75EB" w:rsidRDefault="003F75EB">
      <w:pPr>
        <w:rPr>
          <w:rFonts w:ascii="Arial" w:hAnsi="Arial" w:cs="Arial"/>
          <w:b/>
          <w:bCs/>
          <w:lang w:val="fr"/>
        </w:rPr>
      </w:pPr>
      <w:r w:rsidRPr="003F75EB">
        <w:rPr>
          <w:rFonts w:ascii="Arial" w:hAnsi="Arial" w:cs="Arial"/>
          <w:b/>
          <w:bCs/>
          <w:lang w:val="fr"/>
        </w:rPr>
        <w:t>C.</w:t>
      </w:r>
      <w:r w:rsidR="00E77D05">
        <w:rPr>
          <w:rFonts w:ascii="Arial" w:hAnsi="Arial" w:cs="Arial"/>
          <w:b/>
          <w:bCs/>
          <w:lang w:val="fr"/>
        </w:rPr>
        <w:t xml:space="preserve"> </w:t>
      </w:r>
      <w:r w:rsidRPr="003F75EB">
        <w:rPr>
          <w:rFonts w:ascii="Arial" w:hAnsi="Arial" w:cs="Arial"/>
          <w:b/>
          <w:bCs/>
          <w:lang w:val="fr"/>
        </w:rPr>
        <w:t>Droit à la vie, à la survie et au développement (art. 6)</w:t>
      </w:r>
    </w:p>
    <w:p w14:paraId="48BA4904" w14:textId="70679996" w:rsidR="003F75EB" w:rsidRPr="0082511E" w:rsidRDefault="003F75EB">
      <w:pPr>
        <w:rPr>
          <w:rFonts w:ascii="Arial" w:hAnsi="Arial" w:cs="Arial"/>
          <w:b/>
          <w:bCs/>
          <w:lang w:val="fr"/>
        </w:rPr>
      </w:pPr>
      <w:r w:rsidRPr="0082511E">
        <w:rPr>
          <w:rFonts w:ascii="Arial" w:hAnsi="Arial" w:cs="Arial"/>
          <w:b/>
          <w:bCs/>
          <w:lang w:val="fr"/>
        </w:rPr>
        <w:t>Point 16 :</w:t>
      </w:r>
    </w:p>
    <w:p w14:paraId="517C159D" w14:textId="10F1C89C" w:rsidR="003F75EB" w:rsidRDefault="003F75EB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En ce sens, il est attendu des Etats de soutenir les actions de prévention dans une perspective de prévention primaire.</w:t>
      </w:r>
    </w:p>
    <w:p w14:paraId="26A9B64E" w14:textId="7CBC74A1" w:rsidR="003F75EB" w:rsidRPr="0082511E" w:rsidRDefault="003F75EB">
      <w:pPr>
        <w:rPr>
          <w:rFonts w:ascii="Arial" w:hAnsi="Arial" w:cs="Arial"/>
          <w:b/>
          <w:bCs/>
          <w:lang w:val="fr"/>
        </w:rPr>
      </w:pPr>
      <w:r w:rsidRPr="0082511E">
        <w:rPr>
          <w:rFonts w:ascii="Arial" w:hAnsi="Arial" w:cs="Arial"/>
          <w:b/>
          <w:bCs/>
          <w:lang w:val="fr"/>
        </w:rPr>
        <w:t>Point 17 :</w:t>
      </w:r>
    </w:p>
    <w:p w14:paraId="64D34EE1" w14:textId="77A3DE2F" w:rsidR="003F75EB" w:rsidRDefault="003F75EB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 xml:space="preserve">Il s’agit de soutenir le développement des compétences sociales dans les premières années de vie </w:t>
      </w:r>
      <w:r w:rsidR="002678D1">
        <w:rPr>
          <w:rFonts w:ascii="Arial" w:hAnsi="Arial" w:cs="Arial"/>
          <w:lang w:val="fr"/>
        </w:rPr>
        <w:t>en organisant d</w:t>
      </w:r>
      <w:r>
        <w:rPr>
          <w:rFonts w:ascii="Arial" w:hAnsi="Arial" w:cs="Arial"/>
          <w:lang w:val="fr"/>
        </w:rPr>
        <w:t>es interventions précoces</w:t>
      </w:r>
      <w:r w:rsidR="0082511E">
        <w:rPr>
          <w:rFonts w:ascii="Arial" w:hAnsi="Arial" w:cs="Arial"/>
          <w:lang w:val="fr"/>
        </w:rPr>
        <w:t>. Celles-ci favoriseront des comportements numériques positifs ultérieur</w:t>
      </w:r>
      <w:r w:rsidR="002678D1">
        <w:rPr>
          <w:rFonts w:ascii="Arial" w:hAnsi="Arial" w:cs="Arial"/>
          <w:lang w:val="fr"/>
        </w:rPr>
        <w:t>s</w:t>
      </w:r>
      <w:r w:rsidR="0082511E">
        <w:rPr>
          <w:rFonts w:ascii="Arial" w:hAnsi="Arial" w:cs="Arial"/>
          <w:lang w:val="fr"/>
        </w:rPr>
        <w:t>.</w:t>
      </w:r>
      <w:r w:rsidR="00C70941">
        <w:rPr>
          <w:rFonts w:ascii="Arial" w:hAnsi="Arial" w:cs="Arial"/>
          <w:lang w:val="fr"/>
        </w:rPr>
        <w:t xml:space="preserve"> </w:t>
      </w:r>
    </w:p>
    <w:p w14:paraId="35EDFF2D" w14:textId="195AF08D" w:rsidR="0082511E" w:rsidRDefault="0082511E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Quant aux impacts des usages numériques sur le développement des jeunes enfants, il s’agit alors</w:t>
      </w:r>
      <w:r w:rsidR="002B6945">
        <w:rPr>
          <w:rFonts w:ascii="Arial" w:hAnsi="Arial" w:cs="Arial"/>
          <w:lang w:val="fr"/>
        </w:rPr>
        <w:t>,</w:t>
      </w:r>
      <w:r>
        <w:rPr>
          <w:rFonts w:ascii="Arial" w:hAnsi="Arial" w:cs="Arial"/>
          <w:lang w:val="fr"/>
        </w:rPr>
        <w:t xml:space="preserve"> pour les Etats</w:t>
      </w:r>
      <w:r w:rsidR="002B6945">
        <w:rPr>
          <w:rFonts w:ascii="Arial" w:hAnsi="Arial" w:cs="Arial"/>
          <w:lang w:val="fr"/>
        </w:rPr>
        <w:t>,</w:t>
      </w:r>
      <w:r>
        <w:rPr>
          <w:rFonts w:ascii="Arial" w:hAnsi="Arial" w:cs="Arial"/>
          <w:lang w:val="fr"/>
        </w:rPr>
        <w:t xml:space="preserve"> de soutenir des recherches liées à cette population</w:t>
      </w:r>
      <w:r w:rsidR="003D193E">
        <w:rPr>
          <w:rFonts w:ascii="Arial" w:hAnsi="Arial" w:cs="Arial"/>
          <w:lang w:val="fr"/>
        </w:rPr>
        <w:t xml:space="preserve"> (0-3 ans) qui, </w:t>
      </w:r>
      <w:proofErr w:type="spellStart"/>
      <w:r w:rsidR="003D193E">
        <w:rPr>
          <w:rFonts w:ascii="Arial" w:hAnsi="Arial" w:cs="Arial"/>
          <w:lang w:val="fr"/>
        </w:rPr>
        <w:t>aujoud’hui</w:t>
      </w:r>
      <w:proofErr w:type="spellEnd"/>
      <w:r w:rsidR="003D193E">
        <w:rPr>
          <w:rFonts w:ascii="Arial" w:hAnsi="Arial" w:cs="Arial"/>
          <w:lang w:val="fr"/>
        </w:rPr>
        <w:t xml:space="preserve"> font défaut</w:t>
      </w:r>
      <w:r>
        <w:rPr>
          <w:rFonts w:ascii="Arial" w:hAnsi="Arial" w:cs="Arial"/>
          <w:lang w:val="fr"/>
        </w:rPr>
        <w:t>.</w:t>
      </w:r>
    </w:p>
    <w:p w14:paraId="3F355D62" w14:textId="5AA28ABB" w:rsidR="0082511E" w:rsidRDefault="00E77D05">
      <w:pPr>
        <w:rPr>
          <w:rFonts w:ascii="Arial" w:hAnsi="Arial" w:cs="Arial"/>
          <w:b/>
          <w:bCs/>
          <w:lang w:val="fr"/>
        </w:rPr>
      </w:pPr>
      <w:r w:rsidRPr="00E77D05">
        <w:rPr>
          <w:rFonts w:ascii="Arial" w:hAnsi="Arial" w:cs="Arial"/>
          <w:b/>
          <w:bCs/>
          <w:lang w:val="fr"/>
        </w:rPr>
        <w:t>G.</w:t>
      </w:r>
      <w:r>
        <w:rPr>
          <w:rFonts w:ascii="Arial" w:hAnsi="Arial" w:cs="Arial"/>
          <w:b/>
          <w:bCs/>
          <w:lang w:val="fr"/>
        </w:rPr>
        <w:t xml:space="preserve"> </w:t>
      </w:r>
      <w:r w:rsidRPr="00E77D05">
        <w:rPr>
          <w:rFonts w:ascii="Arial" w:hAnsi="Arial" w:cs="Arial"/>
          <w:b/>
          <w:bCs/>
          <w:lang w:val="fr"/>
        </w:rPr>
        <w:t>Diffusion de l’information, sensibilisation et formation</w:t>
      </w:r>
    </w:p>
    <w:p w14:paraId="44E286CB" w14:textId="6A4BB143" w:rsidR="00E77D05" w:rsidRDefault="00E77D05">
      <w:pPr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t>Point 34 :</w:t>
      </w:r>
    </w:p>
    <w:p w14:paraId="74DC3BAA" w14:textId="13D6321D" w:rsidR="00E77D05" w:rsidRDefault="00E77D05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t>En ce sens, l’enjeu est d’inscrire la littéracie numérique au sein des compétences métiers plutôt que du ressort des compétences personnelles.</w:t>
      </w:r>
    </w:p>
    <w:p w14:paraId="1B4D2B86" w14:textId="1F2B4F18" w:rsidR="00E77D05" w:rsidRPr="00E77D05" w:rsidRDefault="00E77D05">
      <w:pPr>
        <w:rPr>
          <w:rFonts w:ascii="Arial" w:hAnsi="Arial" w:cs="Arial"/>
          <w:b/>
          <w:bCs/>
          <w:lang w:val="fr"/>
        </w:rPr>
      </w:pPr>
      <w:r w:rsidRPr="00E77D05">
        <w:rPr>
          <w:rFonts w:ascii="Arial" w:hAnsi="Arial" w:cs="Arial"/>
          <w:b/>
          <w:bCs/>
          <w:lang w:val="fr"/>
        </w:rPr>
        <w:t>B.</w:t>
      </w:r>
      <w:r w:rsidR="002B6945">
        <w:rPr>
          <w:rFonts w:ascii="Arial" w:hAnsi="Arial" w:cs="Arial"/>
          <w:b/>
          <w:bCs/>
          <w:lang w:val="fr"/>
        </w:rPr>
        <w:t xml:space="preserve"> </w:t>
      </w:r>
      <w:r w:rsidRPr="00E77D05">
        <w:rPr>
          <w:rFonts w:ascii="Arial" w:hAnsi="Arial" w:cs="Arial"/>
          <w:b/>
          <w:bCs/>
          <w:lang w:val="fr"/>
        </w:rPr>
        <w:t>Le droit à la culture, aux loisirs et au jeu (art. 31)</w:t>
      </w:r>
    </w:p>
    <w:p w14:paraId="26E4FCC6" w14:textId="55A39F63" w:rsidR="00E77D05" w:rsidRPr="00E77D05" w:rsidRDefault="00E77D05">
      <w:pPr>
        <w:rPr>
          <w:rFonts w:ascii="Arial" w:hAnsi="Arial" w:cs="Arial"/>
          <w:b/>
          <w:bCs/>
          <w:lang w:val="fr"/>
        </w:rPr>
      </w:pPr>
      <w:r w:rsidRPr="00E77D05">
        <w:rPr>
          <w:rFonts w:ascii="Arial" w:hAnsi="Arial" w:cs="Arial"/>
          <w:b/>
          <w:bCs/>
          <w:lang w:val="fr"/>
        </w:rPr>
        <w:t>Point 115 :</w:t>
      </w:r>
    </w:p>
    <w:p w14:paraId="01268936" w14:textId="50C7FA2E" w:rsidR="00E77D05" w:rsidRPr="00E77D05" w:rsidRDefault="00E77D05">
      <w:pPr>
        <w:rPr>
          <w:rFonts w:ascii="Arial" w:hAnsi="Arial" w:cs="Arial"/>
          <w:lang w:val="fr"/>
        </w:rPr>
      </w:pPr>
      <w:r>
        <w:rPr>
          <w:rFonts w:ascii="Arial" w:hAnsi="Arial" w:cs="Arial"/>
          <w:lang w:val="fr"/>
        </w:rPr>
        <w:lastRenderedPageBreak/>
        <w:t>Les représentation</w:t>
      </w:r>
      <w:r w:rsidR="002B6945">
        <w:rPr>
          <w:rFonts w:ascii="Arial" w:hAnsi="Arial" w:cs="Arial"/>
          <w:lang w:val="fr"/>
        </w:rPr>
        <w:t>s</w:t>
      </w:r>
      <w:r>
        <w:rPr>
          <w:rFonts w:ascii="Arial" w:hAnsi="Arial" w:cs="Arial"/>
          <w:lang w:val="fr"/>
        </w:rPr>
        <w:t xml:space="preserve"> des adultes jouent un rôle important dans l’accompagnement proposé aux enfants.</w:t>
      </w:r>
      <w:r w:rsidR="002B6945">
        <w:rPr>
          <w:rFonts w:ascii="Arial" w:hAnsi="Arial" w:cs="Arial"/>
          <w:lang w:val="fr"/>
        </w:rPr>
        <w:t xml:space="preserve"> Ainsi</w:t>
      </w:r>
      <w:r w:rsidR="003D193E">
        <w:rPr>
          <w:rFonts w:ascii="Arial" w:hAnsi="Arial" w:cs="Arial"/>
          <w:lang w:val="fr"/>
        </w:rPr>
        <w:t>,</w:t>
      </w:r>
      <w:r w:rsidR="002B6945">
        <w:rPr>
          <w:rFonts w:ascii="Arial" w:hAnsi="Arial" w:cs="Arial"/>
          <w:lang w:val="fr"/>
        </w:rPr>
        <w:t xml:space="preserve"> il est essentiel que les informations publiques rendent compte des opportunités liées aux usages numériques</w:t>
      </w:r>
      <w:r w:rsidR="000667DD">
        <w:rPr>
          <w:rFonts w:ascii="Arial" w:hAnsi="Arial" w:cs="Arial"/>
          <w:lang w:val="fr"/>
        </w:rPr>
        <w:t xml:space="preserve"> de manière équilibrée vis-à-vis des risques</w:t>
      </w:r>
      <w:r w:rsidR="002B6945">
        <w:rPr>
          <w:rFonts w:ascii="Arial" w:hAnsi="Arial" w:cs="Arial"/>
          <w:lang w:val="fr"/>
        </w:rPr>
        <w:t xml:space="preserve">. En axant les communications sur les risques et les peurs, les </w:t>
      </w:r>
      <w:r w:rsidR="00C70941">
        <w:rPr>
          <w:rFonts w:ascii="Arial" w:hAnsi="Arial" w:cs="Arial"/>
          <w:lang w:val="fr"/>
        </w:rPr>
        <w:t>médias</w:t>
      </w:r>
      <w:r w:rsidR="002B6945">
        <w:rPr>
          <w:rFonts w:ascii="Arial" w:hAnsi="Arial" w:cs="Arial"/>
          <w:lang w:val="fr"/>
        </w:rPr>
        <w:t xml:space="preserve"> augmentent </w:t>
      </w:r>
      <w:r w:rsidR="003D193E">
        <w:rPr>
          <w:rFonts w:ascii="Arial" w:hAnsi="Arial" w:cs="Arial"/>
          <w:lang w:val="fr"/>
        </w:rPr>
        <w:t xml:space="preserve">le fossé </w:t>
      </w:r>
      <w:r w:rsidR="002B6945">
        <w:rPr>
          <w:rFonts w:ascii="Arial" w:hAnsi="Arial" w:cs="Arial"/>
          <w:lang w:val="fr"/>
        </w:rPr>
        <w:t>entre les enfants et les adultes</w:t>
      </w:r>
      <w:r w:rsidR="003D193E">
        <w:rPr>
          <w:rFonts w:ascii="Arial" w:hAnsi="Arial" w:cs="Arial"/>
          <w:lang w:val="fr"/>
        </w:rPr>
        <w:t>, et empêchent l’instauration d’un dialogue</w:t>
      </w:r>
      <w:r w:rsidR="002B6945">
        <w:rPr>
          <w:rFonts w:ascii="Arial" w:hAnsi="Arial" w:cs="Arial"/>
          <w:lang w:val="fr"/>
        </w:rPr>
        <w:t xml:space="preserve">. Cela peut mettre les enfants en danger dans la difficulté à trouver un adulte ressource pour partager </w:t>
      </w:r>
      <w:r w:rsidR="00C70941">
        <w:rPr>
          <w:rFonts w:ascii="Arial" w:hAnsi="Arial" w:cs="Arial"/>
          <w:lang w:val="fr"/>
        </w:rPr>
        <w:t>l</w:t>
      </w:r>
      <w:r w:rsidR="002B6945">
        <w:rPr>
          <w:rFonts w:ascii="Arial" w:hAnsi="Arial" w:cs="Arial"/>
          <w:lang w:val="fr"/>
        </w:rPr>
        <w:t xml:space="preserve">es questions et </w:t>
      </w:r>
      <w:r w:rsidR="000667DD">
        <w:rPr>
          <w:rFonts w:ascii="Arial" w:hAnsi="Arial" w:cs="Arial"/>
          <w:lang w:val="fr"/>
        </w:rPr>
        <w:t>problèmes rencontrés dans ses pratiques</w:t>
      </w:r>
      <w:r w:rsidR="003D193E">
        <w:rPr>
          <w:rFonts w:ascii="Arial" w:hAnsi="Arial" w:cs="Arial"/>
          <w:lang w:val="fr"/>
        </w:rPr>
        <w:t xml:space="preserve"> numériques</w:t>
      </w:r>
      <w:r w:rsidR="000667DD">
        <w:rPr>
          <w:rFonts w:ascii="Arial" w:hAnsi="Arial" w:cs="Arial"/>
          <w:lang w:val="fr"/>
        </w:rPr>
        <w:t>.</w:t>
      </w:r>
    </w:p>
    <w:sectPr w:rsidR="00E77D05" w:rsidRPr="00E77D05" w:rsidSect="009F5970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81EFE" w14:textId="77777777" w:rsidR="00BD38EF" w:rsidRDefault="00BD38EF" w:rsidP="001A46E8">
      <w:pPr>
        <w:spacing w:after="0" w:line="240" w:lineRule="auto"/>
      </w:pPr>
      <w:r>
        <w:separator/>
      </w:r>
    </w:p>
  </w:endnote>
  <w:endnote w:type="continuationSeparator" w:id="0">
    <w:p w14:paraId="6F5AB0D6" w14:textId="77777777" w:rsidR="00BD38EF" w:rsidRDefault="00BD38EF" w:rsidP="001A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EB901" w14:textId="77777777" w:rsidR="00BD38EF" w:rsidRDefault="00BD38EF" w:rsidP="001A46E8">
      <w:pPr>
        <w:spacing w:after="0" w:line="240" w:lineRule="auto"/>
      </w:pPr>
      <w:r>
        <w:separator/>
      </w:r>
    </w:p>
  </w:footnote>
  <w:footnote w:type="continuationSeparator" w:id="0">
    <w:p w14:paraId="25D8AAF2" w14:textId="77777777" w:rsidR="00BD38EF" w:rsidRDefault="00BD38EF" w:rsidP="001A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7380" w14:textId="2988E681" w:rsidR="00930F37" w:rsidRDefault="00930F37" w:rsidP="009F5970">
    <w:pPr>
      <w:pStyle w:val="En-tte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A19EF9" wp14:editId="64A9571F">
              <wp:simplePos x="0" y="0"/>
              <wp:positionH relativeFrom="column">
                <wp:posOffset>5129530</wp:posOffset>
              </wp:positionH>
              <wp:positionV relativeFrom="paragraph">
                <wp:posOffset>-373380</wp:posOffset>
              </wp:positionV>
              <wp:extent cx="1371600" cy="127635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76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C54F5" w14:textId="6C9A5F20" w:rsidR="00930F37" w:rsidRDefault="00930F37">
                          <w:r>
                            <w:rPr>
                              <w:noProof/>
                              <w:lang w:eastAsia="fr-CH"/>
                            </w:rPr>
                            <w:drawing>
                              <wp:inline distT="0" distB="0" distL="0" distR="0" wp14:anchorId="2C152A80" wp14:editId="3E4E47A6">
                                <wp:extent cx="1007390" cy="990600"/>
                                <wp:effectExtent l="0" t="0" r="2540" b="0"/>
                                <wp:docPr id="11" name="Imag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417" cy="10132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19EF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03.9pt;margin-top:-29.4pt;width:108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PyEQIAAPoDAAAOAAAAZHJzL2Uyb0RvYy54bWysU01vGyEQvVfqf0Dc6/2IP5KVcZQmTVUp&#10;/ZDSXnrDLOtFBYYC9m766zuwjmO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dbWixHKD&#10;Q/qOoyKtJFGOUZI6iTS40ODdR4e34/gWRhx2JhzcA4gfgVi47bndyRvvYeglb7HJKmUWZ6kTTkgg&#10;2+EjtFiL7yNkoLHzJimImhBEx2E9nQaEfRCRSl6sqmWJIYGxql4tLxZ5hAVvntOdD/G9BEPShlGP&#10;Dsjw/PAQYmqHN89XUjUL90rr7AJtycDo1aJe5ISziFERTaqVYfSyTN9km8TynW1zcuRKT3ssoO2R&#10;dmI6cY7jdsSLSYsttE8ogIfJjPh4cNOD/0XJgEZkNPzccy8p0R8sinhVzefJufkwX6xqPPjzyPY8&#10;wq1AKEYjJdP2Nma3T1xvUOxOZRleOjn2igbL6hwfQ3Lw+Tnfenmym98AAAD//wMAUEsDBBQABgAI&#10;AAAAIQBiHeyQ3gAAAAwBAAAPAAAAZHJzL2Rvd25yZXYueG1sTI9NT8MwDIbvSPyHyJO4bcnKxkpp&#10;OiEQV9C+kLhljddWNE7VZGv593gnuD2WX71+nK9H14oL9qHxpGE+UyCQSm8bqjTsd2/TFESIhqxp&#10;PaGGHwywLm5vcpNZP9AGL9tYCS6hkBkNdYxdJmUoa3QmzHyHxLuT752JPPaVtL0ZuNy1MlHqQTrT&#10;EF+oTYcvNZbf27PTcHg/fX0u1Ef16pbd4EclyT1Kre8m4/MTiIhj/AvDVZ/VoWCnoz+TDaLVkKoV&#10;q0cN02XKcE2o5J7pyLRIEpBFLv8/UfwCAAD//wMAUEsBAi0AFAAGAAgAAAAhALaDOJL+AAAA4QEA&#10;ABMAAAAAAAAAAAAAAAAAAAAAAFtDb250ZW50X1R5cGVzXS54bWxQSwECLQAUAAYACAAAACEAOP0h&#10;/9YAAACUAQAACwAAAAAAAAAAAAAAAAAvAQAAX3JlbHMvLnJlbHNQSwECLQAUAAYACAAAACEA4l3T&#10;8hECAAD6AwAADgAAAAAAAAAAAAAAAAAuAgAAZHJzL2Uyb0RvYy54bWxQSwECLQAUAAYACAAAACEA&#10;Yh3skN4AAAAMAQAADwAAAAAAAAAAAAAAAABrBAAAZHJzL2Rvd25yZXYueG1sUEsFBgAAAAAEAAQA&#10;8wAAAHYFAAAAAA==&#10;" filled="f" stroked="f">
              <v:textbox>
                <w:txbxContent>
                  <w:p w14:paraId="5CAC54F5" w14:textId="6C9A5F20" w:rsidR="00930F37" w:rsidRDefault="00930F37">
                    <w:r>
                      <w:rPr>
                        <w:noProof/>
                        <w:lang w:eastAsia="fr-CH"/>
                      </w:rPr>
                      <w:drawing>
                        <wp:inline distT="0" distB="0" distL="0" distR="0" wp14:anchorId="2C152A80" wp14:editId="3E4E47A6">
                          <wp:extent cx="1007390" cy="990600"/>
                          <wp:effectExtent l="0" t="0" r="2540" b="0"/>
                          <wp:docPr id="11" name="Imag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417" cy="10132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52"/>
    <w:rsid w:val="000667DD"/>
    <w:rsid w:val="00140263"/>
    <w:rsid w:val="001A46E8"/>
    <w:rsid w:val="002678D1"/>
    <w:rsid w:val="002B6945"/>
    <w:rsid w:val="003D193E"/>
    <w:rsid w:val="003E0F52"/>
    <w:rsid w:val="003F75EB"/>
    <w:rsid w:val="0082511E"/>
    <w:rsid w:val="008F7E83"/>
    <w:rsid w:val="00930F37"/>
    <w:rsid w:val="009F5970"/>
    <w:rsid w:val="00A7139F"/>
    <w:rsid w:val="00A9147A"/>
    <w:rsid w:val="00AB34A1"/>
    <w:rsid w:val="00B066FC"/>
    <w:rsid w:val="00BD38EF"/>
    <w:rsid w:val="00C70941"/>
    <w:rsid w:val="00C967FE"/>
    <w:rsid w:val="00D854B0"/>
    <w:rsid w:val="00E0199A"/>
    <w:rsid w:val="00E664C2"/>
    <w:rsid w:val="00E77D05"/>
    <w:rsid w:val="00EC70C0"/>
    <w:rsid w:val="00F431CC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AC7559"/>
  <w15:chartTrackingRefBased/>
  <w15:docId w15:val="{632148AC-D0C9-4CFD-AA96-144C52C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qFormat/>
    <w:rsid w:val="003E0F52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0F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46E8"/>
  </w:style>
  <w:style w:type="paragraph" w:styleId="Pieddepage">
    <w:name w:val="footer"/>
    <w:basedOn w:val="Normal"/>
    <w:link w:val="PieddepageCar"/>
    <w:uiPriority w:val="99"/>
    <w:unhideWhenUsed/>
    <w:rsid w:val="001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46E8"/>
  </w:style>
  <w:style w:type="character" w:styleId="lev">
    <w:name w:val="Strong"/>
    <w:basedOn w:val="Policepardfaut"/>
    <w:uiPriority w:val="22"/>
    <w:qFormat/>
    <w:rsid w:val="001A46E8"/>
    <w:rPr>
      <w:b/>
      <w:bCs/>
    </w:rPr>
  </w:style>
  <w:style w:type="paragraph" w:customStyle="1" w:styleId="H1G">
    <w:name w:val="_ H_1_G"/>
    <w:basedOn w:val="Normal"/>
    <w:next w:val="Normal"/>
    <w:qFormat/>
    <w:rsid w:val="003F75EB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3F7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5A449.F4D86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7103B9-98BD-44E0-85FD-DF12C78955EA}"/>
</file>

<file path=customXml/itemProps2.xml><?xml version="1.0" encoding="utf-8"?>
<ds:datastoreItem xmlns:ds="http://schemas.openxmlformats.org/officeDocument/2006/customXml" ds:itemID="{56457BF1-27C0-4B85-B0F4-09BDF2043691}"/>
</file>

<file path=customXml/itemProps3.xml><?xml version="1.0" encoding="utf-8"?>
<ds:datastoreItem xmlns:ds="http://schemas.openxmlformats.org/officeDocument/2006/customXml" ds:itemID="{52A97655-B74B-4EC2-AF71-67973D965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Barraud-Vial</dc:creator>
  <cp:keywords/>
  <dc:description/>
  <cp:lastModifiedBy>Carole Barraud-Vial</cp:lastModifiedBy>
  <cp:revision>3</cp:revision>
  <dcterms:created xsi:type="dcterms:W3CDTF">2020-11-02T13:35:00Z</dcterms:created>
  <dcterms:modified xsi:type="dcterms:W3CDTF">2020-11-02T13:38:00Z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